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0C4635" w14:textId="77777777" w:rsidR="00C13389" w:rsidRDefault="00C13389" w:rsidP="009D7327">
      <w:pPr>
        <w:spacing w:line="480" w:lineRule="auto"/>
        <w:jc w:val="center"/>
        <w:rPr>
          <w:rFonts w:ascii="Times New Roman" w:eastAsia="Times New Roman" w:hAnsi="Times New Roman" w:cs="Times New Roman"/>
          <w:b/>
          <w:sz w:val="32"/>
          <w:szCs w:val="32"/>
        </w:rPr>
      </w:pPr>
    </w:p>
    <w:p w14:paraId="4C804AC9" w14:textId="77777777" w:rsidR="00D846C7" w:rsidRDefault="00D846C7" w:rsidP="009D7327">
      <w:pPr>
        <w:spacing w:line="480" w:lineRule="auto"/>
        <w:jc w:val="center"/>
        <w:rPr>
          <w:rFonts w:ascii="Times New Roman" w:eastAsia="Times New Roman" w:hAnsi="Times New Roman" w:cs="Times New Roman"/>
          <w:b/>
          <w:sz w:val="32"/>
          <w:szCs w:val="32"/>
        </w:rPr>
      </w:pPr>
    </w:p>
    <w:p w14:paraId="596E8AA7" w14:textId="77777777" w:rsidR="00D846C7" w:rsidRDefault="00D846C7" w:rsidP="009D7327">
      <w:pPr>
        <w:spacing w:line="480" w:lineRule="auto"/>
        <w:jc w:val="center"/>
        <w:rPr>
          <w:rFonts w:ascii="Times New Roman" w:eastAsia="Times New Roman" w:hAnsi="Times New Roman" w:cs="Times New Roman"/>
          <w:b/>
          <w:sz w:val="32"/>
          <w:szCs w:val="32"/>
        </w:rPr>
      </w:pPr>
    </w:p>
    <w:p w14:paraId="60564C54" w14:textId="77777777" w:rsidR="00D846C7" w:rsidRDefault="00D846C7" w:rsidP="009D7327">
      <w:pPr>
        <w:spacing w:line="480" w:lineRule="auto"/>
        <w:jc w:val="center"/>
        <w:rPr>
          <w:rFonts w:ascii="Times New Roman" w:eastAsia="Times New Roman" w:hAnsi="Times New Roman" w:cs="Times New Roman"/>
          <w:b/>
          <w:sz w:val="32"/>
          <w:szCs w:val="32"/>
        </w:rPr>
      </w:pPr>
    </w:p>
    <w:p w14:paraId="4AB5BB16" w14:textId="77777777" w:rsidR="00D846C7" w:rsidRPr="00100A88" w:rsidRDefault="00D846C7" w:rsidP="00100A88">
      <w:pPr>
        <w:spacing w:line="480" w:lineRule="auto"/>
        <w:jc w:val="center"/>
        <w:rPr>
          <w:rFonts w:ascii="Times New Roman" w:eastAsia="Times New Roman" w:hAnsi="Times New Roman" w:cs="Times New Roman"/>
          <w:b/>
          <w:sz w:val="32"/>
          <w:szCs w:val="32"/>
        </w:rPr>
      </w:pPr>
    </w:p>
    <w:p w14:paraId="67BA0A05" w14:textId="77777777" w:rsidR="00100A88" w:rsidRPr="00100A88" w:rsidRDefault="00100A88" w:rsidP="00100A88">
      <w:pPr>
        <w:spacing w:line="480" w:lineRule="auto"/>
        <w:jc w:val="center"/>
        <w:rPr>
          <w:rFonts w:ascii="Times New Roman" w:hAnsi="Times New Roman" w:cs="Times New Roman"/>
          <w:b/>
          <w:bCs/>
          <w:sz w:val="40"/>
          <w:szCs w:val="40"/>
          <w:lang w:val="en-US"/>
        </w:rPr>
      </w:pPr>
      <w:r w:rsidRPr="00100A88">
        <w:rPr>
          <w:rFonts w:ascii="Times New Roman" w:hAnsi="Times New Roman" w:cs="Times New Roman"/>
          <w:b/>
          <w:bCs/>
          <w:sz w:val="40"/>
          <w:szCs w:val="40"/>
          <w:lang w:val="en-US"/>
        </w:rPr>
        <w:t>Event Strategic Planning and Delivery Considerations for an International Meeting</w:t>
      </w:r>
    </w:p>
    <w:p w14:paraId="671F4924" w14:textId="77777777" w:rsidR="00100A88" w:rsidRPr="00100A88" w:rsidRDefault="00100A88" w:rsidP="00100A88">
      <w:pPr>
        <w:spacing w:line="480" w:lineRule="auto"/>
        <w:jc w:val="center"/>
        <w:rPr>
          <w:rFonts w:ascii="Times New Roman" w:hAnsi="Times New Roman" w:cs="Times New Roman"/>
          <w:sz w:val="28"/>
          <w:szCs w:val="28"/>
          <w:lang w:val="en-US"/>
        </w:rPr>
      </w:pPr>
      <w:r w:rsidRPr="00100A88">
        <w:rPr>
          <w:rFonts w:ascii="Times New Roman" w:hAnsi="Times New Roman" w:cs="Times New Roman"/>
          <w:sz w:val="28"/>
          <w:szCs w:val="28"/>
          <w:lang w:val="en-US"/>
        </w:rPr>
        <w:t>Module code: BMIH6007</w:t>
      </w:r>
    </w:p>
    <w:p w14:paraId="3645D66D" w14:textId="77777777" w:rsidR="00100A88" w:rsidRPr="00100A88" w:rsidRDefault="00100A88" w:rsidP="00100A88">
      <w:pPr>
        <w:spacing w:line="480" w:lineRule="auto"/>
        <w:jc w:val="center"/>
        <w:rPr>
          <w:rFonts w:ascii="Times New Roman" w:hAnsi="Times New Roman" w:cs="Times New Roman"/>
          <w:sz w:val="28"/>
          <w:szCs w:val="28"/>
          <w:lang w:val="en-US"/>
        </w:rPr>
      </w:pPr>
      <w:r w:rsidRPr="00100A88">
        <w:rPr>
          <w:rFonts w:ascii="Times New Roman" w:hAnsi="Times New Roman" w:cs="Times New Roman"/>
          <w:sz w:val="28"/>
          <w:szCs w:val="28"/>
          <w:lang w:val="en-US"/>
        </w:rPr>
        <w:t>Module name: International Meetings Management for the Hotel Industry</w:t>
      </w:r>
    </w:p>
    <w:p w14:paraId="303FE01A" w14:textId="77777777" w:rsidR="00100A88" w:rsidRPr="00100A88" w:rsidRDefault="00100A88" w:rsidP="00100A88">
      <w:pPr>
        <w:spacing w:line="480" w:lineRule="auto"/>
        <w:jc w:val="center"/>
        <w:rPr>
          <w:rFonts w:ascii="Times New Roman" w:hAnsi="Times New Roman" w:cs="Times New Roman"/>
          <w:sz w:val="28"/>
          <w:szCs w:val="28"/>
          <w:lang w:val="en-US"/>
        </w:rPr>
      </w:pPr>
      <w:r w:rsidRPr="00100A88">
        <w:rPr>
          <w:rFonts w:ascii="Times New Roman" w:hAnsi="Times New Roman" w:cs="Times New Roman"/>
          <w:sz w:val="28"/>
          <w:szCs w:val="28"/>
          <w:lang w:val="en-US"/>
        </w:rPr>
        <w:t xml:space="preserve">Name of the student: Mariana </w:t>
      </w:r>
      <w:proofErr w:type="spellStart"/>
      <w:r w:rsidRPr="00100A88">
        <w:rPr>
          <w:rFonts w:ascii="Times New Roman" w:hAnsi="Times New Roman" w:cs="Times New Roman"/>
          <w:sz w:val="28"/>
          <w:szCs w:val="28"/>
          <w:lang w:val="en-US"/>
        </w:rPr>
        <w:t>Mironov</w:t>
      </w:r>
      <w:proofErr w:type="spellEnd"/>
    </w:p>
    <w:p w14:paraId="1D850A62" w14:textId="77777777" w:rsidR="00100A88" w:rsidRPr="00100A88" w:rsidRDefault="00100A88" w:rsidP="00100A88">
      <w:pPr>
        <w:spacing w:line="480" w:lineRule="auto"/>
        <w:jc w:val="center"/>
        <w:rPr>
          <w:rFonts w:ascii="Times New Roman" w:hAnsi="Times New Roman" w:cs="Times New Roman"/>
          <w:sz w:val="28"/>
          <w:szCs w:val="28"/>
          <w:lang w:val="en-US"/>
        </w:rPr>
      </w:pPr>
      <w:r w:rsidRPr="00100A88">
        <w:rPr>
          <w:rFonts w:ascii="Times New Roman" w:hAnsi="Times New Roman" w:cs="Times New Roman"/>
          <w:sz w:val="28"/>
          <w:szCs w:val="28"/>
          <w:lang w:val="en-US"/>
        </w:rPr>
        <w:t>Student’s ID:2232725</w:t>
      </w:r>
    </w:p>
    <w:p w14:paraId="13EC0947" w14:textId="77777777" w:rsidR="00100A88" w:rsidRPr="00100A88" w:rsidRDefault="00100A88" w:rsidP="00100A88">
      <w:pPr>
        <w:spacing w:line="480" w:lineRule="auto"/>
        <w:jc w:val="center"/>
        <w:rPr>
          <w:rFonts w:ascii="Times New Roman" w:hAnsi="Times New Roman" w:cs="Times New Roman"/>
          <w:sz w:val="28"/>
          <w:szCs w:val="28"/>
          <w:lang w:val="en-US"/>
        </w:rPr>
      </w:pPr>
      <w:r w:rsidRPr="00100A88">
        <w:rPr>
          <w:rFonts w:ascii="Times New Roman" w:hAnsi="Times New Roman" w:cs="Times New Roman"/>
          <w:sz w:val="28"/>
          <w:szCs w:val="28"/>
          <w:lang w:val="en-US"/>
        </w:rPr>
        <w:t>Lecture: Kathryn Flynn</w:t>
      </w:r>
    </w:p>
    <w:p w14:paraId="612C9AB2" w14:textId="77777777" w:rsidR="00100A88" w:rsidRPr="00100A88" w:rsidRDefault="00100A88" w:rsidP="00100A88">
      <w:pPr>
        <w:spacing w:line="480" w:lineRule="auto"/>
        <w:jc w:val="right"/>
        <w:rPr>
          <w:rFonts w:ascii="Times New Roman" w:hAnsi="Times New Roman" w:cs="Times New Roman"/>
          <w:szCs w:val="20"/>
          <w:lang w:val="en-US"/>
        </w:rPr>
      </w:pPr>
    </w:p>
    <w:p w14:paraId="07377775" w14:textId="77777777" w:rsidR="00100A88" w:rsidRPr="00100A88" w:rsidRDefault="00100A88" w:rsidP="00100A88">
      <w:pPr>
        <w:spacing w:line="480" w:lineRule="auto"/>
        <w:jc w:val="right"/>
        <w:rPr>
          <w:rFonts w:ascii="Times New Roman" w:hAnsi="Times New Roman" w:cs="Times New Roman"/>
          <w:sz w:val="28"/>
          <w:szCs w:val="28"/>
          <w:lang w:val="en-US"/>
        </w:rPr>
      </w:pPr>
    </w:p>
    <w:p w14:paraId="75EE8058" w14:textId="77777777" w:rsidR="00100A88" w:rsidRPr="00100A88" w:rsidRDefault="00100A88" w:rsidP="00100A88">
      <w:pPr>
        <w:spacing w:line="480" w:lineRule="auto"/>
        <w:jc w:val="right"/>
        <w:rPr>
          <w:rFonts w:ascii="Times New Roman" w:hAnsi="Times New Roman" w:cs="Times New Roman"/>
          <w:sz w:val="28"/>
          <w:szCs w:val="28"/>
          <w:lang w:val="en-US"/>
        </w:rPr>
      </w:pPr>
    </w:p>
    <w:p w14:paraId="59BE9CB0" w14:textId="637B3A2C" w:rsidR="00100A88" w:rsidRPr="00100A88" w:rsidRDefault="00100A88" w:rsidP="00100A88">
      <w:pPr>
        <w:spacing w:line="480" w:lineRule="auto"/>
        <w:jc w:val="right"/>
        <w:rPr>
          <w:rFonts w:ascii="Times New Roman" w:hAnsi="Times New Roman" w:cs="Times New Roman"/>
          <w:sz w:val="28"/>
          <w:szCs w:val="28"/>
          <w:lang w:val="en-US"/>
        </w:rPr>
      </w:pPr>
      <w:r w:rsidRPr="00100A88">
        <w:rPr>
          <w:rFonts w:ascii="Times New Roman" w:hAnsi="Times New Roman" w:cs="Times New Roman"/>
          <w:sz w:val="28"/>
          <w:szCs w:val="28"/>
          <w:lang w:val="en-US"/>
        </w:rPr>
        <w:t xml:space="preserve">Date of submission: </w:t>
      </w:r>
    </w:p>
    <w:p w14:paraId="313AA665" w14:textId="591DCFCE" w:rsidR="00DE335A" w:rsidRDefault="00B15A72" w:rsidP="00100A88">
      <w:pPr>
        <w:spacing w:line="480" w:lineRule="auto"/>
        <w:jc w:val="center"/>
        <w:rPr>
          <w:rFonts w:ascii="Times New Roman" w:eastAsia="Times New Roman" w:hAnsi="Times New Roman" w:cs="Times New Roman"/>
          <w:sz w:val="24"/>
          <w:szCs w:val="24"/>
        </w:rPr>
      </w:pPr>
      <w:r>
        <w:br w:type="page"/>
      </w:r>
    </w:p>
    <w:p w14:paraId="76FE9BE9" w14:textId="77777777" w:rsidR="00100A88" w:rsidRDefault="00100A88" w:rsidP="00100A88">
      <w:pPr>
        <w:spacing w:line="360" w:lineRule="auto"/>
        <w:jc w:val="center"/>
        <w:rPr>
          <w:b/>
          <w:sz w:val="28"/>
          <w:szCs w:val="28"/>
          <w:u w:val="single"/>
        </w:rPr>
      </w:pPr>
    </w:p>
    <w:p w14:paraId="05750D6B" w14:textId="77777777" w:rsidR="00100A88" w:rsidRDefault="00100A88" w:rsidP="00100A88">
      <w:pPr>
        <w:spacing w:line="360" w:lineRule="auto"/>
        <w:jc w:val="center"/>
        <w:rPr>
          <w:b/>
          <w:sz w:val="28"/>
          <w:szCs w:val="28"/>
          <w:u w:val="single"/>
        </w:rPr>
      </w:pPr>
    </w:p>
    <w:p w14:paraId="319634C9" w14:textId="77777777" w:rsidR="00100A88" w:rsidRDefault="00100A88" w:rsidP="00100A88">
      <w:pPr>
        <w:spacing w:line="360" w:lineRule="auto"/>
        <w:jc w:val="center"/>
        <w:rPr>
          <w:b/>
          <w:sz w:val="28"/>
          <w:szCs w:val="28"/>
          <w:u w:val="single"/>
        </w:rPr>
      </w:pPr>
    </w:p>
    <w:p w14:paraId="0D8E2B54" w14:textId="7D2FE5F7" w:rsidR="00100A88" w:rsidRPr="00FE351E" w:rsidRDefault="00100A88" w:rsidP="00100A88">
      <w:pPr>
        <w:spacing w:line="360" w:lineRule="auto"/>
        <w:jc w:val="center"/>
        <w:rPr>
          <w:sz w:val="28"/>
          <w:szCs w:val="28"/>
        </w:rPr>
      </w:pPr>
      <w:r w:rsidRPr="00FE351E">
        <w:rPr>
          <w:b/>
          <w:sz w:val="28"/>
          <w:szCs w:val="28"/>
          <w:u w:val="single"/>
        </w:rPr>
        <w:t>AI Acknowledgement Statement</w:t>
      </w:r>
    </w:p>
    <w:p w14:paraId="2220E998" w14:textId="77777777" w:rsidR="00100A88" w:rsidRPr="00FE351E" w:rsidRDefault="00100A88" w:rsidP="00100A88">
      <w:pPr>
        <w:spacing w:line="360" w:lineRule="auto"/>
        <w:rPr>
          <w:szCs w:val="24"/>
        </w:rPr>
      </w:pPr>
    </w:p>
    <w:p w14:paraId="63AE28E9" w14:textId="77777777" w:rsidR="00100A88" w:rsidRPr="00FE351E" w:rsidRDefault="00100A88" w:rsidP="00100A88">
      <w:pPr>
        <w:spacing w:line="360" w:lineRule="auto"/>
        <w:rPr>
          <w:szCs w:val="24"/>
        </w:rPr>
      </w:pPr>
      <w:r w:rsidRPr="00FE351E">
        <w:rPr>
          <w:szCs w:val="24"/>
        </w:rPr>
        <w:t>I declare that I have not incorporated any AI tools in executing and writing this assignment. I did not submit any materials that have been generated by artificial intelligence as my own work.</w:t>
      </w:r>
    </w:p>
    <w:p w14:paraId="2B64516E" w14:textId="77777777" w:rsidR="00100A88" w:rsidRPr="00FE351E" w:rsidRDefault="00100A88" w:rsidP="00100A88">
      <w:pPr>
        <w:spacing w:line="360" w:lineRule="auto"/>
        <w:rPr>
          <w:szCs w:val="24"/>
        </w:rPr>
      </w:pPr>
      <w:r w:rsidRPr="00FE351E">
        <w:rPr>
          <w:szCs w:val="24"/>
        </w:rPr>
        <w:t>I acknowledge that I have copies of my drafts, notes, other referenced resources used by me.</w:t>
      </w:r>
    </w:p>
    <w:p w14:paraId="7F7F10DD" w14:textId="77777777" w:rsidR="00100A88" w:rsidRDefault="00100A88" w:rsidP="009D7327">
      <w:pPr>
        <w:spacing w:line="480" w:lineRule="auto"/>
        <w:jc w:val="both"/>
        <w:rPr>
          <w:rFonts w:ascii="Times New Roman" w:eastAsia="Times New Roman" w:hAnsi="Times New Roman" w:cs="Times New Roman"/>
          <w:b/>
          <w:sz w:val="24"/>
          <w:szCs w:val="24"/>
        </w:rPr>
      </w:pPr>
    </w:p>
    <w:p w14:paraId="43A8FC75" w14:textId="77777777" w:rsidR="00100A88" w:rsidRDefault="00100A88" w:rsidP="009D7327">
      <w:pPr>
        <w:spacing w:line="480" w:lineRule="auto"/>
        <w:jc w:val="both"/>
        <w:rPr>
          <w:rFonts w:ascii="Times New Roman" w:eastAsia="Times New Roman" w:hAnsi="Times New Roman" w:cs="Times New Roman"/>
          <w:b/>
          <w:sz w:val="24"/>
          <w:szCs w:val="24"/>
        </w:rPr>
      </w:pPr>
    </w:p>
    <w:p w14:paraId="0009C017" w14:textId="77777777" w:rsidR="00100A88" w:rsidRDefault="00100A88" w:rsidP="009D7327">
      <w:pPr>
        <w:spacing w:line="480" w:lineRule="auto"/>
        <w:jc w:val="both"/>
        <w:rPr>
          <w:rFonts w:ascii="Times New Roman" w:eastAsia="Times New Roman" w:hAnsi="Times New Roman" w:cs="Times New Roman"/>
          <w:b/>
          <w:sz w:val="24"/>
          <w:szCs w:val="24"/>
        </w:rPr>
      </w:pPr>
    </w:p>
    <w:p w14:paraId="47827F52" w14:textId="77777777" w:rsidR="00100A88" w:rsidRDefault="00100A88" w:rsidP="009D7327">
      <w:pPr>
        <w:spacing w:line="480" w:lineRule="auto"/>
        <w:jc w:val="both"/>
        <w:rPr>
          <w:rFonts w:ascii="Times New Roman" w:eastAsia="Times New Roman" w:hAnsi="Times New Roman" w:cs="Times New Roman"/>
          <w:b/>
          <w:sz w:val="24"/>
          <w:szCs w:val="24"/>
        </w:rPr>
      </w:pPr>
    </w:p>
    <w:p w14:paraId="2E4A193A" w14:textId="77777777" w:rsidR="00100A88" w:rsidRDefault="00100A88" w:rsidP="009D7327">
      <w:pPr>
        <w:spacing w:line="480" w:lineRule="auto"/>
        <w:jc w:val="both"/>
        <w:rPr>
          <w:rFonts w:ascii="Times New Roman" w:eastAsia="Times New Roman" w:hAnsi="Times New Roman" w:cs="Times New Roman"/>
          <w:b/>
          <w:sz w:val="24"/>
          <w:szCs w:val="24"/>
        </w:rPr>
      </w:pPr>
    </w:p>
    <w:p w14:paraId="2C86F564" w14:textId="77777777" w:rsidR="00100A88" w:rsidRDefault="00100A88" w:rsidP="009D7327">
      <w:pPr>
        <w:spacing w:line="480" w:lineRule="auto"/>
        <w:jc w:val="both"/>
        <w:rPr>
          <w:rFonts w:ascii="Times New Roman" w:eastAsia="Times New Roman" w:hAnsi="Times New Roman" w:cs="Times New Roman"/>
          <w:b/>
          <w:sz w:val="24"/>
          <w:szCs w:val="24"/>
        </w:rPr>
      </w:pPr>
    </w:p>
    <w:p w14:paraId="130515CD" w14:textId="77777777" w:rsidR="00100A88" w:rsidRDefault="00100A88" w:rsidP="009D7327">
      <w:pPr>
        <w:spacing w:line="480" w:lineRule="auto"/>
        <w:jc w:val="both"/>
        <w:rPr>
          <w:rFonts w:ascii="Times New Roman" w:eastAsia="Times New Roman" w:hAnsi="Times New Roman" w:cs="Times New Roman"/>
          <w:b/>
          <w:sz w:val="24"/>
          <w:szCs w:val="24"/>
        </w:rPr>
      </w:pPr>
    </w:p>
    <w:p w14:paraId="4D401C32" w14:textId="77777777" w:rsidR="00100A88" w:rsidRDefault="00100A88" w:rsidP="009D7327">
      <w:pPr>
        <w:spacing w:line="480" w:lineRule="auto"/>
        <w:jc w:val="both"/>
        <w:rPr>
          <w:rFonts w:ascii="Times New Roman" w:eastAsia="Times New Roman" w:hAnsi="Times New Roman" w:cs="Times New Roman"/>
          <w:b/>
          <w:sz w:val="24"/>
          <w:szCs w:val="24"/>
        </w:rPr>
      </w:pPr>
    </w:p>
    <w:p w14:paraId="038C25EC" w14:textId="77777777" w:rsidR="00100A88" w:rsidRDefault="00100A88" w:rsidP="009D7327">
      <w:pPr>
        <w:spacing w:line="480" w:lineRule="auto"/>
        <w:jc w:val="both"/>
        <w:rPr>
          <w:rFonts w:ascii="Times New Roman" w:eastAsia="Times New Roman" w:hAnsi="Times New Roman" w:cs="Times New Roman"/>
          <w:b/>
          <w:sz w:val="24"/>
          <w:szCs w:val="24"/>
        </w:rPr>
      </w:pPr>
    </w:p>
    <w:p w14:paraId="308083AD" w14:textId="77777777" w:rsidR="00100A88" w:rsidRDefault="00100A88" w:rsidP="009D7327">
      <w:pPr>
        <w:spacing w:line="480" w:lineRule="auto"/>
        <w:jc w:val="both"/>
        <w:rPr>
          <w:rFonts w:ascii="Times New Roman" w:eastAsia="Times New Roman" w:hAnsi="Times New Roman" w:cs="Times New Roman"/>
          <w:b/>
          <w:sz w:val="24"/>
          <w:szCs w:val="24"/>
        </w:rPr>
      </w:pPr>
    </w:p>
    <w:p w14:paraId="2BFCB438" w14:textId="77777777" w:rsidR="00100A88" w:rsidRDefault="00100A88" w:rsidP="009D7327">
      <w:pPr>
        <w:spacing w:line="480" w:lineRule="auto"/>
        <w:jc w:val="both"/>
        <w:rPr>
          <w:rFonts w:ascii="Times New Roman" w:eastAsia="Times New Roman" w:hAnsi="Times New Roman" w:cs="Times New Roman"/>
          <w:b/>
          <w:sz w:val="24"/>
          <w:szCs w:val="24"/>
        </w:rPr>
      </w:pPr>
    </w:p>
    <w:p w14:paraId="53298A6D" w14:textId="77777777" w:rsidR="00100A88" w:rsidRDefault="00100A88" w:rsidP="009D7327">
      <w:pPr>
        <w:spacing w:line="480" w:lineRule="auto"/>
        <w:jc w:val="both"/>
        <w:rPr>
          <w:rFonts w:ascii="Times New Roman" w:eastAsia="Times New Roman" w:hAnsi="Times New Roman" w:cs="Times New Roman"/>
          <w:b/>
          <w:sz w:val="24"/>
          <w:szCs w:val="24"/>
        </w:rPr>
      </w:pPr>
    </w:p>
    <w:p w14:paraId="17334FCB" w14:textId="77777777" w:rsidR="00100A88" w:rsidRDefault="00100A88" w:rsidP="009D7327">
      <w:pPr>
        <w:spacing w:line="480" w:lineRule="auto"/>
        <w:jc w:val="both"/>
        <w:rPr>
          <w:rFonts w:ascii="Times New Roman" w:eastAsia="Times New Roman" w:hAnsi="Times New Roman" w:cs="Times New Roman"/>
          <w:b/>
          <w:sz w:val="24"/>
          <w:szCs w:val="24"/>
        </w:rPr>
      </w:pPr>
    </w:p>
    <w:p w14:paraId="6A2B2C3A" w14:textId="77777777" w:rsidR="00100A88" w:rsidRDefault="00100A88" w:rsidP="009D7327">
      <w:pPr>
        <w:spacing w:line="480" w:lineRule="auto"/>
        <w:jc w:val="both"/>
        <w:rPr>
          <w:rFonts w:ascii="Times New Roman" w:eastAsia="Times New Roman" w:hAnsi="Times New Roman" w:cs="Times New Roman"/>
          <w:b/>
          <w:sz w:val="24"/>
          <w:szCs w:val="24"/>
        </w:rPr>
      </w:pPr>
    </w:p>
    <w:p w14:paraId="13A26644" w14:textId="77777777" w:rsidR="00100A88" w:rsidRDefault="00100A88" w:rsidP="009D7327">
      <w:pPr>
        <w:spacing w:line="480" w:lineRule="auto"/>
        <w:jc w:val="both"/>
        <w:rPr>
          <w:rFonts w:ascii="Times New Roman" w:eastAsia="Times New Roman" w:hAnsi="Times New Roman" w:cs="Times New Roman"/>
          <w:b/>
          <w:sz w:val="24"/>
          <w:szCs w:val="24"/>
        </w:rPr>
      </w:pPr>
    </w:p>
    <w:p w14:paraId="6DD9022C" w14:textId="77777777" w:rsidR="00100A88" w:rsidRDefault="00100A88" w:rsidP="009D7327">
      <w:pPr>
        <w:spacing w:line="480" w:lineRule="auto"/>
        <w:jc w:val="both"/>
        <w:rPr>
          <w:rFonts w:ascii="Times New Roman" w:eastAsia="Times New Roman" w:hAnsi="Times New Roman" w:cs="Times New Roman"/>
          <w:b/>
          <w:sz w:val="24"/>
          <w:szCs w:val="24"/>
        </w:rPr>
      </w:pPr>
    </w:p>
    <w:p w14:paraId="152D9A2D" w14:textId="77777777" w:rsidR="00100A88" w:rsidRDefault="00100A88" w:rsidP="009D7327">
      <w:pPr>
        <w:spacing w:line="480" w:lineRule="auto"/>
        <w:jc w:val="both"/>
        <w:rPr>
          <w:rFonts w:ascii="Times New Roman" w:eastAsia="Times New Roman" w:hAnsi="Times New Roman" w:cs="Times New Roman"/>
          <w:b/>
          <w:sz w:val="24"/>
          <w:szCs w:val="24"/>
        </w:rPr>
      </w:pPr>
    </w:p>
    <w:p w14:paraId="04A3992B" w14:textId="77777777" w:rsidR="00100A88" w:rsidRDefault="00100A88" w:rsidP="009D7327">
      <w:pPr>
        <w:spacing w:line="480" w:lineRule="auto"/>
        <w:jc w:val="both"/>
        <w:rPr>
          <w:rFonts w:ascii="Times New Roman" w:eastAsia="Times New Roman" w:hAnsi="Times New Roman" w:cs="Times New Roman"/>
          <w:b/>
          <w:sz w:val="24"/>
          <w:szCs w:val="24"/>
        </w:rPr>
      </w:pPr>
    </w:p>
    <w:p w14:paraId="320E44D6" w14:textId="2C0CDDBE" w:rsidR="00DE335A" w:rsidRDefault="00B15A72" w:rsidP="009D7327">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Executive Summary</w:t>
      </w:r>
    </w:p>
    <w:p w14:paraId="68739EE8" w14:textId="68B56E70" w:rsidR="00057284"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has examined The Cultural Exchange Exhibition that has been conducted by The VintageCheer to celebrate a global culture on March 28, 2025, at Ashton Gate Stadium in Bristol. This has engaged with exquisite features such as traditional music along with captivating dance performances and visual arts that are designed to immerse the attendees. This is ethical in the richness and diversity of cultural practitioners. The exhibition has aided in fostering a welcoming environment of inclusivity and engagement</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thereby appealing to both public and business professionals who are interested in vulture tourism. Furthermore, the event has been portrayed to promote understanding and appreciation of different traditions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ultimately celebrating the power of cultural exchange. </w:t>
      </w:r>
    </w:p>
    <w:p w14:paraId="135AA6FE" w14:textId="77777777" w:rsidR="00057284" w:rsidRDefault="00057284" w:rsidP="009D732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Arial" w:hAnsi="Times New Roman" w:cs="Times New Roman"/>
          <w:color w:val="auto"/>
          <w:sz w:val="24"/>
          <w:szCs w:val="24"/>
          <w:lang w:val="en"/>
        </w:rPr>
        <w:id w:val="-2063166625"/>
        <w:docPartObj>
          <w:docPartGallery w:val="Table of Contents"/>
          <w:docPartUnique/>
        </w:docPartObj>
      </w:sdtPr>
      <w:sdtEndPr>
        <w:rPr>
          <w:rFonts w:ascii="Arial" w:hAnsi="Arial" w:cs="Arial"/>
          <w:b/>
          <w:bCs/>
          <w:noProof/>
          <w:sz w:val="22"/>
          <w:szCs w:val="22"/>
        </w:rPr>
      </w:sdtEndPr>
      <w:sdtContent>
        <w:p w14:paraId="6A6EEDB0" w14:textId="00E7063C" w:rsidR="00057284" w:rsidRPr="00057284" w:rsidRDefault="00057284" w:rsidP="009D7327">
          <w:pPr>
            <w:pStyle w:val="TOCHeading"/>
            <w:spacing w:before="0" w:line="480" w:lineRule="auto"/>
            <w:jc w:val="center"/>
            <w:rPr>
              <w:rFonts w:ascii="Times New Roman" w:hAnsi="Times New Roman" w:cs="Times New Roman"/>
              <w:b/>
              <w:bCs/>
              <w:color w:val="auto"/>
              <w:sz w:val="24"/>
              <w:szCs w:val="24"/>
            </w:rPr>
          </w:pPr>
          <w:r w:rsidRPr="00057284">
            <w:rPr>
              <w:rFonts w:ascii="Times New Roman" w:hAnsi="Times New Roman" w:cs="Times New Roman"/>
              <w:b/>
              <w:bCs/>
              <w:color w:val="auto"/>
              <w:sz w:val="24"/>
              <w:szCs w:val="24"/>
            </w:rPr>
            <w:t>Contents</w:t>
          </w:r>
        </w:p>
        <w:p w14:paraId="7BB0E23C" w14:textId="754AB25C" w:rsidR="00057284" w:rsidRPr="00057284" w:rsidRDefault="00057284" w:rsidP="009D7327">
          <w:pPr>
            <w:pStyle w:val="TOC1"/>
            <w:tabs>
              <w:tab w:val="right" w:leader="dot" w:pos="9350"/>
            </w:tabs>
            <w:spacing w:after="0" w:line="480" w:lineRule="auto"/>
            <w:jc w:val="both"/>
            <w:rPr>
              <w:rFonts w:ascii="Times New Roman" w:hAnsi="Times New Roman" w:cs="Times New Roman"/>
              <w:noProof/>
              <w:sz w:val="24"/>
              <w:szCs w:val="24"/>
            </w:rPr>
          </w:pPr>
          <w:r w:rsidRPr="00057284">
            <w:rPr>
              <w:rFonts w:ascii="Times New Roman" w:hAnsi="Times New Roman" w:cs="Times New Roman"/>
              <w:sz w:val="24"/>
              <w:szCs w:val="24"/>
            </w:rPr>
            <w:fldChar w:fldCharType="begin"/>
          </w:r>
          <w:r w:rsidRPr="00057284">
            <w:rPr>
              <w:rFonts w:ascii="Times New Roman" w:hAnsi="Times New Roman" w:cs="Times New Roman"/>
              <w:sz w:val="24"/>
              <w:szCs w:val="24"/>
            </w:rPr>
            <w:instrText xml:space="preserve"> TOC \o "1-3" \h \z \u </w:instrText>
          </w:r>
          <w:r w:rsidRPr="00057284">
            <w:rPr>
              <w:rFonts w:ascii="Times New Roman" w:hAnsi="Times New Roman" w:cs="Times New Roman"/>
              <w:sz w:val="24"/>
              <w:szCs w:val="24"/>
            </w:rPr>
            <w:fldChar w:fldCharType="separate"/>
          </w:r>
          <w:hyperlink w:anchor="_Toc196762440" w:history="1">
            <w:r w:rsidRPr="00057284">
              <w:rPr>
                <w:rStyle w:val="Hyperlink"/>
                <w:rFonts w:ascii="Times New Roman" w:hAnsi="Times New Roman" w:cs="Times New Roman"/>
                <w:noProof/>
                <w:sz w:val="24"/>
                <w:szCs w:val="24"/>
              </w:rPr>
              <w:t>Introduction</w:t>
            </w:r>
            <w:r w:rsidRPr="00057284">
              <w:rPr>
                <w:rFonts w:ascii="Times New Roman" w:hAnsi="Times New Roman" w:cs="Times New Roman"/>
                <w:noProof/>
                <w:webHidden/>
                <w:sz w:val="24"/>
                <w:szCs w:val="24"/>
              </w:rPr>
              <w:tab/>
            </w:r>
            <w:r w:rsidR="00100A88">
              <w:rPr>
                <w:rFonts w:ascii="Times New Roman" w:hAnsi="Times New Roman" w:cs="Times New Roman"/>
                <w:noProof/>
                <w:webHidden/>
                <w:sz w:val="24"/>
                <w:szCs w:val="24"/>
              </w:rPr>
              <w:t>6</w:t>
            </w:r>
          </w:hyperlink>
        </w:p>
        <w:p w14:paraId="4BE4092A" w14:textId="12929056"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41" w:history="1">
            <w:r w:rsidR="00057284" w:rsidRPr="00057284">
              <w:rPr>
                <w:rStyle w:val="Hyperlink"/>
                <w:rFonts w:ascii="Times New Roman" w:hAnsi="Times New Roman" w:cs="Times New Roman"/>
                <w:noProof/>
                <w:sz w:val="24"/>
                <w:szCs w:val="24"/>
              </w:rPr>
              <w:t>Describing the meeting/ event</w:t>
            </w:r>
            <w:r w:rsidR="00057284" w:rsidRPr="00057284">
              <w:rPr>
                <w:rFonts w:ascii="Times New Roman" w:hAnsi="Times New Roman" w:cs="Times New Roman"/>
                <w:noProof/>
                <w:webHidden/>
                <w:sz w:val="24"/>
                <w:szCs w:val="24"/>
              </w:rPr>
              <w:tab/>
            </w:r>
            <w:r w:rsidR="00100A88">
              <w:rPr>
                <w:rFonts w:ascii="Times New Roman" w:hAnsi="Times New Roman" w:cs="Times New Roman"/>
                <w:noProof/>
                <w:webHidden/>
                <w:sz w:val="24"/>
                <w:szCs w:val="24"/>
              </w:rPr>
              <w:t>6</w:t>
            </w:r>
          </w:hyperlink>
        </w:p>
        <w:p w14:paraId="0640635B" w14:textId="443EC4EB"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42" w:history="1">
            <w:r w:rsidR="00057284" w:rsidRPr="00057284">
              <w:rPr>
                <w:rStyle w:val="Hyperlink"/>
                <w:rFonts w:ascii="Times New Roman" w:hAnsi="Times New Roman" w:cs="Times New Roman"/>
                <w:noProof/>
                <w:sz w:val="24"/>
                <w:szCs w:val="24"/>
              </w:rPr>
              <w:t>Reason for choosing</w:t>
            </w:r>
            <w:r w:rsidR="00057284" w:rsidRPr="00057284">
              <w:rPr>
                <w:rFonts w:ascii="Times New Roman" w:hAnsi="Times New Roman" w:cs="Times New Roman"/>
                <w:noProof/>
                <w:webHidden/>
                <w:sz w:val="24"/>
                <w:szCs w:val="24"/>
              </w:rPr>
              <w:tab/>
            </w:r>
            <w:r w:rsidR="00100A88">
              <w:rPr>
                <w:rFonts w:ascii="Times New Roman" w:hAnsi="Times New Roman" w:cs="Times New Roman"/>
                <w:noProof/>
                <w:webHidden/>
                <w:sz w:val="24"/>
                <w:szCs w:val="24"/>
              </w:rPr>
              <w:t>6</w:t>
            </w:r>
          </w:hyperlink>
        </w:p>
        <w:p w14:paraId="6F305E64" w14:textId="1F244A5A"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43" w:history="1">
            <w:r w:rsidR="00057284" w:rsidRPr="00057284">
              <w:rPr>
                <w:rStyle w:val="Hyperlink"/>
                <w:rFonts w:ascii="Times New Roman" w:hAnsi="Times New Roman" w:cs="Times New Roman"/>
                <w:noProof/>
                <w:sz w:val="24"/>
                <w:szCs w:val="24"/>
              </w:rPr>
              <w:t>Description and Background of the meeting/event</w:t>
            </w:r>
            <w:r w:rsidR="00057284" w:rsidRPr="00057284">
              <w:rPr>
                <w:rFonts w:ascii="Times New Roman" w:hAnsi="Times New Roman" w:cs="Times New Roman"/>
                <w:noProof/>
                <w:webHidden/>
                <w:sz w:val="24"/>
                <w:szCs w:val="24"/>
              </w:rPr>
              <w:tab/>
            </w:r>
            <w:r w:rsidR="00100A88">
              <w:rPr>
                <w:rFonts w:ascii="Times New Roman" w:hAnsi="Times New Roman" w:cs="Times New Roman"/>
                <w:noProof/>
                <w:webHidden/>
                <w:sz w:val="24"/>
                <w:szCs w:val="24"/>
              </w:rPr>
              <w:t>7</w:t>
            </w:r>
          </w:hyperlink>
        </w:p>
        <w:p w14:paraId="2DA21558" w14:textId="547970DE" w:rsidR="00057284" w:rsidRPr="00057284" w:rsidRDefault="00F71A84" w:rsidP="009D7327">
          <w:pPr>
            <w:pStyle w:val="TOC1"/>
            <w:tabs>
              <w:tab w:val="right" w:leader="dot" w:pos="9350"/>
            </w:tabs>
            <w:spacing w:after="0" w:line="480" w:lineRule="auto"/>
            <w:jc w:val="both"/>
            <w:rPr>
              <w:rFonts w:ascii="Times New Roman" w:hAnsi="Times New Roman" w:cs="Times New Roman"/>
              <w:noProof/>
              <w:sz w:val="24"/>
              <w:szCs w:val="24"/>
            </w:rPr>
          </w:pPr>
          <w:hyperlink w:anchor="_Toc196762444" w:history="1">
            <w:r w:rsidR="00057284" w:rsidRPr="00057284">
              <w:rPr>
                <w:rStyle w:val="Hyperlink"/>
                <w:rFonts w:ascii="Times New Roman" w:hAnsi="Times New Roman" w:cs="Times New Roman"/>
                <w:noProof/>
                <w:sz w:val="24"/>
                <w:szCs w:val="24"/>
              </w:rPr>
              <w:t>The Event Cycle</w:t>
            </w:r>
            <w:r w:rsidR="00057284" w:rsidRPr="00057284">
              <w:rPr>
                <w:rFonts w:ascii="Times New Roman" w:hAnsi="Times New Roman" w:cs="Times New Roman"/>
                <w:noProof/>
                <w:webHidden/>
                <w:sz w:val="24"/>
                <w:szCs w:val="24"/>
              </w:rPr>
              <w:tab/>
            </w:r>
            <w:r w:rsidR="00100A88">
              <w:rPr>
                <w:rFonts w:ascii="Times New Roman" w:hAnsi="Times New Roman" w:cs="Times New Roman"/>
                <w:noProof/>
                <w:webHidden/>
                <w:sz w:val="24"/>
                <w:szCs w:val="24"/>
              </w:rPr>
              <w:t>7</w:t>
            </w:r>
          </w:hyperlink>
        </w:p>
        <w:p w14:paraId="3E19A3EA" w14:textId="0A9DDEB0"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45" w:history="1">
            <w:r w:rsidR="00057284" w:rsidRPr="00057284">
              <w:rPr>
                <w:rStyle w:val="Hyperlink"/>
                <w:rFonts w:ascii="Times New Roman" w:hAnsi="Times New Roman" w:cs="Times New Roman"/>
                <w:noProof/>
                <w:sz w:val="24"/>
                <w:szCs w:val="24"/>
              </w:rPr>
              <w:t>Defining the Key Elements of Feasibility with the help of an Event Cycle and applying it to the meeting/event</w:t>
            </w:r>
            <w:r w:rsidR="00057284" w:rsidRPr="00057284">
              <w:rPr>
                <w:rFonts w:ascii="Times New Roman" w:hAnsi="Times New Roman" w:cs="Times New Roman"/>
                <w:noProof/>
                <w:webHidden/>
                <w:sz w:val="24"/>
                <w:szCs w:val="24"/>
              </w:rPr>
              <w:tab/>
            </w:r>
            <w:r w:rsidR="00100A88">
              <w:rPr>
                <w:rFonts w:ascii="Times New Roman" w:hAnsi="Times New Roman" w:cs="Times New Roman"/>
                <w:noProof/>
                <w:webHidden/>
                <w:sz w:val="24"/>
                <w:szCs w:val="24"/>
              </w:rPr>
              <w:t>7</w:t>
            </w:r>
          </w:hyperlink>
        </w:p>
        <w:p w14:paraId="78B224C4" w14:textId="778C78C2" w:rsidR="00057284" w:rsidRPr="00057284" w:rsidRDefault="00F71A84" w:rsidP="009D7327">
          <w:pPr>
            <w:pStyle w:val="TOC1"/>
            <w:tabs>
              <w:tab w:val="right" w:leader="dot" w:pos="9350"/>
            </w:tabs>
            <w:spacing w:after="0" w:line="480" w:lineRule="auto"/>
            <w:jc w:val="both"/>
            <w:rPr>
              <w:rFonts w:ascii="Times New Roman" w:hAnsi="Times New Roman" w:cs="Times New Roman"/>
              <w:noProof/>
              <w:sz w:val="24"/>
              <w:szCs w:val="24"/>
            </w:rPr>
          </w:pPr>
          <w:hyperlink w:anchor="_Toc196762446" w:history="1">
            <w:r w:rsidR="00057284" w:rsidRPr="00057284">
              <w:rPr>
                <w:rStyle w:val="Hyperlink"/>
                <w:rFonts w:ascii="Times New Roman" w:hAnsi="Times New Roman" w:cs="Times New Roman"/>
                <w:noProof/>
                <w:sz w:val="24"/>
                <w:szCs w:val="24"/>
              </w:rPr>
              <w:t>Event Concept</w:t>
            </w:r>
            <w:r w:rsidR="00057284" w:rsidRPr="00057284">
              <w:rPr>
                <w:rFonts w:ascii="Times New Roman" w:hAnsi="Times New Roman" w:cs="Times New Roman"/>
                <w:noProof/>
                <w:webHidden/>
                <w:sz w:val="24"/>
                <w:szCs w:val="24"/>
              </w:rPr>
              <w:tab/>
            </w:r>
            <w:r w:rsidR="00CB2F2A">
              <w:rPr>
                <w:rFonts w:ascii="Times New Roman" w:hAnsi="Times New Roman" w:cs="Times New Roman"/>
                <w:noProof/>
                <w:webHidden/>
                <w:sz w:val="24"/>
                <w:szCs w:val="24"/>
              </w:rPr>
              <w:t>8</w:t>
            </w:r>
          </w:hyperlink>
        </w:p>
        <w:p w14:paraId="65396E75" w14:textId="708061F2"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47" w:history="1">
            <w:r w:rsidR="00057284" w:rsidRPr="00057284">
              <w:rPr>
                <w:rStyle w:val="Hyperlink"/>
                <w:rFonts w:ascii="Times New Roman" w:hAnsi="Times New Roman" w:cs="Times New Roman"/>
                <w:noProof/>
                <w:sz w:val="24"/>
                <w:szCs w:val="24"/>
              </w:rPr>
              <w:t>Understanding the experiences of the guests/ delegates on the day</w:t>
            </w:r>
            <w:r w:rsidR="00057284" w:rsidRPr="00057284">
              <w:rPr>
                <w:rFonts w:ascii="Times New Roman" w:hAnsi="Times New Roman" w:cs="Times New Roman"/>
                <w:noProof/>
                <w:webHidden/>
                <w:sz w:val="24"/>
                <w:szCs w:val="24"/>
              </w:rPr>
              <w:tab/>
            </w:r>
            <w:r w:rsidR="009D6F33">
              <w:rPr>
                <w:rFonts w:ascii="Times New Roman" w:hAnsi="Times New Roman" w:cs="Times New Roman"/>
                <w:noProof/>
                <w:webHidden/>
                <w:sz w:val="24"/>
                <w:szCs w:val="24"/>
              </w:rPr>
              <w:t>8</w:t>
            </w:r>
          </w:hyperlink>
        </w:p>
        <w:p w14:paraId="674F7710" w14:textId="72F7147F"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48" w:history="1">
            <w:r w:rsidR="00057284" w:rsidRPr="00057284">
              <w:rPr>
                <w:rStyle w:val="Hyperlink"/>
                <w:rFonts w:ascii="Times New Roman" w:hAnsi="Times New Roman" w:cs="Times New Roman"/>
                <w:noProof/>
                <w:sz w:val="24"/>
                <w:szCs w:val="24"/>
              </w:rPr>
              <w:t>Core Event Management Theory</w:t>
            </w:r>
            <w:r w:rsidR="00057284" w:rsidRPr="00057284">
              <w:rPr>
                <w:rFonts w:ascii="Times New Roman" w:hAnsi="Times New Roman" w:cs="Times New Roman"/>
                <w:noProof/>
                <w:webHidden/>
                <w:sz w:val="24"/>
                <w:szCs w:val="24"/>
              </w:rPr>
              <w:tab/>
            </w:r>
            <w:r w:rsidR="00100A88">
              <w:rPr>
                <w:rFonts w:ascii="Times New Roman" w:hAnsi="Times New Roman" w:cs="Times New Roman"/>
                <w:noProof/>
                <w:webHidden/>
                <w:sz w:val="24"/>
                <w:szCs w:val="24"/>
              </w:rPr>
              <w:t>9</w:t>
            </w:r>
          </w:hyperlink>
        </w:p>
        <w:p w14:paraId="6E97849D" w14:textId="437F7EEE"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49" w:history="1">
            <w:r w:rsidR="00057284" w:rsidRPr="00057284">
              <w:rPr>
                <w:rStyle w:val="Hyperlink"/>
                <w:rFonts w:ascii="Times New Roman" w:hAnsi="Times New Roman" w:cs="Times New Roman"/>
                <w:noProof/>
                <w:sz w:val="24"/>
                <w:szCs w:val="24"/>
              </w:rPr>
              <w:t>Research/Findings from Best Practices</w:t>
            </w:r>
            <w:r w:rsidR="00057284" w:rsidRPr="00057284">
              <w:rPr>
                <w:rFonts w:ascii="Times New Roman" w:hAnsi="Times New Roman" w:cs="Times New Roman"/>
                <w:noProof/>
                <w:webHidden/>
                <w:sz w:val="24"/>
                <w:szCs w:val="24"/>
              </w:rPr>
              <w:tab/>
            </w:r>
            <w:r w:rsidR="00E94B73">
              <w:rPr>
                <w:rFonts w:ascii="Times New Roman" w:hAnsi="Times New Roman" w:cs="Times New Roman"/>
                <w:noProof/>
                <w:webHidden/>
                <w:sz w:val="24"/>
                <w:szCs w:val="24"/>
              </w:rPr>
              <w:t>9</w:t>
            </w:r>
            <w:bookmarkStart w:id="0" w:name="_GoBack"/>
            <w:bookmarkEnd w:id="0"/>
          </w:hyperlink>
        </w:p>
        <w:p w14:paraId="45C77924" w14:textId="6F7C170D" w:rsidR="00057284" w:rsidRPr="00057284" w:rsidRDefault="00F71A84" w:rsidP="009D7327">
          <w:pPr>
            <w:pStyle w:val="TOC1"/>
            <w:tabs>
              <w:tab w:val="right" w:leader="dot" w:pos="9350"/>
            </w:tabs>
            <w:spacing w:after="0" w:line="480" w:lineRule="auto"/>
            <w:jc w:val="both"/>
            <w:rPr>
              <w:rFonts w:ascii="Times New Roman" w:hAnsi="Times New Roman" w:cs="Times New Roman"/>
              <w:noProof/>
              <w:sz w:val="24"/>
              <w:szCs w:val="24"/>
            </w:rPr>
          </w:pPr>
          <w:hyperlink w:anchor="_Toc196762450" w:history="1">
            <w:r w:rsidR="00057284" w:rsidRPr="00057284">
              <w:rPr>
                <w:rStyle w:val="Hyperlink"/>
                <w:rFonts w:ascii="Times New Roman" w:hAnsi="Times New Roman" w:cs="Times New Roman"/>
                <w:noProof/>
                <w:sz w:val="24"/>
                <w:szCs w:val="24"/>
              </w:rPr>
              <w:t>Aims and Objectives for the Meeting/ Event</w:t>
            </w:r>
            <w:r w:rsidR="00057284" w:rsidRPr="00057284">
              <w:rPr>
                <w:rFonts w:ascii="Times New Roman" w:hAnsi="Times New Roman" w:cs="Times New Roman"/>
                <w:noProof/>
                <w:webHidden/>
                <w:sz w:val="24"/>
                <w:szCs w:val="24"/>
              </w:rPr>
              <w:tab/>
            </w:r>
            <w:r w:rsidR="00100A88">
              <w:rPr>
                <w:rFonts w:ascii="Times New Roman" w:hAnsi="Times New Roman" w:cs="Times New Roman"/>
                <w:noProof/>
                <w:webHidden/>
                <w:sz w:val="24"/>
                <w:szCs w:val="24"/>
              </w:rPr>
              <w:t>10</w:t>
            </w:r>
          </w:hyperlink>
        </w:p>
        <w:p w14:paraId="107F2888" w14:textId="24185057"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51" w:history="1">
            <w:r w:rsidR="00057284" w:rsidRPr="00057284">
              <w:rPr>
                <w:rStyle w:val="Hyperlink"/>
                <w:rFonts w:ascii="Times New Roman" w:hAnsi="Times New Roman" w:cs="Times New Roman"/>
                <w:noProof/>
                <w:sz w:val="24"/>
                <w:szCs w:val="24"/>
              </w:rPr>
              <w:t>Aim of the meeting/event</w:t>
            </w:r>
            <w:r w:rsidR="00057284" w:rsidRPr="00057284">
              <w:rPr>
                <w:rFonts w:ascii="Times New Roman" w:hAnsi="Times New Roman" w:cs="Times New Roman"/>
                <w:noProof/>
                <w:webHidden/>
                <w:sz w:val="24"/>
                <w:szCs w:val="24"/>
              </w:rPr>
              <w:tab/>
            </w:r>
            <w:r w:rsidR="00100A88">
              <w:rPr>
                <w:rFonts w:ascii="Times New Roman" w:hAnsi="Times New Roman" w:cs="Times New Roman"/>
                <w:noProof/>
                <w:webHidden/>
                <w:sz w:val="24"/>
                <w:szCs w:val="24"/>
              </w:rPr>
              <w:t>10</w:t>
            </w:r>
          </w:hyperlink>
        </w:p>
        <w:p w14:paraId="7942A3B3" w14:textId="1EDFFDF2"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52" w:history="1">
            <w:r w:rsidR="00057284" w:rsidRPr="00057284">
              <w:rPr>
                <w:rStyle w:val="Hyperlink"/>
                <w:rFonts w:ascii="Times New Roman" w:hAnsi="Times New Roman" w:cs="Times New Roman"/>
                <w:noProof/>
                <w:sz w:val="24"/>
                <w:szCs w:val="24"/>
              </w:rPr>
              <w:t>Objectives of the meeting/event</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_Toc196762452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100A88">
              <w:rPr>
                <w:rFonts w:ascii="Times New Roman" w:hAnsi="Times New Roman" w:cs="Times New Roman"/>
                <w:noProof/>
                <w:webHidden/>
                <w:sz w:val="24"/>
                <w:szCs w:val="24"/>
              </w:rPr>
              <w:t>1</w:t>
            </w:r>
            <w:r w:rsidR="00057284" w:rsidRPr="00057284">
              <w:rPr>
                <w:rFonts w:ascii="Times New Roman" w:hAnsi="Times New Roman" w:cs="Times New Roman"/>
                <w:noProof/>
                <w:webHidden/>
                <w:sz w:val="24"/>
                <w:szCs w:val="24"/>
              </w:rPr>
              <w:fldChar w:fldCharType="end"/>
            </w:r>
          </w:hyperlink>
        </w:p>
        <w:p w14:paraId="0C8EF002" w14:textId="70C12ED0" w:rsidR="00057284" w:rsidRPr="00057284" w:rsidRDefault="00F71A84" w:rsidP="009D7327">
          <w:pPr>
            <w:pStyle w:val="TOC1"/>
            <w:tabs>
              <w:tab w:val="right" w:leader="dot" w:pos="9350"/>
            </w:tabs>
            <w:spacing w:after="0" w:line="480" w:lineRule="auto"/>
            <w:jc w:val="both"/>
            <w:rPr>
              <w:rFonts w:ascii="Times New Roman" w:hAnsi="Times New Roman" w:cs="Times New Roman"/>
              <w:noProof/>
              <w:sz w:val="24"/>
              <w:szCs w:val="24"/>
            </w:rPr>
          </w:pPr>
          <w:hyperlink w:anchor="_Toc196762453" w:history="1">
            <w:r w:rsidR="00057284" w:rsidRPr="00057284">
              <w:rPr>
                <w:rStyle w:val="Hyperlink"/>
                <w:rFonts w:ascii="Times New Roman" w:hAnsi="Times New Roman" w:cs="Times New Roman"/>
                <w:noProof/>
                <w:sz w:val="24"/>
                <w:szCs w:val="24"/>
              </w:rPr>
              <w:t>Event Management</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_Toc196762453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100A88">
              <w:rPr>
                <w:rFonts w:ascii="Times New Roman" w:hAnsi="Times New Roman" w:cs="Times New Roman"/>
                <w:noProof/>
                <w:webHidden/>
                <w:sz w:val="24"/>
                <w:szCs w:val="24"/>
              </w:rPr>
              <w:t>3</w:t>
            </w:r>
            <w:r w:rsidR="00057284" w:rsidRPr="00057284">
              <w:rPr>
                <w:rFonts w:ascii="Times New Roman" w:hAnsi="Times New Roman" w:cs="Times New Roman"/>
                <w:noProof/>
                <w:webHidden/>
                <w:sz w:val="24"/>
                <w:szCs w:val="24"/>
              </w:rPr>
              <w:fldChar w:fldCharType="end"/>
            </w:r>
          </w:hyperlink>
        </w:p>
        <w:p w14:paraId="629A3871" w14:textId="67635351"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54" w:history="1">
            <w:r w:rsidR="00057284" w:rsidRPr="00057284">
              <w:rPr>
                <w:rStyle w:val="Hyperlink"/>
                <w:rFonts w:ascii="Times New Roman" w:hAnsi="Times New Roman" w:cs="Times New Roman"/>
                <w:noProof/>
                <w:sz w:val="24"/>
                <w:szCs w:val="24"/>
              </w:rPr>
              <w:t>Depicting the skills and resources required for the meeting/event</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_Toc196762454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100A88">
              <w:rPr>
                <w:rFonts w:ascii="Times New Roman" w:hAnsi="Times New Roman" w:cs="Times New Roman"/>
                <w:noProof/>
                <w:webHidden/>
                <w:sz w:val="24"/>
                <w:szCs w:val="24"/>
              </w:rPr>
              <w:t>3</w:t>
            </w:r>
            <w:r w:rsidR="00057284" w:rsidRPr="00057284">
              <w:rPr>
                <w:rFonts w:ascii="Times New Roman" w:hAnsi="Times New Roman" w:cs="Times New Roman"/>
                <w:noProof/>
                <w:webHidden/>
                <w:sz w:val="24"/>
                <w:szCs w:val="24"/>
              </w:rPr>
              <w:fldChar w:fldCharType="end"/>
            </w:r>
          </w:hyperlink>
        </w:p>
        <w:p w14:paraId="51743E56" w14:textId="48B143E5"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55" w:history="1">
            <w:r w:rsidR="00057284" w:rsidRPr="00057284">
              <w:rPr>
                <w:rStyle w:val="Hyperlink"/>
                <w:rFonts w:ascii="Times New Roman" w:hAnsi="Times New Roman" w:cs="Times New Roman"/>
                <w:noProof/>
                <w:sz w:val="24"/>
                <w:szCs w:val="24"/>
              </w:rPr>
              <w:t>Proposed Event Practicalities</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_Toc196762455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100A88">
              <w:rPr>
                <w:rFonts w:ascii="Times New Roman" w:hAnsi="Times New Roman" w:cs="Times New Roman"/>
                <w:noProof/>
                <w:webHidden/>
                <w:sz w:val="24"/>
                <w:szCs w:val="24"/>
              </w:rPr>
              <w:t>4</w:t>
            </w:r>
            <w:r w:rsidR="00057284" w:rsidRPr="00057284">
              <w:rPr>
                <w:rFonts w:ascii="Times New Roman" w:hAnsi="Times New Roman" w:cs="Times New Roman"/>
                <w:noProof/>
                <w:webHidden/>
                <w:sz w:val="24"/>
                <w:szCs w:val="24"/>
              </w:rPr>
              <w:fldChar w:fldCharType="end"/>
            </w:r>
          </w:hyperlink>
        </w:p>
        <w:p w14:paraId="738849AC" w14:textId="2C558EC7"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56" w:history="1">
            <w:r w:rsidR="00057284" w:rsidRPr="00057284">
              <w:rPr>
                <w:rStyle w:val="Hyperlink"/>
                <w:rFonts w:ascii="Times New Roman" w:hAnsi="Times New Roman" w:cs="Times New Roman"/>
                <w:noProof/>
                <w:sz w:val="24"/>
                <w:szCs w:val="24"/>
              </w:rPr>
              <w:t>Operational Details</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_Toc196762456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100A88">
              <w:rPr>
                <w:rFonts w:ascii="Times New Roman" w:hAnsi="Times New Roman" w:cs="Times New Roman"/>
                <w:noProof/>
                <w:webHidden/>
                <w:sz w:val="24"/>
                <w:szCs w:val="24"/>
              </w:rPr>
              <w:t>6</w:t>
            </w:r>
            <w:r w:rsidR="00057284" w:rsidRPr="00057284">
              <w:rPr>
                <w:rFonts w:ascii="Times New Roman" w:hAnsi="Times New Roman" w:cs="Times New Roman"/>
                <w:noProof/>
                <w:webHidden/>
                <w:sz w:val="24"/>
                <w:szCs w:val="24"/>
              </w:rPr>
              <w:fldChar w:fldCharType="end"/>
            </w:r>
          </w:hyperlink>
        </w:p>
        <w:p w14:paraId="4E7F42EB" w14:textId="0D511138"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57" w:history="1">
            <w:r w:rsidR="00057284" w:rsidRPr="00057284">
              <w:rPr>
                <w:rStyle w:val="Hyperlink"/>
                <w:rFonts w:ascii="Times New Roman" w:hAnsi="Times New Roman" w:cs="Times New Roman"/>
                <w:noProof/>
                <w:sz w:val="24"/>
                <w:szCs w:val="24"/>
              </w:rPr>
              <w:t>Marketing Plans</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_Toc196762457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100A88">
              <w:rPr>
                <w:rFonts w:ascii="Times New Roman" w:hAnsi="Times New Roman" w:cs="Times New Roman"/>
                <w:noProof/>
                <w:webHidden/>
                <w:sz w:val="24"/>
                <w:szCs w:val="24"/>
              </w:rPr>
              <w:t>7</w:t>
            </w:r>
            <w:r w:rsidR="00057284" w:rsidRPr="00057284">
              <w:rPr>
                <w:rFonts w:ascii="Times New Roman" w:hAnsi="Times New Roman" w:cs="Times New Roman"/>
                <w:noProof/>
                <w:webHidden/>
                <w:sz w:val="24"/>
                <w:szCs w:val="24"/>
              </w:rPr>
              <w:fldChar w:fldCharType="end"/>
            </w:r>
          </w:hyperlink>
        </w:p>
        <w:p w14:paraId="03371FE5" w14:textId="7FA64905" w:rsidR="00057284" w:rsidRPr="00057284" w:rsidRDefault="00F71A84" w:rsidP="009D7327">
          <w:pPr>
            <w:pStyle w:val="TOC1"/>
            <w:tabs>
              <w:tab w:val="right" w:leader="dot" w:pos="9350"/>
            </w:tabs>
            <w:spacing w:after="0" w:line="480" w:lineRule="auto"/>
            <w:jc w:val="both"/>
            <w:rPr>
              <w:rFonts w:ascii="Times New Roman" w:hAnsi="Times New Roman" w:cs="Times New Roman"/>
              <w:noProof/>
              <w:sz w:val="24"/>
              <w:szCs w:val="24"/>
            </w:rPr>
          </w:pPr>
          <w:hyperlink w:anchor="_Toc196762458" w:history="1">
            <w:r w:rsidR="00057284" w:rsidRPr="00057284">
              <w:rPr>
                <w:rStyle w:val="Hyperlink"/>
                <w:rFonts w:ascii="Times New Roman" w:hAnsi="Times New Roman" w:cs="Times New Roman"/>
                <w:noProof/>
                <w:sz w:val="24"/>
                <w:szCs w:val="24"/>
              </w:rPr>
              <w:t>Industry Trends/ Issues/ Impacts</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_Toc196762458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100A88">
              <w:rPr>
                <w:rFonts w:ascii="Times New Roman" w:hAnsi="Times New Roman" w:cs="Times New Roman"/>
                <w:noProof/>
                <w:webHidden/>
                <w:sz w:val="24"/>
                <w:szCs w:val="24"/>
              </w:rPr>
              <w:t>7</w:t>
            </w:r>
            <w:r w:rsidR="00057284" w:rsidRPr="00057284">
              <w:rPr>
                <w:rFonts w:ascii="Times New Roman" w:hAnsi="Times New Roman" w:cs="Times New Roman"/>
                <w:noProof/>
                <w:webHidden/>
                <w:sz w:val="24"/>
                <w:szCs w:val="24"/>
              </w:rPr>
              <w:fldChar w:fldCharType="end"/>
            </w:r>
          </w:hyperlink>
        </w:p>
        <w:p w14:paraId="74CF4498" w14:textId="1C13446D"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59" w:history="1">
            <w:r w:rsidR="00057284" w:rsidRPr="00057284">
              <w:rPr>
                <w:rStyle w:val="Hyperlink"/>
                <w:rFonts w:ascii="Times New Roman" w:hAnsi="Times New Roman" w:cs="Times New Roman"/>
                <w:noProof/>
                <w:sz w:val="24"/>
                <w:szCs w:val="24"/>
              </w:rPr>
              <w:t>Highlighting the latest trends, issues and impacts linked to the event/meeting</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_Toc196762459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100A88">
              <w:rPr>
                <w:rFonts w:ascii="Times New Roman" w:hAnsi="Times New Roman" w:cs="Times New Roman"/>
                <w:noProof/>
                <w:webHidden/>
                <w:sz w:val="24"/>
                <w:szCs w:val="24"/>
              </w:rPr>
              <w:t>7</w:t>
            </w:r>
            <w:r w:rsidR="00057284" w:rsidRPr="00057284">
              <w:rPr>
                <w:rFonts w:ascii="Times New Roman" w:hAnsi="Times New Roman" w:cs="Times New Roman"/>
                <w:noProof/>
                <w:webHidden/>
                <w:sz w:val="24"/>
                <w:szCs w:val="24"/>
              </w:rPr>
              <w:fldChar w:fldCharType="end"/>
            </w:r>
          </w:hyperlink>
        </w:p>
        <w:p w14:paraId="4E876219" w14:textId="347BE871"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60" w:history="1">
            <w:r w:rsidR="00057284" w:rsidRPr="00057284">
              <w:rPr>
                <w:rStyle w:val="Hyperlink"/>
                <w:rFonts w:ascii="Times New Roman" w:hAnsi="Times New Roman" w:cs="Times New Roman"/>
                <w:noProof/>
                <w:sz w:val="24"/>
                <w:szCs w:val="24"/>
              </w:rPr>
              <w:t>Considering getting influenced by any of them for the meeting/event</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_Toc196762460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100A88">
              <w:rPr>
                <w:rFonts w:ascii="Times New Roman" w:hAnsi="Times New Roman" w:cs="Times New Roman"/>
                <w:noProof/>
                <w:webHidden/>
                <w:sz w:val="24"/>
                <w:szCs w:val="24"/>
              </w:rPr>
              <w:t>7</w:t>
            </w:r>
            <w:r w:rsidR="00057284" w:rsidRPr="00057284">
              <w:rPr>
                <w:rFonts w:ascii="Times New Roman" w:hAnsi="Times New Roman" w:cs="Times New Roman"/>
                <w:noProof/>
                <w:webHidden/>
                <w:sz w:val="24"/>
                <w:szCs w:val="24"/>
              </w:rPr>
              <w:fldChar w:fldCharType="end"/>
            </w:r>
          </w:hyperlink>
        </w:p>
        <w:p w14:paraId="3ACB329F" w14:textId="0B22C03E" w:rsidR="00057284" w:rsidRPr="00057284" w:rsidRDefault="00F71A84" w:rsidP="009D7327">
          <w:pPr>
            <w:pStyle w:val="TOC1"/>
            <w:tabs>
              <w:tab w:val="right" w:leader="dot" w:pos="9350"/>
            </w:tabs>
            <w:spacing w:after="0" w:line="480" w:lineRule="auto"/>
            <w:jc w:val="both"/>
            <w:rPr>
              <w:rFonts w:ascii="Times New Roman" w:hAnsi="Times New Roman" w:cs="Times New Roman"/>
              <w:noProof/>
              <w:sz w:val="24"/>
              <w:szCs w:val="24"/>
            </w:rPr>
          </w:pPr>
          <w:hyperlink w:anchor="_Toc196762461" w:history="1">
            <w:r w:rsidR="00057284" w:rsidRPr="00057284">
              <w:rPr>
                <w:rStyle w:val="Hyperlink"/>
                <w:rFonts w:ascii="Times New Roman" w:hAnsi="Times New Roman" w:cs="Times New Roman"/>
                <w:noProof/>
                <w:sz w:val="24"/>
                <w:szCs w:val="24"/>
              </w:rPr>
              <w:t>Situational and Cultural Considerations</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_Toc196762461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740683">
              <w:rPr>
                <w:rFonts w:ascii="Times New Roman" w:hAnsi="Times New Roman" w:cs="Times New Roman"/>
                <w:noProof/>
                <w:webHidden/>
                <w:sz w:val="24"/>
                <w:szCs w:val="24"/>
              </w:rPr>
              <w:t>6</w:t>
            </w:r>
            <w:r w:rsidR="00057284" w:rsidRPr="00057284">
              <w:rPr>
                <w:rFonts w:ascii="Times New Roman" w:hAnsi="Times New Roman" w:cs="Times New Roman"/>
                <w:noProof/>
                <w:webHidden/>
                <w:sz w:val="24"/>
                <w:szCs w:val="24"/>
              </w:rPr>
              <w:fldChar w:fldCharType="end"/>
            </w:r>
          </w:hyperlink>
        </w:p>
        <w:p w14:paraId="2061D9ED" w14:textId="2CDC3438"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62" w:history="1">
            <w:r w:rsidR="00057284" w:rsidRPr="00057284">
              <w:rPr>
                <w:rStyle w:val="Hyperlink"/>
                <w:rFonts w:ascii="Times New Roman" w:hAnsi="Times New Roman" w:cs="Times New Roman"/>
                <w:noProof/>
                <w:sz w:val="24"/>
                <w:szCs w:val="24"/>
              </w:rPr>
              <w:t>Elucidating the wider situational and cultural considerations connected to the meeting/event</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_Toc196762462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740683">
              <w:rPr>
                <w:rFonts w:ascii="Times New Roman" w:hAnsi="Times New Roman" w:cs="Times New Roman"/>
                <w:noProof/>
                <w:webHidden/>
                <w:sz w:val="24"/>
                <w:szCs w:val="24"/>
              </w:rPr>
              <w:t>6</w:t>
            </w:r>
            <w:r w:rsidR="00057284" w:rsidRPr="00057284">
              <w:rPr>
                <w:rFonts w:ascii="Times New Roman" w:hAnsi="Times New Roman" w:cs="Times New Roman"/>
                <w:noProof/>
                <w:webHidden/>
                <w:sz w:val="24"/>
                <w:szCs w:val="24"/>
              </w:rPr>
              <w:fldChar w:fldCharType="end"/>
            </w:r>
          </w:hyperlink>
        </w:p>
        <w:p w14:paraId="64F21C9B" w14:textId="6BB9C6F2" w:rsidR="00057284" w:rsidRPr="00057284" w:rsidRDefault="00F71A84" w:rsidP="009D7327">
          <w:pPr>
            <w:pStyle w:val="TOC2"/>
            <w:tabs>
              <w:tab w:val="right" w:leader="dot" w:pos="9350"/>
            </w:tabs>
            <w:spacing w:after="0" w:line="480" w:lineRule="auto"/>
            <w:jc w:val="both"/>
            <w:rPr>
              <w:rFonts w:ascii="Times New Roman" w:hAnsi="Times New Roman" w:cs="Times New Roman"/>
              <w:noProof/>
              <w:sz w:val="24"/>
              <w:szCs w:val="24"/>
            </w:rPr>
          </w:pPr>
          <w:hyperlink w:anchor="_Toc196762463" w:history="1">
            <w:r w:rsidR="00057284" w:rsidRPr="00057284">
              <w:rPr>
                <w:rStyle w:val="Hyperlink"/>
                <w:rFonts w:ascii="Times New Roman" w:hAnsi="Times New Roman" w:cs="Times New Roman"/>
                <w:noProof/>
                <w:sz w:val="24"/>
                <w:szCs w:val="24"/>
              </w:rPr>
              <w:t>Stating the reason for considering them</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_Toc196762463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740683">
              <w:rPr>
                <w:rFonts w:ascii="Times New Roman" w:hAnsi="Times New Roman" w:cs="Times New Roman"/>
                <w:noProof/>
                <w:webHidden/>
                <w:sz w:val="24"/>
                <w:szCs w:val="24"/>
              </w:rPr>
              <w:t>7</w:t>
            </w:r>
            <w:r w:rsidR="00057284" w:rsidRPr="00057284">
              <w:rPr>
                <w:rFonts w:ascii="Times New Roman" w:hAnsi="Times New Roman" w:cs="Times New Roman"/>
                <w:noProof/>
                <w:webHidden/>
                <w:sz w:val="24"/>
                <w:szCs w:val="24"/>
              </w:rPr>
              <w:fldChar w:fldCharType="end"/>
            </w:r>
          </w:hyperlink>
        </w:p>
        <w:p w14:paraId="37405966" w14:textId="59C88C44" w:rsidR="00057284" w:rsidRPr="00057284" w:rsidRDefault="00F71A84" w:rsidP="009D7327">
          <w:pPr>
            <w:pStyle w:val="TOC1"/>
            <w:tabs>
              <w:tab w:val="right" w:leader="dot" w:pos="9350"/>
            </w:tabs>
            <w:spacing w:after="0" w:line="480" w:lineRule="auto"/>
            <w:jc w:val="both"/>
            <w:rPr>
              <w:rFonts w:ascii="Times New Roman" w:hAnsi="Times New Roman" w:cs="Times New Roman"/>
              <w:noProof/>
              <w:sz w:val="24"/>
              <w:szCs w:val="24"/>
            </w:rPr>
          </w:pPr>
          <w:hyperlink w:anchor="_Toc196762464" w:history="1">
            <w:r w:rsidR="00057284" w:rsidRPr="00057284">
              <w:rPr>
                <w:rStyle w:val="Hyperlink"/>
                <w:rFonts w:ascii="Times New Roman" w:hAnsi="Times New Roman" w:cs="Times New Roman"/>
                <w:noProof/>
                <w:sz w:val="24"/>
                <w:szCs w:val="24"/>
              </w:rPr>
              <w:t>Conclusion</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_Toc196762464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1</w:t>
            </w:r>
            <w:r w:rsidR="00F8211C">
              <w:rPr>
                <w:rFonts w:ascii="Times New Roman" w:hAnsi="Times New Roman" w:cs="Times New Roman"/>
                <w:noProof/>
                <w:webHidden/>
                <w:sz w:val="24"/>
                <w:szCs w:val="24"/>
              </w:rPr>
              <w:t>8</w:t>
            </w:r>
            <w:r w:rsidR="00057284" w:rsidRPr="00057284">
              <w:rPr>
                <w:rFonts w:ascii="Times New Roman" w:hAnsi="Times New Roman" w:cs="Times New Roman"/>
                <w:noProof/>
                <w:webHidden/>
                <w:sz w:val="24"/>
                <w:szCs w:val="24"/>
              </w:rPr>
              <w:fldChar w:fldCharType="end"/>
            </w:r>
          </w:hyperlink>
        </w:p>
        <w:p w14:paraId="3AB277E5" w14:textId="51A89260" w:rsidR="00057284" w:rsidRPr="00057284" w:rsidRDefault="00F71A84" w:rsidP="009D7327">
          <w:pPr>
            <w:pStyle w:val="TOC1"/>
            <w:tabs>
              <w:tab w:val="right" w:leader="dot" w:pos="9350"/>
            </w:tabs>
            <w:spacing w:after="0" w:line="480" w:lineRule="auto"/>
            <w:jc w:val="both"/>
            <w:rPr>
              <w:rFonts w:ascii="Times New Roman" w:hAnsi="Times New Roman" w:cs="Times New Roman"/>
              <w:noProof/>
              <w:sz w:val="24"/>
              <w:szCs w:val="24"/>
            </w:rPr>
          </w:pPr>
          <w:hyperlink w:anchor="_Toc196762465" w:history="1">
            <w:r w:rsidR="00057284" w:rsidRPr="00057284">
              <w:rPr>
                <w:rStyle w:val="Hyperlink"/>
                <w:rFonts w:ascii="Times New Roman" w:hAnsi="Times New Roman" w:cs="Times New Roman"/>
                <w:noProof/>
                <w:sz w:val="24"/>
                <w:szCs w:val="24"/>
              </w:rPr>
              <w:t>References</w:t>
            </w:r>
            <w:r w:rsidR="00057284" w:rsidRPr="00057284">
              <w:rPr>
                <w:rFonts w:ascii="Times New Roman" w:hAnsi="Times New Roman" w:cs="Times New Roman"/>
                <w:noProof/>
                <w:webHidden/>
                <w:sz w:val="24"/>
                <w:szCs w:val="24"/>
              </w:rPr>
              <w:tab/>
            </w:r>
            <w:r w:rsidR="00F8211C">
              <w:rPr>
                <w:rFonts w:ascii="Times New Roman" w:hAnsi="Times New Roman" w:cs="Times New Roman"/>
                <w:noProof/>
                <w:webHidden/>
                <w:sz w:val="24"/>
                <w:szCs w:val="24"/>
              </w:rPr>
              <w:t>19</w:t>
            </w:r>
          </w:hyperlink>
        </w:p>
        <w:p w14:paraId="6BAE5DDC" w14:textId="265C4021" w:rsidR="00057284" w:rsidRPr="00057284" w:rsidRDefault="00F71A84" w:rsidP="009D7327">
          <w:pPr>
            <w:pStyle w:val="TOC1"/>
            <w:tabs>
              <w:tab w:val="right" w:leader="dot" w:pos="9350"/>
            </w:tabs>
            <w:spacing w:after="0" w:line="480" w:lineRule="auto"/>
            <w:jc w:val="both"/>
            <w:rPr>
              <w:rFonts w:ascii="Times New Roman" w:hAnsi="Times New Roman" w:cs="Times New Roman"/>
              <w:noProof/>
              <w:sz w:val="24"/>
              <w:szCs w:val="24"/>
            </w:rPr>
          </w:pPr>
          <w:hyperlink w:anchor="_Toc196762466" w:history="1">
            <w:r w:rsidR="00057284" w:rsidRPr="00057284">
              <w:rPr>
                <w:rStyle w:val="Hyperlink"/>
                <w:rFonts w:ascii="Times New Roman" w:hAnsi="Times New Roman" w:cs="Times New Roman"/>
                <w:noProof/>
                <w:sz w:val="24"/>
                <w:szCs w:val="24"/>
              </w:rPr>
              <w:t>Appendices</w:t>
            </w:r>
            <w:r w:rsidR="00057284" w:rsidRPr="00057284">
              <w:rPr>
                <w:rFonts w:ascii="Times New Roman" w:hAnsi="Times New Roman" w:cs="Times New Roman"/>
                <w:noProof/>
                <w:webHidden/>
                <w:sz w:val="24"/>
                <w:szCs w:val="24"/>
              </w:rPr>
              <w:tab/>
            </w:r>
            <w:r w:rsidR="00057284" w:rsidRPr="00057284">
              <w:rPr>
                <w:rFonts w:ascii="Times New Roman" w:hAnsi="Times New Roman" w:cs="Times New Roman"/>
                <w:noProof/>
                <w:webHidden/>
                <w:sz w:val="24"/>
                <w:szCs w:val="24"/>
              </w:rPr>
              <w:fldChar w:fldCharType="begin"/>
            </w:r>
            <w:r w:rsidR="00057284" w:rsidRPr="00057284">
              <w:rPr>
                <w:rFonts w:ascii="Times New Roman" w:hAnsi="Times New Roman" w:cs="Times New Roman"/>
                <w:noProof/>
                <w:webHidden/>
                <w:sz w:val="24"/>
                <w:szCs w:val="24"/>
              </w:rPr>
              <w:instrText xml:space="preserve"> PAGEREF _Toc196762466 \h </w:instrText>
            </w:r>
            <w:r w:rsidR="00057284" w:rsidRPr="00057284">
              <w:rPr>
                <w:rFonts w:ascii="Times New Roman" w:hAnsi="Times New Roman" w:cs="Times New Roman"/>
                <w:noProof/>
                <w:webHidden/>
                <w:sz w:val="24"/>
                <w:szCs w:val="24"/>
              </w:rPr>
            </w:r>
            <w:r w:rsidR="00057284" w:rsidRPr="00057284">
              <w:rPr>
                <w:rFonts w:ascii="Times New Roman" w:hAnsi="Times New Roman" w:cs="Times New Roman"/>
                <w:noProof/>
                <w:webHidden/>
                <w:sz w:val="24"/>
                <w:szCs w:val="24"/>
              </w:rPr>
              <w:fldChar w:fldCharType="separate"/>
            </w:r>
            <w:r w:rsidR="00450BEA">
              <w:rPr>
                <w:rFonts w:ascii="Times New Roman" w:hAnsi="Times New Roman" w:cs="Times New Roman"/>
                <w:noProof/>
                <w:webHidden/>
                <w:sz w:val="24"/>
                <w:szCs w:val="24"/>
              </w:rPr>
              <w:t>2</w:t>
            </w:r>
            <w:r w:rsidR="00F8211C">
              <w:rPr>
                <w:rFonts w:ascii="Times New Roman" w:hAnsi="Times New Roman" w:cs="Times New Roman"/>
                <w:noProof/>
                <w:webHidden/>
                <w:sz w:val="24"/>
                <w:szCs w:val="24"/>
              </w:rPr>
              <w:t>2</w:t>
            </w:r>
            <w:r w:rsidR="00057284" w:rsidRPr="00057284">
              <w:rPr>
                <w:rFonts w:ascii="Times New Roman" w:hAnsi="Times New Roman" w:cs="Times New Roman"/>
                <w:noProof/>
                <w:webHidden/>
                <w:sz w:val="24"/>
                <w:szCs w:val="24"/>
              </w:rPr>
              <w:fldChar w:fldCharType="end"/>
            </w:r>
          </w:hyperlink>
        </w:p>
        <w:p w14:paraId="3CA1758B" w14:textId="718E7337" w:rsidR="00057284" w:rsidRDefault="00057284" w:rsidP="009D7327">
          <w:pPr>
            <w:spacing w:line="480" w:lineRule="auto"/>
            <w:jc w:val="both"/>
          </w:pPr>
          <w:r w:rsidRPr="00057284">
            <w:rPr>
              <w:rFonts w:ascii="Times New Roman" w:hAnsi="Times New Roman" w:cs="Times New Roman"/>
              <w:b/>
              <w:bCs/>
              <w:noProof/>
              <w:sz w:val="24"/>
              <w:szCs w:val="24"/>
            </w:rPr>
            <w:fldChar w:fldCharType="end"/>
          </w:r>
        </w:p>
      </w:sdtContent>
    </w:sdt>
    <w:p w14:paraId="0B918559" w14:textId="77777777" w:rsidR="00DE335A" w:rsidRDefault="00DE335A" w:rsidP="009D7327">
      <w:pPr>
        <w:spacing w:line="480" w:lineRule="auto"/>
        <w:jc w:val="center"/>
        <w:rPr>
          <w:rFonts w:ascii="Times New Roman" w:eastAsia="Times New Roman" w:hAnsi="Times New Roman" w:cs="Times New Roman"/>
          <w:sz w:val="24"/>
          <w:szCs w:val="24"/>
        </w:rPr>
      </w:pPr>
    </w:p>
    <w:p w14:paraId="2DCA9F03" w14:textId="77777777" w:rsidR="00C13389" w:rsidRDefault="00C13389" w:rsidP="009D732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6A409F7" w14:textId="02BDEDEA" w:rsidR="00DE335A" w:rsidRDefault="00B15A72" w:rsidP="009D7327">
      <w:pPr>
        <w:pStyle w:val="Heading1"/>
        <w:spacing w:before="0" w:after="0"/>
      </w:pPr>
      <w:bookmarkStart w:id="1" w:name="_Toc196762440"/>
      <w:r>
        <w:lastRenderedPageBreak/>
        <w:t>Introduction</w:t>
      </w:r>
      <w:bookmarkEnd w:id="1"/>
    </w:p>
    <w:p w14:paraId="4E1F20D8" w14:textId="01FD065C" w:rsidR="00DE335A" w:rsidRDefault="00C13389" w:rsidP="009D7327">
      <w:pPr>
        <w:pStyle w:val="Heading2"/>
        <w:spacing w:before="0" w:after="0"/>
      </w:pPr>
      <w:bookmarkStart w:id="2" w:name="_Toc196762441"/>
      <w:r>
        <w:t>Describing the meeting/ event</w:t>
      </w:r>
      <w:bookmarkEnd w:id="2"/>
    </w:p>
    <w:p w14:paraId="1B3BEFB0" w14:textId="3CAFD2C6"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Cultural Exchange Exhibition</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organised by The VintageCheer</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stands to be a vibrant celebration of global cultures. It usually features traditional music along with dance and art that fascinates the individual to their core. The event encourages the attendees to explore and appreciate the richness of diverse cultural practices. It will focus on promoting diversity, inclusion and equality</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scheduled for March 28, 2025, at Ashton Gate Stadium in Bristol (ashtongatestadium, 2025). Attracting both the general public and business professionals interested in cultural tourism</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thereby fostering an environment of inclusivity and engagement. This enhances the rate of understanding and respect for several traditions and thus contributes to the ever-growing dialogue on equality and diversity. </w:t>
      </w:r>
    </w:p>
    <w:p w14:paraId="6566F805" w14:textId="77777777" w:rsidR="00DE335A" w:rsidRDefault="00B15A72" w:rsidP="009D7327">
      <w:pPr>
        <w:pStyle w:val="Heading2"/>
        <w:spacing w:before="0" w:after="0"/>
      </w:pPr>
      <w:bookmarkStart w:id="3" w:name="_Toc196762442"/>
      <w:r>
        <w:t>Reason for choosing</w:t>
      </w:r>
      <w:bookmarkEnd w:id="3"/>
    </w:p>
    <w:p w14:paraId="3A45C3CA" w14:textId="238CC392"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reason for organising the Cultural Exchange Exhibition stems from the rising recognition of the importance of diversity and inclusion in society. The main motive for the event is to nurture a platform for cultural expression in an era where artistic and cultural exchanges are of paramount importance in developing a curated understanding among people hailing from different backgrounds (Jones-Evans, 2022). In this case, contrasting with the UK's art tourism sector</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is expected to improve significantly in the upcoming years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exhibition is aligned with the latest market trends. As a result, this indulges in nurturing community engagement and appreciation of cultural diversity. </w:t>
      </w:r>
    </w:p>
    <w:p w14:paraId="2174EC69" w14:textId="77777777" w:rsidR="00DE335A" w:rsidRDefault="00B15A72" w:rsidP="009D7327">
      <w:pPr>
        <w:pStyle w:val="Heading2"/>
        <w:spacing w:before="0" w:after="0"/>
      </w:pPr>
      <w:bookmarkStart w:id="4" w:name="_Toc196762443"/>
      <w:r>
        <w:t>Description and Background of the meeting/event</w:t>
      </w:r>
      <w:bookmarkEnd w:id="4"/>
    </w:p>
    <w:p w14:paraId="1D9E2B53" w14:textId="157744B7"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Cultural Exchange Exhibition event is conducted at the Ashton Gate Stadium in Bristol</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is identified to be a renowned venue adept at organising larger events effectively. The event </w:t>
      </w:r>
      <w:r>
        <w:rPr>
          <w:rFonts w:ascii="Times New Roman" w:eastAsia="Times New Roman" w:hAnsi="Times New Roman" w:cs="Times New Roman"/>
          <w:sz w:val="24"/>
          <w:szCs w:val="24"/>
        </w:rPr>
        <w:lastRenderedPageBreak/>
        <w:t xml:space="preserve">scheduled for </w:t>
      </w:r>
      <w:r w:rsidR="00C13389">
        <w:rPr>
          <w:rFonts w:ascii="Times New Roman" w:eastAsia="Times New Roman" w:hAnsi="Times New Roman" w:cs="Times New Roman"/>
          <w:sz w:val="24"/>
          <w:szCs w:val="24"/>
        </w:rPr>
        <w:t>March 28</w:t>
      </w:r>
      <w:r>
        <w:rPr>
          <w:rFonts w:ascii="Times New Roman" w:eastAsia="Times New Roman" w:hAnsi="Times New Roman" w:cs="Times New Roman"/>
          <w:sz w:val="24"/>
          <w:szCs w:val="24"/>
        </w:rPr>
        <w:t>, 2025, featured mainly artists along with performers and cultural practitioners from several communities. The main motive of the event is to create an inclusive atmosphere under which diverse cultural narratives are celebrated and distributed (</w:t>
      </w:r>
      <w:proofErr w:type="spellStart"/>
      <w:r>
        <w:rPr>
          <w:rFonts w:ascii="Times New Roman" w:eastAsia="Times New Roman" w:hAnsi="Times New Roman" w:cs="Times New Roman"/>
          <w:sz w:val="24"/>
          <w:szCs w:val="24"/>
        </w:rPr>
        <w:t>Elalfy</w:t>
      </w:r>
      <w:proofErr w:type="spellEnd"/>
      <w:r>
        <w:rPr>
          <w:rFonts w:ascii="Times New Roman" w:eastAsia="Times New Roman" w:hAnsi="Times New Roman" w:cs="Times New Roman"/>
          <w:sz w:val="24"/>
          <w:szCs w:val="24"/>
        </w:rPr>
        <w:t xml:space="preserve"> et al., 2021). Bristol</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being a vibrant cultural hub</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makes the event capitalise on the city's rich artistic infrastructure. This tends to position it as an exceptional landscape for both the travellers and residents to get engaged with and learn about several cultural traditions and expressions.  </w:t>
      </w:r>
    </w:p>
    <w:p w14:paraId="57F0C4F3" w14:textId="77777777" w:rsidR="00DE335A" w:rsidRDefault="00B15A72" w:rsidP="009D7327">
      <w:pPr>
        <w:pStyle w:val="Heading1"/>
        <w:spacing w:before="0" w:after="0"/>
      </w:pPr>
      <w:bookmarkStart w:id="5" w:name="_Toc196762444"/>
      <w:r>
        <w:t>The Event Cycle</w:t>
      </w:r>
      <w:bookmarkEnd w:id="5"/>
    </w:p>
    <w:p w14:paraId="4AC08827" w14:textId="77777777" w:rsidR="00DE335A" w:rsidRDefault="00B15A72" w:rsidP="009D7327">
      <w:pPr>
        <w:pStyle w:val="Heading2"/>
        <w:spacing w:before="0" w:after="0"/>
      </w:pPr>
      <w:bookmarkStart w:id="6" w:name="_Toc196762445"/>
      <w:r>
        <w:t>Defining the Key Elements of Feasibility with the help of an Event Cycle and applying it to the meeting/event</w:t>
      </w:r>
      <w:bookmarkEnd w:id="6"/>
    </w:p>
    <w:p w14:paraId="57340CE5" w14:textId="77777777"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vent cycle is considered to be a systematic process passing through a series of phases for successful event management. It consists of conceptualisation, planning, execution and evaluation. Each phase is interlinked to ensure a streamlined experience for the attendees. The event cycle for the following event is described below.</w:t>
      </w:r>
    </w:p>
    <w:p w14:paraId="02DF8709" w14:textId="77777777"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Conceptualisation: </w:t>
      </w:r>
      <w:r>
        <w:rPr>
          <w:rFonts w:ascii="Times New Roman" w:eastAsia="Times New Roman" w:hAnsi="Times New Roman" w:cs="Times New Roman"/>
          <w:sz w:val="24"/>
          <w:szCs w:val="24"/>
        </w:rPr>
        <w:t xml:space="preserve">This phase involves the identification of the event's underlying purpose with the target audience and overall theme. The primary aim of the event is to promote cultural diversity and inclusion while providing a platform for renowned artists (Jones-Evans, 2022). This results in ensuring that the event is recognised to be authentic and engaging. </w:t>
      </w:r>
    </w:p>
    <w:p w14:paraId="544C0F94" w14:textId="69569385"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Planning: </w:t>
      </w:r>
      <w:r>
        <w:rPr>
          <w:rFonts w:ascii="Times New Roman" w:eastAsia="Times New Roman" w:hAnsi="Times New Roman" w:cs="Times New Roman"/>
          <w:sz w:val="24"/>
          <w:szCs w:val="24"/>
        </w:rPr>
        <w:t>the second stage involves the robust identification of the logical arrangements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like protecting the venue</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coordinating with artists and developing an ethical marketing strategy. This tends to be related to budgeting and thus ensures that all the resources are allocated in an efficient sense (Thakur et al., 2022). Catering with effective </w:t>
      </w:r>
      <w:r w:rsidR="00C13389">
        <w:rPr>
          <w:rFonts w:ascii="Times New Roman" w:eastAsia="Times New Roman" w:hAnsi="Times New Roman" w:cs="Times New Roman"/>
          <w:sz w:val="24"/>
          <w:szCs w:val="24"/>
        </w:rPr>
        <w:t>planning</w:t>
      </w:r>
      <w:r>
        <w:rPr>
          <w:rFonts w:ascii="Times New Roman" w:eastAsia="Times New Roman" w:hAnsi="Times New Roman" w:cs="Times New Roman"/>
          <w:sz w:val="24"/>
          <w:szCs w:val="24"/>
        </w:rPr>
        <w:t xml:space="preserve"> tends to anticipate potential challenges ranging from securing sponsorships to managing schedules. </w:t>
      </w:r>
    </w:p>
    <w:p w14:paraId="04FE7A29" w14:textId="010510B1"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Execution: </w:t>
      </w:r>
      <w:r>
        <w:rPr>
          <w:rFonts w:ascii="Times New Roman" w:eastAsia="Times New Roman" w:hAnsi="Times New Roman" w:cs="Times New Roman"/>
          <w:sz w:val="24"/>
          <w:szCs w:val="24"/>
        </w:rPr>
        <w:t>On the day of the event, fostering successful execution is the key to satisfying the needs and preferences of the attendees. It contains setting up of exhibition spaces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followed by accommodating the performances of the artists and ensuring that all staff are trained to manage inquiries (EventBrite, 2025). This renders real-time adjustments that are rendered to be essential to resolve unforeseen issues.</w:t>
      </w:r>
    </w:p>
    <w:p w14:paraId="31A135C3" w14:textId="733F38E6" w:rsidR="00DE335A" w:rsidRDefault="00C13389"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Post-event Evaluation: </w:t>
      </w:r>
      <w:r>
        <w:rPr>
          <w:rFonts w:ascii="Times New Roman" w:eastAsia="Times New Roman" w:hAnsi="Times New Roman" w:cs="Times New Roman"/>
          <w:sz w:val="24"/>
          <w:szCs w:val="24"/>
        </w:rPr>
        <w:t>The last stage of the process is post-event evaluation stands to be critical for evaluation of its success and collecting valuable feedback. This phase refers to robust analysis of the attendance data with soliciting attendee perspectives, and reviewing financial outcomes against the initial budget (Advance</w:t>
      </w:r>
      <w:r w:rsidR="00D846C7">
        <w:rPr>
          <w:rFonts w:ascii="Times New Roman" w:eastAsia="Times New Roman" w:hAnsi="Times New Roman" w:cs="Times New Roman"/>
          <w:sz w:val="24"/>
          <w:szCs w:val="24"/>
        </w:rPr>
        <w:t xml:space="preserve"> HE</w:t>
      </w:r>
      <w:r>
        <w:rPr>
          <w:rFonts w:ascii="Times New Roman" w:eastAsia="Times New Roman" w:hAnsi="Times New Roman" w:cs="Times New Roman"/>
          <w:sz w:val="24"/>
          <w:szCs w:val="24"/>
        </w:rPr>
        <w:t xml:space="preserve">, 2025). Therefore, the insights gained involve the upcoming events thereby enhancing overall effectiveness. </w:t>
      </w:r>
    </w:p>
    <w:p w14:paraId="10983C87" w14:textId="41C681CF"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successful application of the event cycle to the Cultural Exchange Exhibition, The VintageCheer</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can ensure that each phase is meticulously addressed</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thus contributing to the event's success and ability to harness an inclusive cultural dialogue. </w:t>
      </w:r>
    </w:p>
    <w:p w14:paraId="3B56D3D8" w14:textId="1FB58A96" w:rsidR="00DE335A" w:rsidRDefault="00B15A72" w:rsidP="009D7327">
      <w:pPr>
        <w:pStyle w:val="Heading1"/>
        <w:spacing w:before="0" w:after="0"/>
      </w:pPr>
      <w:bookmarkStart w:id="7" w:name="_Toc196762446"/>
      <w:r>
        <w:t>Event Concept</w:t>
      </w:r>
      <w:bookmarkEnd w:id="7"/>
    </w:p>
    <w:p w14:paraId="0D09E648" w14:textId="77777777" w:rsidR="00DE335A" w:rsidRDefault="00B15A72" w:rsidP="009D7327">
      <w:pPr>
        <w:pStyle w:val="Heading2"/>
        <w:spacing w:before="0" w:after="0"/>
      </w:pPr>
      <w:bookmarkStart w:id="8" w:name="_Toc196762447"/>
      <w:r>
        <w:t>Understanding the experiences of the guests/ delegates on the day</w:t>
      </w:r>
      <w:bookmarkEnd w:id="8"/>
    </w:p>
    <w:p w14:paraId="4FD3FF58" w14:textId="602D5469"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Cultural Exchange Exhibition is designed to create an immersive experience for the guests and delegates. It allows them to get engaged with a variety of cultural practices. Here, the attendees have the opportunity to participate in workshops on traditional dance and crafts to deepen their understanding of the several cultural intricacies. It is noticed that venues in the UK hosted roughly 195 thousand events in 2020 (Statista, 2024). Fostering informative cultural talks and discussions occurring throughout the event provides </w:t>
      </w:r>
      <w:r w:rsidR="00C13389">
        <w:rPr>
          <w:rFonts w:ascii="Times New Roman" w:eastAsia="Times New Roman" w:hAnsi="Times New Roman" w:cs="Times New Roman"/>
          <w:sz w:val="24"/>
          <w:szCs w:val="24"/>
        </w:rPr>
        <w:t>contextual</w:t>
      </w:r>
      <w:r>
        <w:rPr>
          <w:rFonts w:ascii="Times New Roman" w:eastAsia="Times New Roman" w:hAnsi="Times New Roman" w:cs="Times New Roman"/>
          <w:sz w:val="24"/>
          <w:szCs w:val="24"/>
        </w:rPr>
        <w:t xml:space="preserve"> insights into cultural practices and their significance. On the other hand, to ensure a welcoming environment, the dedicated staff are trained in cultural sensitivity and hospitality to facilitate successful interactions and guide participants </w:t>
      </w:r>
      <w:r>
        <w:rPr>
          <w:rFonts w:ascii="Times New Roman" w:eastAsia="Times New Roman" w:hAnsi="Times New Roman" w:cs="Times New Roman"/>
          <w:sz w:val="24"/>
          <w:szCs w:val="24"/>
        </w:rPr>
        <w:lastRenderedPageBreak/>
        <w:t xml:space="preserve">through the exhibition. As a result, this makes The VintageCheer leave a lasting impact on attendees and sheds </w:t>
      </w:r>
      <w:r w:rsidR="00C13389">
        <w:rPr>
          <w:rFonts w:ascii="Times New Roman" w:eastAsia="Times New Roman" w:hAnsi="Times New Roman" w:cs="Times New Roman"/>
          <w:sz w:val="24"/>
          <w:szCs w:val="24"/>
        </w:rPr>
        <w:t xml:space="preserve">light </w:t>
      </w:r>
      <w:r>
        <w:rPr>
          <w:rFonts w:ascii="Times New Roman" w:eastAsia="Times New Roman" w:hAnsi="Times New Roman" w:cs="Times New Roman"/>
          <w:sz w:val="24"/>
          <w:szCs w:val="24"/>
        </w:rPr>
        <w:t xml:space="preserve">on the importance of community engagement in cultural narratives.  </w:t>
      </w:r>
    </w:p>
    <w:p w14:paraId="12F7ACBC" w14:textId="77777777" w:rsidR="00DE335A" w:rsidRDefault="00B15A72" w:rsidP="009D7327">
      <w:pPr>
        <w:pStyle w:val="Heading2"/>
        <w:spacing w:before="0" w:after="0"/>
      </w:pPr>
      <w:bookmarkStart w:id="9" w:name="_Toc196762448"/>
      <w:r>
        <w:t>Core Event Management Theory</w:t>
      </w:r>
      <w:bookmarkEnd w:id="9"/>
    </w:p>
    <w:p w14:paraId="42AA7300" w14:textId="516478E0"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implementation of Core Event Management Theory provides a structured framework for planning</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organising and executing the events successfully. It </w:t>
      </w:r>
      <w:r w:rsidR="00C13389">
        <w:rPr>
          <w:rFonts w:ascii="Times New Roman" w:eastAsia="Times New Roman" w:hAnsi="Times New Roman" w:cs="Times New Roman"/>
          <w:sz w:val="24"/>
          <w:szCs w:val="24"/>
        </w:rPr>
        <w:t>emphasises</w:t>
      </w:r>
      <w:r>
        <w:rPr>
          <w:rFonts w:ascii="Times New Roman" w:eastAsia="Times New Roman" w:hAnsi="Times New Roman" w:cs="Times New Roman"/>
          <w:sz w:val="24"/>
          <w:szCs w:val="24"/>
        </w:rPr>
        <w:t xml:space="preserve"> key elements like stakeholder engagement, marketing, operations and finances to render positive outcomes (Velte, 2023). In the case of the Cultural Exchange Exhibition by The VintageCheer, applying the theory ensures that efficient coordination of activities maximises audience engagement. This tends to facilitate seamless communication among the teams. Aligning with the established principles makes the event much more auspicious to improve the experiences of the attendees and achieve the goals of diversity and inclusion. It ultimately contributes to the success and sustainability of the community. </w:t>
      </w:r>
    </w:p>
    <w:p w14:paraId="200AA483" w14:textId="436E3943" w:rsidR="00DE335A" w:rsidRDefault="00B15A72" w:rsidP="009D7327">
      <w:pPr>
        <w:pStyle w:val="Heading2"/>
        <w:spacing w:before="0" w:after="0"/>
      </w:pPr>
      <w:bookmarkStart w:id="10" w:name="_Toc196762449"/>
      <w:r>
        <w:t xml:space="preserve">Research/Findings </w:t>
      </w:r>
      <w:r w:rsidR="00C13389">
        <w:t>from Best</w:t>
      </w:r>
      <w:r>
        <w:t xml:space="preserve"> Practices</w:t>
      </w:r>
      <w:bookmarkEnd w:id="10"/>
    </w:p>
    <w:p w14:paraId="53560371" w14:textId="618C8BF6"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Best practice in event management </w:t>
      </w:r>
      <w:r w:rsidR="00C13389">
        <w:rPr>
          <w:rFonts w:ascii="Times New Roman" w:eastAsia="Times New Roman" w:hAnsi="Times New Roman" w:cs="Times New Roman"/>
          <w:sz w:val="24"/>
          <w:szCs w:val="24"/>
        </w:rPr>
        <w:t>highlights</w:t>
      </w:r>
      <w:r>
        <w:rPr>
          <w:rFonts w:ascii="Times New Roman" w:eastAsia="Times New Roman" w:hAnsi="Times New Roman" w:cs="Times New Roman"/>
          <w:sz w:val="24"/>
          <w:szCs w:val="24"/>
        </w:rPr>
        <w:t xml:space="preserve"> the significance of comprehensive </w:t>
      </w:r>
      <w:r w:rsidR="00C13389">
        <w:rPr>
          <w:rFonts w:ascii="Times New Roman" w:eastAsia="Times New Roman" w:hAnsi="Times New Roman" w:cs="Times New Roman"/>
          <w:sz w:val="24"/>
          <w:szCs w:val="24"/>
        </w:rPr>
        <w:t>planning</w:t>
      </w:r>
      <w:r>
        <w:rPr>
          <w:rFonts w:ascii="Times New Roman" w:eastAsia="Times New Roman" w:hAnsi="Times New Roman" w:cs="Times New Roman"/>
          <w:sz w:val="24"/>
          <w:szCs w:val="24"/>
        </w:rPr>
        <w:t xml:space="preserve"> with stakeholder involvement and effective marketing. In this segment, the key findings encompass the use of digital platforms for outreach</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followed by the integration of interactive elements to engage the participants and the necessity of post-event evaluations for constant improvements (Calver et al., 2025). It is observed that for the Cultural Exchange Exhibition, implementing the best practices seeks to elevate participant engagement with the facilitation of meaningful interactions among cultures and ensuring that feedback informs future events. This approach develops the present event's effectiveness and builds a robust foundation for the upcoming cultural initiatives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thus resulting in community connection and inclusivity. </w:t>
      </w:r>
    </w:p>
    <w:p w14:paraId="25CED554" w14:textId="77777777" w:rsidR="00DE335A" w:rsidRDefault="00B15A72" w:rsidP="009D7327">
      <w:pPr>
        <w:pStyle w:val="Heading1"/>
        <w:spacing w:before="0" w:after="0"/>
      </w:pPr>
      <w:bookmarkStart w:id="11" w:name="_Toc196762450"/>
      <w:r>
        <w:lastRenderedPageBreak/>
        <w:t>Aims and Objectives for the Meeting/ Event</w:t>
      </w:r>
      <w:bookmarkEnd w:id="11"/>
    </w:p>
    <w:p w14:paraId="0ADAB1BD" w14:textId="77777777" w:rsidR="00DE335A" w:rsidRDefault="00B15A72" w:rsidP="009D7327">
      <w:pPr>
        <w:pStyle w:val="Heading2"/>
        <w:spacing w:before="0" w:after="0"/>
      </w:pPr>
      <w:bookmarkStart w:id="12" w:name="_Toc196762451"/>
      <w:r>
        <w:t>Aim of the meeting/event</w:t>
      </w:r>
      <w:bookmarkEnd w:id="12"/>
    </w:p>
    <w:p w14:paraId="02E1584F" w14:textId="77777777"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event aims to foster appreciation in strategic management for cultural diversity to successfully deliver the event to the audiences and provide an inclusive platform with robust marketing techniques for celebrating various artistic expressions.</w:t>
      </w:r>
    </w:p>
    <w:p w14:paraId="1A058E77" w14:textId="77777777" w:rsidR="00DE335A" w:rsidRDefault="00B15A72" w:rsidP="009D7327">
      <w:pPr>
        <w:pStyle w:val="Heading2"/>
        <w:spacing w:before="0" w:after="0"/>
      </w:pPr>
      <w:bookmarkStart w:id="13" w:name="_Toc196762452"/>
      <w:r>
        <w:t>Objectives of the meeting/event</w:t>
      </w:r>
      <w:bookmarkEnd w:id="13"/>
    </w:p>
    <w:p w14:paraId="7AF1E846" w14:textId="42A12AC1"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objectives of the event are mentioned below with the help of SMART objectives which stands for specific, measurable, achievable, relevant and timebound.</w:t>
      </w:r>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E335A" w14:paraId="2BCA3CEB" w14:textId="77777777">
        <w:trPr>
          <w:jc w:val="center"/>
        </w:trPr>
        <w:tc>
          <w:tcPr>
            <w:tcW w:w="1560" w:type="dxa"/>
            <w:shd w:val="clear" w:color="auto" w:fill="auto"/>
            <w:tcMar>
              <w:top w:w="100" w:type="dxa"/>
              <w:left w:w="100" w:type="dxa"/>
              <w:bottom w:w="100" w:type="dxa"/>
              <w:right w:w="100" w:type="dxa"/>
            </w:tcMar>
          </w:tcPr>
          <w:p w14:paraId="2D68C808"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tc>
        <w:tc>
          <w:tcPr>
            <w:tcW w:w="1560" w:type="dxa"/>
            <w:shd w:val="clear" w:color="auto" w:fill="auto"/>
            <w:tcMar>
              <w:top w:w="100" w:type="dxa"/>
              <w:left w:w="100" w:type="dxa"/>
              <w:bottom w:w="100" w:type="dxa"/>
              <w:right w:w="100" w:type="dxa"/>
            </w:tcMar>
          </w:tcPr>
          <w:p w14:paraId="27CEA576"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w:t>
            </w:r>
          </w:p>
        </w:tc>
        <w:tc>
          <w:tcPr>
            <w:tcW w:w="1560" w:type="dxa"/>
            <w:shd w:val="clear" w:color="auto" w:fill="auto"/>
            <w:tcMar>
              <w:top w:w="100" w:type="dxa"/>
              <w:left w:w="100" w:type="dxa"/>
              <w:bottom w:w="100" w:type="dxa"/>
              <w:right w:w="100" w:type="dxa"/>
            </w:tcMar>
          </w:tcPr>
          <w:p w14:paraId="3DAE6F71"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Measurable</w:t>
            </w:r>
          </w:p>
        </w:tc>
        <w:tc>
          <w:tcPr>
            <w:tcW w:w="1560" w:type="dxa"/>
            <w:shd w:val="clear" w:color="auto" w:fill="auto"/>
            <w:tcMar>
              <w:top w:w="100" w:type="dxa"/>
              <w:left w:w="100" w:type="dxa"/>
              <w:bottom w:w="100" w:type="dxa"/>
              <w:right w:w="100" w:type="dxa"/>
            </w:tcMar>
          </w:tcPr>
          <w:p w14:paraId="67F61824"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1560" w:type="dxa"/>
            <w:shd w:val="clear" w:color="auto" w:fill="auto"/>
            <w:tcMar>
              <w:top w:w="100" w:type="dxa"/>
              <w:left w:w="100" w:type="dxa"/>
              <w:bottom w:w="100" w:type="dxa"/>
              <w:right w:w="100" w:type="dxa"/>
            </w:tcMar>
          </w:tcPr>
          <w:p w14:paraId="670911F7"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w:t>
            </w:r>
          </w:p>
        </w:tc>
        <w:tc>
          <w:tcPr>
            <w:tcW w:w="1560" w:type="dxa"/>
            <w:shd w:val="clear" w:color="auto" w:fill="auto"/>
            <w:tcMar>
              <w:top w:w="100" w:type="dxa"/>
              <w:left w:w="100" w:type="dxa"/>
              <w:bottom w:w="100" w:type="dxa"/>
              <w:right w:w="100" w:type="dxa"/>
            </w:tcMar>
          </w:tcPr>
          <w:p w14:paraId="6203185B"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w:t>
            </w:r>
          </w:p>
        </w:tc>
      </w:tr>
      <w:tr w:rsidR="00DE335A" w14:paraId="5CF398D3" w14:textId="77777777">
        <w:trPr>
          <w:jc w:val="center"/>
        </w:trPr>
        <w:tc>
          <w:tcPr>
            <w:tcW w:w="1560" w:type="dxa"/>
            <w:shd w:val="clear" w:color="auto" w:fill="auto"/>
            <w:tcMar>
              <w:top w:w="100" w:type="dxa"/>
              <w:left w:w="100" w:type="dxa"/>
              <w:bottom w:w="100" w:type="dxa"/>
              <w:right w:w="100" w:type="dxa"/>
            </w:tcMar>
          </w:tcPr>
          <w:p w14:paraId="088FBF64" w14:textId="507B1E0D" w:rsidR="00DE335A" w:rsidRDefault="00C13389"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Attracting the attendees to the exhibition</w:t>
            </w:r>
          </w:p>
        </w:tc>
        <w:tc>
          <w:tcPr>
            <w:tcW w:w="1560" w:type="dxa"/>
            <w:shd w:val="clear" w:color="auto" w:fill="auto"/>
            <w:tcMar>
              <w:top w:w="100" w:type="dxa"/>
              <w:left w:w="100" w:type="dxa"/>
              <w:bottom w:w="100" w:type="dxa"/>
              <w:right w:w="100" w:type="dxa"/>
            </w:tcMar>
          </w:tcPr>
          <w:p w14:paraId="0DAE25C4"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focus on the local community and tourists. </w:t>
            </w:r>
          </w:p>
        </w:tc>
        <w:tc>
          <w:tcPr>
            <w:tcW w:w="1560" w:type="dxa"/>
            <w:shd w:val="clear" w:color="auto" w:fill="auto"/>
            <w:tcMar>
              <w:top w:w="100" w:type="dxa"/>
              <w:left w:w="100" w:type="dxa"/>
              <w:bottom w:w="100" w:type="dxa"/>
              <w:right w:w="100" w:type="dxa"/>
            </w:tcMar>
          </w:tcPr>
          <w:p w14:paraId="6CEB79C9" w14:textId="1B66FB4B"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register and measure the sales data </w:t>
            </w:r>
            <w:r w:rsidR="00C13389">
              <w:rPr>
                <w:rFonts w:ascii="Times New Roman" w:eastAsia="Times New Roman" w:hAnsi="Times New Roman" w:cs="Times New Roman"/>
                <w:sz w:val="24"/>
                <w:szCs w:val="24"/>
              </w:rPr>
              <w:t>to keep</w:t>
            </w:r>
            <w:r>
              <w:rPr>
                <w:rFonts w:ascii="Times New Roman" w:eastAsia="Times New Roman" w:hAnsi="Times New Roman" w:cs="Times New Roman"/>
                <w:sz w:val="24"/>
                <w:szCs w:val="24"/>
              </w:rPr>
              <w:t xml:space="preserve"> a track record. </w:t>
            </w:r>
          </w:p>
        </w:tc>
        <w:tc>
          <w:tcPr>
            <w:tcW w:w="1560" w:type="dxa"/>
            <w:shd w:val="clear" w:color="auto" w:fill="auto"/>
            <w:tcMar>
              <w:top w:w="100" w:type="dxa"/>
              <w:left w:w="100" w:type="dxa"/>
              <w:bottom w:w="100" w:type="dxa"/>
              <w:right w:w="100" w:type="dxa"/>
            </w:tcMar>
          </w:tcPr>
          <w:p w14:paraId="20AC0CF5"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effective marketing in a proactive manner</w:t>
            </w:r>
          </w:p>
        </w:tc>
        <w:tc>
          <w:tcPr>
            <w:tcW w:w="1560" w:type="dxa"/>
            <w:shd w:val="clear" w:color="auto" w:fill="auto"/>
            <w:tcMar>
              <w:top w:w="100" w:type="dxa"/>
              <w:left w:w="100" w:type="dxa"/>
              <w:bottom w:w="100" w:type="dxa"/>
              <w:right w:w="100" w:type="dxa"/>
            </w:tcMar>
          </w:tcPr>
          <w:p w14:paraId="0379CD14"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ensure attendance gets aligned with the overarching project goals</w:t>
            </w:r>
          </w:p>
        </w:tc>
        <w:tc>
          <w:tcPr>
            <w:tcW w:w="1560" w:type="dxa"/>
            <w:shd w:val="clear" w:color="auto" w:fill="auto"/>
            <w:tcMar>
              <w:top w:w="100" w:type="dxa"/>
              <w:left w:w="100" w:type="dxa"/>
              <w:bottom w:w="100" w:type="dxa"/>
              <w:right w:w="100" w:type="dxa"/>
            </w:tcMar>
          </w:tcPr>
          <w:p w14:paraId="72BD22F9" w14:textId="7A40A14C"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finish the objective</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time needed is 4 months</w:t>
            </w:r>
          </w:p>
        </w:tc>
      </w:tr>
    </w:tbl>
    <w:p w14:paraId="083AC5ED" w14:textId="77777777" w:rsidR="00DE335A" w:rsidRDefault="00B15A72" w:rsidP="009D7327">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Smart Objectives for the Event</w:t>
      </w:r>
    </w:p>
    <w:p w14:paraId="51C7BE75" w14:textId="77777777" w:rsidR="00DE335A" w:rsidRDefault="00B15A72" w:rsidP="009D732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bl>
      <w:tblPr>
        <w:tblStyle w:val="Table2"/>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E335A" w14:paraId="5F46303C" w14:textId="77777777">
        <w:trPr>
          <w:jc w:val="center"/>
        </w:trPr>
        <w:tc>
          <w:tcPr>
            <w:tcW w:w="1560" w:type="dxa"/>
            <w:shd w:val="clear" w:color="auto" w:fill="auto"/>
            <w:tcMar>
              <w:top w:w="100" w:type="dxa"/>
              <w:left w:w="100" w:type="dxa"/>
              <w:bottom w:w="100" w:type="dxa"/>
              <w:right w:w="100" w:type="dxa"/>
            </w:tcMar>
          </w:tcPr>
          <w:p w14:paraId="76E27288"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tc>
        <w:tc>
          <w:tcPr>
            <w:tcW w:w="1560" w:type="dxa"/>
            <w:shd w:val="clear" w:color="auto" w:fill="auto"/>
            <w:tcMar>
              <w:top w:w="100" w:type="dxa"/>
              <w:left w:w="100" w:type="dxa"/>
              <w:bottom w:w="100" w:type="dxa"/>
              <w:right w:w="100" w:type="dxa"/>
            </w:tcMar>
          </w:tcPr>
          <w:p w14:paraId="6850B80D"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w:t>
            </w:r>
          </w:p>
        </w:tc>
        <w:tc>
          <w:tcPr>
            <w:tcW w:w="1560" w:type="dxa"/>
            <w:shd w:val="clear" w:color="auto" w:fill="auto"/>
            <w:tcMar>
              <w:top w:w="100" w:type="dxa"/>
              <w:left w:w="100" w:type="dxa"/>
              <w:bottom w:w="100" w:type="dxa"/>
              <w:right w:w="100" w:type="dxa"/>
            </w:tcMar>
          </w:tcPr>
          <w:p w14:paraId="7BB1B33F"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Measurable</w:t>
            </w:r>
          </w:p>
        </w:tc>
        <w:tc>
          <w:tcPr>
            <w:tcW w:w="1560" w:type="dxa"/>
            <w:shd w:val="clear" w:color="auto" w:fill="auto"/>
            <w:tcMar>
              <w:top w:w="100" w:type="dxa"/>
              <w:left w:w="100" w:type="dxa"/>
              <w:bottom w:w="100" w:type="dxa"/>
              <w:right w:w="100" w:type="dxa"/>
            </w:tcMar>
          </w:tcPr>
          <w:p w14:paraId="6B3660A2"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1560" w:type="dxa"/>
            <w:shd w:val="clear" w:color="auto" w:fill="auto"/>
            <w:tcMar>
              <w:top w:w="100" w:type="dxa"/>
              <w:left w:w="100" w:type="dxa"/>
              <w:bottom w:w="100" w:type="dxa"/>
              <w:right w:w="100" w:type="dxa"/>
            </w:tcMar>
          </w:tcPr>
          <w:p w14:paraId="202624A9"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w:t>
            </w:r>
          </w:p>
        </w:tc>
        <w:tc>
          <w:tcPr>
            <w:tcW w:w="1560" w:type="dxa"/>
            <w:shd w:val="clear" w:color="auto" w:fill="auto"/>
            <w:tcMar>
              <w:top w:w="100" w:type="dxa"/>
              <w:left w:w="100" w:type="dxa"/>
              <w:bottom w:w="100" w:type="dxa"/>
              <w:right w:w="100" w:type="dxa"/>
            </w:tcMar>
          </w:tcPr>
          <w:p w14:paraId="725919F8"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w:t>
            </w:r>
          </w:p>
        </w:tc>
      </w:tr>
      <w:tr w:rsidR="00DE335A" w14:paraId="31168D68" w14:textId="77777777">
        <w:trPr>
          <w:jc w:val="center"/>
        </w:trPr>
        <w:tc>
          <w:tcPr>
            <w:tcW w:w="1560" w:type="dxa"/>
            <w:shd w:val="clear" w:color="auto" w:fill="auto"/>
            <w:tcMar>
              <w:top w:w="100" w:type="dxa"/>
              <w:left w:w="100" w:type="dxa"/>
              <w:bottom w:w="100" w:type="dxa"/>
              <w:right w:w="100" w:type="dxa"/>
            </w:tcMar>
          </w:tcPr>
          <w:p w14:paraId="22B5526D" w14:textId="37BFAABD"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Generating an estimated profit of £4 </w:t>
            </w:r>
            <w:r>
              <w:rPr>
                <w:rFonts w:ascii="Times New Roman" w:eastAsia="Times New Roman" w:hAnsi="Times New Roman" w:cs="Times New Roman"/>
                <w:sz w:val="24"/>
                <w:szCs w:val="24"/>
              </w:rPr>
              <w:lastRenderedPageBreak/>
              <w:t xml:space="preserve">000 from ticket </w:t>
            </w:r>
            <w:r w:rsidR="00C13389">
              <w:rPr>
                <w:rFonts w:ascii="Times New Roman" w:eastAsia="Times New Roman" w:hAnsi="Times New Roman" w:cs="Times New Roman"/>
                <w:sz w:val="24"/>
                <w:szCs w:val="24"/>
              </w:rPr>
              <w:t>sales and</w:t>
            </w:r>
            <w:r>
              <w:rPr>
                <w:rFonts w:ascii="Times New Roman" w:eastAsia="Times New Roman" w:hAnsi="Times New Roman" w:cs="Times New Roman"/>
                <w:sz w:val="24"/>
                <w:szCs w:val="24"/>
              </w:rPr>
              <w:t xml:space="preserve"> merchandise</w:t>
            </w:r>
          </w:p>
        </w:tc>
        <w:tc>
          <w:tcPr>
            <w:tcW w:w="1560" w:type="dxa"/>
            <w:shd w:val="clear" w:color="auto" w:fill="auto"/>
            <w:tcMar>
              <w:top w:w="100" w:type="dxa"/>
              <w:left w:w="100" w:type="dxa"/>
              <w:bottom w:w="100" w:type="dxa"/>
              <w:right w:w="100" w:type="dxa"/>
            </w:tcMar>
          </w:tcPr>
          <w:p w14:paraId="2127F744"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implement a robust marketing </w:t>
            </w:r>
            <w:r>
              <w:rPr>
                <w:rFonts w:ascii="Times New Roman" w:eastAsia="Times New Roman" w:hAnsi="Times New Roman" w:cs="Times New Roman"/>
                <w:sz w:val="24"/>
                <w:szCs w:val="24"/>
              </w:rPr>
              <w:lastRenderedPageBreak/>
              <w:t xml:space="preserve">strategy and diversity for generating revenue streams. </w:t>
            </w:r>
          </w:p>
        </w:tc>
        <w:tc>
          <w:tcPr>
            <w:tcW w:w="1560" w:type="dxa"/>
            <w:shd w:val="clear" w:color="auto" w:fill="auto"/>
            <w:tcMar>
              <w:top w:w="100" w:type="dxa"/>
              <w:left w:w="100" w:type="dxa"/>
              <w:bottom w:w="100" w:type="dxa"/>
              <w:right w:w="100" w:type="dxa"/>
            </w:tcMar>
          </w:tcPr>
          <w:p w14:paraId="1545B31D"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analyse financial reports for </w:t>
            </w:r>
            <w:r>
              <w:rPr>
                <w:rFonts w:ascii="Times New Roman" w:eastAsia="Times New Roman" w:hAnsi="Times New Roman" w:cs="Times New Roman"/>
                <w:sz w:val="24"/>
                <w:szCs w:val="24"/>
              </w:rPr>
              <w:lastRenderedPageBreak/>
              <w:t>determining successful profit margins.</w:t>
            </w:r>
          </w:p>
        </w:tc>
        <w:tc>
          <w:tcPr>
            <w:tcW w:w="1560" w:type="dxa"/>
            <w:shd w:val="clear" w:color="auto" w:fill="auto"/>
            <w:tcMar>
              <w:top w:w="100" w:type="dxa"/>
              <w:left w:w="100" w:type="dxa"/>
              <w:bottom w:w="100" w:type="dxa"/>
              <w:right w:w="100" w:type="dxa"/>
            </w:tcMar>
          </w:tcPr>
          <w:p w14:paraId="2DF516FC" w14:textId="32A9AA04"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integrate effective financial </w:t>
            </w:r>
            <w:r>
              <w:rPr>
                <w:rFonts w:ascii="Times New Roman" w:eastAsia="Times New Roman" w:hAnsi="Times New Roman" w:cs="Times New Roman"/>
                <w:sz w:val="24"/>
                <w:szCs w:val="24"/>
              </w:rPr>
              <w:lastRenderedPageBreak/>
              <w:t xml:space="preserve">planning and effective sponsorship acquisition that stands to be feasible for the </w:t>
            </w:r>
            <w:r w:rsidR="00C13389">
              <w:rPr>
                <w:rFonts w:ascii="Times New Roman" w:eastAsia="Times New Roman" w:hAnsi="Times New Roman" w:cs="Times New Roman"/>
                <w:sz w:val="24"/>
                <w:szCs w:val="24"/>
              </w:rPr>
              <w:t>venture</w:t>
            </w:r>
            <w:r>
              <w:rPr>
                <w:rFonts w:ascii="Times New Roman" w:eastAsia="Times New Roman" w:hAnsi="Times New Roman" w:cs="Times New Roman"/>
                <w:sz w:val="24"/>
                <w:szCs w:val="24"/>
              </w:rPr>
              <w:t xml:space="preserve"> to provide positive outcomes. </w:t>
            </w:r>
          </w:p>
        </w:tc>
        <w:tc>
          <w:tcPr>
            <w:tcW w:w="1560" w:type="dxa"/>
            <w:shd w:val="clear" w:color="auto" w:fill="auto"/>
            <w:tcMar>
              <w:top w:w="100" w:type="dxa"/>
              <w:left w:w="100" w:type="dxa"/>
              <w:bottom w:w="100" w:type="dxa"/>
              <w:right w:w="100" w:type="dxa"/>
            </w:tcMar>
          </w:tcPr>
          <w:p w14:paraId="2E7F84E9"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reinforce sustainability and viability </w:t>
            </w:r>
            <w:r>
              <w:rPr>
                <w:rFonts w:ascii="Times New Roman" w:eastAsia="Times New Roman" w:hAnsi="Times New Roman" w:cs="Times New Roman"/>
                <w:sz w:val="24"/>
                <w:szCs w:val="24"/>
              </w:rPr>
              <w:lastRenderedPageBreak/>
              <w:t xml:space="preserve">for upcoming events. </w:t>
            </w:r>
          </w:p>
        </w:tc>
        <w:tc>
          <w:tcPr>
            <w:tcW w:w="1560" w:type="dxa"/>
            <w:shd w:val="clear" w:color="auto" w:fill="auto"/>
            <w:tcMar>
              <w:top w:w="100" w:type="dxa"/>
              <w:left w:w="100" w:type="dxa"/>
              <w:bottom w:w="100" w:type="dxa"/>
              <w:right w:w="100" w:type="dxa"/>
            </w:tcMar>
          </w:tcPr>
          <w:p w14:paraId="6D1A9D6F"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achieve this objective, the time </w:t>
            </w:r>
            <w:r>
              <w:rPr>
                <w:rFonts w:ascii="Times New Roman" w:eastAsia="Times New Roman" w:hAnsi="Times New Roman" w:cs="Times New Roman"/>
                <w:sz w:val="24"/>
                <w:szCs w:val="24"/>
              </w:rPr>
              <w:lastRenderedPageBreak/>
              <w:t xml:space="preserve">required is 5 months. </w:t>
            </w:r>
          </w:p>
        </w:tc>
      </w:tr>
    </w:tbl>
    <w:p w14:paraId="493B9FC7" w14:textId="77777777" w:rsidR="00DE335A" w:rsidRDefault="00B15A72" w:rsidP="009D7327">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2: Smart Objectives for the Event</w:t>
      </w:r>
    </w:p>
    <w:p w14:paraId="0F6D7CB3" w14:textId="77777777" w:rsidR="00DE335A" w:rsidRDefault="00B15A72" w:rsidP="009D732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tbl>
      <w:tblPr>
        <w:tblStyle w:val="Table3"/>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E335A" w14:paraId="058CBB05" w14:textId="77777777">
        <w:trPr>
          <w:jc w:val="center"/>
        </w:trPr>
        <w:tc>
          <w:tcPr>
            <w:tcW w:w="1560" w:type="dxa"/>
            <w:shd w:val="clear" w:color="auto" w:fill="auto"/>
            <w:tcMar>
              <w:top w:w="100" w:type="dxa"/>
              <w:left w:w="100" w:type="dxa"/>
              <w:bottom w:w="100" w:type="dxa"/>
              <w:right w:w="100" w:type="dxa"/>
            </w:tcMar>
          </w:tcPr>
          <w:p w14:paraId="7655859D"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tc>
        <w:tc>
          <w:tcPr>
            <w:tcW w:w="1560" w:type="dxa"/>
            <w:shd w:val="clear" w:color="auto" w:fill="auto"/>
            <w:tcMar>
              <w:top w:w="100" w:type="dxa"/>
              <w:left w:w="100" w:type="dxa"/>
              <w:bottom w:w="100" w:type="dxa"/>
              <w:right w:w="100" w:type="dxa"/>
            </w:tcMar>
          </w:tcPr>
          <w:p w14:paraId="49F3C6C7"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w:t>
            </w:r>
          </w:p>
        </w:tc>
        <w:tc>
          <w:tcPr>
            <w:tcW w:w="1560" w:type="dxa"/>
            <w:shd w:val="clear" w:color="auto" w:fill="auto"/>
            <w:tcMar>
              <w:top w:w="100" w:type="dxa"/>
              <w:left w:w="100" w:type="dxa"/>
              <w:bottom w:w="100" w:type="dxa"/>
              <w:right w:w="100" w:type="dxa"/>
            </w:tcMar>
          </w:tcPr>
          <w:p w14:paraId="281DAC1E"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Measurable</w:t>
            </w:r>
          </w:p>
        </w:tc>
        <w:tc>
          <w:tcPr>
            <w:tcW w:w="1560" w:type="dxa"/>
            <w:shd w:val="clear" w:color="auto" w:fill="auto"/>
            <w:tcMar>
              <w:top w:w="100" w:type="dxa"/>
              <w:left w:w="100" w:type="dxa"/>
              <w:bottom w:w="100" w:type="dxa"/>
              <w:right w:w="100" w:type="dxa"/>
            </w:tcMar>
          </w:tcPr>
          <w:p w14:paraId="1560BCFD"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1560" w:type="dxa"/>
            <w:shd w:val="clear" w:color="auto" w:fill="auto"/>
            <w:tcMar>
              <w:top w:w="100" w:type="dxa"/>
              <w:left w:w="100" w:type="dxa"/>
              <w:bottom w:w="100" w:type="dxa"/>
              <w:right w:w="100" w:type="dxa"/>
            </w:tcMar>
          </w:tcPr>
          <w:p w14:paraId="3B3EF154"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w:t>
            </w:r>
          </w:p>
        </w:tc>
        <w:tc>
          <w:tcPr>
            <w:tcW w:w="1560" w:type="dxa"/>
            <w:shd w:val="clear" w:color="auto" w:fill="auto"/>
            <w:tcMar>
              <w:top w:w="100" w:type="dxa"/>
              <w:left w:w="100" w:type="dxa"/>
              <w:bottom w:w="100" w:type="dxa"/>
              <w:right w:w="100" w:type="dxa"/>
            </w:tcMar>
          </w:tcPr>
          <w:p w14:paraId="78BCFEED"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w:t>
            </w:r>
          </w:p>
        </w:tc>
      </w:tr>
      <w:tr w:rsidR="00DE335A" w14:paraId="5B85AAD0" w14:textId="77777777">
        <w:trPr>
          <w:jc w:val="center"/>
        </w:trPr>
        <w:tc>
          <w:tcPr>
            <w:tcW w:w="1560" w:type="dxa"/>
            <w:shd w:val="clear" w:color="auto" w:fill="auto"/>
            <w:tcMar>
              <w:top w:w="100" w:type="dxa"/>
              <w:left w:w="100" w:type="dxa"/>
              <w:bottom w:w="100" w:type="dxa"/>
              <w:right w:w="100" w:type="dxa"/>
            </w:tcMar>
          </w:tcPr>
          <w:p w14:paraId="02EF581B"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Raising awareness about staying coherent and aligned with the cultures in a predictive format. </w:t>
            </w:r>
          </w:p>
        </w:tc>
        <w:tc>
          <w:tcPr>
            <w:tcW w:w="1560" w:type="dxa"/>
            <w:shd w:val="clear" w:color="auto" w:fill="auto"/>
            <w:tcMar>
              <w:top w:w="100" w:type="dxa"/>
              <w:left w:w="100" w:type="dxa"/>
              <w:bottom w:w="100" w:type="dxa"/>
              <w:right w:w="100" w:type="dxa"/>
            </w:tcMar>
          </w:tcPr>
          <w:p w14:paraId="3313BA82" w14:textId="79C7BCAD"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observe cultural displays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along with workshops and talks that will cover these cultures. </w:t>
            </w:r>
          </w:p>
        </w:tc>
        <w:tc>
          <w:tcPr>
            <w:tcW w:w="1560" w:type="dxa"/>
            <w:shd w:val="clear" w:color="auto" w:fill="auto"/>
            <w:tcMar>
              <w:top w:w="100" w:type="dxa"/>
              <w:left w:w="100" w:type="dxa"/>
              <w:bottom w:w="100" w:type="dxa"/>
              <w:right w:w="100" w:type="dxa"/>
            </w:tcMar>
          </w:tcPr>
          <w:p w14:paraId="16E6D7A3"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measure the knowledge and perceptions of the participants with the help of structured </w:t>
            </w:r>
            <w:r>
              <w:rPr>
                <w:rFonts w:ascii="Times New Roman" w:eastAsia="Times New Roman" w:hAnsi="Times New Roman" w:cs="Times New Roman"/>
                <w:sz w:val="24"/>
                <w:szCs w:val="24"/>
              </w:rPr>
              <w:lastRenderedPageBreak/>
              <w:t xml:space="preserve">surveys </w:t>
            </w:r>
          </w:p>
        </w:tc>
        <w:tc>
          <w:tcPr>
            <w:tcW w:w="1560" w:type="dxa"/>
            <w:shd w:val="clear" w:color="auto" w:fill="auto"/>
            <w:tcMar>
              <w:top w:w="100" w:type="dxa"/>
              <w:left w:w="100" w:type="dxa"/>
              <w:bottom w:w="100" w:type="dxa"/>
              <w:right w:w="100" w:type="dxa"/>
            </w:tcMar>
          </w:tcPr>
          <w:p w14:paraId="30EB3A7E" w14:textId="68532BDB"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achieve collaboration with cultural communities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can be facilitated in a curated fashion. </w:t>
            </w:r>
          </w:p>
        </w:tc>
        <w:tc>
          <w:tcPr>
            <w:tcW w:w="1560" w:type="dxa"/>
            <w:shd w:val="clear" w:color="auto" w:fill="auto"/>
            <w:tcMar>
              <w:top w:w="100" w:type="dxa"/>
              <w:left w:w="100" w:type="dxa"/>
              <w:bottom w:w="100" w:type="dxa"/>
              <w:right w:w="100" w:type="dxa"/>
            </w:tcMar>
          </w:tcPr>
          <w:p w14:paraId="4B2FC90B"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promote diversity and inclusion through sustainable awareness programs. </w:t>
            </w:r>
          </w:p>
        </w:tc>
        <w:tc>
          <w:tcPr>
            <w:tcW w:w="1560" w:type="dxa"/>
            <w:shd w:val="clear" w:color="auto" w:fill="auto"/>
            <w:tcMar>
              <w:top w:w="100" w:type="dxa"/>
              <w:left w:w="100" w:type="dxa"/>
              <w:bottom w:w="100" w:type="dxa"/>
              <w:right w:w="100" w:type="dxa"/>
            </w:tcMar>
          </w:tcPr>
          <w:p w14:paraId="0340799A"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complete this objective, the time needed is 3 months. </w:t>
            </w:r>
          </w:p>
        </w:tc>
      </w:tr>
    </w:tbl>
    <w:p w14:paraId="31F6CB4D" w14:textId="77777777" w:rsidR="00DE335A" w:rsidRDefault="00B15A72" w:rsidP="009D7327">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3: Smart Objectives for the Event</w:t>
      </w:r>
    </w:p>
    <w:p w14:paraId="63E21C5E" w14:textId="77777777" w:rsidR="00DE335A" w:rsidRDefault="00B15A72" w:rsidP="009D732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7467225A" w14:textId="78DC3CAD" w:rsidR="00DE335A" w:rsidRDefault="00B15A72" w:rsidP="009D7327">
      <w:pPr>
        <w:pStyle w:val="Heading1"/>
        <w:spacing w:before="0" w:after="0"/>
      </w:pPr>
      <w:bookmarkStart w:id="14" w:name="_Toc196762453"/>
      <w:r>
        <w:t>Event Management</w:t>
      </w:r>
      <w:bookmarkEnd w:id="14"/>
    </w:p>
    <w:p w14:paraId="339DDF97" w14:textId="3410AEB6" w:rsidR="00DE335A" w:rsidRDefault="00B15A72" w:rsidP="009D7327">
      <w:pPr>
        <w:pStyle w:val="Heading2"/>
        <w:spacing w:before="0" w:after="0"/>
      </w:pPr>
      <w:bookmarkStart w:id="15" w:name="_Toc196762454"/>
      <w:r>
        <w:t>Depicting the skills and resources required for the meeting/event</w:t>
      </w:r>
      <w:bookmarkEnd w:id="15"/>
    </w:p>
    <w:p w14:paraId="4A97784D" w14:textId="7F0B4B50"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successful management of the Cultural Exchange Exhibition by The VintageCheer needs several skills and resources to execute all the aspects of the event effectively. These skills and resources are explained below.</w:t>
      </w:r>
    </w:p>
    <w:tbl>
      <w:tblPr>
        <w:tblStyle w:val="Table4"/>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E335A" w14:paraId="2995317B" w14:textId="77777777">
        <w:trPr>
          <w:jc w:val="center"/>
        </w:trPr>
        <w:tc>
          <w:tcPr>
            <w:tcW w:w="4680" w:type="dxa"/>
            <w:shd w:val="clear" w:color="auto" w:fill="auto"/>
            <w:tcMar>
              <w:top w:w="100" w:type="dxa"/>
              <w:left w:w="100" w:type="dxa"/>
              <w:bottom w:w="100" w:type="dxa"/>
              <w:right w:w="100" w:type="dxa"/>
            </w:tcMar>
          </w:tcPr>
          <w:p w14:paraId="2FEEF0A6"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 Required</w:t>
            </w:r>
          </w:p>
        </w:tc>
        <w:tc>
          <w:tcPr>
            <w:tcW w:w="4680" w:type="dxa"/>
            <w:shd w:val="clear" w:color="auto" w:fill="auto"/>
            <w:tcMar>
              <w:top w:w="100" w:type="dxa"/>
              <w:left w:w="100" w:type="dxa"/>
              <w:bottom w:w="100" w:type="dxa"/>
              <w:right w:w="100" w:type="dxa"/>
            </w:tcMar>
          </w:tcPr>
          <w:p w14:paraId="7C92DF80"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r>
      <w:tr w:rsidR="00DE335A" w14:paraId="1262E383" w14:textId="77777777">
        <w:trPr>
          <w:jc w:val="center"/>
        </w:trPr>
        <w:tc>
          <w:tcPr>
            <w:tcW w:w="4680" w:type="dxa"/>
            <w:shd w:val="clear" w:color="auto" w:fill="auto"/>
            <w:tcMar>
              <w:top w:w="100" w:type="dxa"/>
              <w:left w:w="100" w:type="dxa"/>
              <w:bottom w:w="100" w:type="dxa"/>
              <w:right w:w="100" w:type="dxa"/>
            </w:tcMar>
          </w:tcPr>
          <w:p w14:paraId="5B97F873" w14:textId="5CBD42A5"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Event Planning Expertise:</w:t>
            </w:r>
            <w:r>
              <w:rPr>
                <w:rFonts w:ascii="Times New Roman" w:eastAsia="Times New Roman" w:hAnsi="Times New Roman" w:cs="Times New Roman"/>
                <w:sz w:val="24"/>
                <w:szCs w:val="24"/>
              </w:rPr>
              <w:t xml:space="preserve"> Having a solid grasp of logistical connections with scheduling and coordination of activities is of immense relevance</w:t>
            </w:r>
            <w:r w:rsidR="00D846C7">
              <w:rPr>
                <w:rFonts w:ascii="Times New Roman" w:eastAsia="Times New Roman" w:hAnsi="Times New Roman" w:cs="Times New Roman"/>
                <w:sz w:val="24"/>
                <w:szCs w:val="24"/>
              </w:rPr>
              <w:t xml:space="preserve"> (</w:t>
            </w:r>
            <w:proofErr w:type="spellStart"/>
            <w:r w:rsidR="00D846C7">
              <w:rPr>
                <w:rFonts w:ascii="Times New Roman" w:eastAsia="Times New Roman" w:hAnsi="Times New Roman" w:cs="Times New Roman"/>
                <w:sz w:val="24"/>
                <w:szCs w:val="24"/>
              </w:rPr>
              <w:t>Elalfy</w:t>
            </w:r>
            <w:proofErr w:type="spellEnd"/>
            <w:r w:rsidR="00D846C7">
              <w:rPr>
                <w:rFonts w:ascii="Times New Roman" w:eastAsia="Times New Roman" w:hAnsi="Times New Roman" w:cs="Times New Roman"/>
                <w:sz w:val="24"/>
                <w:szCs w:val="24"/>
              </w:rPr>
              <w:t xml:space="preserve"> et al., 2021)</w:t>
            </w:r>
            <w:r>
              <w:rPr>
                <w:rFonts w:ascii="Times New Roman" w:eastAsia="Times New Roman" w:hAnsi="Times New Roman" w:cs="Times New Roman"/>
                <w:sz w:val="24"/>
                <w:szCs w:val="24"/>
              </w:rPr>
              <w:t xml:space="preserve">. This makes sure that all segments of the exhibition resending </w:t>
            </w:r>
            <w:r w:rsidR="00C13389">
              <w:rPr>
                <w:rFonts w:ascii="Times New Roman" w:eastAsia="Times New Roman" w:hAnsi="Times New Roman" w:cs="Times New Roman"/>
                <w:sz w:val="24"/>
                <w:szCs w:val="24"/>
              </w:rPr>
              <w:t xml:space="preserve">including </w:t>
            </w:r>
            <w:r>
              <w:rPr>
                <w:rFonts w:ascii="Times New Roman" w:eastAsia="Times New Roman" w:hAnsi="Times New Roman" w:cs="Times New Roman"/>
                <w:sz w:val="24"/>
                <w:szCs w:val="24"/>
              </w:rPr>
              <w:t>workshops to performances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are well organised within the given timeline. </w:t>
            </w:r>
          </w:p>
        </w:tc>
        <w:tc>
          <w:tcPr>
            <w:tcW w:w="4680" w:type="dxa"/>
            <w:shd w:val="clear" w:color="auto" w:fill="auto"/>
            <w:tcMar>
              <w:top w:w="100" w:type="dxa"/>
              <w:left w:w="100" w:type="dxa"/>
              <w:bottom w:w="100" w:type="dxa"/>
              <w:right w:w="100" w:type="dxa"/>
            </w:tcMar>
          </w:tcPr>
          <w:p w14:paraId="70233987" w14:textId="38C946D9"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selection of the venue</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like Ashton Gate Stadium in this case</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is ideal. The reason behind this is that it provides </w:t>
            </w:r>
            <w:r w:rsidR="00C13389">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necessary space with multiple function rooms for artistic display. This </w:t>
            </w:r>
            <w:r w:rsidR="00C13389">
              <w:rPr>
                <w:rFonts w:ascii="Times New Roman" w:eastAsia="Times New Roman" w:hAnsi="Times New Roman" w:cs="Times New Roman"/>
                <w:sz w:val="24"/>
                <w:szCs w:val="24"/>
              </w:rPr>
              <w:t>is intriguing</w:t>
            </w:r>
            <w:r>
              <w:rPr>
                <w:rFonts w:ascii="Times New Roman" w:eastAsia="Times New Roman" w:hAnsi="Times New Roman" w:cs="Times New Roman"/>
                <w:sz w:val="24"/>
                <w:szCs w:val="24"/>
              </w:rPr>
              <w:t xml:space="preserve"> for the accommodation of a diverse audience (</w:t>
            </w:r>
            <w:proofErr w:type="spellStart"/>
            <w:r>
              <w:rPr>
                <w:rFonts w:ascii="Times New Roman" w:eastAsia="Times New Roman" w:hAnsi="Times New Roman" w:cs="Times New Roman"/>
                <w:sz w:val="24"/>
                <w:szCs w:val="24"/>
              </w:rPr>
              <w:t>Aheleroff</w:t>
            </w:r>
            <w:proofErr w:type="spellEnd"/>
            <w:r>
              <w:rPr>
                <w:rFonts w:ascii="Times New Roman" w:eastAsia="Times New Roman" w:hAnsi="Times New Roman" w:cs="Times New Roman"/>
                <w:sz w:val="24"/>
                <w:szCs w:val="24"/>
              </w:rPr>
              <w:t xml:space="preserve"> et al., 2022). </w:t>
            </w:r>
          </w:p>
        </w:tc>
      </w:tr>
      <w:tr w:rsidR="00DE335A" w14:paraId="33534C41" w14:textId="77777777">
        <w:trPr>
          <w:jc w:val="center"/>
        </w:trPr>
        <w:tc>
          <w:tcPr>
            <w:tcW w:w="4680" w:type="dxa"/>
            <w:shd w:val="clear" w:color="auto" w:fill="auto"/>
            <w:tcMar>
              <w:top w:w="100" w:type="dxa"/>
              <w:left w:w="100" w:type="dxa"/>
              <w:bottom w:w="100" w:type="dxa"/>
              <w:right w:w="100" w:type="dxa"/>
            </w:tcMar>
          </w:tcPr>
          <w:p w14:paraId="76BEC89E" w14:textId="056F38B6"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Communication Skills:</w:t>
            </w:r>
            <w:r>
              <w:rPr>
                <w:rFonts w:ascii="Times New Roman" w:eastAsia="Times New Roman" w:hAnsi="Times New Roman" w:cs="Times New Roman"/>
                <w:sz w:val="24"/>
                <w:szCs w:val="24"/>
              </w:rPr>
              <w:t xml:space="preserve"> It is evident that effective communication is vital for engaging with participants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along </w:t>
            </w:r>
            <w:r w:rsidR="00C13389">
              <w:rPr>
                <w:rFonts w:ascii="Times New Roman" w:eastAsia="Times New Roman" w:hAnsi="Times New Roman" w:cs="Times New Roman"/>
                <w:sz w:val="24"/>
                <w:szCs w:val="24"/>
              </w:rPr>
              <w:t>w</w:t>
            </w:r>
            <w:r>
              <w:rPr>
                <w:rFonts w:ascii="Times New Roman" w:eastAsia="Times New Roman" w:hAnsi="Times New Roman" w:cs="Times New Roman"/>
                <w:sz w:val="24"/>
                <w:szCs w:val="24"/>
              </w:rPr>
              <w:t xml:space="preserve">ith artists and vendors. The establishment of clear communication allows for a streamlined </w:t>
            </w:r>
            <w:r>
              <w:rPr>
                <w:rFonts w:ascii="Times New Roman" w:eastAsia="Times New Roman" w:hAnsi="Times New Roman" w:cs="Times New Roman"/>
                <w:sz w:val="24"/>
                <w:szCs w:val="24"/>
              </w:rPr>
              <w:lastRenderedPageBreak/>
              <w:t xml:space="preserve">running of the </w:t>
            </w:r>
            <w:r w:rsidR="00C13389">
              <w:rPr>
                <w:rFonts w:ascii="Times New Roman" w:eastAsia="Times New Roman" w:hAnsi="Times New Roman" w:cs="Times New Roman"/>
                <w:sz w:val="24"/>
                <w:szCs w:val="24"/>
              </w:rPr>
              <w:t>event</w:t>
            </w:r>
            <w:r>
              <w:rPr>
                <w:rFonts w:ascii="Times New Roman" w:eastAsia="Times New Roman" w:hAnsi="Times New Roman" w:cs="Times New Roman"/>
                <w:sz w:val="24"/>
                <w:szCs w:val="24"/>
              </w:rPr>
              <w:t xml:space="preserve"> while supporting the attendees with complete assistance</w:t>
            </w:r>
            <w:r w:rsidR="00C1338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information (Zengin et al., 2021).</w:t>
            </w:r>
          </w:p>
        </w:tc>
        <w:tc>
          <w:tcPr>
            <w:tcW w:w="4680" w:type="dxa"/>
            <w:shd w:val="clear" w:color="auto" w:fill="auto"/>
            <w:tcMar>
              <w:top w:w="100" w:type="dxa"/>
              <w:left w:w="100" w:type="dxa"/>
              <w:bottom w:w="100" w:type="dxa"/>
              <w:right w:w="100" w:type="dxa"/>
            </w:tcMar>
          </w:tcPr>
          <w:p w14:paraId="10233FCD" w14:textId="39C62F09"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Consisting of a team of 22 staff members is essential for several roles. It involves event coordination with volunteer management</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as customer service is used to enhance the overall experience.</w:t>
            </w:r>
          </w:p>
        </w:tc>
      </w:tr>
      <w:tr w:rsidR="00DE335A" w14:paraId="6C09570B" w14:textId="77777777">
        <w:trPr>
          <w:jc w:val="center"/>
        </w:trPr>
        <w:tc>
          <w:tcPr>
            <w:tcW w:w="4680" w:type="dxa"/>
            <w:shd w:val="clear" w:color="auto" w:fill="auto"/>
            <w:tcMar>
              <w:top w:w="100" w:type="dxa"/>
              <w:left w:w="100" w:type="dxa"/>
              <w:bottom w:w="100" w:type="dxa"/>
              <w:right w:w="100" w:type="dxa"/>
            </w:tcMar>
          </w:tcPr>
          <w:p w14:paraId="1DA1169B" w14:textId="4888B611"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Cultural Sensitivity:</w:t>
            </w:r>
            <w:r>
              <w:rPr>
                <w:rFonts w:ascii="Times New Roman" w:eastAsia="Times New Roman" w:hAnsi="Times New Roman" w:cs="Times New Roman"/>
                <w:sz w:val="24"/>
                <w:szCs w:val="24"/>
              </w:rPr>
              <w:t xml:space="preserve"> Here, the staff needs to be knowledgeable about the culture that is represented at the event. It tends to grant them to get engaged with attendees and artists.</w:t>
            </w:r>
            <w:r w:rsidR="00C13389">
              <w:rPr>
                <w:rFonts w:ascii="Times New Roman" w:eastAsia="Times New Roman" w:hAnsi="Times New Roman" w:cs="Times New Roman"/>
                <w:sz w:val="24"/>
                <w:szCs w:val="24"/>
              </w:rPr>
              <w:t xml:space="preserve"> This</w:t>
            </w:r>
            <w:r>
              <w:rPr>
                <w:rFonts w:ascii="Times New Roman" w:eastAsia="Times New Roman" w:hAnsi="Times New Roman" w:cs="Times New Roman"/>
                <w:sz w:val="24"/>
                <w:szCs w:val="24"/>
              </w:rPr>
              <w:t xml:space="preserve"> skill is beneficial for creating an effective atmosphere. </w:t>
            </w:r>
          </w:p>
        </w:tc>
        <w:tc>
          <w:tcPr>
            <w:tcW w:w="4680" w:type="dxa"/>
            <w:shd w:val="clear" w:color="auto" w:fill="auto"/>
            <w:tcMar>
              <w:top w:w="100" w:type="dxa"/>
              <w:left w:w="100" w:type="dxa"/>
              <w:bottom w:w="100" w:type="dxa"/>
              <w:right w:w="100" w:type="dxa"/>
            </w:tcMar>
          </w:tcPr>
          <w:p w14:paraId="47ED0C9A" w14:textId="57D3D659"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allocation of funds for digital marketing campaigns on social media platforms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with the application of </w:t>
            </w:r>
            <w:r w:rsidR="00C13389">
              <w:rPr>
                <w:rFonts w:ascii="Times New Roman" w:eastAsia="Times New Roman" w:hAnsi="Times New Roman" w:cs="Times New Roman"/>
                <w:sz w:val="24"/>
                <w:szCs w:val="24"/>
              </w:rPr>
              <w:t>eye-catching</w:t>
            </w:r>
            <w:r>
              <w:rPr>
                <w:rFonts w:ascii="Times New Roman" w:eastAsia="Times New Roman" w:hAnsi="Times New Roman" w:cs="Times New Roman"/>
                <w:sz w:val="24"/>
                <w:szCs w:val="24"/>
              </w:rPr>
              <w:t xml:space="preserve"> </w:t>
            </w:r>
            <w:r w:rsidR="00C13389">
              <w:rPr>
                <w:rFonts w:ascii="Times New Roman" w:eastAsia="Times New Roman" w:hAnsi="Times New Roman" w:cs="Times New Roman"/>
                <w:sz w:val="24"/>
                <w:szCs w:val="24"/>
              </w:rPr>
              <w:t>visuals</w:t>
            </w:r>
            <w:r>
              <w:rPr>
                <w:rFonts w:ascii="Times New Roman" w:eastAsia="Times New Roman" w:hAnsi="Times New Roman" w:cs="Times New Roman"/>
                <w:sz w:val="24"/>
                <w:szCs w:val="24"/>
              </w:rPr>
              <w:t xml:space="preserve"> and engaging content</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C13389">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used. This is done </w:t>
            </w:r>
            <w:r w:rsidR="00C13389">
              <w:rPr>
                <w:rFonts w:ascii="Times New Roman" w:eastAsia="Times New Roman" w:hAnsi="Times New Roman" w:cs="Times New Roman"/>
                <w:sz w:val="24"/>
                <w:szCs w:val="24"/>
              </w:rPr>
              <w:t>to grab</w:t>
            </w:r>
            <w:r>
              <w:rPr>
                <w:rFonts w:ascii="Times New Roman" w:eastAsia="Times New Roman" w:hAnsi="Times New Roman" w:cs="Times New Roman"/>
                <w:sz w:val="24"/>
                <w:szCs w:val="24"/>
              </w:rPr>
              <w:t xml:space="preserve"> the attention of the target audience (Zhou et al., 2023). </w:t>
            </w:r>
          </w:p>
        </w:tc>
      </w:tr>
      <w:tr w:rsidR="00DE335A" w14:paraId="38720849" w14:textId="77777777">
        <w:trPr>
          <w:jc w:val="center"/>
        </w:trPr>
        <w:tc>
          <w:tcPr>
            <w:tcW w:w="4680" w:type="dxa"/>
            <w:shd w:val="clear" w:color="auto" w:fill="auto"/>
            <w:tcMar>
              <w:top w:w="100" w:type="dxa"/>
              <w:left w:w="100" w:type="dxa"/>
              <w:bottom w:w="100" w:type="dxa"/>
              <w:right w:w="100" w:type="dxa"/>
            </w:tcMar>
          </w:tcPr>
          <w:p w14:paraId="3D5D3ECD" w14:textId="6C2D0460" w:rsidR="00DE335A" w:rsidRDefault="00C13389"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Problem-Solving Abilities: </w:t>
            </w:r>
            <w:r>
              <w:rPr>
                <w:rFonts w:ascii="Times New Roman" w:eastAsia="Times New Roman" w:hAnsi="Times New Roman" w:cs="Times New Roman"/>
                <w:sz w:val="24"/>
                <w:szCs w:val="24"/>
              </w:rPr>
              <w:t>Unforeseen challenges are a common occurrence in event planning. Thus makes the staff think “out-of-the-box” for responding to the attendees effectively.</w:t>
            </w:r>
          </w:p>
        </w:tc>
        <w:tc>
          <w:tcPr>
            <w:tcW w:w="4680" w:type="dxa"/>
            <w:shd w:val="clear" w:color="auto" w:fill="auto"/>
            <w:tcMar>
              <w:top w:w="100" w:type="dxa"/>
              <w:left w:w="100" w:type="dxa"/>
              <w:bottom w:w="100" w:type="dxa"/>
              <w:right w:w="100" w:type="dxa"/>
            </w:tcMar>
          </w:tcPr>
          <w:p w14:paraId="3D3F176A" w14:textId="77DD15F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Catering services to provide food and refreshments have the tendency to elevate the chances of guest comfort and promotion with adequate seating and restroom facilities. This results in sustainable accommodation of attendees throughout the </w:t>
            </w:r>
            <w:r w:rsidR="00C13389">
              <w:rPr>
                <w:rFonts w:ascii="Times New Roman" w:eastAsia="Times New Roman" w:hAnsi="Times New Roman" w:cs="Times New Roman"/>
                <w:sz w:val="24"/>
                <w:szCs w:val="24"/>
              </w:rPr>
              <w:t>event</w:t>
            </w:r>
            <w:r>
              <w:rPr>
                <w:rFonts w:ascii="Times New Roman" w:eastAsia="Times New Roman" w:hAnsi="Times New Roman" w:cs="Times New Roman"/>
                <w:sz w:val="24"/>
                <w:szCs w:val="24"/>
              </w:rPr>
              <w:t xml:space="preserve">. </w:t>
            </w:r>
          </w:p>
        </w:tc>
      </w:tr>
    </w:tbl>
    <w:p w14:paraId="09B4BD01" w14:textId="77777777" w:rsidR="00DE335A" w:rsidRDefault="00B15A72" w:rsidP="009D7327">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Skills and Resources Used in the Event</w:t>
      </w:r>
    </w:p>
    <w:p w14:paraId="75C372BA" w14:textId="77777777" w:rsidR="00DE335A" w:rsidRDefault="00B15A72" w:rsidP="009D732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66153F95" w14:textId="77777777" w:rsidR="00DE335A" w:rsidRDefault="00B15A72" w:rsidP="009D7327">
      <w:pPr>
        <w:pStyle w:val="Heading2"/>
        <w:spacing w:before="0" w:after="0"/>
      </w:pPr>
      <w:bookmarkStart w:id="16" w:name="_Toc196762455"/>
      <w:r>
        <w:t>Proposed Event Practicalities</w:t>
      </w:r>
      <w:bookmarkEnd w:id="16"/>
    </w:p>
    <w:p w14:paraId="58351443" w14:textId="77777777" w:rsidR="00DE335A" w:rsidRDefault="00B15A72" w:rsidP="009D7327">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Event Budget</w:t>
      </w:r>
    </w:p>
    <w:p w14:paraId="07574614" w14:textId="77777777"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budget for the event is mentioned below. </w:t>
      </w:r>
    </w:p>
    <w:tbl>
      <w:tblPr>
        <w:tblStyle w:val="Table5"/>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1690"/>
        <w:gridCol w:w="4550"/>
      </w:tblGrid>
      <w:tr w:rsidR="00DE335A" w14:paraId="71164A7B" w14:textId="77777777" w:rsidTr="00D846C7">
        <w:trPr>
          <w:jc w:val="center"/>
        </w:trPr>
        <w:tc>
          <w:tcPr>
            <w:tcW w:w="3120" w:type="dxa"/>
            <w:shd w:val="clear" w:color="auto" w:fill="auto"/>
            <w:tcMar>
              <w:top w:w="100" w:type="dxa"/>
              <w:left w:w="100" w:type="dxa"/>
              <w:bottom w:w="100" w:type="dxa"/>
              <w:right w:w="100" w:type="dxa"/>
            </w:tcMar>
          </w:tcPr>
          <w:p w14:paraId="3A282AC8"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Budget Item</w:t>
            </w:r>
          </w:p>
        </w:tc>
        <w:tc>
          <w:tcPr>
            <w:tcW w:w="1690" w:type="dxa"/>
            <w:shd w:val="clear" w:color="auto" w:fill="auto"/>
            <w:tcMar>
              <w:top w:w="100" w:type="dxa"/>
              <w:left w:w="100" w:type="dxa"/>
              <w:bottom w:w="100" w:type="dxa"/>
              <w:right w:w="100" w:type="dxa"/>
            </w:tcMar>
          </w:tcPr>
          <w:p w14:paraId="31FE195E"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w:t>
            </w:r>
          </w:p>
        </w:tc>
        <w:tc>
          <w:tcPr>
            <w:tcW w:w="4550" w:type="dxa"/>
            <w:shd w:val="clear" w:color="auto" w:fill="auto"/>
            <w:tcMar>
              <w:top w:w="100" w:type="dxa"/>
              <w:left w:w="100" w:type="dxa"/>
              <w:bottom w:w="100" w:type="dxa"/>
              <w:right w:w="100" w:type="dxa"/>
            </w:tcMar>
          </w:tcPr>
          <w:p w14:paraId="7C1FF566"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r>
      <w:tr w:rsidR="00DE335A" w14:paraId="0D6BECDC" w14:textId="77777777" w:rsidTr="00D846C7">
        <w:trPr>
          <w:jc w:val="center"/>
        </w:trPr>
        <w:tc>
          <w:tcPr>
            <w:tcW w:w="3120" w:type="dxa"/>
            <w:shd w:val="clear" w:color="auto" w:fill="auto"/>
            <w:tcMar>
              <w:top w:w="100" w:type="dxa"/>
              <w:left w:w="100" w:type="dxa"/>
              <w:bottom w:w="100" w:type="dxa"/>
              <w:right w:w="100" w:type="dxa"/>
            </w:tcMar>
          </w:tcPr>
          <w:p w14:paraId="7F343768"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Venue Rental</w:t>
            </w:r>
          </w:p>
        </w:tc>
        <w:tc>
          <w:tcPr>
            <w:tcW w:w="1690" w:type="dxa"/>
            <w:shd w:val="clear" w:color="auto" w:fill="auto"/>
            <w:tcMar>
              <w:top w:w="100" w:type="dxa"/>
              <w:left w:w="100" w:type="dxa"/>
              <w:bottom w:w="100" w:type="dxa"/>
              <w:right w:w="100" w:type="dxa"/>
            </w:tcMar>
          </w:tcPr>
          <w:p w14:paraId="113E9230"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£2,500</w:t>
            </w:r>
          </w:p>
        </w:tc>
        <w:tc>
          <w:tcPr>
            <w:tcW w:w="4550" w:type="dxa"/>
            <w:shd w:val="clear" w:color="auto" w:fill="auto"/>
            <w:tcMar>
              <w:top w:w="100" w:type="dxa"/>
              <w:left w:w="100" w:type="dxa"/>
              <w:bottom w:w="100" w:type="dxa"/>
              <w:right w:w="100" w:type="dxa"/>
            </w:tcMar>
          </w:tcPr>
          <w:p w14:paraId="287AE33A" w14:textId="0D8239EA"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Ashton Gate Stadium charges for venue rental</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C13389">
              <w:rPr>
                <w:rFonts w:ascii="Times New Roman" w:eastAsia="Times New Roman" w:hAnsi="Times New Roman" w:cs="Times New Roman"/>
                <w:sz w:val="24"/>
                <w:szCs w:val="24"/>
              </w:rPr>
              <w:t>which includes</w:t>
            </w:r>
            <w:r>
              <w:rPr>
                <w:rFonts w:ascii="Times New Roman" w:eastAsia="Times New Roman" w:hAnsi="Times New Roman" w:cs="Times New Roman"/>
                <w:sz w:val="24"/>
                <w:szCs w:val="24"/>
              </w:rPr>
              <w:t xml:space="preserve"> necessary facilities and management support.</w:t>
            </w:r>
          </w:p>
        </w:tc>
      </w:tr>
      <w:tr w:rsidR="00DE335A" w14:paraId="4D5A41BC" w14:textId="77777777" w:rsidTr="00D846C7">
        <w:trPr>
          <w:jc w:val="center"/>
        </w:trPr>
        <w:tc>
          <w:tcPr>
            <w:tcW w:w="3120" w:type="dxa"/>
            <w:shd w:val="clear" w:color="auto" w:fill="auto"/>
            <w:tcMar>
              <w:top w:w="100" w:type="dxa"/>
              <w:left w:w="100" w:type="dxa"/>
              <w:bottom w:w="100" w:type="dxa"/>
              <w:right w:w="100" w:type="dxa"/>
            </w:tcMar>
          </w:tcPr>
          <w:p w14:paraId="006A5DA9"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Catering Costs</w:t>
            </w:r>
          </w:p>
        </w:tc>
        <w:tc>
          <w:tcPr>
            <w:tcW w:w="1690" w:type="dxa"/>
            <w:shd w:val="clear" w:color="auto" w:fill="auto"/>
            <w:tcMar>
              <w:top w:w="100" w:type="dxa"/>
              <w:left w:w="100" w:type="dxa"/>
              <w:bottom w:w="100" w:type="dxa"/>
              <w:right w:w="100" w:type="dxa"/>
            </w:tcMar>
          </w:tcPr>
          <w:p w14:paraId="0B97D68B"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c>
          <w:tcPr>
            <w:tcW w:w="4550" w:type="dxa"/>
            <w:shd w:val="clear" w:color="auto" w:fill="auto"/>
            <w:tcMar>
              <w:top w:w="100" w:type="dxa"/>
              <w:left w:w="100" w:type="dxa"/>
              <w:bottom w:w="100" w:type="dxa"/>
              <w:right w:w="100" w:type="dxa"/>
            </w:tcMar>
          </w:tcPr>
          <w:p w14:paraId="5B0E442C" w14:textId="1B05894C"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Estimated costs for food and beverages for 500 guests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ensuring a satisfactory dining experience.</w:t>
            </w:r>
          </w:p>
        </w:tc>
      </w:tr>
      <w:tr w:rsidR="00DE335A" w14:paraId="5B684DF5" w14:textId="77777777" w:rsidTr="00D846C7">
        <w:trPr>
          <w:jc w:val="center"/>
        </w:trPr>
        <w:tc>
          <w:tcPr>
            <w:tcW w:w="3120" w:type="dxa"/>
            <w:shd w:val="clear" w:color="auto" w:fill="auto"/>
            <w:tcMar>
              <w:top w:w="100" w:type="dxa"/>
              <w:left w:w="100" w:type="dxa"/>
              <w:bottom w:w="100" w:type="dxa"/>
              <w:right w:w="100" w:type="dxa"/>
            </w:tcMar>
          </w:tcPr>
          <w:p w14:paraId="1A98A11E" w14:textId="5675E234" w:rsidR="00DE335A" w:rsidRDefault="00C13389"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Expenses</w:t>
            </w:r>
          </w:p>
        </w:tc>
        <w:tc>
          <w:tcPr>
            <w:tcW w:w="1690" w:type="dxa"/>
            <w:shd w:val="clear" w:color="auto" w:fill="auto"/>
            <w:tcMar>
              <w:top w:w="100" w:type="dxa"/>
              <w:left w:w="100" w:type="dxa"/>
              <w:bottom w:w="100" w:type="dxa"/>
              <w:right w:w="100" w:type="dxa"/>
            </w:tcMar>
          </w:tcPr>
          <w:p w14:paraId="6C69AAE0"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4550" w:type="dxa"/>
            <w:shd w:val="clear" w:color="auto" w:fill="auto"/>
            <w:tcMar>
              <w:top w:w="100" w:type="dxa"/>
              <w:left w:w="100" w:type="dxa"/>
              <w:bottom w:w="100" w:type="dxa"/>
              <w:right w:w="100" w:type="dxa"/>
            </w:tcMar>
          </w:tcPr>
          <w:p w14:paraId="2CCD4F4F" w14:textId="65D87435"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Allocation for effective marketing campaigns with the segregation of social media promotions with print materials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local advertising. </w:t>
            </w:r>
          </w:p>
        </w:tc>
      </w:tr>
      <w:tr w:rsidR="00DE335A" w14:paraId="71E7CE17" w14:textId="77777777" w:rsidTr="00D846C7">
        <w:trPr>
          <w:jc w:val="center"/>
        </w:trPr>
        <w:tc>
          <w:tcPr>
            <w:tcW w:w="3120" w:type="dxa"/>
            <w:shd w:val="clear" w:color="auto" w:fill="auto"/>
            <w:tcMar>
              <w:top w:w="100" w:type="dxa"/>
              <w:left w:w="100" w:type="dxa"/>
              <w:bottom w:w="100" w:type="dxa"/>
              <w:right w:w="100" w:type="dxa"/>
            </w:tcMar>
          </w:tcPr>
          <w:p w14:paraId="4B839C0D"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Expenses</w:t>
            </w:r>
          </w:p>
        </w:tc>
        <w:tc>
          <w:tcPr>
            <w:tcW w:w="1690" w:type="dxa"/>
            <w:shd w:val="clear" w:color="auto" w:fill="auto"/>
            <w:tcMar>
              <w:top w:w="100" w:type="dxa"/>
              <w:left w:w="100" w:type="dxa"/>
              <w:bottom w:w="100" w:type="dxa"/>
              <w:right w:w="100" w:type="dxa"/>
            </w:tcMar>
          </w:tcPr>
          <w:p w14:paraId="130675B8"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w:t>
            </w:r>
          </w:p>
        </w:tc>
        <w:tc>
          <w:tcPr>
            <w:tcW w:w="4550" w:type="dxa"/>
            <w:shd w:val="clear" w:color="auto" w:fill="auto"/>
            <w:tcMar>
              <w:top w:w="100" w:type="dxa"/>
              <w:left w:w="100" w:type="dxa"/>
              <w:bottom w:w="100" w:type="dxa"/>
              <w:right w:w="100" w:type="dxa"/>
            </w:tcMar>
          </w:tcPr>
          <w:p w14:paraId="79DEC2E5" w14:textId="17B0F686"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costs for hiring and training approximately 20 staff members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covering event management and customer service roles.</w:t>
            </w:r>
          </w:p>
        </w:tc>
      </w:tr>
      <w:tr w:rsidR="00DE335A" w14:paraId="58B80288" w14:textId="77777777" w:rsidTr="00D846C7">
        <w:trPr>
          <w:jc w:val="center"/>
        </w:trPr>
        <w:tc>
          <w:tcPr>
            <w:tcW w:w="3120" w:type="dxa"/>
            <w:shd w:val="clear" w:color="auto" w:fill="auto"/>
            <w:tcMar>
              <w:top w:w="100" w:type="dxa"/>
              <w:left w:w="100" w:type="dxa"/>
              <w:bottom w:w="100" w:type="dxa"/>
              <w:right w:w="100" w:type="dxa"/>
            </w:tcMar>
          </w:tcPr>
          <w:p w14:paraId="64DA2EC8"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Decoration and Setup</w:t>
            </w:r>
          </w:p>
        </w:tc>
        <w:tc>
          <w:tcPr>
            <w:tcW w:w="1690" w:type="dxa"/>
            <w:shd w:val="clear" w:color="auto" w:fill="auto"/>
            <w:tcMar>
              <w:top w:w="100" w:type="dxa"/>
              <w:left w:w="100" w:type="dxa"/>
              <w:bottom w:w="100" w:type="dxa"/>
              <w:right w:w="100" w:type="dxa"/>
            </w:tcMar>
          </w:tcPr>
          <w:p w14:paraId="21419430"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c>
          <w:tcPr>
            <w:tcW w:w="4550" w:type="dxa"/>
            <w:shd w:val="clear" w:color="auto" w:fill="auto"/>
            <w:tcMar>
              <w:top w:w="100" w:type="dxa"/>
              <w:left w:w="100" w:type="dxa"/>
              <w:bottom w:w="100" w:type="dxa"/>
              <w:right w:w="100" w:type="dxa"/>
            </w:tcMar>
          </w:tcPr>
          <w:p w14:paraId="6BDEADA2"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Allocations for decorations with signage and setups enhance the venue's aesthetic appeal and thus create an engaging cultural display. </w:t>
            </w:r>
          </w:p>
        </w:tc>
      </w:tr>
      <w:tr w:rsidR="00DE335A" w14:paraId="4C0CF4F2" w14:textId="77777777" w:rsidTr="00D846C7">
        <w:trPr>
          <w:jc w:val="center"/>
        </w:trPr>
        <w:tc>
          <w:tcPr>
            <w:tcW w:w="3120" w:type="dxa"/>
            <w:shd w:val="clear" w:color="auto" w:fill="auto"/>
            <w:tcMar>
              <w:top w:w="100" w:type="dxa"/>
              <w:left w:w="100" w:type="dxa"/>
              <w:bottom w:w="100" w:type="dxa"/>
              <w:right w:w="100" w:type="dxa"/>
            </w:tcMar>
          </w:tcPr>
          <w:p w14:paraId="2645FDCA"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Estimated Cost</w:t>
            </w:r>
          </w:p>
        </w:tc>
        <w:tc>
          <w:tcPr>
            <w:tcW w:w="1690" w:type="dxa"/>
            <w:shd w:val="clear" w:color="auto" w:fill="auto"/>
            <w:tcMar>
              <w:top w:w="100" w:type="dxa"/>
              <w:left w:w="100" w:type="dxa"/>
              <w:bottom w:w="100" w:type="dxa"/>
              <w:right w:w="100" w:type="dxa"/>
            </w:tcMar>
          </w:tcPr>
          <w:p w14:paraId="6625F4D0"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 500</w:t>
            </w:r>
          </w:p>
        </w:tc>
        <w:tc>
          <w:tcPr>
            <w:tcW w:w="4550" w:type="dxa"/>
            <w:shd w:val="clear" w:color="auto" w:fill="auto"/>
            <w:tcMar>
              <w:top w:w="100" w:type="dxa"/>
              <w:left w:w="100" w:type="dxa"/>
              <w:bottom w:w="100" w:type="dxa"/>
              <w:right w:w="100" w:type="dxa"/>
            </w:tcMar>
          </w:tcPr>
          <w:p w14:paraId="592DC5E0" w14:textId="77777777" w:rsidR="00DE335A" w:rsidRDefault="00DE335A" w:rsidP="009D7327">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p>
        </w:tc>
      </w:tr>
    </w:tbl>
    <w:p w14:paraId="281DC833" w14:textId="77777777" w:rsidR="00DE335A" w:rsidRDefault="00B15A72" w:rsidP="009D7327">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 Event Budget</w:t>
      </w:r>
    </w:p>
    <w:p w14:paraId="19960FAA" w14:textId="77777777" w:rsidR="00DE335A" w:rsidRDefault="00B15A72" w:rsidP="009D732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2CE3BD02" w14:textId="77777777" w:rsidR="00DE335A" w:rsidRDefault="00B15A72" w:rsidP="009D7327">
      <w:pPr>
        <w:pStyle w:val="Heading2"/>
        <w:spacing w:before="0" w:after="0"/>
      </w:pPr>
      <w:bookmarkStart w:id="17" w:name="_Toc196762456"/>
      <w:r>
        <w:lastRenderedPageBreak/>
        <w:t>Operational Details</w:t>
      </w:r>
      <w:bookmarkEnd w:id="17"/>
    </w:p>
    <w:p w14:paraId="37D6BDCF" w14:textId="0B11F27F"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detail refers to the consideration of day-to-day activities and processes that are posed to be essential for running an event successfully. Here, the first key component is logistics management</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involving coordinating venue setup and catering services (Attanasio et al., 2022). Secondly, staffing is crucial for enabling well-defined roles for event managers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along with volunteers and security personnel</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to ensure smooth operations. Moreover, a timeline is to be established for outlining the key milestones and deadlines leading up to the event (Mair et al., 2023). Next comes effective communication among team members and stakeholders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is essential for rendering contingency planning and responding to any sort of unexpected challenges. </w:t>
      </w:r>
    </w:p>
    <w:p w14:paraId="443C7DFF" w14:textId="77777777" w:rsidR="00DE335A" w:rsidRDefault="00B15A72" w:rsidP="009D7327">
      <w:pPr>
        <w:pStyle w:val="Heading2"/>
        <w:spacing w:before="0" w:after="0"/>
      </w:pPr>
      <w:bookmarkStart w:id="18" w:name="_Toc196762457"/>
      <w:r>
        <w:t>Marketing Plans</w:t>
      </w:r>
      <w:bookmarkEnd w:id="18"/>
    </w:p>
    <w:p w14:paraId="5FBA8AA2" w14:textId="77777777"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plan for the vent requires utilisation of social media with local advertising and influencer partnerships. It also involves flyers and community engagement to fascinate diverse attendees. The detailed marketing plan is mentioned in the appendix.</w:t>
      </w:r>
    </w:p>
    <w:p w14:paraId="12655161" w14:textId="77777777" w:rsidR="00DE335A" w:rsidRDefault="00B15A72" w:rsidP="009D7327">
      <w:pPr>
        <w:pStyle w:val="Heading1"/>
        <w:spacing w:before="0" w:after="0"/>
      </w:pPr>
      <w:bookmarkStart w:id="19" w:name="_Toc196762458"/>
      <w:r>
        <w:t>Industry Trends/ Issues/ Impacts</w:t>
      </w:r>
      <w:bookmarkEnd w:id="19"/>
    </w:p>
    <w:p w14:paraId="53EFB8A0" w14:textId="77777777" w:rsidR="00DE335A" w:rsidRDefault="00B15A72" w:rsidP="009D7327">
      <w:pPr>
        <w:pStyle w:val="Heading2"/>
        <w:spacing w:before="0" w:after="0"/>
      </w:pPr>
      <w:bookmarkStart w:id="20" w:name="_Toc196762459"/>
      <w:r>
        <w:t>Highlighting the latest trends, issues and impacts linked to the event/meeting</w:t>
      </w:r>
      <w:bookmarkEnd w:id="20"/>
    </w:p>
    <w:p w14:paraId="2E8AA96B" w14:textId="062C53CB"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cultural events sector has seen increased interest in experiential marketing. This shift </w:t>
      </w:r>
      <w:r w:rsidR="00C13389">
        <w:rPr>
          <w:rFonts w:ascii="Times New Roman" w:eastAsia="Times New Roman" w:hAnsi="Times New Roman" w:cs="Times New Roman"/>
          <w:sz w:val="24"/>
          <w:szCs w:val="24"/>
        </w:rPr>
        <w:t>emphasises</w:t>
      </w:r>
      <w:r>
        <w:rPr>
          <w:rFonts w:ascii="Times New Roman" w:eastAsia="Times New Roman" w:hAnsi="Times New Roman" w:cs="Times New Roman"/>
          <w:sz w:val="24"/>
          <w:szCs w:val="24"/>
        </w:rPr>
        <w:t xml:space="preserve"> interactive features that allow the attendees to engage deeply with the exhibition. Sustainability in event planning is also gaining traction with a focus on environmentally friendly choices in catering and materials (</w:t>
      </w:r>
      <w:proofErr w:type="spellStart"/>
      <w:r>
        <w:rPr>
          <w:rFonts w:ascii="Times New Roman" w:eastAsia="Times New Roman" w:hAnsi="Times New Roman" w:cs="Times New Roman"/>
          <w:sz w:val="24"/>
          <w:szCs w:val="24"/>
        </w:rPr>
        <w:t>Bochkay</w:t>
      </w:r>
      <w:proofErr w:type="spellEnd"/>
      <w:r>
        <w:rPr>
          <w:rFonts w:ascii="Times New Roman" w:eastAsia="Times New Roman" w:hAnsi="Times New Roman" w:cs="Times New Roman"/>
          <w:sz w:val="24"/>
          <w:szCs w:val="24"/>
        </w:rPr>
        <w:t xml:space="preserve"> et al., 2025). In terms of </w:t>
      </w:r>
      <w:r w:rsidR="00C13389">
        <w:rPr>
          <w:rFonts w:ascii="Times New Roman" w:eastAsia="Times New Roman" w:hAnsi="Times New Roman" w:cs="Times New Roman"/>
          <w:sz w:val="24"/>
          <w:szCs w:val="24"/>
        </w:rPr>
        <w:t>issues, the</w:t>
      </w:r>
      <w:r>
        <w:rPr>
          <w:rFonts w:ascii="Times New Roman" w:eastAsia="Times New Roman" w:hAnsi="Times New Roman" w:cs="Times New Roman"/>
          <w:sz w:val="24"/>
          <w:szCs w:val="24"/>
        </w:rPr>
        <w:t xml:space="preserve"> event industry continues to face challenges like rising costs due to information and operational costs affecting the budget allocation for events. The impact of COVID-19 has shifted attendee expectations towards health and safety</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thereby necessitating measures to ensure a safe event experience (Wendt et al., 2022). The </w:t>
      </w:r>
      <w:r w:rsidR="00C13389">
        <w:rPr>
          <w:rFonts w:ascii="Times New Roman" w:eastAsia="Times New Roman" w:hAnsi="Times New Roman" w:cs="Times New Roman"/>
          <w:sz w:val="24"/>
          <w:szCs w:val="24"/>
        </w:rPr>
        <w:t>VintageCheer</w:t>
      </w:r>
      <w:r>
        <w:rPr>
          <w:rFonts w:ascii="Times New Roman" w:eastAsia="Times New Roman" w:hAnsi="Times New Roman" w:cs="Times New Roman"/>
          <w:sz w:val="24"/>
          <w:szCs w:val="24"/>
        </w:rPr>
        <w:t xml:space="preserve"> can leverage experimental traits by nurturing the attendees to take active </w:t>
      </w:r>
      <w:r>
        <w:rPr>
          <w:rFonts w:ascii="Times New Roman" w:eastAsia="Times New Roman" w:hAnsi="Times New Roman" w:cs="Times New Roman"/>
          <w:sz w:val="24"/>
          <w:szCs w:val="24"/>
        </w:rPr>
        <w:lastRenderedPageBreak/>
        <w:t xml:space="preserve">participation in workshops and hands-on cultural experiences that make it more appealing. Moreover, the utilisation of digital platforms for marketing and ticketing has broadened outreach and thus adjusted to new safety protocols. </w:t>
      </w:r>
    </w:p>
    <w:p w14:paraId="189238CD" w14:textId="1B3910F5" w:rsidR="00DE335A" w:rsidRDefault="00B15A72" w:rsidP="009D7327">
      <w:pPr>
        <w:pStyle w:val="Heading2"/>
        <w:spacing w:before="0" w:after="0"/>
      </w:pPr>
      <w:bookmarkStart w:id="21" w:name="_Toc196762460"/>
      <w:r>
        <w:t xml:space="preserve">Considering getting influenced by any of them </w:t>
      </w:r>
      <w:r w:rsidR="00C13389">
        <w:t>for</w:t>
      </w:r>
      <w:r>
        <w:t xml:space="preserve"> the meeting/event</w:t>
      </w:r>
      <w:bookmarkEnd w:id="21"/>
    </w:p>
    <w:p w14:paraId="3C99DC87" w14:textId="412AF4A7"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C13389">
        <w:rPr>
          <w:rFonts w:ascii="Times New Roman" w:eastAsia="Times New Roman" w:hAnsi="Times New Roman" w:cs="Times New Roman"/>
          <w:sz w:val="24"/>
          <w:szCs w:val="24"/>
        </w:rPr>
        <w:t>conduct</w:t>
      </w:r>
      <w:r>
        <w:rPr>
          <w:rFonts w:ascii="Times New Roman" w:eastAsia="Times New Roman" w:hAnsi="Times New Roman" w:cs="Times New Roman"/>
          <w:sz w:val="24"/>
          <w:szCs w:val="24"/>
        </w:rPr>
        <w:t xml:space="preserve"> of detailed research and analysis of the trends, issues and impacts </w:t>
      </w:r>
      <w:r w:rsidR="00C13389">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considered to be crucial for influencing the event to design, promote and resonate with the target audience. This is done to achieve its objectives in a sophisticated fashion (</w:t>
      </w:r>
      <w:proofErr w:type="spellStart"/>
      <w:r>
        <w:rPr>
          <w:rFonts w:ascii="Times New Roman" w:eastAsia="Times New Roman" w:hAnsi="Times New Roman" w:cs="Times New Roman"/>
          <w:sz w:val="24"/>
          <w:szCs w:val="24"/>
        </w:rPr>
        <w:t>Psarommatis</w:t>
      </w:r>
      <w:proofErr w:type="spellEnd"/>
      <w:r>
        <w:rPr>
          <w:rFonts w:ascii="Times New Roman" w:eastAsia="Times New Roman" w:hAnsi="Times New Roman" w:cs="Times New Roman"/>
          <w:sz w:val="24"/>
          <w:szCs w:val="24"/>
        </w:rPr>
        <w:t xml:space="preserve"> et al., 2022). As a result, this analysis needs to be ongoing events which are planned and implemented for responding to the environmental concerns of travel and logistics. </w:t>
      </w:r>
    </w:p>
    <w:p w14:paraId="75ADE887" w14:textId="42D07033" w:rsidR="00DE335A" w:rsidRDefault="00B15A72" w:rsidP="009D7327">
      <w:pPr>
        <w:pStyle w:val="Heading1"/>
        <w:spacing w:before="0" w:after="0"/>
      </w:pPr>
      <w:bookmarkStart w:id="22" w:name="_Toc196762461"/>
      <w:r>
        <w:t>Situational and Cultural Considerations</w:t>
      </w:r>
      <w:bookmarkEnd w:id="22"/>
    </w:p>
    <w:p w14:paraId="2BBE79CE" w14:textId="77777777" w:rsidR="00DE335A" w:rsidRDefault="00B15A72" w:rsidP="009D7327">
      <w:pPr>
        <w:pStyle w:val="Heading2"/>
        <w:spacing w:before="0" w:after="0"/>
      </w:pPr>
      <w:bookmarkStart w:id="23" w:name="_Toc196762462"/>
      <w:r>
        <w:t>Elucidating the wider situational and cultural considerations connected to the meeting/event</w:t>
      </w:r>
      <w:bookmarkEnd w:id="23"/>
    </w:p>
    <w:p w14:paraId="4553A9EE" w14:textId="21C9A052"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Cultural Exchange Exhibition needs to consider several situational and cultural aspects to create an authentic and respectful atmosphere. Firstly, understanding cultural sensitivity to the diverse backgrounds of artists and participants is crucial (Coelho et al., 2023). The representation of cultures needs to be accurate and respectful. This fosters a space in which the attendees feel valued and recognised. The engagement of cultural consultants for guidance on cultural expressions is beneficial. Secondly, ensuring accessibility for individuals with disabilities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followed by language barriers and other potential exclusionary factors</w:t>
      </w:r>
      <w:r w:rsidR="00C1338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is essential. This should be made to accommodate diverse needs and thus allow everyone to fully participate (De Giovanni, 2023). Local community engagement in the event promotes ownership and pride while </w:t>
      </w:r>
      <w:r w:rsidR="00C13389">
        <w:rPr>
          <w:rFonts w:ascii="Times New Roman" w:eastAsia="Times New Roman" w:hAnsi="Times New Roman" w:cs="Times New Roman"/>
          <w:sz w:val="24"/>
          <w:szCs w:val="24"/>
        </w:rPr>
        <w:t>honouring</w:t>
      </w:r>
      <w:r>
        <w:rPr>
          <w:rFonts w:ascii="Times New Roman" w:eastAsia="Times New Roman" w:hAnsi="Times New Roman" w:cs="Times New Roman"/>
          <w:sz w:val="24"/>
          <w:szCs w:val="24"/>
        </w:rPr>
        <w:t xml:space="preserve"> the significance of their cultural expressions must </w:t>
      </w:r>
      <w:r w:rsidR="00C13389">
        <w:rPr>
          <w:rFonts w:ascii="Times New Roman" w:eastAsia="Times New Roman" w:hAnsi="Times New Roman" w:cs="Times New Roman"/>
          <w:sz w:val="24"/>
          <w:szCs w:val="24"/>
        </w:rPr>
        <w:t>cultivate</w:t>
      </w:r>
      <w:r>
        <w:rPr>
          <w:rFonts w:ascii="Times New Roman" w:eastAsia="Times New Roman" w:hAnsi="Times New Roman" w:cs="Times New Roman"/>
          <w:sz w:val="24"/>
          <w:szCs w:val="24"/>
        </w:rPr>
        <w:t xml:space="preserve"> a sense of belonging among community members. </w:t>
      </w:r>
    </w:p>
    <w:p w14:paraId="35AADDFD" w14:textId="77777777" w:rsidR="00DE335A" w:rsidRDefault="00B15A72" w:rsidP="009D7327">
      <w:pPr>
        <w:pStyle w:val="Heading2"/>
        <w:spacing w:before="0" w:after="0"/>
      </w:pPr>
      <w:bookmarkStart w:id="24" w:name="_Toc196762463"/>
      <w:r>
        <w:lastRenderedPageBreak/>
        <w:t>Stating the reason for considering them</w:t>
      </w:r>
      <w:bookmarkEnd w:id="24"/>
    </w:p>
    <w:tbl>
      <w:tblPr>
        <w:tblStyle w:val="Table6"/>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E335A" w14:paraId="5D3BA3A2" w14:textId="77777777">
        <w:trPr>
          <w:jc w:val="center"/>
        </w:trPr>
        <w:tc>
          <w:tcPr>
            <w:tcW w:w="4680" w:type="dxa"/>
            <w:shd w:val="clear" w:color="auto" w:fill="auto"/>
            <w:tcMar>
              <w:top w:w="100" w:type="dxa"/>
              <w:left w:w="100" w:type="dxa"/>
              <w:bottom w:w="100" w:type="dxa"/>
              <w:right w:w="100" w:type="dxa"/>
            </w:tcMar>
          </w:tcPr>
          <w:p w14:paraId="7712F42B"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680" w:type="dxa"/>
            <w:shd w:val="clear" w:color="auto" w:fill="auto"/>
            <w:tcMar>
              <w:top w:w="100" w:type="dxa"/>
              <w:left w:w="100" w:type="dxa"/>
              <w:bottom w:w="100" w:type="dxa"/>
              <w:right w:w="100" w:type="dxa"/>
            </w:tcMar>
          </w:tcPr>
          <w:p w14:paraId="2D2E1DD8"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DE335A" w14:paraId="456EA9D9" w14:textId="77777777">
        <w:trPr>
          <w:jc w:val="center"/>
        </w:trPr>
        <w:tc>
          <w:tcPr>
            <w:tcW w:w="4680" w:type="dxa"/>
            <w:shd w:val="clear" w:color="auto" w:fill="auto"/>
            <w:tcMar>
              <w:top w:w="100" w:type="dxa"/>
              <w:left w:w="100" w:type="dxa"/>
              <w:bottom w:w="100" w:type="dxa"/>
              <w:right w:w="100" w:type="dxa"/>
            </w:tcMar>
          </w:tcPr>
          <w:p w14:paraId="54017895" w14:textId="77777777"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response for choosing them is that they form an inclusive event that resonates with a wider audience. Acknowledging the nuances of diverse cultures fosters respect and empathy. </w:t>
            </w:r>
          </w:p>
        </w:tc>
        <w:tc>
          <w:tcPr>
            <w:tcW w:w="4680" w:type="dxa"/>
            <w:shd w:val="clear" w:color="auto" w:fill="auto"/>
            <w:tcMar>
              <w:top w:w="100" w:type="dxa"/>
              <w:left w:w="100" w:type="dxa"/>
              <w:bottom w:w="100" w:type="dxa"/>
              <w:right w:w="100" w:type="dxa"/>
            </w:tcMar>
          </w:tcPr>
          <w:p w14:paraId="577BDA33" w14:textId="66594751"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true for the promotion of equality and inclusion. This commitment sometimes becomes problematic </w:t>
            </w:r>
            <w:r w:rsidR="00C13389">
              <w:rPr>
                <w:rFonts w:ascii="Times New Roman" w:eastAsia="Times New Roman" w:hAnsi="Times New Roman" w:cs="Times New Roman"/>
                <w:sz w:val="24"/>
                <w:szCs w:val="24"/>
              </w:rPr>
              <w:t>in enhancing</w:t>
            </w:r>
            <w:r>
              <w:rPr>
                <w:rFonts w:ascii="Times New Roman" w:eastAsia="Times New Roman" w:hAnsi="Times New Roman" w:cs="Times New Roman"/>
                <w:sz w:val="24"/>
                <w:szCs w:val="24"/>
              </w:rPr>
              <w:t xml:space="preserve"> the authenticity of the event and </w:t>
            </w:r>
            <w:r w:rsidR="00C13389">
              <w:rPr>
                <w:rFonts w:ascii="Times New Roman" w:eastAsia="Times New Roman" w:hAnsi="Times New Roman" w:cs="Times New Roman"/>
                <w:sz w:val="24"/>
                <w:szCs w:val="24"/>
              </w:rPr>
              <w:t>maximising</w:t>
            </w:r>
            <w:r>
              <w:rPr>
                <w:rFonts w:ascii="Times New Roman" w:eastAsia="Times New Roman" w:hAnsi="Times New Roman" w:cs="Times New Roman"/>
                <w:sz w:val="24"/>
                <w:szCs w:val="24"/>
              </w:rPr>
              <w:t xml:space="preserve"> its impact. </w:t>
            </w:r>
          </w:p>
        </w:tc>
      </w:tr>
      <w:tr w:rsidR="00DE335A" w14:paraId="51AADBCB" w14:textId="77777777">
        <w:trPr>
          <w:jc w:val="center"/>
        </w:trPr>
        <w:tc>
          <w:tcPr>
            <w:tcW w:w="4680" w:type="dxa"/>
            <w:shd w:val="clear" w:color="auto" w:fill="auto"/>
            <w:tcMar>
              <w:top w:w="100" w:type="dxa"/>
              <w:left w:w="100" w:type="dxa"/>
              <w:bottom w:w="100" w:type="dxa"/>
              <w:right w:w="100" w:type="dxa"/>
            </w:tcMar>
          </w:tcPr>
          <w:p w14:paraId="4176C312"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680" w:type="dxa"/>
            <w:shd w:val="clear" w:color="auto" w:fill="auto"/>
            <w:tcMar>
              <w:top w:w="100" w:type="dxa"/>
              <w:left w:w="100" w:type="dxa"/>
              <w:bottom w:w="100" w:type="dxa"/>
              <w:right w:w="100" w:type="dxa"/>
            </w:tcMar>
          </w:tcPr>
          <w:p w14:paraId="04267032" w14:textId="77777777" w:rsidR="00DE335A" w:rsidRDefault="00B15A72" w:rsidP="009D7327">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DE335A" w14:paraId="17B753FE" w14:textId="77777777">
        <w:trPr>
          <w:jc w:val="center"/>
        </w:trPr>
        <w:tc>
          <w:tcPr>
            <w:tcW w:w="4680" w:type="dxa"/>
            <w:shd w:val="clear" w:color="auto" w:fill="auto"/>
            <w:tcMar>
              <w:top w:w="100" w:type="dxa"/>
              <w:left w:w="100" w:type="dxa"/>
              <w:bottom w:w="100" w:type="dxa"/>
              <w:right w:w="100" w:type="dxa"/>
            </w:tcMar>
          </w:tcPr>
          <w:p w14:paraId="22BEEC57" w14:textId="104271BF"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Engaging actively with the community allows The VintageCheer to contribute effectively. This is done to construct bridges among different cultural </w:t>
            </w:r>
            <w:r w:rsidR="00C13389">
              <w:rPr>
                <w:rFonts w:ascii="Times New Roman" w:eastAsia="Times New Roman" w:hAnsi="Times New Roman" w:cs="Times New Roman"/>
                <w:sz w:val="24"/>
                <w:szCs w:val="24"/>
              </w:rPr>
              <w:t>groups (</w:t>
            </w:r>
            <w:r>
              <w:rPr>
                <w:rFonts w:ascii="Times New Roman" w:eastAsia="Times New Roman" w:hAnsi="Times New Roman" w:cs="Times New Roman"/>
                <w:sz w:val="24"/>
                <w:szCs w:val="24"/>
              </w:rPr>
              <w:t>Wickham et al., 2021).</w:t>
            </w:r>
          </w:p>
        </w:tc>
        <w:tc>
          <w:tcPr>
            <w:tcW w:w="4680" w:type="dxa"/>
            <w:shd w:val="clear" w:color="auto" w:fill="auto"/>
            <w:tcMar>
              <w:top w:w="100" w:type="dxa"/>
              <w:left w:w="100" w:type="dxa"/>
              <w:bottom w:w="100" w:type="dxa"/>
              <w:right w:w="100" w:type="dxa"/>
            </w:tcMar>
          </w:tcPr>
          <w:p w14:paraId="117D872C" w14:textId="143D263E"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harnesses an enriched dialogue on diversity. </w:t>
            </w:r>
            <w:r w:rsidR="00C13389">
              <w:rPr>
                <w:rFonts w:ascii="Times New Roman" w:eastAsia="Times New Roman" w:hAnsi="Times New Roman" w:cs="Times New Roman"/>
                <w:sz w:val="24"/>
                <w:szCs w:val="24"/>
              </w:rPr>
              <w:t xml:space="preserve">It proves to be a </w:t>
            </w:r>
            <w:r w:rsidR="00057284">
              <w:rPr>
                <w:rFonts w:ascii="Times New Roman" w:eastAsia="Times New Roman" w:hAnsi="Times New Roman" w:cs="Times New Roman"/>
                <w:sz w:val="24"/>
                <w:szCs w:val="24"/>
              </w:rPr>
              <w:t>serious</w:t>
            </w:r>
            <w:r w:rsidR="00C13389">
              <w:rPr>
                <w:rFonts w:ascii="Times New Roman" w:eastAsia="Times New Roman" w:hAnsi="Times New Roman" w:cs="Times New Roman"/>
                <w:sz w:val="24"/>
                <w:szCs w:val="24"/>
              </w:rPr>
              <w:t xml:space="preserve"> threat</w:t>
            </w:r>
            <w:r>
              <w:rPr>
                <w:rFonts w:ascii="Times New Roman" w:eastAsia="Times New Roman" w:hAnsi="Times New Roman" w:cs="Times New Roman"/>
                <w:sz w:val="24"/>
                <w:szCs w:val="24"/>
              </w:rPr>
              <w:t xml:space="preserve"> </w:t>
            </w:r>
            <w:r w:rsidR="00C13389">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the event </w:t>
            </w:r>
            <w:r w:rsidR="00057284">
              <w:rPr>
                <w:rFonts w:ascii="Times New Roman" w:eastAsia="Times New Roman" w:hAnsi="Times New Roman" w:cs="Times New Roman"/>
                <w:sz w:val="24"/>
                <w:szCs w:val="24"/>
              </w:rPr>
              <w:t xml:space="preserve">by hampering its </w:t>
            </w:r>
            <w:r>
              <w:rPr>
                <w:rFonts w:ascii="Times New Roman" w:eastAsia="Times New Roman" w:hAnsi="Times New Roman" w:cs="Times New Roman"/>
                <w:sz w:val="24"/>
                <w:szCs w:val="24"/>
              </w:rPr>
              <w:t>valuable asset for cultural appreciation and interaction</w:t>
            </w:r>
            <w:r w:rsidR="00057284">
              <w:rPr>
                <w:rFonts w:ascii="Times New Roman" w:eastAsia="Times New Roman" w:hAnsi="Times New Roman" w:cs="Times New Roman"/>
                <w:sz w:val="24"/>
                <w:szCs w:val="24"/>
              </w:rPr>
              <w:t xml:space="preserve"> (Mair and Smith,</w:t>
            </w:r>
            <w:r w:rsidR="00D846C7">
              <w:rPr>
                <w:rFonts w:ascii="Times New Roman" w:eastAsia="Times New Roman" w:hAnsi="Times New Roman" w:cs="Times New Roman"/>
                <w:sz w:val="24"/>
                <w:szCs w:val="24"/>
              </w:rPr>
              <w:t xml:space="preserve"> </w:t>
            </w:r>
            <w:r w:rsidR="00057284">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w:t>
            </w:r>
          </w:p>
        </w:tc>
      </w:tr>
    </w:tbl>
    <w:p w14:paraId="6F1DE2CE" w14:textId="77777777" w:rsidR="00DE335A" w:rsidRDefault="00B15A72" w:rsidP="009D7327">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6: SWOT Analysis</w:t>
      </w:r>
    </w:p>
    <w:p w14:paraId="6892E721" w14:textId="77777777" w:rsidR="00DE335A" w:rsidRDefault="00B15A72" w:rsidP="009D732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46E0A282" w14:textId="77777777" w:rsidR="00F8211C" w:rsidRDefault="00F8211C" w:rsidP="009D7327">
      <w:pPr>
        <w:pStyle w:val="Heading1"/>
        <w:spacing w:before="0" w:after="0"/>
      </w:pPr>
      <w:bookmarkStart w:id="25" w:name="_Toc196762464"/>
    </w:p>
    <w:p w14:paraId="420624B0" w14:textId="77777777" w:rsidR="00F8211C" w:rsidRDefault="00F8211C" w:rsidP="009D7327">
      <w:pPr>
        <w:pStyle w:val="Heading1"/>
        <w:spacing w:before="0" w:after="0"/>
      </w:pPr>
    </w:p>
    <w:p w14:paraId="6D5C367B" w14:textId="77777777" w:rsidR="00F8211C" w:rsidRDefault="00F8211C" w:rsidP="009D7327">
      <w:pPr>
        <w:pStyle w:val="Heading1"/>
        <w:spacing w:before="0" w:after="0"/>
      </w:pPr>
    </w:p>
    <w:p w14:paraId="08FD324E" w14:textId="77777777" w:rsidR="00F8211C" w:rsidRDefault="00F8211C" w:rsidP="009D7327">
      <w:pPr>
        <w:pStyle w:val="Heading1"/>
        <w:spacing w:before="0" w:after="0"/>
      </w:pPr>
    </w:p>
    <w:p w14:paraId="29CFFC2C" w14:textId="77777777" w:rsidR="00F8211C" w:rsidRDefault="00F8211C" w:rsidP="009D7327">
      <w:pPr>
        <w:pStyle w:val="Heading1"/>
        <w:spacing w:before="0" w:after="0"/>
      </w:pPr>
    </w:p>
    <w:p w14:paraId="66B9C536" w14:textId="44B689C4" w:rsidR="00DE335A" w:rsidRDefault="00B15A72" w:rsidP="009D7327">
      <w:pPr>
        <w:pStyle w:val="Heading1"/>
        <w:spacing w:before="0" w:after="0"/>
      </w:pPr>
      <w:r>
        <w:t>Conclusion</w:t>
      </w:r>
      <w:bookmarkEnd w:id="25"/>
    </w:p>
    <w:p w14:paraId="7FCF9BDA" w14:textId="2427E536" w:rsidR="00DE335A" w:rsidRDefault="00B15A72" w:rsidP="009D732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Cultural Exchange Exhibition </w:t>
      </w:r>
      <w:r w:rsidR="00057284">
        <w:rPr>
          <w:rFonts w:ascii="Times New Roman" w:eastAsia="Times New Roman" w:hAnsi="Times New Roman" w:cs="Times New Roman"/>
          <w:sz w:val="24"/>
          <w:szCs w:val="24"/>
        </w:rPr>
        <w:t>organised</w:t>
      </w:r>
      <w:r>
        <w:rPr>
          <w:rFonts w:ascii="Times New Roman" w:eastAsia="Times New Roman" w:hAnsi="Times New Roman" w:cs="Times New Roman"/>
          <w:sz w:val="24"/>
          <w:szCs w:val="24"/>
        </w:rPr>
        <w:t xml:space="preserve"> by The VintageCheer has </w:t>
      </w:r>
      <w:r w:rsidR="00057284">
        <w:rPr>
          <w:rFonts w:ascii="Times New Roman" w:eastAsia="Times New Roman" w:hAnsi="Times New Roman" w:cs="Times New Roman"/>
          <w:sz w:val="24"/>
          <w:szCs w:val="24"/>
        </w:rPr>
        <w:t>emerged</w:t>
      </w:r>
      <w:r>
        <w:rPr>
          <w:rFonts w:ascii="Times New Roman" w:eastAsia="Times New Roman" w:hAnsi="Times New Roman" w:cs="Times New Roman"/>
          <w:sz w:val="24"/>
          <w:szCs w:val="24"/>
        </w:rPr>
        <w:t xml:space="preserve"> to be a significant step towards promoting diversity, inclusion and equality. It has focused on cultural engagement and appreciation</w:t>
      </w:r>
      <w:r w:rsidR="0005728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making the event an exceptional platform for portraying artistic expression. It has also rendered a stringent dialogue for letting it be understood among the diversified communities. Fostering careful planning and management with a well-organised budget and awareness of current trends, this exhibition has stood to be the pioneer to leave a lasting impact on attendees. As a result, this has contributed meaningfully to the ongoing conversation surrounding cultural diversity and inclusivity. </w:t>
      </w:r>
      <w:r>
        <w:br w:type="page"/>
      </w:r>
    </w:p>
    <w:p w14:paraId="5A9B0855" w14:textId="77777777" w:rsidR="00DE335A" w:rsidRDefault="00B15A72" w:rsidP="009D7327">
      <w:pPr>
        <w:pStyle w:val="Heading1"/>
        <w:spacing w:before="0" w:after="0"/>
      </w:pPr>
      <w:bookmarkStart w:id="26" w:name="_Toc196762465"/>
      <w:r>
        <w:lastRenderedPageBreak/>
        <w:t>References</w:t>
      </w:r>
      <w:bookmarkEnd w:id="26"/>
    </w:p>
    <w:p w14:paraId="137E11D5" w14:textId="6A3C85DC" w:rsidR="00057284" w:rsidRPr="00057284" w:rsidRDefault="00057284" w:rsidP="009D7327">
      <w:pPr>
        <w:spacing w:line="480" w:lineRule="auto"/>
        <w:jc w:val="both"/>
        <w:rPr>
          <w:rFonts w:ascii="Times New Roman" w:eastAsia="Times New Roman" w:hAnsi="Times New Roman" w:cs="Times New Roman"/>
          <w:color w:val="222222"/>
          <w:sz w:val="24"/>
          <w:szCs w:val="24"/>
        </w:rPr>
      </w:pPr>
      <w:r w:rsidRPr="00057284">
        <w:rPr>
          <w:rFonts w:ascii="Times New Roman" w:eastAsia="Times New Roman" w:hAnsi="Times New Roman" w:cs="Times New Roman"/>
          <w:sz w:val="24"/>
          <w:szCs w:val="24"/>
        </w:rPr>
        <w:t xml:space="preserve">Advance HE, (2025). </w:t>
      </w:r>
      <w:r w:rsidRPr="00057284">
        <w:rPr>
          <w:rFonts w:ascii="Times New Roman" w:eastAsia="Times New Roman" w:hAnsi="Times New Roman" w:cs="Times New Roman"/>
          <w:i/>
          <w:sz w:val="24"/>
          <w:szCs w:val="24"/>
        </w:rPr>
        <w:t>Equality, Diversity and Inclusion Conference 2025: The sum of many parts: Embedding intersectionality in HE practice | Advance HE</w:t>
      </w:r>
      <w:r w:rsidRPr="00057284">
        <w:rPr>
          <w:rFonts w:ascii="Times New Roman" w:eastAsia="Times New Roman" w:hAnsi="Times New Roman" w:cs="Times New Roman"/>
          <w:sz w:val="24"/>
          <w:szCs w:val="24"/>
        </w:rPr>
        <w:t xml:space="preserve">. [online] Advance-he.ac.uk. Available at: </w:t>
      </w:r>
      <w:hyperlink r:id="rId7">
        <w:r w:rsidRPr="00057284">
          <w:rPr>
            <w:rFonts w:ascii="Times New Roman" w:eastAsia="Times New Roman" w:hAnsi="Times New Roman" w:cs="Times New Roman"/>
            <w:color w:val="1155CC"/>
            <w:sz w:val="24"/>
            <w:szCs w:val="24"/>
            <w:u w:val="single"/>
          </w:rPr>
          <w:t>https://www.advance-he.ac.uk/programmes-events/conferences/equality-diversity-and-inclusion-conference-2025</w:t>
        </w:r>
      </w:hyperlink>
      <w:r w:rsidRPr="00057284">
        <w:rPr>
          <w:rFonts w:ascii="Times New Roman" w:eastAsia="Times New Roman" w:hAnsi="Times New Roman" w:cs="Times New Roman"/>
          <w:color w:val="222222"/>
          <w:sz w:val="24"/>
          <w:szCs w:val="24"/>
        </w:rPr>
        <w:t xml:space="preserve">  [Accessed: 28 Apr. 2025].</w:t>
      </w:r>
    </w:p>
    <w:p w14:paraId="667ED73E" w14:textId="77777777" w:rsidR="00057284" w:rsidRPr="00057284" w:rsidRDefault="00057284" w:rsidP="009D7327">
      <w:pPr>
        <w:spacing w:line="480" w:lineRule="auto"/>
        <w:jc w:val="both"/>
        <w:rPr>
          <w:rFonts w:ascii="Times New Roman" w:eastAsia="Times New Roman" w:hAnsi="Times New Roman" w:cs="Times New Roman"/>
          <w:sz w:val="24"/>
          <w:szCs w:val="24"/>
        </w:rPr>
      </w:pPr>
      <w:proofErr w:type="spellStart"/>
      <w:r w:rsidRPr="00057284">
        <w:rPr>
          <w:rFonts w:ascii="Times New Roman" w:eastAsia="Times New Roman" w:hAnsi="Times New Roman" w:cs="Times New Roman"/>
          <w:sz w:val="24"/>
          <w:szCs w:val="24"/>
        </w:rPr>
        <w:t>Aheleroff</w:t>
      </w:r>
      <w:proofErr w:type="spellEnd"/>
      <w:r w:rsidRPr="00057284">
        <w:rPr>
          <w:rFonts w:ascii="Times New Roman" w:eastAsia="Times New Roman" w:hAnsi="Times New Roman" w:cs="Times New Roman"/>
          <w:sz w:val="24"/>
          <w:szCs w:val="24"/>
        </w:rPr>
        <w:t xml:space="preserve">, S., Huang, H., Xu, X. and Zhong, R.Y., (2022). Toward sustainability and resilience with Industry 4.0 and Industry 5.0. </w:t>
      </w:r>
      <w:r w:rsidRPr="00057284">
        <w:rPr>
          <w:rFonts w:ascii="Times New Roman" w:eastAsia="Times New Roman" w:hAnsi="Times New Roman" w:cs="Times New Roman"/>
          <w:i/>
          <w:sz w:val="24"/>
          <w:szCs w:val="24"/>
        </w:rPr>
        <w:t>Frontiers in Manufacturing Technology</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2</w:t>
      </w:r>
      <w:r w:rsidRPr="00057284">
        <w:rPr>
          <w:rFonts w:ascii="Times New Roman" w:eastAsia="Times New Roman" w:hAnsi="Times New Roman" w:cs="Times New Roman"/>
          <w:sz w:val="24"/>
          <w:szCs w:val="24"/>
        </w:rPr>
        <w:t>, p.951643.</w:t>
      </w:r>
    </w:p>
    <w:p w14:paraId="2B144E93" w14:textId="2EE83C2A"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t xml:space="preserve">ashtongatestadium, (2025). </w:t>
      </w:r>
      <w:r w:rsidRPr="00057284">
        <w:rPr>
          <w:rFonts w:ascii="Times New Roman" w:eastAsia="Times New Roman" w:hAnsi="Times New Roman" w:cs="Times New Roman"/>
          <w:i/>
          <w:sz w:val="24"/>
          <w:szCs w:val="24"/>
        </w:rPr>
        <w:t>Ashton Gate</w:t>
      </w:r>
      <w:r w:rsidRPr="00057284">
        <w:rPr>
          <w:rFonts w:ascii="Times New Roman" w:eastAsia="Times New Roman" w:hAnsi="Times New Roman" w:cs="Times New Roman"/>
          <w:sz w:val="24"/>
          <w:szCs w:val="24"/>
        </w:rPr>
        <w:t xml:space="preserve">. [Online] Available at: </w:t>
      </w:r>
      <w:hyperlink r:id="rId8">
        <w:r w:rsidRPr="00057284">
          <w:rPr>
            <w:rFonts w:ascii="Times New Roman" w:eastAsia="Times New Roman" w:hAnsi="Times New Roman" w:cs="Times New Roman"/>
            <w:color w:val="1155CC"/>
            <w:sz w:val="24"/>
            <w:szCs w:val="24"/>
            <w:u w:val="single"/>
          </w:rPr>
          <w:t>https://www.ashtongatestadium.co.uk/</w:t>
        </w:r>
      </w:hyperlink>
      <w:r w:rsidRPr="00057284">
        <w:rPr>
          <w:rFonts w:ascii="Times New Roman" w:eastAsia="Times New Roman" w:hAnsi="Times New Roman" w:cs="Times New Roman"/>
          <w:sz w:val="24"/>
          <w:szCs w:val="24"/>
        </w:rPr>
        <w:t xml:space="preserve">  [Accessed</w:t>
      </w:r>
      <w:r>
        <w:rPr>
          <w:rFonts w:ascii="Times New Roman" w:eastAsia="Times New Roman" w:hAnsi="Times New Roman" w:cs="Times New Roman"/>
          <w:sz w:val="24"/>
          <w:szCs w:val="24"/>
        </w:rPr>
        <w:t>:</w:t>
      </w:r>
      <w:r w:rsidRPr="00057284">
        <w:rPr>
          <w:rFonts w:ascii="Times New Roman" w:eastAsia="Times New Roman" w:hAnsi="Times New Roman" w:cs="Times New Roman"/>
          <w:sz w:val="24"/>
          <w:szCs w:val="24"/>
        </w:rPr>
        <w:t xml:space="preserve"> 28 Apr. 2025].</w:t>
      </w:r>
    </w:p>
    <w:p w14:paraId="45172A34" w14:textId="77777777"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t xml:space="preserve">Attanasio, G., </w:t>
      </w:r>
      <w:proofErr w:type="spellStart"/>
      <w:r w:rsidRPr="00057284">
        <w:rPr>
          <w:rFonts w:ascii="Times New Roman" w:eastAsia="Times New Roman" w:hAnsi="Times New Roman" w:cs="Times New Roman"/>
          <w:sz w:val="24"/>
          <w:szCs w:val="24"/>
        </w:rPr>
        <w:t>Preghenella</w:t>
      </w:r>
      <w:proofErr w:type="spellEnd"/>
      <w:r w:rsidRPr="00057284">
        <w:rPr>
          <w:rFonts w:ascii="Times New Roman" w:eastAsia="Times New Roman" w:hAnsi="Times New Roman" w:cs="Times New Roman"/>
          <w:sz w:val="24"/>
          <w:szCs w:val="24"/>
        </w:rPr>
        <w:t xml:space="preserve">, N., De Toni, A.F. and Battistella, C., (2022). Stakeholder engagement in business models for sustainability: The stakeholder value flow model for sustainable development. </w:t>
      </w:r>
      <w:r w:rsidRPr="00057284">
        <w:rPr>
          <w:rFonts w:ascii="Times New Roman" w:eastAsia="Times New Roman" w:hAnsi="Times New Roman" w:cs="Times New Roman"/>
          <w:i/>
          <w:sz w:val="24"/>
          <w:szCs w:val="24"/>
        </w:rPr>
        <w:t>Business Strategy and the Environment</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31</w:t>
      </w:r>
      <w:r w:rsidRPr="00057284">
        <w:rPr>
          <w:rFonts w:ascii="Times New Roman" w:eastAsia="Times New Roman" w:hAnsi="Times New Roman" w:cs="Times New Roman"/>
          <w:sz w:val="24"/>
          <w:szCs w:val="24"/>
        </w:rPr>
        <w:t>(3), pp.860-874.</w:t>
      </w:r>
    </w:p>
    <w:p w14:paraId="24BAEDB3" w14:textId="77777777" w:rsidR="00057284" w:rsidRPr="00057284" w:rsidRDefault="00057284" w:rsidP="009D7327">
      <w:pPr>
        <w:spacing w:line="480" w:lineRule="auto"/>
        <w:jc w:val="both"/>
        <w:rPr>
          <w:rFonts w:ascii="Times New Roman" w:eastAsia="Times New Roman" w:hAnsi="Times New Roman" w:cs="Times New Roman"/>
          <w:sz w:val="24"/>
          <w:szCs w:val="24"/>
        </w:rPr>
      </w:pPr>
      <w:proofErr w:type="spellStart"/>
      <w:r w:rsidRPr="00057284">
        <w:rPr>
          <w:rFonts w:ascii="Times New Roman" w:eastAsia="Times New Roman" w:hAnsi="Times New Roman" w:cs="Times New Roman"/>
          <w:sz w:val="24"/>
          <w:szCs w:val="24"/>
        </w:rPr>
        <w:t>Bochkay</w:t>
      </w:r>
      <w:proofErr w:type="spellEnd"/>
      <w:r w:rsidRPr="00057284">
        <w:rPr>
          <w:rFonts w:ascii="Times New Roman" w:eastAsia="Times New Roman" w:hAnsi="Times New Roman" w:cs="Times New Roman"/>
          <w:sz w:val="24"/>
          <w:szCs w:val="24"/>
        </w:rPr>
        <w:t xml:space="preserve">, K., Hales, J. and Serafeim, G., (2025). Disclosure standards and communication norms: Evidence of voluntary sustainability standards as a coordinating device for capital markets. </w:t>
      </w:r>
      <w:r w:rsidRPr="00057284">
        <w:rPr>
          <w:rFonts w:ascii="Times New Roman" w:eastAsia="Times New Roman" w:hAnsi="Times New Roman" w:cs="Times New Roman"/>
          <w:i/>
          <w:sz w:val="24"/>
          <w:szCs w:val="24"/>
        </w:rPr>
        <w:t>Review of Accounting Studies</w:t>
      </w:r>
      <w:r w:rsidRPr="00057284">
        <w:rPr>
          <w:rFonts w:ascii="Times New Roman" w:eastAsia="Times New Roman" w:hAnsi="Times New Roman" w:cs="Times New Roman"/>
          <w:sz w:val="24"/>
          <w:szCs w:val="24"/>
        </w:rPr>
        <w:t>, pp.1-44.</w:t>
      </w:r>
    </w:p>
    <w:p w14:paraId="323DB994" w14:textId="77777777"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t xml:space="preserve">Calver, J., </w:t>
      </w:r>
      <w:proofErr w:type="spellStart"/>
      <w:r w:rsidRPr="00057284">
        <w:rPr>
          <w:rFonts w:ascii="Times New Roman" w:eastAsia="Times New Roman" w:hAnsi="Times New Roman" w:cs="Times New Roman"/>
          <w:sz w:val="24"/>
          <w:szCs w:val="24"/>
        </w:rPr>
        <w:t>Dashper</w:t>
      </w:r>
      <w:proofErr w:type="spellEnd"/>
      <w:r w:rsidRPr="00057284">
        <w:rPr>
          <w:rFonts w:ascii="Times New Roman" w:eastAsia="Times New Roman" w:hAnsi="Times New Roman" w:cs="Times New Roman"/>
          <w:sz w:val="24"/>
          <w:szCs w:val="24"/>
        </w:rPr>
        <w:t xml:space="preserve">, K., Finkel, R., Fletcher, T., Lamond, I.R., May, E., Ormerod, N., Platt, L. and Sharp, B., (2025). The (in) visibility of equality, diversity, and inclusion research in events management journals. </w:t>
      </w:r>
      <w:r w:rsidRPr="00057284">
        <w:rPr>
          <w:rFonts w:ascii="Times New Roman" w:eastAsia="Times New Roman" w:hAnsi="Times New Roman" w:cs="Times New Roman"/>
          <w:i/>
          <w:sz w:val="24"/>
          <w:szCs w:val="24"/>
        </w:rPr>
        <w:t>Journal of Policy Research in Tourism, Leisure and Events</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17</w:t>
      </w:r>
      <w:r w:rsidRPr="00057284">
        <w:rPr>
          <w:rFonts w:ascii="Times New Roman" w:eastAsia="Times New Roman" w:hAnsi="Times New Roman" w:cs="Times New Roman"/>
          <w:sz w:val="24"/>
          <w:szCs w:val="24"/>
        </w:rPr>
        <w:t>(2), pp.424-448.</w:t>
      </w:r>
    </w:p>
    <w:p w14:paraId="05053C89" w14:textId="77777777"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t xml:space="preserve">Coelho, P., Bessa, C., Landeck, J. and Silva, C., (2023). Industry 5.0: The arising of a concept. </w:t>
      </w:r>
      <w:r w:rsidRPr="00057284">
        <w:rPr>
          <w:rFonts w:ascii="Times New Roman" w:eastAsia="Times New Roman" w:hAnsi="Times New Roman" w:cs="Times New Roman"/>
          <w:i/>
          <w:sz w:val="24"/>
          <w:szCs w:val="24"/>
        </w:rPr>
        <w:t>Procedia Computer Science</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217</w:t>
      </w:r>
      <w:r w:rsidRPr="00057284">
        <w:rPr>
          <w:rFonts w:ascii="Times New Roman" w:eastAsia="Times New Roman" w:hAnsi="Times New Roman" w:cs="Times New Roman"/>
          <w:sz w:val="24"/>
          <w:szCs w:val="24"/>
        </w:rPr>
        <w:t>, pp.1137-1144.</w:t>
      </w:r>
    </w:p>
    <w:p w14:paraId="34EFF81C" w14:textId="77777777"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t xml:space="preserve">De Giovanni, P., (2023). Sustainability of the Metaverse: A transition to Industry 5.0. </w:t>
      </w:r>
      <w:r w:rsidRPr="00057284">
        <w:rPr>
          <w:rFonts w:ascii="Times New Roman" w:eastAsia="Times New Roman" w:hAnsi="Times New Roman" w:cs="Times New Roman"/>
          <w:i/>
          <w:sz w:val="24"/>
          <w:szCs w:val="24"/>
        </w:rPr>
        <w:t>Sustainability</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15</w:t>
      </w:r>
      <w:r w:rsidRPr="00057284">
        <w:rPr>
          <w:rFonts w:ascii="Times New Roman" w:eastAsia="Times New Roman" w:hAnsi="Times New Roman" w:cs="Times New Roman"/>
          <w:sz w:val="24"/>
          <w:szCs w:val="24"/>
        </w:rPr>
        <w:t>(7), p.6079.</w:t>
      </w:r>
    </w:p>
    <w:p w14:paraId="750E27AE" w14:textId="77777777" w:rsidR="00057284" w:rsidRPr="00057284" w:rsidRDefault="00057284" w:rsidP="009D7327">
      <w:pPr>
        <w:spacing w:line="480" w:lineRule="auto"/>
        <w:jc w:val="both"/>
        <w:rPr>
          <w:rFonts w:ascii="Times New Roman" w:eastAsia="Times New Roman" w:hAnsi="Times New Roman" w:cs="Times New Roman"/>
          <w:sz w:val="24"/>
          <w:szCs w:val="24"/>
        </w:rPr>
      </w:pPr>
      <w:proofErr w:type="spellStart"/>
      <w:r w:rsidRPr="00057284">
        <w:rPr>
          <w:rFonts w:ascii="Times New Roman" w:eastAsia="Times New Roman" w:hAnsi="Times New Roman" w:cs="Times New Roman"/>
          <w:sz w:val="24"/>
          <w:szCs w:val="24"/>
        </w:rPr>
        <w:lastRenderedPageBreak/>
        <w:t>Elalfy</w:t>
      </w:r>
      <w:proofErr w:type="spellEnd"/>
      <w:r w:rsidRPr="00057284">
        <w:rPr>
          <w:rFonts w:ascii="Times New Roman" w:eastAsia="Times New Roman" w:hAnsi="Times New Roman" w:cs="Times New Roman"/>
          <w:sz w:val="24"/>
          <w:szCs w:val="24"/>
        </w:rPr>
        <w:t xml:space="preserve">, A., Weber, O. and </w:t>
      </w:r>
      <w:proofErr w:type="spellStart"/>
      <w:r w:rsidRPr="00057284">
        <w:rPr>
          <w:rFonts w:ascii="Times New Roman" w:eastAsia="Times New Roman" w:hAnsi="Times New Roman" w:cs="Times New Roman"/>
          <w:sz w:val="24"/>
          <w:szCs w:val="24"/>
        </w:rPr>
        <w:t>Geobey</w:t>
      </w:r>
      <w:proofErr w:type="spellEnd"/>
      <w:r w:rsidRPr="00057284">
        <w:rPr>
          <w:rFonts w:ascii="Times New Roman" w:eastAsia="Times New Roman" w:hAnsi="Times New Roman" w:cs="Times New Roman"/>
          <w:sz w:val="24"/>
          <w:szCs w:val="24"/>
        </w:rPr>
        <w:t xml:space="preserve">, S., (2021). The Sustainable Development Goals (SDGs): a rising tide lifts all boats? Global reporting implications in a post SDGs world. </w:t>
      </w:r>
      <w:r w:rsidRPr="00057284">
        <w:rPr>
          <w:rFonts w:ascii="Times New Roman" w:eastAsia="Times New Roman" w:hAnsi="Times New Roman" w:cs="Times New Roman"/>
          <w:i/>
          <w:sz w:val="24"/>
          <w:szCs w:val="24"/>
        </w:rPr>
        <w:t>Journal of Applied Accounting Research</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22</w:t>
      </w:r>
      <w:r w:rsidRPr="00057284">
        <w:rPr>
          <w:rFonts w:ascii="Times New Roman" w:eastAsia="Times New Roman" w:hAnsi="Times New Roman" w:cs="Times New Roman"/>
          <w:sz w:val="24"/>
          <w:szCs w:val="24"/>
        </w:rPr>
        <w:t>(3), pp.557-575.</w:t>
      </w:r>
    </w:p>
    <w:p w14:paraId="3B15326D" w14:textId="77777777" w:rsidR="00057284" w:rsidRPr="00057284" w:rsidRDefault="00057284" w:rsidP="009D7327">
      <w:pPr>
        <w:spacing w:line="480" w:lineRule="auto"/>
        <w:jc w:val="both"/>
        <w:rPr>
          <w:rFonts w:ascii="Times New Roman" w:eastAsia="Times New Roman" w:hAnsi="Times New Roman" w:cs="Times New Roman"/>
          <w:color w:val="222222"/>
          <w:sz w:val="24"/>
          <w:szCs w:val="24"/>
        </w:rPr>
      </w:pPr>
      <w:r w:rsidRPr="00057284">
        <w:rPr>
          <w:rFonts w:ascii="Times New Roman" w:eastAsia="Times New Roman" w:hAnsi="Times New Roman" w:cs="Times New Roman"/>
          <w:sz w:val="24"/>
          <w:szCs w:val="24"/>
        </w:rPr>
        <w:t xml:space="preserve">EventBrite, (2025). </w:t>
      </w:r>
      <w:r w:rsidRPr="00057284">
        <w:rPr>
          <w:rFonts w:ascii="Times New Roman" w:eastAsia="Times New Roman" w:hAnsi="Times New Roman" w:cs="Times New Roman"/>
          <w:i/>
          <w:sz w:val="24"/>
          <w:szCs w:val="24"/>
        </w:rPr>
        <w:t>Equality, Equity, Diversity and Inclusion (EEDI)</w:t>
      </w:r>
      <w:r w:rsidRPr="00057284">
        <w:rPr>
          <w:rFonts w:ascii="Times New Roman" w:eastAsia="Times New Roman" w:hAnsi="Times New Roman" w:cs="Times New Roman"/>
          <w:sz w:val="24"/>
          <w:szCs w:val="24"/>
        </w:rPr>
        <w:t xml:space="preserve">. [online] Eventbrite. Available at: </w:t>
      </w:r>
      <w:hyperlink r:id="rId9">
        <w:r w:rsidRPr="00057284">
          <w:rPr>
            <w:rFonts w:ascii="Times New Roman" w:eastAsia="Times New Roman" w:hAnsi="Times New Roman" w:cs="Times New Roman"/>
            <w:color w:val="1155CC"/>
            <w:sz w:val="24"/>
            <w:szCs w:val="24"/>
            <w:u w:val="single"/>
          </w:rPr>
          <w:t>https://www.eventbrite.co.uk/e/equality-equity-diversity-and-inclusion-eedi-tickets-1109235195329</w:t>
        </w:r>
      </w:hyperlink>
      <w:r w:rsidRPr="00057284">
        <w:rPr>
          <w:rFonts w:ascii="Times New Roman" w:eastAsia="Times New Roman" w:hAnsi="Times New Roman" w:cs="Times New Roman"/>
          <w:color w:val="222222"/>
          <w:sz w:val="24"/>
          <w:szCs w:val="24"/>
        </w:rPr>
        <w:t xml:space="preserve">  [Accessed: 28 Apr. 2025].</w:t>
      </w:r>
    </w:p>
    <w:p w14:paraId="373C4EF3" w14:textId="77777777" w:rsidR="00057284" w:rsidRPr="00057284" w:rsidRDefault="00057284" w:rsidP="009D7327">
      <w:pPr>
        <w:spacing w:line="480" w:lineRule="auto"/>
        <w:jc w:val="both"/>
        <w:rPr>
          <w:rFonts w:ascii="Times New Roman" w:eastAsia="Times New Roman" w:hAnsi="Times New Roman" w:cs="Times New Roman"/>
          <w:color w:val="222222"/>
          <w:sz w:val="24"/>
          <w:szCs w:val="24"/>
        </w:rPr>
      </w:pPr>
      <w:r w:rsidRPr="00057284">
        <w:rPr>
          <w:rFonts w:ascii="Times New Roman" w:eastAsia="Times New Roman" w:hAnsi="Times New Roman" w:cs="Times New Roman"/>
          <w:sz w:val="24"/>
          <w:szCs w:val="24"/>
        </w:rPr>
        <w:t xml:space="preserve">Jones-Evans, D., (2022). </w:t>
      </w:r>
      <w:r w:rsidRPr="00057284">
        <w:rPr>
          <w:rFonts w:ascii="Times New Roman" w:eastAsia="Times New Roman" w:hAnsi="Times New Roman" w:cs="Times New Roman"/>
          <w:i/>
          <w:sz w:val="24"/>
          <w:szCs w:val="24"/>
        </w:rPr>
        <w:t>The huge economic impact of the UK’s event industry</w:t>
      </w:r>
      <w:r w:rsidRPr="00057284">
        <w:rPr>
          <w:rFonts w:ascii="Times New Roman" w:eastAsia="Times New Roman" w:hAnsi="Times New Roman" w:cs="Times New Roman"/>
          <w:sz w:val="24"/>
          <w:szCs w:val="24"/>
        </w:rPr>
        <w:t xml:space="preserve">. [online] Business Live. Available at: </w:t>
      </w:r>
      <w:hyperlink r:id="rId10">
        <w:r w:rsidRPr="00057284">
          <w:rPr>
            <w:rFonts w:ascii="Times New Roman" w:eastAsia="Times New Roman" w:hAnsi="Times New Roman" w:cs="Times New Roman"/>
            <w:color w:val="1155CC"/>
            <w:sz w:val="24"/>
            <w:szCs w:val="24"/>
            <w:u w:val="single"/>
          </w:rPr>
          <w:t>https://www.business-live.co.uk/opinion-analysis/huge-economic-impact-uks-event-23563660</w:t>
        </w:r>
      </w:hyperlink>
      <w:r w:rsidRPr="00057284">
        <w:rPr>
          <w:rFonts w:ascii="Times New Roman" w:eastAsia="Times New Roman" w:hAnsi="Times New Roman" w:cs="Times New Roman"/>
          <w:color w:val="222222"/>
          <w:sz w:val="24"/>
          <w:szCs w:val="24"/>
        </w:rPr>
        <w:t xml:space="preserve">  [Accessed: 28 Apr. 2025].</w:t>
      </w:r>
    </w:p>
    <w:p w14:paraId="1FAD8178" w14:textId="77777777"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t xml:space="preserve">Mair, J. and Smith, A., (2022). Events and sustainability: why making events more sustainable is not enough. In </w:t>
      </w:r>
      <w:r w:rsidRPr="00057284">
        <w:rPr>
          <w:rFonts w:ascii="Times New Roman" w:eastAsia="Times New Roman" w:hAnsi="Times New Roman" w:cs="Times New Roman"/>
          <w:i/>
          <w:sz w:val="24"/>
          <w:szCs w:val="24"/>
        </w:rPr>
        <w:t>Events and Sustainability</w:t>
      </w:r>
      <w:r w:rsidRPr="00057284">
        <w:rPr>
          <w:rFonts w:ascii="Times New Roman" w:eastAsia="Times New Roman" w:hAnsi="Times New Roman" w:cs="Times New Roman"/>
          <w:sz w:val="24"/>
          <w:szCs w:val="24"/>
        </w:rPr>
        <w:t xml:space="preserve"> (pp. 1-17). Routledge.</w:t>
      </w:r>
    </w:p>
    <w:p w14:paraId="5E4C8D1E" w14:textId="77777777"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t xml:space="preserve">Mair, J., Chien, P.M., Kelly, S.J. and Derrington, S., (2023). Social impacts of mega-events: A systematic narrative review and research agenda. </w:t>
      </w:r>
      <w:r w:rsidRPr="00057284">
        <w:rPr>
          <w:rFonts w:ascii="Times New Roman" w:eastAsia="Times New Roman" w:hAnsi="Times New Roman" w:cs="Times New Roman"/>
          <w:i/>
          <w:sz w:val="24"/>
          <w:szCs w:val="24"/>
        </w:rPr>
        <w:t>Methodological Advancements in Social Impacts of Tourism Research</w:t>
      </w:r>
      <w:r w:rsidRPr="00057284">
        <w:rPr>
          <w:rFonts w:ascii="Times New Roman" w:eastAsia="Times New Roman" w:hAnsi="Times New Roman" w:cs="Times New Roman"/>
          <w:sz w:val="24"/>
          <w:szCs w:val="24"/>
        </w:rPr>
        <w:t>, pp.140-162.</w:t>
      </w:r>
    </w:p>
    <w:p w14:paraId="39CE9E67" w14:textId="77777777" w:rsidR="00057284" w:rsidRPr="00057284" w:rsidRDefault="00057284" w:rsidP="009D7327">
      <w:pPr>
        <w:spacing w:line="480" w:lineRule="auto"/>
        <w:jc w:val="both"/>
        <w:rPr>
          <w:rFonts w:ascii="Times New Roman" w:eastAsia="Times New Roman" w:hAnsi="Times New Roman" w:cs="Times New Roman"/>
          <w:sz w:val="24"/>
          <w:szCs w:val="24"/>
        </w:rPr>
      </w:pPr>
      <w:proofErr w:type="spellStart"/>
      <w:r w:rsidRPr="00057284">
        <w:rPr>
          <w:rFonts w:ascii="Times New Roman" w:eastAsia="Times New Roman" w:hAnsi="Times New Roman" w:cs="Times New Roman"/>
          <w:sz w:val="24"/>
          <w:szCs w:val="24"/>
        </w:rPr>
        <w:t>Psarommatis</w:t>
      </w:r>
      <w:proofErr w:type="spellEnd"/>
      <w:r w:rsidRPr="00057284">
        <w:rPr>
          <w:rFonts w:ascii="Times New Roman" w:eastAsia="Times New Roman" w:hAnsi="Times New Roman" w:cs="Times New Roman"/>
          <w:sz w:val="24"/>
          <w:szCs w:val="24"/>
        </w:rPr>
        <w:t xml:space="preserve">, F., Sousa, J., Mendonça, J.P. and Kiritsis, D., (2022). Zero-defect manufacturing the approach for higher manufacturing sustainability in the era of industry 4.0: a position paper. </w:t>
      </w:r>
      <w:r w:rsidRPr="00057284">
        <w:rPr>
          <w:rFonts w:ascii="Times New Roman" w:eastAsia="Times New Roman" w:hAnsi="Times New Roman" w:cs="Times New Roman"/>
          <w:i/>
          <w:sz w:val="24"/>
          <w:szCs w:val="24"/>
        </w:rPr>
        <w:t>International Journal of Production Research</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60</w:t>
      </w:r>
      <w:r w:rsidRPr="00057284">
        <w:rPr>
          <w:rFonts w:ascii="Times New Roman" w:eastAsia="Times New Roman" w:hAnsi="Times New Roman" w:cs="Times New Roman"/>
          <w:sz w:val="24"/>
          <w:szCs w:val="24"/>
        </w:rPr>
        <w:t>(1), pp.73-91.</w:t>
      </w:r>
    </w:p>
    <w:p w14:paraId="469F9B7A" w14:textId="77777777" w:rsidR="00057284" w:rsidRPr="00057284" w:rsidRDefault="00057284" w:rsidP="009D7327">
      <w:pPr>
        <w:spacing w:line="480" w:lineRule="auto"/>
        <w:jc w:val="both"/>
        <w:rPr>
          <w:rFonts w:ascii="Times New Roman" w:eastAsia="Times New Roman" w:hAnsi="Times New Roman" w:cs="Times New Roman"/>
          <w:color w:val="222222"/>
          <w:sz w:val="24"/>
          <w:szCs w:val="24"/>
        </w:rPr>
      </w:pPr>
      <w:r w:rsidRPr="00057284">
        <w:rPr>
          <w:rFonts w:ascii="Times New Roman" w:eastAsia="Times New Roman" w:hAnsi="Times New Roman" w:cs="Times New Roman"/>
          <w:sz w:val="24"/>
          <w:szCs w:val="24"/>
        </w:rPr>
        <w:t xml:space="preserve">Statista, (2024). </w:t>
      </w:r>
      <w:r w:rsidRPr="00057284">
        <w:rPr>
          <w:rFonts w:ascii="Times New Roman" w:eastAsia="Times New Roman" w:hAnsi="Times New Roman" w:cs="Times New Roman"/>
          <w:i/>
          <w:sz w:val="24"/>
          <w:szCs w:val="24"/>
        </w:rPr>
        <w:t>Business event market volume in the UK 2010 to 2021</w:t>
      </w:r>
      <w:r w:rsidRPr="00057284">
        <w:rPr>
          <w:rFonts w:ascii="Times New Roman" w:eastAsia="Times New Roman" w:hAnsi="Times New Roman" w:cs="Times New Roman"/>
          <w:sz w:val="24"/>
          <w:szCs w:val="24"/>
        </w:rPr>
        <w:t xml:space="preserve">. [online] Statista. Available at: </w:t>
      </w:r>
      <w:hyperlink r:id="rId11">
        <w:r w:rsidRPr="00057284">
          <w:rPr>
            <w:rFonts w:ascii="Times New Roman" w:eastAsia="Times New Roman" w:hAnsi="Times New Roman" w:cs="Times New Roman"/>
            <w:color w:val="1155CC"/>
            <w:sz w:val="24"/>
            <w:szCs w:val="24"/>
            <w:u w:val="single"/>
          </w:rPr>
          <w:t>https://www.statista.com/statistics/558074/business-event-market-volume-united-kingdom-uk/</w:t>
        </w:r>
      </w:hyperlink>
      <w:r w:rsidRPr="00057284">
        <w:rPr>
          <w:rFonts w:ascii="Times New Roman" w:eastAsia="Times New Roman" w:hAnsi="Times New Roman" w:cs="Times New Roman"/>
          <w:color w:val="222222"/>
          <w:sz w:val="24"/>
          <w:szCs w:val="24"/>
        </w:rPr>
        <w:t xml:space="preserve">  [Accessed: 28 Apr. 2025].</w:t>
      </w:r>
    </w:p>
    <w:p w14:paraId="741C6ACA" w14:textId="77777777" w:rsidR="00057284" w:rsidRPr="00057284" w:rsidRDefault="00057284" w:rsidP="009D7327">
      <w:pPr>
        <w:spacing w:line="480" w:lineRule="auto"/>
        <w:jc w:val="both"/>
        <w:rPr>
          <w:rFonts w:ascii="Times New Roman" w:eastAsia="Times New Roman" w:hAnsi="Times New Roman" w:cs="Times New Roman"/>
          <w:color w:val="222222"/>
          <w:sz w:val="24"/>
          <w:szCs w:val="24"/>
        </w:rPr>
      </w:pPr>
      <w:r w:rsidRPr="00057284">
        <w:rPr>
          <w:rFonts w:ascii="Times New Roman" w:eastAsia="Times New Roman" w:hAnsi="Times New Roman" w:cs="Times New Roman"/>
          <w:sz w:val="24"/>
          <w:szCs w:val="24"/>
        </w:rPr>
        <w:t xml:space="preserve">Thakur, D., Kadam, A. and Deshmukh, R., (2022). </w:t>
      </w:r>
      <w:r w:rsidRPr="00057284">
        <w:rPr>
          <w:rFonts w:ascii="Times New Roman" w:eastAsia="Times New Roman" w:hAnsi="Times New Roman" w:cs="Times New Roman"/>
          <w:i/>
          <w:sz w:val="24"/>
          <w:szCs w:val="24"/>
        </w:rPr>
        <w:t>Allied Market Research</w:t>
      </w:r>
      <w:r w:rsidRPr="00057284">
        <w:rPr>
          <w:rFonts w:ascii="Times New Roman" w:eastAsia="Times New Roman" w:hAnsi="Times New Roman" w:cs="Times New Roman"/>
          <w:sz w:val="24"/>
          <w:szCs w:val="24"/>
        </w:rPr>
        <w:t xml:space="preserve">. [online] Alliedmarketresearch.com. Available at: </w:t>
      </w:r>
      <w:hyperlink r:id="rId12">
        <w:r w:rsidRPr="00057284">
          <w:rPr>
            <w:rFonts w:ascii="Times New Roman" w:eastAsia="Times New Roman" w:hAnsi="Times New Roman" w:cs="Times New Roman"/>
            <w:color w:val="1155CC"/>
            <w:sz w:val="24"/>
            <w:szCs w:val="24"/>
            <w:u w:val="single"/>
          </w:rPr>
          <w:t>https://www.alliedmarketresearch.com/events-industry-market</w:t>
        </w:r>
      </w:hyperlink>
      <w:r w:rsidRPr="00057284">
        <w:rPr>
          <w:rFonts w:ascii="Times New Roman" w:eastAsia="Times New Roman" w:hAnsi="Times New Roman" w:cs="Times New Roman"/>
          <w:color w:val="222222"/>
          <w:sz w:val="24"/>
          <w:szCs w:val="24"/>
        </w:rPr>
        <w:t xml:space="preserve">  [Accessed: 28 Apr. 2025].</w:t>
      </w:r>
    </w:p>
    <w:p w14:paraId="0139AE90" w14:textId="77777777"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lastRenderedPageBreak/>
        <w:t xml:space="preserve">Velte, P., (2023). Which institutional investors drive corporate sustainability? A systematic literature review. </w:t>
      </w:r>
      <w:r w:rsidRPr="00057284">
        <w:rPr>
          <w:rFonts w:ascii="Times New Roman" w:eastAsia="Times New Roman" w:hAnsi="Times New Roman" w:cs="Times New Roman"/>
          <w:i/>
          <w:sz w:val="24"/>
          <w:szCs w:val="24"/>
        </w:rPr>
        <w:t>Business Strategy and the Environment</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32</w:t>
      </w:r>
      <w:r w:rsidRPr="00057284">
        <w:rPr>
          <w:rFonts w:ascii="Times New Roman" w:eastAsia="Times New Roman" w:hAnsi="Times New Roman" w:cs="Times New Roman"/>
          <w:sz w:val="24"/>
          <w:szCs w:val="24"/>
        </w:rPr>
        <w:t>(1), pp.42-71.</w:t>
      </w:r>
    </w:p>
    <w:p w14:paraId="1CEA8270" w14:textId="77777777"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t xml:space="preserve">Wendt, C., Adam, M., </w:t>
      </w:r>
      <w:proofErr w:type="spellStart"/>
      <w:r w:rsidRPr="00057284">
        <w:rPr>
          <w:rFonts w:ascii="Times New Roman" w:eastAsia="Times New Roman" w:hAnsi="Times New Roman" w:cs="Times New Roman"/>
          <w:sz w:val="24"/>
          <w:szCs w:val="24"/>
        </w:rPr>
        <w:t>Benlian</w:t>
      </w:r>
      <w:proofErr w:type="spellEnd"/>
      <w:r w:rsidRPr="00057284">
        <w:rPr>
          <w:rFonts w:ascii="Times New Roman" w:eastAsia="Times New Roman" w:hAnsi="Times New Roman" w:cs="Times New Roman"/>
          <w:sz w:val="24"/>
          <w:szCs w:val="24"/>
        </w:rPr>
        <w:t xml:space="preserve">, A. and Kraus, S., (2022). Let’s connect to keep the distance: How SMEs leverage information and communication technologies to address the COVID-19 crisis. </w:t>
      </w:r>
      <w:r w:rsidRPr="00057284">
        <w:rPr>
          <w:rFonts w:ascii="Times New Roman" w:eastAsia="Times New Roman" w:hAnsi="Times New Roman" w:cs="Times New Roman"/>
          <w:i/>
          <w:sz w:val="24"/>
          <w:szCs w:val="24"/>
        </w:rPr>
        <w:t>Information Systems Frontiers</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24</w:t>
      </w:r>
      <w:r w:rsidRPr="00057284">
        <w:rPr>
          <w:rFonts w:ascii="Times New Roman" w:eastAsia="Times New Roman" w:hAnsi="Times New Roman" w:cs="Times New Roman"/>
          <w:sz w:val="24"/>
          <w:szCs w:val="24"/>
        </w:rPr>
        <w:t>(4), pp.1061-1079.</w:t>
      </w:r>
    </w:p>
    <w:p w14:paraId="6B9AB809" w14:textId="77777777"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t xml:space="preserve">Wickham, M., Donnelly, T. and French, L., (2021). Strategic sustainability management in the event sector. </w:t>
      </w:r>
      <w:r w:rsidRPr="00057284">
        <w:rPr>
          <w:rFonts w:ascii="Times New Roman" w:eastAsia="Times New Roman" w:hAnsi="Times New Roman" w:cs="Times New Roman"/>
          <w:i/>
          <w:sz w:val="24"/>
          <w:szCs w:val="24"/>
        </w:rPr>
        <w:t>Event Management</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25</w:t>
      </w:r>
      <w:r w:rsidRPr="00057284">
        <w:rPr>
          <w:rFonts w:ascii="Times New Roman" w:eastAsia="Times New Roman" w:hAnsi="Times New Roman" w:cs="Times New Roman"/>
          <w:sz w:val="24"/>
          <w:szCs w:val="24"/>
        </w:rPr>
        <w:t>(3), pp.279-296.</w:t>
      </w:r>
    </w:p>
    <w:p w14:paraId="29932333" w14:textId="77777777"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t xml:space="preserve">Zengin, Y., </w:t>
      </w:r>
      <w:proofErr w:type="spellStart"/>
      <w:r w:rsidRPr="00057284">
        <w:rPr>
          <w:rFonts w:ascii="Times New Roman" w:eastAsia="Times New Roman" w:hAnsi="Times New Roman" w:cs="Times New Roman"/>
          <w:sz w:val="24"/>
          <w:szCs w:val="24"/>
        </w:rPr>
        <w:t>Naktiyok</w:t>
      </w:r>
      <w:proofErr w:type="spellEnd"/>
      <w:r w:rsidRPr="00057284">
        <w:rPr>
          <w:rFonts w:ascii="Times New Roman" w:eastAsia="Times New Roman" w:hAnsi="Times New Roman" w:cs="Times New Roman"/>
          <w:sz w:val="24"/>
          <w:szCs w:val="24"/>
        </w:rPr>
        <w:t xml:space="preserve">, S., </w:t>
      </w:r>
      <w:proofErr w:type="spellStart"/>
      <w:r w:rsidRPr="00057284">
        <w:rPr>
          <w:rFonts w:ascii="Times New Roman" w:eastAsia="Times New Roman" w:hAnsi="Times New Roman" w:cs="Times New Roman"/>
          <w:sz w:val="24"/>
          <w:szCs w:val="24"/>
        </w:rPr>
        <w:t>Kaygın</w:t>
      </w:r>
      <w:proofErr w:type="spellEnd"/>
      <w:r w:rsidRPr="00057284">
        <w:rPr>
          <w:rFonts w:ascii="Times New Roman" w:eastAsia="Times New Roman" w:hAnsi="Times New Roman" w:cs="Times New Roman"/>
          <w:sz w:val="24"/>
          <w:szCs w:val="24"/>
        </w:rPr>
        <w:t xml:space="preserve">, E., Kavak, O. and Topçuoğlu, E., (2021). An investigation upon industry 4.0 and society 5.0 within the context of sustainable development goals. </w:t>
      </w:r>
      <w:r w:rsidRPr="00057284">
        <w:rPr>
          <w:rFonts w:ascii="Times New Roman" w:eastAsia="Times New Roman" w:hAnsi="Times New Roman" w:cs="Times New Roman"/>
          <w:i/>
          <w:sz w:val="24"/>
          <w:szCs w:val="24"/>
        </w:rPr>
        <w:t>Sustainability</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13</w:t>
      </w:r>
      <w:r w:rsidRPr="00057284">
        <w:rPr>
          <w:rFonts w:ascii="Times New Roman" w:eastAsia="Times New Roman" w:hAnsi="Times New Roman" w:cs="Times New Roman"/>
          <w:sz w:val="24"/>
          <w:szCs w:val="24"/>
        </w:rPr>
        <w:t>(5), p.2682.</w:t>
      </w:r>
    </w:p>
    <w:p w14:paraId="0CBA2962" w14:textId="77777777" w:rsidR="00057284" w:rsidRPr="00057284" w:rsidRDefault="00057284" w:rsidP="009D7327">
      <w:pPr>
        <w:spacing w:line="480" w:lineRule="auto"/>
        <w:jc w:val="both"/>
        <w:rPr>
          <w:rFonts w:ascii="Times New Roman" w:eastAsia="Times New Roman" w:hAnsi="Times New Roman" w:cs="Times New Roman"/>
          <w:sz w:val="24"/>
          <w:szCs w:val="24"/>
        </w:rPr>
      </w:pPr>
      <w:r w:rsidRPr="00057284">
        <w:rPr>
          <w:rFonts w:ascii="Times New Roman" w:eastAsia="Times New Roman" w:hAnsi="Times New Roman" w:cs="Times New Roman"/>
          <w:sz w:val="24"/>
          <w:szCs w:val="24"/>
        </w:rPr>
        <w:t xml:space="preserve">Zhou, Y., Lamberton, G. and Charles, M.B., (2023). An explanatory model of materiality in sustainability accounting: integrating accountability and stakeholder heterogeneity. </w:t>
      </w:r>
      <w:r w:rsidRPr="00057284">
        <w:rPr>
          <w:rFonts w:ascii="Times New Roman" w:eastAsia="Times New Roman" w:hAnsi="Times New Roman" w:cs="Times New Roman"/>
          <w:i/>
          <w:sz w:val="24"/>
          <w:szCs w:val="24"/>
        </w:rPr>
        <w:t>Sustainability</w:t>
      </w:r>
      <w:r w:rsidRPr="00057284">
        <w:rPr>
          <w:rFonts w:ascii="Times New Roman" w:eastAsia="Times New Roman" w:hAnsi="Times New Roman" w:cs="Times New Roman"/>
          <w:sz w:val="24"/>
          <w:szCs w:val="24"/>
        </w:rPr>
        <w:t xml:space="preserve">, </w:t>
      </w:r>
      <w:r w:rsidRPr="00057284">
        <w:rPr>
          <w:rFonts w:ascii="Times New Roman" w:eastAsia="Times New Roman" w:hAnsi="Times New Roman" w:cs="Times New Roman"/>
          <w:i/>
          <w:sz w:val="24"/>
          <w:szCs w:val="24"/>
        </w:rPr>
        <w:t>15</w:t>
      </w:r>
      <w:r w:rsidRPr="00057284">
        <w:rPr>
          <w:rFonts w:ascii="Times New Roman" w:eastAsia="Times New Roman" w:hAnsi="Times New Roman" w:cs="Times New Roman"/>
          <w:sz w:val="24"/>
          <w:szCs w:val="24"/>
        </w:rPr>
        <w:t>(3), p.2700.</w:t>
      </w:r>
    </w:p>
    <w:p w14:paraId="517D07EA" w14:textId="77777777" w:rsidR="00057284" w:rsidRDefault="00057284" w:rsidP="009D7327">
      <w:pPr>
        <w:spacing w:line="480" w:lineRule="auto"/>
        <w:jc w:val="both"/>
        <w:rPr>
          <w:rFonts w:ascii="Times New Roman" w:eastAsia="Times New Roman" w:hAnsi="Times New Roman" w:cs="Times New Roman"/>
          <w:b/>
          <w:color w:val="222222"/>
          <w:sz w:val="24"/>
          <w:szCs w:val="24"/>
        </w:rPr>
      </w:pPr>
    </w:p>
    <w:p w14:paraId="1AB256FD" w14:textId="77777777" w:rsidR="00057284" w:rsidRDefault="00057284" w:rsidP="009D7327">
      <w:pPr>
        <w:spacing w:line="480" w:lineRule="auto"/>
        <w:jc w:val="both"/>
        <w:rPr>
          <w:rFonts w:ascii="Times New Roman" w:eastAsia="Times New Roman" w:hAnsi="Times New Roman" w:cs="Times New Roman"/>
          <w:b/>
          <w:color w:val="222222"/>
          <w:sz w:val="24"/>
          <w:szCs w:val="24"/>
        </w:rPr>
      </w:pPr>
    </w:p>
    <w:p w14:paraId="4C8651A6" w14:textId="77777777" w:rsidR="00057284" w:rsidRDefault="00057284" w:rsidP="009D7327">
      <w:pPr>
        <w:spacing w:line="480" w:lineRule="auto"/>
        <w:jc w:val="both"/>
        <w:rPr>
          <w:rFonts w:ascii="Times New Roman" w:eastAsia="Times New Roman" w:hAnsi="Times New Roman" w:cs="Times New Roman"/>
          <w:b/>
          <w:color w:val="222222"/>
          <w:sz w:val="24"/>
          <w:szCs w:val="24"/>
        </w:rPr>
      </w:pPr>
    </w:p>
    <w:p w14:paraId="412C7686" w14:textId="77777777" w:rsidR="00057284" w:rsidRDefault="00057284" w:rsidP="009D7327">
      <w:pPr>
        <w:spacing w:line="480" w:lineRule="auto"/>
        <w:jc w:val="both"/>
        <w:rPr>
          <w:rFonts w:ascii="Times New Roman" w:eastAsia="Times New Roman" w:hAnsi="Times New Roman" w:cs="Times New Roman"/>
          <w:b/>
          <w:color w:val="222222"/>
          <w:sz w:val="24"/>
          <w:szCs w:val="24"/>
        </w:rPr>
      </w:pPr>
    </w:p>
    <w:p w14:paraId="649F82E6" w14:textId="77777777" w:rsidR="00057284" w:rsidRDefault="00057284" w:rsidP="009D7327">
      <w:pPr>
        <w:spacing w:line="480" w:lineRule="auto"/>
        <w:jc w:val="both"/>
        <w:rPr>
          <w:rFonts w:ascii="Times New Roman" w:eastAsia="Times New Roman" w:hAnsi="Times New Roman" w:cs="Times New Roman"/>
          <w:b/>
          <w:color w:val="222222"/>
          <w:sz w:val="24"/>
          <w:szCs w:val="24"/>
        </w:rPr>
      </w:pPr>
    </w:p>
    <w:p w14:paraId="528AC2BB" w14:textId="77777777" w:rsidR="00D31E9E" w:rsidRDefault="00D31E9E" w:rsidP="009D7327">
      <w:pPr>
        <w:spacing w:line="480" w:lineRule="auto"/>
        <w:jc w:val="both"/>
        <w:rPr>
          <w:rFonts w:ascii="Times New Roman" w:eastAsia="Times New Roman" w:hAnsi="Times New Roman" w:cs="Times New Roman"/>
          <w:b/>
          <w:color w:val="222222"/>
          <w:sz w:val="24"/>
          <w:szCs w:val="24"/>
        </w:rPr>
      </w:pPr>
    </w:p>
    <w:p w14:paraId="0BCAAA41" w14:textId="77777777" w:rsidR="00D31E9E" w:rsidRDefault="00D31E9E" w:rsidP="009D7327">
      <w:pPr>
        <w:spacing w:line="480" w:lineRule="auto"/>
        <w:jc w:val="both"/>
        <w:rPr>
          <w:rFonts w:ascii="Times New Roman" w:eastAsia="Times New Roman" w:hAnsi="Times New Roman" w:cs="Times New Roman"/>
          <w:b/>
          <w:color w:val="222222"/>
          <w:sz w:val="24"/>
          <w:szCs w:val="24"/>
        </w:rPr>
      </w:pPr>
    </w:p>
    <w:p w14:paraId="2B09E850" w14:textId="77777777" w:rsidR="00D31E9E" w:rsidRDefault="00D31E9E" w:rsidP="009D7327">
      <w:pPr>
        <w:spacing w:line="480" w:lineRule="auto"/>
        <w:jc w:val="both"/>
        <w:rPr>
          <w:rFonts w:ascii="Times New Roman" w:eastAsia="Times New Roman" w:hAnsi="Times New Roman" w:cs="Times New Roman"/>
          <w:b/>
          <w:color w:val="222222"/>
          <w:sz w:val="24"/>
          <w:szCs w:val="24"/>
        </w:rPr>
      </w:pPr>
    </w:p>
    <w:p w14:paraId="203F798D" w14:textId="77777777" w:rsidR="00D31E9E" w:rsidRDefault="00D31E9E" w:rsidP="009D7327">
      <w:pPr>
        <w:spacing w:line="480" w:lineRule="auto"/>
        <w:jc w:val="both"/>
        <w:rPr>
          <w:rFonts w:ascii="Times New Roman" w:eastAsia="Times New Roman" w:hAnsi="Times New Roman" w:cs="Times New Roman"/>
          <w:b/>
          <w:color w:val="222222"/>
          <w:sz w:val="24"/>
          <w:szCs w:val="24"/>
        </w:rPr>
      </w:pPr>
    </w:p>
    <w:p w14:paraId="58C9AEE0" w14:textId="61CBDB0E" w:rsidR="00DE335A" w:rsidRDefault="00B15A72" w:rsidP="009D7327">
      <w:pPr>
        <w:pStyle w:val="Heading1"/>
        <w:spacing w:before="0" w:after="0"/>
      </w:pPr>
      <w:bookmarkStart w:id="27" w:name="_Toc196762466"/>
      <w:r>
        <w:lastRenderedPageBreak/>
        <w:t>Appendices</w:t>
      </w:r>
      <w:bookmarkEnd w:id="27"/>
    </w:p>
    <w:p w14:paraId="4D9AC188" w14:textId="566D9116" w:rsidR="00DE335A" w:rsidRPr="00057284" w:rsidRDefault="00B15A72" w:rsidP="009D7327">
      <w:pPr>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Appendix 1: Detailed Marketing Plan</w:t>
      </w:r>
    </w:p>
    <w:tbl>
      <w:tblPr>
        <w:tblStyle w:val="Table7"/>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18"/>
        <w:gridCol w:w="5542"/>
      </w:tblGrid>
      <w:tr w:rsidR="00DE335A" w14:paraId="75436755" w14:textId="77777777" w:rsidTr="00D846C7">
        <w:trPr>
          <w:jc w:val="center"/>
        </w:trPr>
        <w:tc>
          <w:tcPr>
            <w:tcW w:w="3818" w:type="dxa"/>
            <w:shd w:val="clear" w:color="auto" w:fill="auto"/>
            <w:tcMar>
              <w:top w:w="100" w:type="dxa"/>
              <w:left w:w="100" w:type="dxa"/>
              <w:bottom w:w="100" w:type="dxa"/>
              <w:right w:w="100" w:type="dxa"/>
            </w:tcMar>
          </w:tcPr>
          <w:p w14:paraId="44FF4EA8"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Strategy Component</w:t>
            </w:r>
          </w:p>
        </w:tc>
        <w:tc>
          <w:tcPr>
            <w:tcW w:w="5542" w:type="dxa"/>
            <w:shd w:val="clear" w:color="auto" w:fill="auto"/>
            <w:tcMar>
              <w:top w:w="100" w:type="dxa"/>
              <w:left w:w="100" w:type="dxa"/>
              <w:bottom w:w="100" w:type="dxa"/>
              <w:right w:w="100" w:type="dxa"/>
            </w:tcMar>
          </w:tcPr>
          <w:p w14:paraId="11794B1E" w14:textId="77777777" w:rsidR="00DE335A" w:rsidRDefault="00B15A72" w:rsidP="009D7327">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r>
      <w:tr w:rsidR="00DE335A" w14:paraId="093F774F" w14:textId="77777777" w:rsidTr="00D846C7">
        <w:trPr>
          <w:jc w:val="center"/>
        </w:trPr>
        <w:tc>
          <w:tcPr>
            <w:tcW w:w="3818" w:type="dxa"/>
            <w:shd w:val="clear" w:color="auto" w:fill="auto"/>
            <w:tcMar>
              <w:top w:w="100" w:type="dxa"/>
              <w:left w:w="100" w:type="dxa"/>
              <w:bottom w:w="100" w:type="dxa"/>
              <w:right w:w="100" w:type="dxa"/>
            </w:tcMar>
          </w:tcPr>
          <w:p w14:paraId="35E012E1"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Campaigns</w:t>
            </w:r>
          </w:p>
        </w:tc>
        <w:tc>
          <w:tcPr>
            <w:tcW w:w="5542" w:type="dxa"/>
            <w:shd w:val="clear" w:color="auto" w:fill="auto"/>
            <w:tcMar>
              <w:top w:w="100" w:type="dxa"/>
              <w:left w:w="100" w:type="dxa"/>
              <w:bottom w:w="100" w:type="dxa"/>
              <w:right w:w="100" w:type="dxa"/>
            </w:tcMar>
          </w:tcPr>
          <w:p w14:paraId="704103E6" w14:textId="4463E989"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Targeting local communities and cultural groups to highlight the event features and participant stories. </w:t>
            </w:r>
          </w:p>
        </w:tc>
      </w:tr>
      <w:tr w:rsidR="00DE335A" w14:paraId="421759B4" w14:textId="77777777" w:rsidTr="00D846C7">
        <w:trPr>
          <w:jc w:val="center"/>
        </w:trPr>
        <w:tc>
          <w:tcPr>
            <w:tcW w:w="3818" w:type="dxa"/>
            <w:shd w:val="clear" w:color="auto" w:fill="auto"/>
            <w:tcMar>
              <w:top w:w="100" w:type="dxa"/>
              <w:left w:w="100" w:type="dxa"/>
              <w:bottom w:w="100" w:type="dxa"/>
              <w:right w:w="100" w:type="dxa"/>
            </w:tcMar>
          </w:tcPr>
          <w:p w14:paraId="62D0C2C7"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Multi-Channel Approach</w:t>
            </w:r>
          </w:p>
        </w:tc>
        <w:tc>
          <w:tcPr>
            <w:tcW w:w="5542" w:type="dxa"/>
            <w:shd w:val="clear" w:color="auto" w:fill="auto"/>
            <w:tcMar>
              <w:top w:w="100" w:type="dxa"/>
              <w:left w:w="100" w:type="dxa"/>
              <w:bottom w:w="100" w:type="dxa"/>
              <w:right w:w="100" w:type="dxa"/>
            </w:tcMar>
          </w:tcPr>
          <w:p w14:paraId="7DCD2528"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utilisation of various platforms to maximise reach and engagement. </w:t>
            </w:r>
          </w:p>
        </w:tc>
      </w:tr>
      <w:tr w:rsidR="00DE335A" w14:paraId="7C83988C" w14:textId="77777777" w:rsidTr="00D846C7">
        <w:trPr>
          <w:jc w:val="center"/>
        </w:trPr>
        <w:tc>
          <w:tcPr>
            <w:tcW w:w="3818" w:type="dxa"/>
            <w:shd w:val="clear" w:color="auto" w:fill="auto"/>
            <w:tcMar>
              <w:top w:w="100" w:type="dxa"/>
              <w:left w:w="100" w:type="dxa"/>
              <w:bottom w:w="100" w:type="dxa"/>
              <w:right w:w="100" w:type="dxa"/>
            </w:tcMar>
          </w:tcPr>
          <w:p w14:paraId="14D93712"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Print Materials</w:t>
            </w:r>
          </w:p>
        </w:tc>
        <w:tc>
          <w:tcPr>
            <w:tcW w:w="5542" w:type="dxa"/>
            <w:shd w:val="clear" w:color="auto" w:fill="auto"/>
            <w:tcMar>
              <w:top w:w="100" w:type="dxa"/>
              <w:left w:w="100" w:type="dxa"/>
              <w:bottom w:w="100" w:type="dxa"/>
              <w:right w:w="100" w:type="dxa"/>
            </w:tcMar>
          </w:tcPr>
          <w:p w14:paraId="6C22577F" w14:textId="35260A66"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distribution of flyers and banners in high-traffic areas </w:t>
            </w:r>
            <w:r w:rsidR="00057284">
              <w:rPr>
                <w:rFonts w:ascii="Times New Roman" w:eastAsia="Times New Roman" w:hAnsi="Times New Roman" w:cs="Times New Roman"/>
                <w:sz w:val="24"/>
                <w:szCs w:val="24"/>
              </w:rPr>
              <w:t>attracts</w:t>
            </w:r>
            <w:r>
              <w:rPr>
                <w:rFonts w:ascii="Times New Roman" w:eastAsia="Times New Roman" w:hAnsi="Times New Roman" w:cs="Times New Roman"/>
                <w:sz w:val="24"/>
                <w:szCs w:val="24"/>
              </w:rPr>
              <w:t xml:space="preserve"> attention. </w:t>
            </w:r>
          </w:p>
        </w:tc>
      </w:tr>
      <w:tr w:rsidR="00DE335A" w14:paraId="646C90DC" w14:textId="77777777" w:rsidTr="00D846C7">
        <w:trPr>
          <w:jc w:val="center"/>
        </w:trPr>
        <w:tc>
          <w:tcPr>
            <w:tcW w:w="3818" w:type="dxa"/>
            <w:shd w:val="clear" w:color="auto" w:fill="auto"/>
            <w:tcMar>
              <w:top w:w="100" w:type="dxa"/>
              <w:left w:w="100" w:type="dxa"/>
              <w:bottom w:w="100" w:type="dxa"/>
              <w:right w:w="100" w:type="dxa"/>
            </w:tcMar>
          </w:tcPr>
          <w:p w14:paraId="5F8024F9"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Influencer Partnerships</w:t>
            </w:r>
          </w:p>
        </w:tc>
        <w:tc>
          <w:tcPr>
            <w:tcW w:w="5542" w:type="dxa"/>
            <w:shd w:val="clear" w:color="auto" w:fill="auto"/>
            <w:tcMar>
              <w:top w:w="100" w:type="dxa"/>
              <w:left w:w="100" w:type="dxa"/>
              <w:bottom w:w="100" w:type="dxa"/>
              <w:right w:w="100" w:type="dxa"/>
            </w:tcMar>
          </w:tcPr>
          <w:p w14:paraId="521756DF"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Collaborated with local influencers for the expansion of audience reach and credibility. </w:t>
            </w:r>
          </w:p>
        </w:tc>
      </w:tr>
      <w:tr w:rsidR="00DE335A" w14:paraId="0CF2AFC7" w14:textId="77777777" w:rsidTr="00D846C7">
        <w:trPr>
          <w:jc w:val="center"/>
        </w:trPr>
        <w:tc>
          <w:tcPr>
            <w:tcW w:w="3818" w:type="dxa"/>
            <w:shd w:val="clear" w:color="auto" w:fill="auto"/>
            <w:tcMar>
              <w:top w:w="100" w:type="dxa"/>
              <w:left w:w="100" w:type="dxa"/>
              <w:bottom w:w="100" w:type="dxa"/>
              <w:right w:w="100" w:type="dxa"/>
            </w:tcMar>
          </w:tcPr>
          <w:p w14:paraId="33FE3EAF"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 Marketing</w:t>
            </w:r>
          </w:p>
        </w:tc>
        <w:tc>
          <w:tcPr>
            <w:tcW w:w="5542" w:type="dxa"/>
            <w:shd w:val="clear" w:color="auto" w:fill="auto"/>
            <w:tcMar>
              <w:top w:w="100" w:type="dxa"/>
              <w:left w:w="100" w:type="dxa"/>
              <w:bottom w:w="100" w:type="dxa"/>
              <w:right w:w="100" w:type="dxa"/>
            </w:tcMar>
          </w:tcPr>
          <w:p w14:paraId="3BB79598" w14:textId="17B71120"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Informing previous attendees and interested parties regarding the </w:t>
            </w:r>
            <w:r w:rsidR="00057284">
              <w:rPr>
                <w:rFonts w:ascii="Times New Roman" w:eastAsia="Times New Roman" w:hAnsi="Times New Roman" w:cs="Times New Roman"/>
                <w:sz w:val="24"/>
                <w:szCs w:val="24"/>
              </w:rPr>
              <w:t>event</w:t>
            </w:r>
            <w:r>
              <w:rPr>
                <w:rFonts w:ascii="Times New Roman" w:eastAsia="Times New Roman" w:hAnsi="Times New Roman" w:cs="Times New Roman"/>
                <w:sz w:val="24"/>
                <w:szCs w:val="24"/>
              </w:rPr>
              <w:t xml:space="preserve"> updates and key information. </w:t>
            </w:r>
          </w:p>
        </w:tc>
      </w:tr>
      <w:tr w:rsidR="00DE335A" w14:paraId="40274C6B" w14:textId="77777777" w:rsidTr="00D846C7">
        <w:trPr>
          <w:jc w:val="center"/>
        </w:trPr>
        <w:tc>
          <w:tcPr>
            <w:tcW w:w="3818" w:type="dxa"/>
            <w:shd w:val="clear" w:color="auto" w:fill="auto"/>
            <w:tcMar>
              <w:top w:w="100" w:type="dxa"/>
              <w:left w:w="100" w:type="dxa"/>
              <w:bottom w:w="100" w:type="dxa"/>
              <w:right w:w="100" w:type="dxa"/>
            </w:tcMar>
          </w:tcPr>
          <w:p w14:paraId="554E2AAD"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Engagement</w:t>
            </w:r>
          </w:p>
        </w:tc>
        <w:tc>
          <w:tcPr>
            <w:tcW w:w="5542" w:type="dxa"/>
            <w:shd w:val="clear" w:color="auto" w:fill="auto"/>
            <w:tcMar>
              <w:top w:w="100" w:type="dxa"/>
              <w:left w:w="100" w:type="dxa"/>
              <w:bottom w:w="100" w:type="dxa"/>
              <w:right w:w="100" w:type="dxa"/>
            </w:tcMar>
          </w:tcPr>
          <w:p w14:paraId="32C81055"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of workshops or previews for generating excitement and buzz around the event. </w:t>
            </w:r>
          </w:p>
        </w:tc>
      </w:tr>
      <w:tr w:rsidR="00DE335A" w14:paraId="23380606" w14:textId="77777777" w:rsidTr="00D846C7">
        <w:trPr>
          <w:jc w:val="center"/>
        </w:trPr>
        <w:tc>
          <w:tcPr>
            <w:tcW w:w="3818" w:type="dxa"/>
            <w:shd w:val="clear" w:color="auto" w:fill="auto"/>
            <w:tcMar>
              <w:top w:w="100" w:type="dxa"/>
              <w:left w:w="100" w:type="dxa"/>
              <w:bottom w:w="100" w:type="dxa"/>
              <w:right w:w="100" w:type="dxa"/>
            </w:tcMar>
          </w:tcPr>
          <w:p w14:paraId="3EAB7FE9"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Press Coverage</w:t>
            </w:r>
          </w:p>
        </w:tc>
        <w:tc>
          <w:tcPr>
            <w:tcW w:w="5542" w:type="dxa"/>
            <w:shd w:val="clear" w:color="auto" w:fill="auto"/>
            <w:tcMar>
              <w:top w:w="100" w:type="dxa"/>
              <w:left w:w="100" w:type="dxa"/>
              <w:bottom w:w="100" w:type="dxa"/>
              <w:right w:w="100" w:type="dxa"/>
            </w:tcMar>
          </w:tcPr>
          <w:p w14:paraId="5456DBB8" w14:textId="77777777" w:rsidR="00DE335A" w:rsidRDefault="00B15A72" w:rsidP="009D7327">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Taking support of media coverage to promote the exhibition and thus gaining traction for greater visibility and attendance. </w:t>
            </w:r>
          </w:p>
        </w:tc>
      </w:tr>
    </w:tbl>
    <w:p w14:paraId="374BE866" w14:textId="77777777" w:rsidR="00DE335A" w:rsidRDefault="00B15A72" w:rsidP="009D7327">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Detailed Marketing Plan</w:t>
      </w:r>
    </w:p>
    <w:p w14:paraId="761F712F" w14:textId="77777777" w:rsidR="00DE335A" w:rsidRDefault="00B15A72" w:rsidP="009D732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2F461A00" w14:textId="77777777" w:rsidR="00DE335A" w:rsidRDefault="00B15A72" w:rsidP="009D7327">
      <w:pPr>
        <w:spacing w:line="48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lastRenderedPageBreak/>
        <w:t xml:space="preserve">Appendix 2: </w:t>
      </w:r>
      <w:r>
        <w:rPr>
          <w:rFonts w:ascii="Times New Roman" w:eastAsia="Times New Roman" w:hAnsi="Times New Roman" w:cs="Times New Roman"/>
          <w:b/>
          <w:sz w:val="24"/>
          <w:szCs w:val="24"/>
        </w:rPr>
        <w:t xml:space="preserve">Number of Business Events in the UK </w:t>
      </w:r>
    </w:p>
    <w:p w14:paraId="2F604AA4" w14:textId="77777777" w:rsidR="00DE335A" w:rsidRDefault="00B15A72" w:rsidP="009D7327">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noProof/>
          <w:sz w:val="24"/>
          <w:szCs w:val="24"/>
          <w:lang w:val="ro-RO" w:eastAsia="ro-RO"/>
        </w:rPr>
        <w:drawing>
          <wp:inline distT="114300" distB="114300" distL="114300" distR="114300" wp14:anchorId="30C84453" wp14:editId="0DF1E08C">
            <wp:extent cx="3381375" cy="24098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a:stretch>
                      <a:fillRect/>
                    </a:stretch>
                  </pic:blipFill>
                  <pic:spPr>
                    <a:xfrm>
                      <a:off x="0" y="0"/>
                      <a:ext cx="3381375" cy="2409825"/>
                    </a:xfrm>
                    <a:prstGeom prst="rect">
                      <a:avLst/>
                    </a:prstGeom>
                  </pic:spPr>
                </pic:pic>
              </a:graphicData>
            </a:graphic>
          </wp:inline>
        </w:drawing>
      </w:r>
    </w:p>
    <w:p w14:paraId="1C1C4AD9" w14:textId="77777777" w:rsidR="00DE335A" w:rsidRDefault="00B15A72" w:rsidP="009D7327">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Number of Business Events in the UK </w:t>
      </w:r>
    </w:p>
    <w:p w14:paraId="04703570" w14:textId="77777777" w:rsidR="00DE335A" w:rsidRDefault="00B15A72" w:rsidP="009D732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2024)</w:t>
      </w:r>
    </w:p>
    <w:p w14:paraId="5FBEAB8E" w14:textId="77777777" w:rsidR="00DE335A" w:rsidRDefault="00DE335A" w:rsidP="009D7327">
      <w:pPr>
        <w:spacing w:line="480" w:lineRule="auto"/>
        <w:jc w:val="center"/>
        <w:rPr>
          <w:rFonts w:ascii="Times New Roman" w:eastAsia="Times New Roman" w:hAnsi="Times New Roman" w:cs="Times New Roman"/>
          <w:b/>
          <w:sz w:val="32"/>
          <w:szCs w:val="32"/>
        </w:rPr>
      </w:pPr>
    </w:p>
    <w:sectPr w:rsidR="00DE335A">
      <w:headerReference w:type="default" r:id="rId14"/>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06AB8D" w14:textId="77777777" w:rsidR="00F71A84" w:rsidRDefault="00F71A84" w:rsidP="00C13389">
      <w:pPr>
        <w:spacing w:line="240" w:lineRule="auto"/>
      </w:pPr>
      <w:r>
        <w:separator/>
      </w:r>
    </w:p>
  </w:endnote>
  <w:endnote w:type="continuationSeparator" w:id="0">
    <w:p w14:paraId="45D3538E" w14:textId="77777777" w:rsidR="00F71A84" w:rsidRDefault="00F71A84" w:rsidP="00C133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7028926"/>
      <w:docPartObj>
        <w:docPartGallery w:val="Page Numbers (Bottom of Page)"/>
        <w:docPartUnique/>
      </w:docPartObj>
    </w:sdtPr>
    <w:sdtEndPr>
      <w:rPr>
        <w:noProof/>
      </w:rPr>
    </w:sdtEndPr>
    <w:sdtContent>
      <w:p w14:paraId="35C2CB44" w14:textId="1BEF721C" w:rsidR="00554E90" w:rsidRDefault="00554E90" w:rsidP="00554E90">
        <w:pPr>
          <w:pStyle w:val="Footer"/>
          <w:spacing w:line="480" w:lineRule="auto"/>
          <w:jc w:val="right"/>
        </w:pPr>
        <w:r w:rsidRPr="00554E90">
          <w:rPr>
            <w:rFonts w:ascii="Times New Roman" w:hAnsi="Times New Roman" w:cs="Times New Roman"/>
            <w:sz w:val="24"/>
            <w:szCs w:val="24"/>
          </w:rPr>
          <w:fldChar w:fldCharType="begin"/>
        </w:r>
        <w:r w:rsidRPr="00554E90">
          <w:rPr>
            <w:rFonts w:ascii="Times New Roman" w:hAnsi="Times New Roman" w:cs="Times New Roman"/>
            <w:sz w:val="24"/>
            <w:szCs w:val="24"/>
          </w:rPr>
          <w:instrText xml:space="preserve"> PAGE   \* MERGEFORMAT </w:instrText>
        </w:r>
        <w:r w:rsidRPr="00554E90">
          <w:rPr>
            <w:rFonts w:ascii="Times New Roman" w:hAnsi="Times New Roman" w:cs="Times New Roman"/>
            <w:sz w:val="24"/>
            <w:szCs w:val="24"/>
          </w:rPr>
          <w:fldChar w:fldCharType="separate"/>
        </w:r>
        <w:r w:rsidR="00E94B73">
          <w:rPr>
            <w:rFonts w:ascii="Times New Roman" w:hAnsi="Times New Roman" w:cs="Times New Roman"/>
            <w:noProof/>
            <w:sz w:val="24"/>
            <w:szCs w:val="24"/>
          </w:rPr>
          <w:t>5</w:t>
        </w:r>
        <w:r w:rsidRPr="00554E90">
          <w:rPr>
            <w:rFonts w:ascii="Times New Roman" w:hAnsi="Times New Roman" w:cs="Times New Roman"/>
            <w:noProof/>
            <w:sz w:val="24"/>
            <w:szCs w:val="24"/>
          </w:rPr>
          <w:fldChar w:fldCharType="end"/>
        </w:r>
      </w:p>
    </w:sdtContent>
  </w:sdt>
  <w:p w14:paraId="66BCACF2" w14:textId="77777777" w:rsidR="00554E90" w:rsidRDefault="00554E9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43A630" w14:textId="77777777" w:rsidR="00F71A84" w:rsidRDefault="00F71A84" w:rsidP="00C13389">
      <w:pPr>
        <w:spacing w:line="240" w:lineRule="auto"/>
      </w:pPr>
      <w:r>
        <w:separator/>
      </w:r>
    </w:p>
  </w:footnote>
  <w:footnote w:type="continuationSeparator" w:id="0">
    <w:p w14:paraId="25FA0FF4" w14:textId="77777777" w:rsidR="00F71A84" w:rsidRDefault="00F71A84" w:rsidP="00C133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6C7C4D" w14:textId="78ACA173" w:rsidR="00C13389" w:rsidRDefault="00C13389">
    <w:pPr>
      <w:pStyle w:val="Header"/>
    </w:pPr>
    <w:r w:rsidRPr="00C13389">
      <w:rPr>
        <w:noProof/>
        <w:lang w:val="ro-RO" w:eastAsia="ro-RO"/>
      </w:rPr>
      <w:drawing>
        <wp:anchor distT="0" distB="0" distL="114300" distR="114300" simplePos="0" relativeHeight="251658240" behindDoc="1" locked="0" layoutInCell="1" allowOverlap="1" wp14:anchorId="11BAC280" wp14:editId="2F336384">
          <wp:simplePos x="0" y="0"/>
          <wp:positionH relativeFrom="margin">
            <wp:posOffset>4975860</wp:posOffset>
          </wp:positionH>
          <wp:positionV relativeFrom="paragraph">
            <wp:posOffset>-365760</wp:posOffset>
          </wp:positionV>
          <wp:extent cx="1684020" cy="713105"/>
          <wp:effectExtent l="0" t="0" r="0" b="0"/>
          <wp:wrapTight wrapText="bothSides">
            <wp:wrapPolygon edited="0">
              <wp:start x="0" y="0"/>
              <wp:lineTo x="0" y="20773"/>
              <wp:lineTo x="21258" y="20773"/>
              <wp:lineTo x="21258" y="0"/>
              <wp:lineTo x="0" y="0"/>
            </wp:wrapPolygon>
          </wp:wrapTight>
          <wp:docPr id="185557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57642" name=""/>
                  <pic:cNvPicPr/>
                </pic:nvPicPr>
                <pic:blipFill>
                  <a:blip r:embed="rId1">
                    <a:extLst>
                      <a:ext uri="{28A0092B-C50C-407E-A947-70E740481C1C}">
                        <a14:useLocalDpi xmlns:a14="http://schemas.microsoft.com/office/drawing/2010/main" val="0"/>
                      </a:ext>
                    </a:extLst>
                  </a:blip>
                  <a:stretch>
                    <a:fillRect/>
                  </a:stretch>
                </pic:blipFill>
                <pic:spPr>
                  <a:xfrm>
                    <a:off x="0" y="0"/>
                    <a:ext cx="1684020" cy="713105"/>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335A"/>
    <w:rsid w:val="00057284"/>
    <w:rsid w:val="00100A88"/>
    <w:rsid w:val="001D3325"/>
    <w:rsid w:val="002547F5"/>
    <w:rsid w:val="00450BEA"/>
    <w:rsid w:val="00554E90"/>
    <w:rsid w:val="00740683"/>
    <w:rsid w:val="00850305"/>
    <w:rsid w:val="008B7265"/>
    <w:rsid w:val="009D6F33"/>
    <w:rsid w:val="009D7327"/>
    <w:rsid w:val="00AB4366"/>
    <w:rsid w:val="00AD2C41"/>
    <w:rsid w:val="00B15A72"/>
    <w:rsid w:val="00B842B0"/>
    <w:rsid w:val="00C13389"/>
    <w:rsid w:val="00CB2F2A"/>
    <w:rsid w:val="00D31E9E"/>
    <w:rsid w:val="00D677EE"/>
    <w:rsid w:val="00D846C7"/>
    <w:rsid w:val="00DE335A"/>
    <w:rsid w:val="00E94B73"/>
    <w:rsid w:val="00F71A84"/>
    <w:rsid w:val="00F821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A888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C13389"/>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rsid w:val="00C13389"/>
    <w:pPr>
      <w:keepNext/>
      <w:keepLines/>
      <w:spacing w:before="360" w:after="120" w:line="480" w:lineRule="auto"/>
      <w:jc w:val="both"/>
      <w:outlineLvl w:val="1"/>
    </w:pPr>
    <w:rPr>
      <w:rFonts w:ascii="Times New Roman" w:hAnsi="Times New Roman"/>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table" w:customStyle="1" w:styleId="Table6">
    <w:name w:val="Table6"/>
    <w:basedOn w:val="TableNormal1"/>
    <w:tblPr>
      <w:tblStyleRowBandSize w:val="1"/>
      <w:tblStyleColBandSize w:val="1"/>
      <w:tblCellMar>
        <w:top w:w="100" w:type="dxa"/>
        <w:left w:w="100" w:type="dxa"/>
        <w:bottom w:w="100" w:type="dxa"/>
        <w:right w:w="100" w:type="dxa"/>
      </w:tblCellMar>
    </w:tblPr>
  </w:style>
  <w:style w:type="table" w:customStyle="1" w:styleId="Table7">
    <w:name w:val="Table7"/>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13389"/>
    <w:pPr>
      <w:tabs>
        <w:tab w:val="center" w:pos="4513"/>
        <w:tab w:val="right" w:pos="9026"/>
      </w:tabs>
      <w:spacing w:line="240" w:lineRule="auto"/>
    </w:pPr>
  </w:style>
  <w:style w:type="character" w:customStyle="1" w:styleId="HeaderChar">
    <w:name w:val="Header Char"/>
    <w:basedOn w:val="DefaultParagraphFont"/>
    <w:link w:val="Header"/>
    <w:uiPriority w:val="99"/>
    <w:rsid w:val="00C13389"/>
  </w:style>
  <w:style w:type="paragraph" w:styleId="Footer">
    <w:name w:val="footer"/>
    <w:basedOn w:val="Normal"/>
    <w:link w:val="FooterChar"/>
    <w:uiPriority w:val="99"/>
    <w:unhideWhenUsed/>
    <w:rsid w:val="00C13389"/>
    <w:pPr>
      <w:tabs>
        <w:tab w:val="center" w:pos="4513"/>
        <w:tab w:val="right" w:pos="9026"/>
      </w:tabs>
      <w:spacing w:line="240" w:lineRule="auto"/>
    </w:pPr>
  </w:style>
  <w:style w:type="character" w:customStyle="1" w:styleId="FooterChar">
    <w:name w:val="Footer Char"/>
    <w:basedOn w:val="DefaultParagraphFont"/>
    <w:link w:val="Footer"/>
    <w:uiPriority w:val="99"/>
    <w:rsid w:val="00C13389"/>
  </w:style>
  <w:style w:type="paragraph" w:styleId="TOCHeading">
    <w:name w:val="TOC Heading"/>
    <w:basedOn w:val="Heading1"/>
    <w:next w:val="Normal"/>
    <w:uiPriority w:val="39"/>
    <w:unhideWhenUsed/>
    <w:qFormat/>
    <w:rsid w:val="0005728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57284"/>
    <w:pPr>
      <w:spacing w:after="100"/>
    </w:pPr>
  </w:style>
  <w:style w:type="paragraph" w:styleId="TOC2">
    <w:name w:val="toc 2"/>
    <w:basedOn w:val="Normal"/>
    <w:next w:val="Normal"/>
    <w:autoRedefine/>
    <w:uiPriority w:val="39"/>
    <w:unhideWhenUsed/>
    <w:rsid w:val="00057284"/>
    <w:pPr>
      <w:spacing w:after="100"/>
      <w:ind w:left="220"/>
    </w:pPr>
  </w:style>
  <w:style w:type="character" w:styleId="Hyperlink">
    <w:name w:val="Hyperlink"/>
    <w:basedOn w:val="DefaultParagraphFont"/>
    <w:uiPriority w:val="99"/>
    <w:unhideWhenUsed/>
    <w:rsid w:val="0005728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ashtongatestadium.co.uk/"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advance-he.ac.uk/programmes-events/conferences/equality-diversity-and-inclusion-conference-2025" TargetMode="External"/><Relationship Id="rId12" Type="http://schemas.openxmlformats.org/officeDocument/2006/relationships/hyperlink" Target="https://www.alliedmarketresearch.com/events-industry-marke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558074/business-event-market-volume-united-kingdom-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usiness-live.co.uk/opinion-analysis/huge-economic-impact-uks-event-23563660" TargetMode="External"/><Relationship Id="rId4" Type="http://schemas.openxmlformats.org/officeDocument/2006/relationships/webSettings" Target="webSettings.xml"/><Relationship Id="rId9" Type="http://schemas.openxmlformats.org/officeDocument/2006/relationships/hyperlink" Target="https://www.eventbrite.co.uk/e/equality-equity-diversity-and-inclusion-eedi-tickets-1109235195329"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96FFB-349E-4764-B74D-6F7C20728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4196</Words>
  <Characters>24338</Characters>
  <Application>Microsoft Office Word</Application>
  <DocSecurity>0</DocSecurity>
  <Lines>202</Lines>
  <Paragraphs>56</Paragraphs>
  <ScaleCrop>false</ScaleCrop>
  <Company/>
  <LinksUpToDate>false</LinksUpToDate>
  <CharactersWithSpaces>28478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2025-04-28T14:26:00Z</dcterms:created>
  <dcterms:modified xsi:type="dcterms:W3CDTF">2025-05-28T17:00:00Z</dcterms:modified>
</cp:coreProperties>
</file>