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41A4" w:rsidRDefault="00DE41A4" w:rsidP="00DE41A4">
      <w:pPr>
        <w:spacing w:line="480" w:lineRule="auto"/>
        <w:jc w:val="center"/>
        <w:rPr>
          <w:rFonts w:ascii="Times New Roman" w:eastAsia="Times New Roman" w:hAnsi="Times New Roman" w:cs="Times New Roman"/>
          <w:color w:val="373A3C"/>
          <w:sz w:val="36"/>
          <w:shd w:val="clear" w:color="auto" w:fill="FFFFFF"/>
        </w:rPr>
      </w:pPr>
      <w:r w:rsidRPr="00DE41A4">
        <w:rPr>
          <w:rFonts w:ascii="Times New Roman" w:eastAsia="Times New Roman" w:hAnsi="Times New Roman" w:cs="Times New Roman"/>
          <w:color w:val="373A3C"/>
          <w:sz w:val="36"/>
          <w:shd w:val="clear" w:color="auto" w:fill="FFFFFF"/>
        </w:rPr>
        <w:t xml:space="preserve">Assessment Final Submission Here By </w:t>
      </w:r>
      <w:r>
        <w:rPr>
          <w:rFonts w:ascii="Times New Roman" w:eastAsia="Times New Roman" w:hAnsi="Times New Roman" w:cs="Times New Roman"/>
          <w:color w:val="373A3C"/>
          <w:sz w:val="36"/>
          <w:shd w:val="clear" w:color="auto" w:fill="FFFFFF"/>
        </w:rPr>
        <w:t>27</w:t>
      </w:r>
      <w:r w:rsidRPr="00DE41A4">
        <w:rPr>
          <w:rFonts w:ascii="Times New Roman" w:eastAsia="Times New Roman" w:hAnsi="Times New Roman" w:cs="Times New Roman"/>
          <w:color w:val="373A3C"/>
          <w:sz w:val="36"/>
          <w:shd w:val="clear" w:color="auto" w:fill="FFFFFF"/>
        </w:rPr>
        <w:t>th May 2019</w:t>
      </w:r>
    </w:p>
    <w:p w:rsidR="00DE41A4" w:rsidRPr="00DE41A4" w:rsidRDefault="00DE41A4" w:rsidP="00DE41A4">
      <w:pPr>
        <w:spacing w:line="480" w:lineRule="auto"/>
        <w:jc w:val="center"/>
        <w:rPr>
          <w:rFonts w:ascii="Times New Roman" w:eastAsia="Times New Roman" w:hAnsi="Times New Roman" w:cs="Times New Roman"/>
          <w:sz w:val="36"/>
        </w:rPr>
      </w:pPr>
      <w:r>
        <w:rPr>
          <w:rFonts w:ascii="Times New Roman" w:eastAsia="Times New Roman" w:hAnsi="Times New Roman" w:cs="Times New Roman"/>
          <w:color w:val="373A3C"/>
          <w:sz w:val="36"/>
          <w:shd w:val="clear" w:color="auto" w:fill="FFFFFF"/>
        </w:rPr>
        <w:t>Sarah Cook</w:t>
      </w: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9B132F" w:rsidRDefault="009B132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bookmarkStart w:id="0" w:name="_GoBack"/>
      <w:bookmarkEnd w:id="0"/>
      <w:r w:rsidRPr="00BA479F">
        <w:rPr>
          <w:rFonts w:ascii="Times New Roman" w:hAnsi="Times New Roman" w:cs="Times New Roman"/>
        </w:rPr>
        <w:lastRenderedPageBreak/>
        <w:t>This report will critically assess the micro and macro-economic conditions, the actual and potential implications of varying factors that will have an effect on the organisation and will evaluate the current position in which the organisation sits in the international market.</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The pharmaceutical and diagnostic industries make major contributions to the world economy. It is estimated that the pharmaceutical market will be worth 1,430 billion by 2020 and the Vitro diagnostics market will be worth 93,614 million by 2025. These sectors are known as two of the pillars of the industrialised economy and are acknowledged as important in the developing world. They contribute to employment, both direct and indirect as well as trading by the use of import and export (IFPMA 2017 p42).</w:t>
      </w:r>
    </w:p>
    <w:p w:rsid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F. Hoffmann-La Roche (Roche) is one of the leading healthcare organisation’s that focuses on the discovery, development, and manufacturing of therapeutic and diagnostic products. Roche has headquarters based in Switzerland and is active in over 100 countries. Roche currently employs approximately 94,000 individuals worldwide (Roche Diagnostics 2016). Roche is organised into five business areas, Centralised Diagnostics, Diabetes Care, Molecular Diagnostics, Near Patient Testing and Applied Science (Roche Diagnostics: An Underappreciated Jewel 2004 P37). These business areas are then further split up into two divisions, pharmaceuticals and diagnostics. Both of which will be covered in this report (Roche Diagnostics 2016). </w:t>
      </w:r>
      <w:r w:rsidR="002A5B7D">
        <w:rPr>
          <w:rFonts w:ascii="Times New Roman" w:hAnsi="Times New Roman" w:cs="Times New Roman"/>
        </w:rPr>
        <w:t>According to Roche (2019) the pharmaceutical sector increased by +7.2 % Constant Exchange Rate (CER) in 2018 and the diagnostic sector increased by +7.0 % CER in 2018.</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Roche diagnostics provides point of care and laboratory equipment, this includes assays, reagents, instruments and lab automation. These products are used to test blood, bodily fluids </w:t>
      </w:r>
      <w:r w:rsidRPr="00BA479F">
        <w:rPr>
          <w:rFonts w:ascii="Times New Roman" w:hAnsi="Times New Roman" w:cs="Times New Roman"/>
        </w:rPr>
        <w:lastRenderedPageBreak/>
        <w:t>and tissues in order to diagnose, prevent and treat diseases. Roche also has a custom biotech division that provides biochemical reagents to diagnostics and biotechnology companies. As well as the biotech division, Roche has research and development facilities across Europe and the United States of America (USA) (Roche Diagnostics 2016).</w:t>
      </w:r>
      <w:r w:rsidR="002A5B7D">
        <w:rPr>
          <w:rFonts w:ascii="Times New Roman" w:hAnsi="Times New Roman" w:cs="Times New Roman"/>
        </w:rPr>
        <w:t xml:space="preserve"> </w:t>
      </w:r>
      <w:r w:rsidRPr="00BA479F">
        <w:rPr>
          <w:rFonts w:ascii="Times New Roman" w:hAnsi="Times New Roman" w:cs="Times New Roman"/>
        </w:rPr>
        <w:t>Roche Pharmaceuticals is represented in approximately 150 countries. This division has six biotech facilities, these include Roche Pharmaceutical, based around Germany, Genentech’s facilities, based around the USA and Chugai’s site which is based in Japan. The pharmaceutical division has a number of products that range from central nervous system diseases and oncology to inflammatory and autoimmune diseases (</w:t>
      </w:r>
      <w:proofErr w:type="spellStart"/>
      <w:r w:rsidRPr="00BA479F">
        <w:rPr>
          <w:rFonts w:ascii="Times New Roman" w:hAnsi="Times New Roman" w:cs="Times New Roman"/>
        </w:rPr>
        <w:t>PharmaWatch</w:t>
      </w:r>
      <w:proofErr w:type="spellEnd"/>
      <w:r w:rsidRPr="00BA479F">
        <w:rPr>
          <w:rFonts w:ascii="Times New Roman" w:hAnsi="Times New Roman" w:cs="Times New Roman"/>
        </w:rPr>
        <w:t>: Cancer 2010 p19).</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As Roche Diagnostics and Pharmaceuticals operates globally, processes imports and exports it can be described as an international organisation (Roche: Code of Conduct 2015 P32). </w:t>
      </w:r>
      <w:proofErr w:type="spellStart"/>
      <w:r w:rsidRPr="00BA479F">
        <w:rPr>
          <w:rFonts w:ascii="Times New Roman" w:hAnsi="Times New Roman" w:cs="Times New Roman"/>
        </w:rPr>
        <w:t>Dlabay</w:t>
      </w:r>
      <w:proofErr w:type="spellEnd"/>
      <w:r w:rsidRPr="00BA479F">
        <w:rPr>
          <w:rFonts w:ascii="Times New Roman" w:hAnsi="Times New Roman" w:cs="Times New Roman"/>
        </w:rPr>
        <w:t xml:space="preserve"> and Scott (2011) state that international business is made on the foundations of production, distribution, and dependence. Many countries such as the United States of America (USA), Japan and the United Kingdom (UK) have a certain degree of economic independence, however, they are still dependent on other countries for certain items. These can include essential items like food and medicines. </w:t>
      </w:r>
      <w:proofErr w:type="spellStart"/>
      <w:r w:rsidRPr="00BA479F">
        <w:rPr>
          <w:rFonts w:ascii="Times New Roman" w:hAnsi="Times New Roman" w:cs="Times New Roman"/>
        </w:rPr>
        <w:t>Shenkar</w:t>
      </w:r>
      <w:proofErr w:type="spellEnd"/>
      <w:r w:rsidRPr="00BA479F">
        <w:rPr>
          <w:rFonts w:ascii="Times New Roman" w:hAnsi="Times New Roman" w:cs="Times New Roman"/>
        </w:rPr>
        <w:t xml:space="preserve"> et al (2014) also states that any organisation that is engaged in international business can be defined as an international firm, this organisation must have directly invested overseas and has at least one working affiliate in a foreign country, this can include a factory or branch office. </w:t>
      </w:r>
    </w:p>
    <w:p w:rsidR="008152E8" w:rsidRDefault="008152E8"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In order to ascertain where Roche sits in the current global market, this report will use various models to analyse the micro and macro-economic conditions. </w:t>
      </w:r>
    </w:p>
    <w:p w:rsidR="000719C7" w:rsidRDefault="000719C7"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lastRenderedPageBreak/>
        <w:t xml:space="preserve">SWOT analysis provides a framework for analysing the strengths, weaknesses, opportunities, and threats of an organisation. This framework can help an organisation focus on its strengths in order to minimise its weaknesses. It also allows the organisation to take advantage of the opportunities available (Phal and Richter 2007). </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A major strength for Roche in the current market is the access the organisation has to the Genentech facilities, this enables Roche to sustain leadership in the global oncology market. Roche has exclusive access to Genentech’s monoclonal antibody (</w:t>
      </w:r>
      <w:proofErr w:type="spellStart"/>
      <w:r w:rsidRPr="00BA479F">
        <w:rPr>
          <w:rFonts w:ascii="Times New Roman" w:hAnsi="Times New Roman" w:cs="Times New Roman"/>
        </w:rPr>
        <w:t>mAb</w:t>
      </w:r>
      <w:proofErr w:type="spellEnd"/>
      <w:r w:rsidRPr="00BA479F">
        <w:rPr>
          <w:rFonts w:ascii="Times New Roman" w:hAnsi="Times New Roman" w:cs="Times New Roman"/>
        </w:rPr>
        <w:t>) portfolio and by doing so has locked out other pharmaceutical rivals from this section (</w:t>
      </w:r>
      <w:proofErr w:type="spellStart"/>
      <w:r w:rsidRPr="00BA479F">
        <w:rPr>
          <w:rFonts w:ascii="Times New Roman" w:hAnsi="Times New Roman" w:cs="Times New Roman"/>
        </w:rPr>
        <w:t>Datamonitor</w:t>
      </w:r>
      <w:proofErr w:type="spellEnd"/>
      <w:r w:rsidRPr="00BA479F">
        <w:rPr>
          <w:rFonts w:ascii="Times New Roman" w:hAnsi="Times New Roman" w:cs="Times New Roman"/>
        </w:rPr>
        <w:t xml:space="preserve">: F. Hoffmann-La Roche Ltd 2011). As a result of this Roche has increased sales growth in this sector, sales in the pharmaceutical division were 44.0 billion Swiss Franc (CHF) in 2018, a rise from 41.2 billion CHF in 2017. This has shown Roche’s continued growth in the pharmaceutical section, by offering innovative products (F. Hoffmann-La Roche Ltd 2019). This can also be seen as an absolute advantage, Roche pharmaceuticals in the USA has the capability of producing a product more efficiently and at a lower cost because they have all the resources available (Song and </w:t>
      </w:r>
      <w:proofErr w:type="spellStart"/>
      <w:r w:rsidRPr="00BA479F">
        <w:rPr>
          <w:rFonts w:ascii="Times New Roman" w:hAnsi="Times New Roman" w:cs="Times New Roman"/>
        </w:rPr>
        <w:t>Ch’ang</w:t>
      </w:r>
      <w:proofErr w:type="spellEnd"/>
      <w:r w:rsidRPr="00BA479F">
        <w:rPr>
          <w:rFonts w:ascii="Times New Roman" w:hAnsi="Times New Roman" w:cs="Times New Roman"/>
        </w:rPr>
        <w:t xml:space="preserve"> 2012). Dong-Sung and Moon (2000) agree with this statement, countries gain comparative advantages in industries where the nation is making use of factors that are abundant, for example, Research and Development (R&amp;D) facilities in Copenhagen, based in Denmark. These specialisms allow the country or industry to develop in line with new technologies allowing the organisation to be at the forefront of innovation within the industry that they specialise in. This innovation will ensure global benefits of quality, cost, and availability of products to trade.</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Schumacher (2012) states that international trade enhances the division of labour and can increase the wealth of the country. Roche as a whole company has facilities in Africa, America, </w:t>
      </w:r>
      <w:r w:rsidRPr="00BA479F">
        <w:rPr>
          <w:rFonts w:ascii="Times New Roman" w:hAnsi="Times New Roman" w:cs="Times New Roman"/>
        </w:rPr>
        <w:lastRenderedPageBreak/>
        <w:t xml:space="preserve">Europe, Australia, and Asia. Within the diagnostic section of Roche, there are a number of locations that manufacture diagnostic systems in India. These facilities design and produce automation solutions, this includes </w:t>
      </w:r>
      <w:proofErr w:type="spellStart"/>
      <w:r w:rsidRPr="00BA479F">
        <w:rPr>
          <w:rFonts w:ascii="Times New Roman" w:hAnsi="Times New Roman" w:cs="Times New Roman"/>
        </w:rPr>
        <w:t>Cobas</w:t>
      </w:r>
      <w:proofErr w:type="spellEnd"/>
      <w:r w:rsidRPr="00BA479F">
        <w:rPr>
          <w:rFonts w:ascii="Times New Roman" w:hAnsi="Times New Roman" w:cs="Times New Roman"/>
        </w:rPr>
        <w:t xml:space="preserve"> 8000 modular analyser series and </w:t>
      </w:r>
      <w:proofErr w:type="spellStart"/>
      <w:r w:rsidRPr="00BA479F">
        <w:rPr>
          <w:rFonts w:ascii="Times New Roman" w:hAnsi="Times New Roman" w:cs="Times New Roman"/>
        </w:rPr>
        <w:t>Cobas</w:t>
      </w:r>
      <w:proofErr w:type="spellEnd"/>
      <w:r w:rsidRPr="00BA479F">
        <w:rPr>
          <w:rFonts w:ascii="Times New Roman" w:hAnsi="Times New Roman" w:cs="Times New Roman"/>
        </w:rPr>
        <w:t xml:space="preserve"> p612 Pre-analytical system (F. Hoffmann-La Roche Ltd 2016). India can be described as a developing country. </w:t>
      </w:r>
      <w:proofErr w:type="spellStart"/>
      <w:r w:rsidRPr="00BA479F">
        <w:rPr>
          <w:rFonts w:ascii="Times New Roman" w:hAnsi="Times New Roman" w:cs="Times New Roman"/>
        </w:rPr>
        <w:t>Yipeng</w:t>
      </w:r>
      <w:proofErr w:type="spellEnd"/>
      <w:r w:rsidRPr="00BA479F">
        <w:rPr>
          <w:rFonts w:ascii="Times New Roman" w:hAnsi="Times New Roman" w:cs="Times New Roman"/>
        </w:rPr>
        <w:t xml:space="preserve"> (2017) states that an emerging market, also known as emerging economies or developing countries are nations that are investing in the development and production of goods. These countries are moving away from traditional economies that would have previously relied on agriculture and the export of raw materials. In doing so, leaders of the developing countries are creating a better quality of life for the people that live and work there. They are swiftly industrializing and adopting a free market or mixed economy. The diagnostics division in India made Roche 177 million CHF in 2018, 163 Million CHF in 2017, this has shown that the diagnostics market in India is increasing (F. Hoffmann-La Roche Ltd 2019). As Roche is investing in the pharmaceutical and diagnostic sectors, it is also investing in the community, in 2016 Roche opened a centre on the Mumbai campus of St Jude India. This facility offers a clean and safe place for 12 children with cancer to stay at any given time with their families. This shows that whilst Roche is clearly making profits, it has not forgotten to give something back to the people of India (F. Hoffmann-La Roche Ltd 2019).</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A weakness Roche has is the counterfeiting and falsification of pharmaceutical and diagnostic products, which can pose a significant public health problem (Roche 2019). The World Health Organisation (WHO) (2018) state that “1 in 10 medical products in low and middle-income countries is substandard or falsified.” The use of these products can endanger the lives and well-being of patients, it can damage public confidence in authentic pharmaceutical and diagnostic products and is a threat to the reputation of Roche. Roche has only been involved in a limited number of counterfeiting cases. In order to try and combat this issue, Roche has</w:t>
      </w:r>
      <w:r w:rsidR="007C2F0E">
        <w:rPr>
          <w:rFonts w:ascii="Times New Roman" w:hAnsi="Times New Roman" w:cs="Times New Roman"/>
        </w:rPr>
        <w:t xml:space="preserve"> </w:t>
      </w:r>
      <w:r w:rsidRPr="00BA479F">
        <w:rPr>
          <w:rFonts w:ascii="Times New Roman" w:hAnsi="Times New Roman" w:cs="Times New Roman"/>
        </w:rPr>
        <w:lastRenderedPageBreak/>
        <w:t xml:space="preserve">implemented numerous technical anti-counterfeiting measures, however, these measures can not completely prevent counterfeits. Sophisticated counterfeiters will still try and pursue Roche’s products to sell on the black market. Roche is also taking measures to prevent this by coordinating with industry and Government officials (Roche 2019). It can be argued that globalisation increases the opportunity for counterfeiters, by providing access to attractive distribution </w:t>
      </w:r>
      <w:r w:rsidR="008152E8" w:rsidRPr="00BA479F">
        <w:rPr>
          <w:rFonts w:ascii="Times New Roman" w:hAnsi="Times New Roman" w:cs="Times New Roman"/>
        </w:rPr>
        <w:t>channel</w:t>
      </w:r>
      <w:r w:rsidR="008152E8">
        <w:rPr>
          <w:rFonts w:ascii="Times New Roman" w:hAnsi="Times New Roman" w:cs="Times New Roman"/>
        </w:rPr>
        <w:t>s</w:t>
      </w:r>
      <w:r w:rsidRPr="00BA479F">
        <w:rPr>
          <w:rFonts w:ascii="Times New Roman" w:hAnsi="Times New Roman" w:cs="Times New Roman"/>
        </w:rPr>
        <w:t xml:space="preserve">. </w:t>
      </w:r>
      <w:proofErr w:type="spellStart"/>
      <w:r w:rsidRPr="00BA479F">
        <w:rPr>
          <w:rFonts w:ascii="Times New Roman" w:hAnsi="Times New Roman" w:cs="Times New Roman"/>
        </w:rPr>
        <w:t>Mittelman</w:t>
      </w:r>
      <w:proofErr w:type="spellEnd"/>
      <w:r w:rsidRPr="00BA479F">
        <w:rPr>
          <w:rFonts w:ascii="Times New Roman" w:hAnsi="Times New Roman" w:cs="Times New Roman"/>
        </w:rPr>
        <w:t xml:space="preserve"> (2000) cited in Andreas (2011) states that the increased rate of organised crime is having an impact on globalisation, as trade channels are being used to traffic counterfeit goods. To try and combat this increasing issue, Roche is aiming to improve the security of the supply and distribution chains. By doing this Roche is able to track all medical products and prevent counterfeit products from entering the supply chain (Roche 2019).</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A weakness that could affect Roche’s position in the current market and profits is the expiry of the patents it has on its products, particularly in the pharmaceutical sector. Roche needs the protection a patent offers in order to recoup its investments, allowing research into new medical solutions to continue. On average it has taken Roche between eight to twelve years and cost on average one billion CHF to bring a new drug to the pharmaceutical market. However, when this patent expires, the intellectual property related to the drug is available to the public and can then be produced by a number of other manufacturers (Roche ND). Tamiflu sales declined by 49% in 2017 due to the competition from other companies, following its patent expiry in 2016. As Roche has numerous pharmaceutical products on the market, and multiple patent timelines it is hard to clarify the exact date of patent expiry. In the coming year, Roche has two products, Herceptin and Avastin which are due to expire in the middle of 2019. This will cause the Roche some degree of uncertainty as sales will surely decrease as other companies prepare to start manufacturing these products (Starkey and Ziegler 2018).</w:t>
      </w: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lastRenderedPageBreak/>
        <w:t xml:space="preserve">An opportunity that Roche has is the use of countries in emerging markets. Emerging markets make up 28% of the world market and approximately 85% of the population. With increasing prosperity and the growing demand for high-quality healthcare Roche has implemented the Emerging Markets Leadership Acceleration Programme (EMLAP). Not only using these countries to produce pharmaceutical and diagnostic products but offering individuals the opportunities to learn from both emerging markets and mature markets (Roche ND).  India has a high level of competition with a low commercial opportunity. Roche partnered with the Indian Pharmaceutical company Emcure Pharmaceuticals to produce Rituxan. This was priced competitively with </w:t>
      </w:r>
      <w:proofErr w:type="spellStart"/>
      <w:r w:rsidRPr="00BA479F">
        <w:rPr>
          <w:rFonts w:ascii="Times New Roman" w:hAnsi="Times New Roman" w:cs="Times New Roman"/>
        </w:rPr>
        <w:t>Dr.</w:t>
      </w:r>
      <w:proofErr w:type="spellEnd"/>
      <w:r w:rsidRPr="00BA479F">
        <w:rPr>
          <w:rFonts w:ascii="Times New Roman" w:hAnsi="Times New Roman" w:cs="Times New Roman"/>
        </w:rPr>
        <w:t xml:space="preserve"> Reddy’s </w:t>
      </w:r>
      <w:proofErr w:type="spellStart"/>
      <w:r w:rsidRPr="00BA479F">
        <w:rPr>
          <w:rFonts w:ascii="Times New Roman" w:hAnsi="Times New Roman" w:cs="Times New Roman"/>
        </w:rPr>
        <w:t>Reditux</w:t>
      </w:r>
      <w:proofErr w:type="spellEnd"/>
      <w:r w:rsidRPr="00BA479F">
        <w:rPr>
          <w:rFonts w:ascii="Times New Roman" w:hAnsi="Times New Roman" w:cs="Times New Roman"/>
        </w:rPr>
        <w:t xml:space="preserve"> product, already on the market. This provided Roche with a tiered market strategy, the brand that is self-paying and a local brand that is available for low-income patients (Gautam 2017). Another emerging market that has shown growth is Russia, pharmaceutical sales growth was driven by high sales across the HER2 franchise an increase from 98 million CHF in 2017 to 127 million CHF in 2018, an increase of 37% in sales. As well as pharmaceuticals, Russia’s sales in the diagnostic sector also increased from 147 million CHF in 2017 to 159 million CHF in 2018, an increase of 18% in sales (Roche 2019). If Roche continues to invest in the emerging market it can continue to see an increase in sales for both the pharmaceutical and diagnostic sectors, thus increasing the overall profit. </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Another opportunity that Roche has to utilize is global penetration through mergers and acquisitions.  In February 2019 Roche and Spark Therapeutics Inc entered into a merger agreement. Spark Therapeutics is committed to developing and delivering gene therapies for genetic diseases including haemophilia and neurodegenerative diseases (F. Hoffmann-La Roche Ltd 2019). </w:t>
      </w:r>
      <w:proofErr w:type="spellStart"/>
      <w:r w:rsidRPr="00BA479F">
        <w:rPr>
          <w:rFonts w:ascii="Times New Roman" w:hAnsi="Times New Roman" w:cs="Times New Roman"/>
        </w:rPr>
        <w:t>Marrazzo</w:t>
      </w:r>
      <w:proofErr w:type="spellEnd"/>
      <w:r w:rsidRPr="00BA479F">
        <w:rPr>
          <w:rFonts w:ascii="Times New Roman" w:hAnsi="Times New Roman" w:cs="Times New Roman"/>
        </w:rPr>
        <w:t xml:space="preserve">, CEO of Spark Therapeutics cited in (F. Hoffmann-La Roche Ltd 2019) stated that ‘with its worldwide reach and extensive resources, Roche will help us accelerate the development of more gene therapies’. </w:t>
      </w:r>
      <w:proofErr w:type="spellStart"/>
      <w:r w:rsidRPr="00BA479F">
        <w:rPr>
          <w:rFonts w:ascii="Times New Roman" w:hAnsi="Times New Roman" w:cs="Times New Roman"/>
        </w:rPr>
        <w:t>Ornaghi</w:t>
      </w:r>
      <w:proofErr w:type="spellEnd"/>
      <w:r w:rsidRPr="00BA479F">
        <w:rPr>
          <w:rFonts w:ascii="Times New Roman" w:hAnsi="Times New Roman" w:cs="Times New Roman"/>
        </w:rPr>
        <w:t xml:space="preserve"> (2009) concurs with </w:t>
      </w:r>
      <w:proofErr w:type="spellStart"/>
      <w:r w:rsidRPr="00BA479F">
        <w:rPr>
          <w:rFonts w:ascii="Times New Roman" w:hAnsi="Times New Roman" w:cs="Times New Roman"/>
        </w:rPr>
        <w:t>Marrazzo</w:t>
      </w:r>
      <w:proofErr w:type="spellEnd"/>
      <w:r w:rsidRPr="00BA479F">
        <w:rPr>
          <w:rFonts w:ascii="Times New Roman" w:hAnsi="Times New Roman" w:cs="Times New Roman"/>
        </w:rPr>
        <w:t xml:space="preserve"> </w:t>
      </w:r>
      <w:r w:rsidRPr="00BA479F">
        <w:rPr>
          <w:rFonts w:ascii="Times New Roman" w:hAnsi="Times New Roman" w:cs="Times New Roman"/>
        </w:rPr>
        <w:lastRenderedPageBreak/>
        <w:t>(2019) and states that larger mergers can affect research and development investment and the probability of new drugs being created is increased. Asset SPK-8011 is a gene therapy treatment for haemophilia, this is expected to start phase 3 in 2019. When eventually released into the market this is expected to make Roche and Spark Therapeutics millions, this will allow more investment in research and development increasing the number of products available to patients (F. Hoffmann-La Roche Ltd 2019).</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A threat to Roche in the current market is the regulatory environment in which its products must be approved. Currently, Roche’s products in the USA have to be approved by the Food and Drug Administration (FDA). The FDA is responsible for protecting the public’s health by ensuring the safety and security of pharmaceutical, biological products and medical devices (FDA 2018). The main watchdog for the FDA is the Centre for Drug Evaluation and Research (CDER), this is the body that will approve all Roche’s products. The CDER ensures that pharmaceutical drugs health benefits outweigh the risks. In order to have products FDA approved Roche must test the product, first in a laboratory and then human trials. Once both are completed the FDA will evaluate and approve the products (FDA 2018). As well as the FDA approval for the USA, Roche must have approval for products sold in the European Union (EU). This approval must come from the European Commission. The process is the same as the FDA’s with a pharmaceutical committee making decisions on approval (European Commission ND). This regulatory environment can cost millions to complete, with no guarantee that the products will be approved for sale. Thomas (2018) states that with the loom of Brexit on the horizon, this is causing a lot of uncertainty and the ramifications could be widespread and would impact the pharmaceutical sector significantly. The UK will need to implement an approvals process for all pharmaceutical and diagnostic products if an agreement with the EU is not made. Currently, the Medicines and Healthcare products Regulatory Agency </w:t>
      </w:r>
      <w:r w:rsidRPr="00BA479F">
        <w:rPr>
          <w:rFonts w:ascii="Times New Roman" w:hAnsi="Times New Roman" w:cs="Times New Roman"/>
        </w:rPr>
        <w:lastRenderedPageBreak/>
        <w:t xml:space="preserve">(MHRA) are taking control of all Centrally Authorised Products (CAP’s) that are currently available and transferring them to the UK’s system (UK Government 2019).  Witty (ND) cited in </w:t>
      </w:r>
      <w:proofErr w:type="spellStart"/>
      <w:r w:rsidRPr="00BA479F">
        <w:rPr>
          <w:rFonts w:ascii="Times New Roman" w:hAnsi="Times New Roman" w:cs="Times New Roman"/>
        </w:rPr>
        <w:t>Swanick</w:t>
      </w:r>
      <w:proofErr w:type="spellEnd"/>
      <w:r w:rsidRPr="00BA479F">
        <w:rPr>
          <w:rFonts w:ascii="Times New Roman" w:hAnsi="Times New Roman" w:cs="Times New Roman"/>
        </w:rPr>
        <w:t xml:space="preserve"> et al (2016) states that if the UK leaves the European Medicine Agency’s (EMA) it could have a negative impact on the pharmaceutical and diagnostic sector. However, the UK could leave the EMA and create one of the best agency’s in the world, which could create an interesting dynamic in which innovation is assessed globally. Roche’s CEO Severin Schwan stated that “with Europe already slower than the US to approve new drugs, the UK could fall even further behind” (Staines 2018). This scenario is more than likely to have a negative effect on Roche as the guidelines could potentially change for laboratory and human testing. The changing product packaging due to new guidelines could also have a negative effect on Roche, thus costing Roche more money. Pharmaceuticals and diagnostic equipment will require a UK license which will need a new marketing authorisation number that must be placed on every drug packaging. The UK Government has given companies till 2020 to make adjustments, allowing Roche to factor in finances for this change (Pharmaceutical Technology 2018). </w:t>
      </w: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Gupta (2013) states that Political, Economic, Sociological, Technological, Legal and Environmental (PESTLE) is an approach used to consider the external business environment, taking into account micro and macro environmental factors within strategic management. The main aim of undertaking a PESTLE analysis is that the organisation is able to react to changes in its external environment. </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As Roche’s pharmaceutical and diagnostic products are used globally a key political factor that could affect the organisation is the inability to agree on key issues with various countries, this can include international political and economic positions (Roche ND). </w:t>
      </w:r>
      <w:proofErr w:type="spellStart"/>
      <w:r w:rsidRPr="00BA479F">
        <w:rPr>
          <w:rFonts w:ascii="Times New Roman" w:hAnsi="Times New Roman" w:cs="Times New Roman"/>
        </w:rPr>
        <w:t>Conybeare</w:t>
      </w:r>
      <w:proofErr w:type="spellEnd"/>
      <w:r w:rsidRPr="00BA479F">
        <w:rPr>
          <w:rFonts w:ascii="Times New Roman" w:hAnsi="Times New Roman" w:cs="Times New Roman"/>
        </w:rPr>
        <w:t xml:space="preserve"> (1988) states that a trade relationship between two large countries, for example, the UK and the USA can cause conflict, each country has an incentive to impose tariffs as a way of taxing the other </w:t>
      </w:r>
      <w:r w:rsidRPr="00BA479F">
        <w:rPr>
          <w:rFonts w:ascii="Times New Roman" w:hAnsi="Times New Roman" w:cs="Times New Roman"/>
        </w:rPr>
        <w:lastRenderedPageBreak/>
        <w:t xml:space="preserve">country, in order to reach maximum income. However, by implementing this they risk losing free trade agreements. </w:t>
      </w:r>
      <w:proofErr w:type="spellStart"/>
      <w:r w:rsidRPr="00BA479F">
        <w:rPr>
          <w:rFonts w:ascii="Times New Roman" w:hAnsi="Times New Roman" w:cs="Times New Roman"/>
        </w:rPr>
        <w:t>Swanick</w:t>
      </w:r>
      <w:proofErr w:type="spellEnd"/>
      <w:r w:rsidRPr="00BA479F">
        <w:rPr>
          <w:rFonts w:ascii="Times New Roman" w:hAnsi="Times New Roman" w:cs="Times New Roman"/>
        </w:rPr>
        <w:t xml:space="preserve"> (2016) states that Switzerland has also entered into a free trade deal with China, which benefits both countries. This bilateral trade deal is worth an estimated 26 billion United States Dollars (USD) and consists of both medicine and medical supplies (China Business Review 2013). As well as a trade deal with China, Roche’s headquarters are based in Switzerland. As a whole, the country of Switzerland plays a vital role in the growth of the Research and Development sector. The private sector contributes more than two-thirds of the research budget, with Roche dominating (Anon 2016). Roche needs to ensure that it has a network of agreements with the EU which will allow for participation in the single market (Institute for Government ND).</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proofErr w:type="spellStart"/>
      <w:r w:rsidRPr="00BA479F">
        <w:rPr>
          <w:rFonts w:ascii="Times New Roman" w:hAnsi="Times New Roman" w:cs="Times New Roman"/>
        </w:rPr>
        <w:t>Swanick</w:t>
      </w:r>
      <w:proofErr w:type="spellEnd"/>
      <w:r w:rsidRPr="00BA479F">
        <w:rPr>
          <w:rFonts w:ascii="Times New Roman" w:hAnsi="Times New Roman" w:cs="Times New Roman"/>
        </w:rPr>
        <w:t xml:space="preserve"> et al (2016) states that another political factor is Brexit and this will affect pharmaceutical and diagnostic organisations and how they will trade internationally. Once Article 50 was triggered in 2016 the UK Government has had two years to negotiate trade agreements with the EU member states. As Roche has facilities in the EU and UK it needs to consider Brexit scenarios across its regulations, workforce and funding and investment.  Ghoshal (1987) cited in Miller (1992) states that risk is one of the most important primary objectives an organisation has when trading internationally. The term risk can be used to refer to any unexpected variation in business outcomes, these can include costs, profits and revenues. Roche has put into place a Brexit taskforce in order to ensure that appropriate business measures have been taken to minimise any risk to UK affiliates, thus planning for any potential risk to the company. As Roche products are routinely manufactured and processed in Germany before being quality released and transported to the UK via Dover, the Roche taskforce has assessed alternative ports in order to ensure the continued flow of pharmaceuticals and medical devices into the UK (Roche 2019). Due to the uncertainty of Brexit, the price controls put into </w:t>
      </w:r>
      <w:r w:rsidRPr="00BA479F">
        <w:rPr>
          <w:rFonts w:ascii="Times New Roman" w:hAnsi="Times New Roman" w:cs="Times New Roman"/>
        </w:rPr>
        <w:lastRenderedPageBreak/>
        <w:t>place will contribute to the growth of drug sales in Europe to 1-4% (Peters 2017). Aitken et al (2016) states that estimated growth rates are 4-7% in the UK, 1-4% in Italy and Spain and 2-5% in Germany. With the impact of Brexit on the pharmaceutical market, the growth rate is expected to be lower with 1.5%. When dealing with Brexit and the implications for Roche, it is hard to ascertain the risks that could potentially lead to the disruption of workflow and critical business operations because there are still many unknowns as a result of the fluid nature of Brexit negotiations (Roche 2019).</w:t>
      </w:r>
    </w:p>
    <w:p w:rsidR="00487508" w:rsidRDefault="00487508"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An economic factor for Roche is its differential pricing system. Roche recognises that there are different healthcare needs in various countries and the affordability challenges that couples with this. The way in which individuals from developing countries do not have access to health or private insurance plays a role in Roche’s pricing strategy. Roche is working with Governments to develop solutions to these problems, they have introduced Personal Reimbursement Models (PRM) and International Differential Pricing (IDP) for the broader market (Roche 2017). Yadav (2010) states that a well-implemented IDP system can lead to incremental sales for pharmaceutical manufacturers. Due to the nature of Roche’s PRM model, there has been an increase in the market share as the drugs made and sold by Roche have become more economical for individuals. As a result, Roche has made sales to a number of public health care establishments based within the UK. As with any economic factors, a number of other pharmaceutical companies increased their prices on a number of products, including a number of oncology drugs. As Roche did not increase its prices it has acquired greater market shares, increasing its revenue worldwide and maximising its profits (Roche 2019). In Roche’s annual 2018 report Roche made 43,967 million CHF in 2018 and increase compared to 41,220 million CHF in 2017. This was solely down to the sales of pharmaceuticals. For the diagnostic </w:t>
      </w:r>
      <w:r w:rsidRPr="00BA479F">
        <w:rPr>
          <w:rFonts w:ascii="Times New Roman" w:hAnsi="Times New Roman" w:cs="Times New Roman"/>
        </w:rPr>
        <w:lastRenderedPageBreak/>
        <w:t>sector, Roche made 12,879 million CHF in 2018, again an increase from 12,079 million CHF in 2017 (Roche 2019).</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A social factor that has benefited Roche is the aging and growing diseased population. One disease that has reshaped demographic trends is HIV and AIDS, the increase of the world’s population has added challenges in trying to address the spread of the infection (Population Action 2011). Roche is continuously expanding HIV diagnostics and has invested in the Global Access Programme (GAP) for HIV testing. In 2015 a total of 1.5 million infant diagnose tests using Roche’s assays were used (Roche ND). Roche has developed the dual-target COBAS® </w:t>
      </w:r>
      <w:proofErr w:type="spellStart"/>
      <w:r w:rsidRPr="00BA479F">
        <w:rPr>
          <w:rFonts w:ascii="Times New Roman" w:hAnsi="Times New Roman" w:cs="Times New Roman"/>
        </w:rPr>
        <w:t>AmpliPrep</w:t>
      </w:r>
      <w:proofErr w:type="spellEnd"/>
      <w:r w:rsidRPr="00BA479F">
        <w:rPr>
          <w:rFonts w:ascii="Times New Roman" w:hAnsi="Times New Roman" w:cs="Times New Roman"/>
        </w:rPr>
        <w:t xml:space="preserve">/COBAS® TaqMan® HIV-1 Test, v2.0 which enhances the reliability of HIV-1 viral load results and provides health care professionals with greater confidence while assessing disease and patient management (Roche 2019). As a result of the aging population and the increase of disease Roche has opened itself up significantly and has advanced diagnostics and the treatment used for these diseases, such as HIV and AIDS. With Roche’s differentiated portfolio there is more opportunity to further its market shares and enhance its earnings. </w:t>
      </w:r>
    </w:p>
    <w:p w:rsidR="00CE00DC" w:rsidRDefault="00BA479F" w:rsidP="00413863">
      <w:pPr>
        <w:pStyle w:val="NormalWeb"/>
        <w:spacing w:line="480" w:lineRule="auto"/>
        <w:jc w:val="both"/>
      </w:pPr>
      <w:r w:rsidRPr="00BA479F">
        <w:t>Solution Integrated Services (SIS) is a business area that plays a significant role in the Diagnostics sector of Roche. This enables all the physical and virtual integration of numerous diagnostics testing within a laboratory setting. This service helps healthcare professionals cope with the challenges of the 21st Century, these challenges include cost pressures, efficiency levels, and increased demand. Roche has chosen to invest in this sector of technology as it helps improve operational performance in laboratories, resulting in quicker and effective clinical outcomes for patients</w:t>
      </w:r>
      <w:r>
        <w:t xml:space="preserve"> (Roche ND).</w:t>
      </w:r>
      <w:r w:rsidR="00F218AE">
        <w:t xml:space="preserve"> Roche has introduced the </w:t>
      </w:r>
      <w:proofErr w:type="spellStart"/>
      <w:r w:rsidR="00F218AE">
        <w:t>Cobas</w:t>
      </w:r>
      <w:proofErr w:type="spellEnd"/>
      <w:r w:rsidR="00F218AE">
        <w:t xml:space="preserve"> 8100</w:t>
      </w:r>
      <w:r w:rsidR="00603172">
        <w:t xml:space="preserve"> automated workflow series</w:t>
      </w:r>
      <w:r w:rsidR="00F218AE">
        <w:t>, this technology working alongside Roche’s diagnostic equipment is able to</w:t>
      </w:r>
      <w:r w:rsidR="00603172">
        <w:t xml:space="preserve"> prioritise urgent samples, detect errors and work through a high level of throughput</w:t>
      </w:r>
      <w:r w:rsidR="00396567">
        <w:t xml:space="preserve"> (Roche ND).</w:t>
      </w:r>
      <w:r w:rsidR="00487508">
        <w:t xml:space="preserve"> </w:t>
      </w:r>
      <w:r w:rsidR="00105A48" w:rsidRPr="00105A48">
        <w:t xml:space="preserve">This area of technology is a major contributor to the overall financial results, with an 8% </w:t>
      </w:r>
      <w:r w:rsidR="00105A48" w:rsidRPr="00105A48">
        <w:lastRenderedPageBreak/>
        <w:t>sales growth in the immunodiagnostics business (Roche 2019). This clearly shows that Roche is able to keep up with the ever-changing technology and its investment in the continued reform of technology is increasing sales and profits, allowing them to gain more market shares.</w:t>
      </w:r>
    </w:p>
    <w:p w:rsidR="00413863" w:rsidRDefault="00413863" w:rsidP="00413863">
      <w:pPr>
        <w:pStyle w:val="NormalWeb"/>
        <w:spacing w:line="480" w:lineRule="auto"/>
        <w:jc w:val="both"/>
      </w:pPr>
      <w:r>
        <w:t xml:space="preserve">Many legal factors can affect an international company. As Roche is one of the main players in the pharmaceutical and diagnostic sectors, there is potential for legal issues and lawsuits to affect the company. Roche has been involved in a number of patent infringement cases. Patent infringement can be described as the commission of a prohibited act to a patented invention without the permission of the patent holder (London IP 2016). The most recent legal case that Roche was involved in was with the pharmaceutical company Shire, which subsidises </w:t>
      </w:r>
      <w:proofErr w:type="spellStart"/>
      <w:r>
        <w:t>Baxalta</w:t>
      </w:r>
      <w:proofErr w:type="spellEnd"/>
      <w:r>
        <w:t xml:space="preserve"> Inc and </w:t>
      </w:r>
      <w:proofErr w:type="spellStart"/>
      <w:r>
        <w:t>Baxalta</w:t>
      </w:r>
      <w:proofErr w:type="spellEnd"/>
      <w:r>
        <w:t xml:space="preserve"> GmbH. It involved the use of the drug </w:t>
      </w:r>
      <w:proofErr w:type="spellStart"/>
      <w:r>
        <w:t>Hemlibra</w:t>
      </w:r>
      <w:proofErr w:type="spellEnd"/>
      <w:r>
        <w:t>, the U.S court declared that it did not infringe on Shire’s patent (Genentech 2019). As stated in Roche (2019) the provisions for legal cases in the pharmaceutical division were 371 million CHF in 2018, an increase from 369 million CHF in 2017. Legal costs have the potential to cost Roche millions and could affect the production of numerous drugs and diagnostic products as well as the reputation of Roche and its involvement in other companies, this, in turn, will affect Roche’s over net income and profits.</w:t>
      </w:r>
    </w:p>
    <w:p w:rsidR="00413863" w:rsidRDefault="00413863" w:rsidP="00413863">
      <w:pPr>
        <w:pStyle w:val="NormalWeb"/>
        <w:spacing w:line="480" w:lineRule="auto"/>
        <w:jc w:val="both"/>
      </w:pPr>
      <w:r>
        <w:t xml:space="preserve">Roche has introduced a number of policies and initiatives to reduce emissions of greenhouse gases across its sites. The use of energy is a significant long-term cost for Roche and the inefficient use of it can cost Roche millions in carbon and energy taxes. As Roche grew by 7% in 2018, the company as a whole reduced greenhouse </w:t>
      </w:r>
      <w:r w:rsidR="00D77801">
        <w:t>gas</w:t>
      </w:r>
      <w:r>
        <w:t xml:space="preserve"> by 2.1%. Saving energy across its sites will reduce operating costs, increase the profit margin and contribute to Roche’s reputation as an environmentally responsible organisation. (Roche ND).</w:t>
      </w:r>
    </w:p>
    <w:p w:rsidR="00245F8A" w:rsidRDefault="00413863" w:rsidP="00413863">
      <w:pPr>
        <w:pStyle w:val="NormalWeb"/>
        <w:spacing w:line="480" w:lineRule="auto"/>
        <w:jc w:val="both"/>
      </w:pPr>
      <w:r>
        <w:t xml:space="preserve">One challenge that will affect Roche and the global economy which has been identified by the International Monetary Fund (IMF) in the World Economic Outlook report is the slow growth </w:t>
      </w:r>
      <w:r>
        <w:lastRenderedPageBreak/>
        <w:t>in labour productivity combined with aging populations in developed counties and the ride in Artificial Intelligence (AI) and robotics</w:t>
      </w:r>
      <w:r w:rsidR="006F11FF">
        <w:t xml:space="preserve"> (IMF 2018).</w:t>
      </w:r>
      <w:r>
        <w:t xml:space="preserve">  Due to the slowing of population growth, life expectancy rising and the number of elderly individuals increasing, Clements </w:t>
      </w:r>
      <w:r w:rsidRPr="00393D0C">
        <w:rPr>
          <w:i/>
        </w:rPr>
        <w:t>et al</w:t>
      </w:r>
      <w:r>
        <w:t xml:space="preserve"> (2015)</w:t>
      </w:r>
      <w:r w:rsidR="00393D0C">
        <w:t xml:space="preserve"> cited in IMF (2018) </w:t>
      </w:r>
      <w:r w:rsidR="00B06E47">
        <w:t>s</w:t>
      </w:r>
      <w:r>
        <w:t>tates that unless more individuals participate in labour productivity, aging could slow down economic growth.</w:t>
      </w:r>
      <w:r w:rsidR="00B06E47">
        <w:t xml:space="preserve"> </w:t>
      </w:r>
      <w:r w:rsidR="00B3373E" w:rsidRPr="00B3373E">
        <w:t xml:space="preserve">The IMF (2018) believes that a tax benefit system and gains in educational attainment can increase the labour force for prime-age women and older workers. In order for Roche to attract the best scientists and employees, there are a number of benefits it offers, such as life insurance, medical coverage, and long-term disability benefits. Roche spent 518 million CHF in 2018 on defined benefit plans (Roche 2019). According to IMF (2018) countries including Germany, the Netherlands and Spain saw an increase in workforce participation in 2016. This is great news for Roche as Roche has facilities in these three countries. Participation rates in men and women over the age of 55 have increased significantly, individuals over the age of 65 are remaining in the labour force longer (IMF 2018). This can be down to the rise in the retirement age. The current retirement age for males is 67 and 60 for females. However, there are plans for the UK Government to increase the retirement age (Age UK ND).  </w:t>
      </w:r>
      <w:r w:rsidR="00B201CB">
        <w:t xml:space="preserve">With individuals staying in work longer, the chance for new members of staff to join Roche is drastically decreased, this could see Roche employing an aging population. </w:t>
      </w:r>
      <w:r w:rsidR="00B3373E" w:rsidRPr="00B3373E">
        <w:t>The USA has shown deep declines in participation for both men and women in the prime-age category when it comes to educational attainment (IMF 2018).</w:t>
      </w:r>
      <w:r w:rsidR="00251B63">
        <w:t xml:space="preserve"> </w:t>
      </w:r>
      <w:r w:rsidR="0096153C" w:rsidRPr="0096153C">
        <w:t xml:space="preserve">This could seriously affect Roche and its Genentech facilities, the decrease in individuals attending education could, in turn, have a knock-on effect on the number of Biomedical Scientists they can employ. If they are unable to employ Biomedical Scientists to design and create new pharmaceutical drugs and diagnostic equipment then Roche could be at a loss, not only in creating new products but in the financial market as well. There was also a rise in unemployment during the recession which could have led to workers dropping out of the labour </w:t>
      </w:r>
      <w:r w:rsidR="0096153C" w:rsidRPr="0096153C">
        <w:lastRenderedPageBreak/>
        <w:t>market permanently as job prospects were low. There was however an increase in the number of students staying in education (IMF 2018). This is an opportunity for Roche as a number of students could mean new innovative ways of enhancing products and technology.</w:t>
      </w:r>
      <w:r w:rsidR="00B201CB">
        <w:t xml:space="preserve"> As a whole, the labour productivity could be harmful to Roche’s financial gains and global domination in the international market. However, if Roche can prepare and implement strategies to ensure that there is a constant variation of</w:t>
      </w:r>
      <w:r w:rsidR="00F20CE0">
        <w:t xml:space="preserve"> the</w:t>
      </w:r>
      <w:r w:rsidR="00B201CB">
        <w:t xml:space="preserve"> workforce across its sites globally then Roche should be able to withstand any </w:t>
      </w:r>
      <w:r w:rsidR="0050243C">
        <w:t>drop-in</w:t>
      </w:r>
      <w:r w:rsidR="00B201CB">
        <w:t xml:space="preserve"> levels of labour productivity. </w:t>
      </w:r>
    </w:p>
    <w:p w:rsidR="00894D32" w:rsidRDefault="00894D32" w:rsidP="00894D32">
      <w:pPr>
        <w:pStyle w:val="NormalWeb"/>
        <w:spacing w:line="480" w:lineRule="auto"/>
        <w:jc w:val="both"/>
      </w:pPr>
      <w:r>
        <w:t>Overall Roche as a whole country is dominating the international market for pharmaceuticals and diagnostics. The company has shown growth both financially and globally by investing all over the world. With regard to its access to medicine strategy</w:t>
      </w:r>
      <w:r w:rsidR="0050243C">
        <w:t>,</w:t>
      </w:r>
      <w:r w:rsidR="00AE519D">
        <w:t xml:space="preserve"> </w:t>
      </w:r>
      <w:r>
        <w:t xml:space="preserve">Roche is performing strongly in this area as it is importing and exporting to a number of developing countries. Roche has publicly disclosed its policies and its position in fighting against counterfeit medicines and medical products, however, </w:t>
      </w:r>
      <w:r w:rsidR="00A96ECB">
        <w:t xml:space="preserve">it </w:t>
      </w:r>
      <w:r>
        <w:t>has chosen not to publicly disclose its financial support towards these issues.</w:t>
      </w:r>
      <w:r w:rsidR="007358E3">
        <w:t xml:space="preserve"> However, this is great for Roche’s public image and shows other stakeholders the level of commitment Roche will go to, to ensure the public</w:t>
      </w:r>
      <w:r w:rsidR="00BB0147">
        <w:t>’</w:t>
      </w:r>
      <w:r w:rsidR="007358E3">
        <w:t xml:space="preserve">s safety. </w:t>
      </w:r>
      <w:r>
        <w:t xml:space="preserve"> Roche has invested billions into the R&amp;D sector and has publicly shown commitment to fighting disease by working alongside the WHO, the company should still continue to work towards new products as the pharmaceutical sector is continuously showing growth and profit. </w:t>
      </w:r>
      <w:r w:rsidR="008A0203">
        <w:t>Roche’s profits for both the pharmaceutical and diagnostic sector have increased</w:t>
      </w:r>
      <w:r w:rsidR="008A0203">
        <w:t xml:space="preserve"> over 2018’s financial year, in order to continue on this steady increase of profits and growth Roche needs to ensure it carries on </w:t>
      </w:r>
      <w:r>
        <w:t>invest</w:t>
      </w:r>
      <w:r w:rsidR="008A0203">
        <w:t>ing</w:t>
      </w:r>
      <w:r>
        <w:t xml:space="preserve"> through</w:t>
      </w:r>
      <w:r w:rsidR="008A0203">
        <w:t xml:space="preserve"> the use</w:t>
      </w:r>
      <w:r>
        <w:t xml:space="preserve"> mergers and acquisitions with other companies has helped Roche to increase its profits and market shares, Roche should continue to work with affiliates globally as this will ensure that Roche dominates the pharmaceutical and diagnostic market.</w:t>
      </w:r>
      <w:r w:rsidR="006D3C5F">
        <w:t xml:space="preserve"> This will also ensure that Roche has access to a broad spectrum of pharmaceutical drugs and equipment</w:t>
      </w:r>
      <w:r w:rsidR="00220EB8">
        <w:t xml:space="preserve"> in its portfolio</w:t>
      </w:r>
      <w:r w:rsidR="006D3C5F">
        <w:t>.</w:t>
      </w:r>
      <w:r w:rsidR="00CF3671">
        <w:t xml:space="preserve"> </w:t>
      </w:r>
      <w:r>
        <w:t xml:space="preserve">Roche has implemented a task force to ensure the effects of Brexit does not </w:t>
      </w:r>
      <w:r>
        <w:lastRenderedPageBreak/>
        <w:t>hinder Roche as a whole company but also its supply chains to the UK and EU. Roche will need to keep a close eye on this factor as a number of things could change over a short period of time which could be detrimental to the company</w:t>
      </w:r>
      <w:r w:rsidR="00930DAA">
        <w:t xml:space="preserve"> and its finances</w:t>
      </w:r>
      <w:r>
        <w:t xml:space="preserve">. Roche will need to ensure that </w:t>
      </w:r>
      <w:r w:rsidR="00714F69">
        <w:t>its</w:t>
      </w:r>
      <w:r>
        <w:t xml:space="preserve"> pharmaceutical profits do not decrease when drug patents expire and are available on the common market</w:t>
      </w:r>
      <w:r w:rsidR="00E418B1">
        <w:t xml:space="preserve"> and there for should look to app</w:t>
      </w:r>
      <w:r w:rsidR="00CD7FAE">
        <w:t>l</w:t>
      </w:r>
      <w:r w:rsidR="00E418B1">
        <w:t xml:space="preserve">y for </w:t>
      </w:r>
      <w:r w:rsidR="00CD7FAE">
        <w:t>patents as soon as possible in order to recoup investments.</w:t>
      </w:r>
      <w:r w:rsidR="00C33D8F">
        <w:t xml:space="preserve"> </w:t>
      </w:r>
      <w:r w:rsidR="005F43EE">
        <w:t xml:space="preserve">In order to ensure that Roche stays ahead of the market, it should look into </w:t>
      </w:r>
      <w:r w:rsidR="00BB2313">
        <w:t xml:space="preserve">employing a number of newly qualified research staff and Biomedical Scientists to keep up with the growing trends and to ensure that staff is kept at a sustainable level.   </w:t>
      </w:r>
    </w:p>
    <w:p w:rsidR="00245F8A" w:rsidRDefault="00245F8A" w:rsidP="00413863">
      <w:pPr>
        <w:pStyle w:val="NormalWeb"/>
        <w:spacing w:line="480" w:lineRule="auto"/>
        <w:jc w:val="both"/>
      </w:pPr>
    </w:p>
    <w:p w:rsidR="00B3373E" w:rsidRDefault="00B3373E" w:rsidP="00413863">
      <w:pPr>
        <w:pStyle w:val="NormalWeb"/>
        <w:spacing w:line="480" w:lineRule="auto"/>
        <w:jc w:val="both"/>
      </w:pPr>
    </w:p>
    <w:p w:rsidR="00B3373E" w:rsidRDefault="00B3373E" w:rsidP="00413863">
      <w:pPr>
        <w:pStyle w:val="NormalWeb"/>
        <w:spacing w:line="480" w:lineRule="auto"/>
        <w:jc w:val="both"/>
      </w:pPr>
    </w:p>
    <w:p w:rsidR="00B3373E" w:rsidRDefault="00B3373E" w:rsidP="00413863">
      <w:pPr>
        <w:pStyle w:val="NormalWeb"/>
        <w:spacing w:line="480" w:lineRule="auto"/>
        <w:jc w:val="both"/>
      </w:pPr>
    </w:p>
    <w:p w:rsidR="00B3373E" w:rsidRDefault="00B3373E" w:rsidP="00413863">
      <w:pPr>
        <w:pStyle w:val="NormalWeb"/>
        <w:spacing w:line="480" w:lineRule="auto"/>
        <w:jc w:val="both"/>
      </w:pPr>
    </w:p>
    <w:p w:rsidR="00BB0FD3" w:rsidRDefault="00BB0FD3" w:rsidP="00413863">
      <w:pPr>
        <w:pStyle w:val="NormalWeb"/>
        <w:spacing w:line="480" w:lineRule="auto"/>
        <w:jc w:val="both"/>
      </w:pPr>
    </w:p>
    <w:p w:rsidR="00BB0FD3" w:rsidRDefault="00BB0FD3" w:rsidP="00413863">
      <w:pPr>
        <w:pStyle w:val="NormalWeb"/>
        <w:spacing w:line="480" w:lineRule="auto"/>
        <w:jc w:val="both"/>
      </w:pPr>
    </w:p>
    <w:p w:rsidR="00BB0FD3" w:rsidRDefault="00BB0FD3" w:rsidP="00413863">
      <w:pPr>
        <w:pStyle w:val="NormalWeb"/>
        <w:spacing w:line="480" w:lineRule="auto"/>
        <w:jc w:val="both"/>
      </w:pPr>
    </w:p>
    <w:p w:rsidR="00BB0FD3" w:rsidRDefault="00BB0FD3" w:rsidP="00413863">
      <w:pPr>
        <w:pStyle w:val="NormalWeb"/>
        <w:spacing w:line="480" w:lineRule="auto"/>
        <w:jc w:val="both"/>
      </w:pPr>
    </w:p>
    <w:p w:rsidR="00BB0FD3" w:rsidRDefault="00BB0FD3" w:rsidP="00413863">
      <w:pPr>
        <w:pStyle w:val="NormalWeb"/>
        <w:spacing w:line="480" w:lineRule="auto"/>
        <w:jc w:val="both"/>
      </w:pPr>
    </w:p>
    <w:p w:rsidR="00E87C6B" w:rsidRPr="002E7FA7" w:rsidRDefault="00E87C6B" w:rsidP="002E7FA7">
      <w:pPr>
        <w:spacing w:before="100" w:beforeAutospacing="1" w:after="100" w:afterAutospacing="1"/>
        <w:rPr>
          <w:rFonts w:ascii="Times New Roman" w:eastAsia="Times New Roman" w:hAnsi="Times New Roman" w:cs="Times New Roman"/>
        </w:rPr>
      </w:pPr>
    </w:p>
    <w:p w:rsidR="00E87C6B" w:rsidRDefault="00E87C6B" w:rsidP="00BC3E4A">
      <w:pPr>
        <w:pStyle w:val="NormalWeb"/>
        <w:spacing w:line="480" w:lineRule="auto"/>
        <w:jc w:val="both"/>
      </w:pPr>
    </w:p>
    <w:p w:rsidR="00BC3E4A" w:rsidRDefault="00BC3E4A" w:rsidP="00BC3E4A">
      <w:pPr>
        <w:pStyle w:val="NormalWeb"/>
        <w:spacing w:line="480" w:lineRule="auto"/>
        <w:jc w:val="both"/>
      </w:pPr>
      <w:r w:rsidRPr="00BC3E4A">
        <w:lastRenderedPageBreak/>
        <w:t xml:space="preserve">References. </w:t>
      </w:r>
    </w:p>
    <w:p w:rsidR="00525C7F" w:rsidRPr="00BC3E4A" w:rsidRDefault="00525C7F" w:rsidP="00525C7F">
      <w:pPr>
        <w:pStyle w:val="NormalWeb"/>
      </w:pPr>
      <w:r>
        <w:t xml:space="preserve">Age UK. (ND). </w:t>
      </w:r>
      <w:r w:rsidRPr="00525C7F">
        <w:rPr>
          <w:i/>
        </w:rPr>
        <w:t>Changes to state pension age</w:t>
      </w:r>
      <w:r>
        <w:t>. Available at:</w:t>
      </w:r>
      <w:r w:rsidRPr="00525C7F">
        <w:t xml:space="preserve"> https://www.ageuk.org.uk/information-advice/money-legal/pensions/state-pension/changes-to-state-pension-age/</w:t>
      </w:r>
      <w:r>
        <w:t xml:space="preserve"> (Accessed 19</w:t>
      </w:r>
      <w:r w:rsidRPr="00525C7F">
        <w:rPr>
          <w:vertAlign w:val="superscript"/>
        </w:rPr>
        <w:t>th</w:t>
      </w:r>
      <w:r>
        <w:t xml:space="preserve"> May 2019).</w:t>
      </w:r>
    </w:p>
    <w:p w:rsidR="00E85468" w:rsidRPr="004E2476" w:rsidRDefault="00E85468" w:rsidP="00E85468">
      <w:pPr>
        <w:rPr>
          <w:rFonts w:ascii="Times New Roman" w:eastAsia="Times New Roman" w:hAnsi="Times New Roman" w:cs="Times New Roman"/>
        </w:rPr>
      </w:pPr>
      <w:r w:rsidRPr="004E2476">
        <w:rPr>
          <w:rFonts w:ascii="Times New Roman" w:eastAsia="Times New Roman" w:hAnsi="Times New Roman" w:cs="Times New Roman"/>
          <w:shd w:val="clear" w:color="auto" w:fill="F5F5F5"/>
        </w:rPr>
        <w:t xml:space="preserve">Andreas, P. (2011) </w:t>
      </w:r>
      <w:r w:rsidRPr="004E2476">
        <w:rPr>
          <w:rFonts w:ascii="Times New Roman" w:eastAsia="Times New Roman" w:hAnsi="Times New Roman" w:cs="Times New Roman"/>
          <w:i/>
          <w:shd w:val="clear" w:color="auto" w:fill="F5F5F5"/>
        </w:rPr>
        <w:t>‘Illicit Globalization: Myths, Misconceptions, and Historical Lessons’</w:t>
      </w:r>
      <w:r w:rsidRPr="004E2476">
        <w:rPr>
          <w:rFonts w:ascii="Times New Roman" w:eastAsia="Times New Roman" w:hAnsi="Times New Roman" w:cs="Times New Roman"/>
          <w:shd w:val="clear" w:color="auto" w:fill="F5F5F5"/>
        </w:rPr>
        <w:t>, </w:t>
      </w:r>
      <w:r w:rsidRPr="004E2476">
        <w:rPr>
          <w:rFonts w:ascii="Times New Roman" w:eastAsia="Times New Roman" w:hAnsi="Times New Roman" w:cs="Times New Roman"/>
          <w:iCs/>
          <w:bdr w:val="none" w:sz="0" w:space="0" w:color="auto" w:frame="1"/>
        </w:rPr>
        <w:t>Political Science Quarterly (Academy of Political Science</w:t>
      </w:r>
      <w:r w:rsidRPr="004E2476">
        <w:rPr>
          <w:rFonts w:ascii="Times New Roman" w:eastAsia="Times New Roman" w:hAnsi="Times New Roman" w:cs="Times New Roman"/>
          <w:i/>
          <w:iCs/>
          <w:bdr w:val="none" w:sz="0" w:space="0" w:color="auto" w:frame="1"/>
        </w:rPr>
        <w:t>)</w:t>
      </w:r>
      <w:r w:rsidRPr="004E2476">
        <w:rPr>
          <w:rFonts w:ascii="Times New Roman" w:eastAsia="Times New Roman" w:hAnsi="Times New Roman" w:cs="Times New Roman"/>
          <w:shd w:val="clear" w:color="auto" w:fill="F5F5F5"/>
        </w:rPr>
        <w:t xml:space="preserve">, 126(3), pp. 403–425. </w:t>
      </w:r>
      <w:proofErr w:type="spellStart"/>
      <w:r w:rsidRPr="004E2476">
        <w:rPr>
          <w:rFonts w:ascii="Times New Roman" w:eastAsia="Times New Roman" w:hAnsi="Times New Roman" w:cs="Times New Roman"/>
          <w:shd w:val="clear" w:color="auto" w:fill="F5F5F5"/>
        </w:rPr>
        <w:t>doi</w:t>
      </w:r>
      <w:proofErr w:type="spellEnd"/>
      <w:r w:rsidRPr="004E2476">
        <w:rPr>
          <w:rFonts w:ascii="Times New Roman" w:eastAsia="Times New Roman" w:hAnsi="Times New Roman" w:cs="Times New Roman"/>
          <w:shd w:val="clear" w:color="auto" w:fill="F5F5F5"/>
        </w:rPr>
        <w:t>: 10.1002/j.1538-165X.2011.tb</w:t>
      </w:r>
      <w:proofErr w:type="gramStart"/>
      <w:r w:rsidRPr="004E2476">
        <w:rPr>
          <w:rFonts w:ascii="Times New Roman" w:eastAsia="Times New Roman" w:hAnsi="Times New Roman" w:cs="Times New Roman"/>
          <w:shd w:val="clear" w:color="auto" w:fill="F5F5F5"/>
        </w:rPr>
        <w:t>00706.x.</w:t>
      </w:r>
      <w:proofErr w:type="gramEnd"/>
    </w:p>
    <w:p w:rsidR="00E85468" w:rsidRDefault="00E85468" w:rsidP="00DE527E">
      <w:pPr>
        <w:autoSpaceDE w:val="0"/>
        <w:autoSpaceDN w:val="0"/>
        <w:adjustRightInd w:val="0"/>
        <w:jc w:val="both"/>
        <w:rPr>
          <w:rFonts w:ascii="Times New Roman" w:hAnsi="Times New Roman" w:cs="Times New Roman"/>
          <w:color w:val="000000" w:themeColor="text1"/>
          <w:lang w:val="en"/>
        </w:rPr>
      </w:pPr>
    </w:p>
    <w:p w:rsidR="00DE527E" w:rsidRPr="00D77675" w:rsidRDefault="00DE527E" w:rsidP="00DE527E">
      <w:pPr>
        <w:autoSpaceDE w:val="0"/>
        <w:autoSpaceDN w:val="0"/>
        <w:adjustRightInd w:val="0"/>
        <w:jc w:val="both"/>
        <w:rPr>
          <w:rFonts w:ascii="Times New Roman" w:hAnsi="Times New Roman" w:cs="Times New Roman"/>
          <w:color w:val="000000" w:themeColor="text1"/>
          <w:spacing w:val="2"/>
          <w:lang w:val="en"/>
        </w:rPr>
      </w:pPr>
      <w:r w:rsidRPr="005358F8">
        <w:rPr>
          <w:rFonts w:ascii="Times New Roman" w:hAnsi="Times New Roman" w:cs="Times New Roman"/>
          <w:color w:val="000000" w:themeColor="text1"/>
          <w:lang w:val="en"/>
        </w:rPr>
        <w:t xml:space="preserve">Anon, (2016). MarketLine Country Profile: Switzerland. </w:t>
      </w:r>
      <w:r w:rsidRPr="005358F8">
        <w:rPr>
          <w:rFonts w:ascii="Times New Roman" w:hAnsi="Times New Roman" w:cs="Times New Roman"/>
          <w:i/>
          <w:iCs/>
          <w:color w:val="000000" w:themeColor="text1"/>
          <w:lang w:val="en"/>
        </w:rPr>
        <w:t>Switzerland Country Profile</w:t>
      </w:r>
      <w:r w:rsidRPr="005358F8">
        <w:rPr>
          <w:rFonts w:ascii="Times New Roman" w:hAnsi="Times New Roman" w:cs="Times New Roman"/>
          <w:color w:val="000000" w:themeColor="text1"/>
          <w:lang w:val="en"/>
        </w:rPr>
        <w:t>, pp.1–87.</w:t>
      </w:r>
    </w:p>
    <w:p w:rsidR="0069148F" w:rsidRPr="00E9520E" w:rsidRDefault="0069148F" w:rsidP="0069148F">
      <w:pPr>
        <w:pStyle w:val="body-paragraph4"/>
        <w:ind w:left="0"/>
        <w:rPr>
          <w:color w:val="000000" w:themeColor="text1"/>
          <w:lang w:val="en"/>
        </w:rPr>
      </w:pPr>
      <w:r w:rsidRPr="00E9520E">
        <w:rPr>
          <w:color w:val="000000" w:themeColor="text1"/>
          <w:lang w:val="en"/>
        </w:rPr>
        <w:t xml:space="preserve">‘China and Switzerland Sign Preliminary Free-Trade Deal’ (2013) </w:t>
      </w:r>
      <w:r w:rsidRPr="00E9520E">
        <w:rPr>
          <w:i/>
          <w:iCs/>
          <w:color w:val="000000" w:themeColor="text1"/>
          <w:lang w:val="en"/>
        </w:rPr>
        <w:t>China Business Review</w:t>
      </w:r>
      <w:r w:rsidRPr="00E9520E">
        <w:rPr>
          <w:color w:val="000000" w:themeColor="text1"/>
          <w:lang w:val="en"/>
        </w:rPr>
        <w:t>, p. 3. Available at: https://search-ebscohost-com.ezproxy.uwtsd.ac.uk/login.aspx?direct=true&amp;db=bth&amp;AN=95311202&amp;site=eho</w:t>
      </w:r>
      <w:r>
        <w:rPr>
          <w:color w:val="000000" w:themeColor="text1"/>
          <w:lang w:val="en"/>
        </w:rPr>
        <w:t>st-live (Accessed: 14 May 2019).</w:t>
      </w:r>
    </w:p>
    <w:p w:rsidR="006F502C" w:rsidRPr="00B640E4" w:rsidRDefault="006F502C" w:rsidP="006F502C">
      <w:pPr>
        <w:autoSpaceDE w:val="0"/>
        <w:autoSpaceDN w:val="0"/>
        <w:adjustRightInd w:val="0"/>
        <w:spacing w:before="240"/>
        <w:rPr>
          <w:rFonts w:ascii="Times New Roman" w:hAnsi="Times New Roman" w:cs="Times New Roman"/>
        </w:rPr>
      </w:pPr>
      <w:r w:rsidRPr="00B640E4">
        <w:rPr>
          <w:rFonts w:ascii="Times New Roman" w:hAnsi="Times New Roman" w:cs="Times New Roman"/>
          <w:lang w:val="en"/>
        </w:rPr>
        <w:t>Cho, Dong-Sung, and Hwy-Chang Moon.</w:t>
      </w:r>
      <w:r>
        <w:rPr>
          <w:rFonts w:ascii="Times New Roman" w:hAnsi="Times New Roman" w:cs="Times New Roman"/>
          <w:lang w:val="en"/>
        </w:rPr>
        <w:t xml:space="preserve"> (2000).</w:t>
      </w:r>
      <w:r w:rsidRPr="00B640E4">
        <w:rPr>
          <w:rFonts w:ascii="Times New Roman" w:hAnsi="Times New Roman" w:cs="Times New Roman"/>
          <w:lang w:val="en"/>
        </w:rPr>
        <w:t xml:space="preserve"> </w:t>
      </w:r>
      <w:r w:rsidRPr="00B640E4">
        <w:rPr>
          <w:rFonts w:ascii="Times New Roman" w:hAnsi="Times New Roman" w:cs="Times New Roman"/>
          <w:i/>
          <w:lang w:val="en"/>
        </w:rPr>
        <w:t>From Adam Smith to Michael Porter: evolution of competitiveness theory</w:t>
      </w:r>
      <w:r w:rsidRPr="00B640E4">
        <w:rPr>
          <w:rFonts w:ascii="Times New Roman" w:hAnsi="Times New Roman" w:cs="Times New Roman"/>
          <w:lang w:val="en"/>
        </w:rPr>
        <w:t>.</w:t>
      </w:r>
      <w:r>
        <w:rPr>
          <w:rFonts w:ascii="Times New Roman" w:hAnsi="Times New Roman" w:cs="Times New Roman"/>
          <w:lang w:val="en"/>
        </w:rPr>
        <w:t xml:space="preserve"> Vol. 2. World Scientific.</w:t>
      </w:r>
    </w:p>
    <w:p w:rsidR="006F502C" w:rsidRPr="004E451A" w:rsidRDefault="006F502C" w:rsidP="004E451A">
      <w:pPr>
        <w:autoSpaceDE w:val="0"/>
        <w:autoSpaceDN w:val="0"/>
        <w:adjustRightInd w:val="0"/>
        <w:spacing w:before="240"/>
        <w:rPr>
          <w:rFonts w:ascii="Times New Roman" w:hAnsi="Times New Roman" w:cs="Times New Roman"/>
          <w:color w:val="000000" w:themeColor="text1"/>
        </w:rPr>
      </w:pPr>
      <w:r w:rsidRPr="00B640E4">
        <w:rPr>
          <w:rFonts w:ascii="Times New Roman" w:hAnsi="Times New Roman" w:cs="Times New Roman"/>
          <w:lang w:val="en"/>
        </w:rPr>
        <w:t>Cho, T.-</w:t>
      </w:r>
      <w:proofErr w:type="spellStart"/>
      <w:r w:rsidRPr="00B640E4">
        <w:rPr>
          <w:rFonts w:ascii="Times New Roman" w:hAnsi="Times New Roman" w:cs="Times New Roman"/>
          <w:lang w:val="en"/>
        </w:rPr>
        <w:t>sŏng</w:t>
      </w:r>
      <w:proofErr w:type="spellEnd"/>
      <w:r w:rsidRPr="00B640E4">
        <w:rPr>
          <w:rFonts w:ascii="Times New Roman" w:hAnsi="Times New Roman" w:cs="Times New Roman"/>
          <w:lang w:val="en"/>
        </w:rPr>
        <w:t xml:space="preserve">. &amp; </w:t>
      </w:r>
      <w:proofErr w:type="spellStart"/>
      <w:r w:rsidRPr="00B640E4">
        <w:rPr>
          <w:rFonts w:ascii="Times New Roman" w:hAnsi="Times New Roman" w:cs="Times New Roman"/>
          <w:lang w:val="en"/>
        </w:rPr>
        <w:t>Mun</w:t>
      </w:r>
      <w:proofErr w:type="spellEnd"/>
      <w:r w:rsidRPr="00B640E4">
        <w:rPr>
          <w:rFonts w:ascii="Times New Roman" w:hAnsi="Times New Roman" w:cs="Times New Roman"/>
          <w:lang w:val="en"/>
        </w:rPr>
        <w:t>, H.-</w:t>
      </w:r>
      <w:proofErr w:type="spellStart"/>
      <w:r w:rsidRPr="00B640E4">
        <w:rPr>
          <w:rFonts w:ascii="Times New Roman" w:hAnsi="Times New Roman" w:cs="Times New Roman"/>
          <w:lang w:val="en"/>
        </w:rPr>
        <w:t>chʻang</w:t>
      </w:r>
      <w:proofErr w:type="spellEnd"/>
      <w:r w:rsidRPr="00B640E4">
        <w:rPr>
          <w:rFonts w:ascii="Times New Roman" w:hAnsi="Times New Roman" w:cs="Times New Roman"/>
          <w:lang w:val="en"/>
        </w:rPr>
        <w:t xml:space="preserve">., </w:t>
      </w:r>
      <w:r>
        <w:rPr>
          <w:rFonts w:ascii="Times New Roman" w:hAnsi="Times New Roman" w:cs="Times New Roman"/>
          <w:lang w:val="en"/>
        </w:rPr>
        <w:t>(</w:t>
      </w:r>
      <w:r w:rsidRPr="00B640E4">
        <w:rPr>
          <w:rFonts w:ascii="Times New Roman" w:hAnsi="Times New Roman" w:cs="Times New Roman"/>
          <w:lang w:val="en"/>
        </w:rPr>
        <w:t>2012</w:t>
      </w:r>
      <w:r>
        <w:rPr>
          <w:rFonts w:ascii="Times New Roman" w:hAnsi="Times New Roman" w:cs="Times New Roman"/>
          <w:lang w:val="en"/>
        </w:rPr>
        <w:t>)</w:t>
      </w:r>
      <w:r w:rsidRPr="00B640E4">
        <w:rPr>
          <w:rFonts w:ascii="Times New Roman" w:hAnsi="Times New Roman" w:cs="Times New Roman"/>
          <w:lang w:val="en"/>
        </w:rPr>
        <w:t xml:space="preserve">. </w:t>
      </w:r>
      <w:r w:rsidRPr="00B640E4">
        <w:rPr>
          <w:rFonts w:ascii="Times New Roman" w:hAnsi="Times New Roman" w:cs="Times New Roman"/>
          <w:i/>
          <w:iCs/>
          <w:lang w:val="en"/>
        </w:rPr>
        <w:t>Fr</w:t>
      </w:r>
      <w:r w:rsidR="004E451A">
        <w:rPr>
          <w:rFonts w:ascii="Times New Roman" w:hAnsi="Times New Roman" w:cs="Times New Roman"/>
          <w:i/>
          <w:iCs/>
          <w:lang w:val="en"/>
        </w:rPr>
        <w:t>om Adam Smith to Michael Porter</w:t>
      </w:r>
      <w:r w:rsidRPr="00B640E4">
        <w:rPr>
          <w:rFonts w:ascii="Times New Roman" w:hAnsi="Times New Roman" w:cs="Times New Roman"/>
          <w:i/>
          <w:iCs/>
          <w:lang w:val="en"/>
        </w:rPr>
        <w:t>: evolution of competitiveness theory</w:t>
      </w:r>
      <w:r w:rsidRPr="00B640E4">
        <w:rPr>
          <w:rFonts w:ascii="Times New Roman" w:hAnsi="Times New Roman" w:cs="Times New Roman"/>
          <w:lang w:val="en"/>
        </w:rPr>
        <w:t xml:space="preserve"> Extended., </w:t>
      </w:r>
      <w:proofErr w:type="gramStart"/>
      <w:r w:rsidRPr="00B640E4">
        <w:rPr>
          <w:rFonts w:ascii="Times New Roman" w:hAnsi="Times New Roman" w:cs="Times New Roman"/>
          <w:lang w:val="en"/>
        </w:rPr>
        <w:t>Singapore ;</w:t>
      </w:r>
      <w:proofErr w:type="gramEnd"/>
      <w:r w:rsidRPr="00B640E4">
        <w:rPr>
          <w:rFonts w:ascii="Times New Roman" w:hAnsi="Times New Roman" w:cs="Times New Roman"/>
          <w:lang w:val="en"/>
        </w:rPr>
        <w:t xml:space="preserve"> London: World Scientific.</w:t>
      </w:r>
    </w:p>
    <w:p w:rsidR="006F502C" w:rsidRDefault="006F502C" w:rsidP="0032314B">
      <w:pPr>
        <w:pStyle w:val="Default"/>
        <w:rPr>
          <w:rFonts w:ascii="Times New Roman" w:hAnsi="Times New Roman" w:cs="Times New Roman"/>
        </w:rPr>
      </w:pPr>
    </w:p>
    <w:p w:rsidR="009E1114" w:rsidRPr="0032314B" w:rsidRDefault="0032314B" w:rsidP="0032314B">
      <w:pPr>
        <w:pStyle w:val="Default"/>
        <w:rPr>
          <w:rFonts w:ascii="Times New Roman" w:hAnsi="Times New Roman" w:cs="Times New Roman"/>
        </w:rPr>
      </w:pPr>
      <w:r w:rsidRPr="0032314B">
        <w:rPr>
          <w:rFonts w:ascii="Times New Roman" w:hAnsi="Times New Roman" w:cs="Times New Roman"/>
        </w:rPr>
        <w:t>Clements, B</w:t>
      </w:r>
      <w:r>
        <w:rPr>
          <w:rFonts w:ascii="Times New Roman" w:hAnsi="Times New Roman" w:cs="Times New Roman"/>
        </w:rPr>
        <w:t xml:space="preserve">., </w:t>
      </w:r>
      <w:proofErr w:type="spellStart"/>
      <w:r>
        <w:rPr>
          <w:rFonts w:ascii="Times New Roman" w:hAnsi="Times New Roman" w:cs="Times New Roman"/>
        </w:rPr>
        <w:t>Kamil</w:t>
      </w:r>
      <w:proofErr w:type="spellEnd"/>
      <w:r>
        <w:rPr>
          <w:rFonts w:ascii="Times New Roman" w:hAnsi="Times New Roman" w:cs="Times New Roman"/>
        </w:rPr>
        <w:t>, D.</w:t>
      </w:r>
      <w:r w:rsidRPr="0032314B">
        <w:rPr>
          <w:rFonts w:ascii="Times New Roman" w:hAnsi="Times New Roman" w:cs="Times New Roman"/>
        </w:rPr>
        <w:t xml:space="preserve">, </w:t>
      </w:r>
      <w:proofErr w:type="spellStart"/>
      <w:r w:rsidRPr="0032314B">
        <w:rPr>
          <w:rFonts w:ascii="Times New Roman" w:hAnsi="Times New Roman" w:cs="Times New Roman"/>
        </w:rPr>
        <w:t>Vitor</w:t>
      </w:r>
      <w:proofErr w:type="spellEnd"/>
      <w:r w:rsidRPr="0032314B">
        <w:rPr>
          <w:rFonts w:ascii="Times New Roman" w:hAnsi="Times New Roman" w:cs="Times New Roman"/>
        </w:rPr>
        <w:t>,</w:t>
      </w:r>
      <w:r>
        <w:rPr>
          <w:rFonts w:ascii="Times New Roman" w:hAnsi="Times New Roman" w:cs="Times New Roman"/>
        </w:rPr>
        <w:t xml:space="preserve"> G., Sanjeev, G., and Mauricio, S</w:t>
      </w:r>
      <w:r w:rsidRPr="0032314B">
        <w:rPr>
          <w:rFonts w:ascii="Times New Roman" w:hAnsi="Times New Roman" w:cs="Times New Roman"/>
        </w:rPr>
        <w:t xml:space="preserve">. </w:t>
      </w:r>
      <w:r>
        <w:rPr>
          <w:rFonts w:ascii="Times New Roman" w:hAnsi="Times New Roman" w:cs="Times New Roman"/>
        </w:rPr>
        <w:t>(</w:t>
      </w:r>
      <w:r w:rsidRPr="0032314B">
        <w:rPr>
          <w:rFonts w:ascii="Times New Roman" w:hAnsi="Times New Roman" w:cs="Times New Roman"/>
        </w:rPr>
        <w:t>2015</w:t>
      </w:r>
      <w:r>
        <w:rPr>
          <w:rFonts w:ascii="Times New Roman" w:hAnsi="Times New Roman" w:cs="Times New Roman"/>
        </w:rPr>
        <w:t xml:space="preserve">). </w:t>
      </w:r>
      <w:r w:rsidRPr="0032314B">
        <w:rPr>
          <w:rFonts w:ascii="Times New Roman" w:hAnsi="Times New Roman" w:cs="Times New Roman"/>
          <w:i/>
        </w:rPr>
        <w:t xml:space="preserve">The Fiscal Consequences of Shrinking Population. </w:t>
      </w:r>
      <w:r w:rsidRPr="0032314B">
        <w:rPr>
          <w:rFonts w:ascii="Times New Roman" w:hAnsi="Times New Roman" w:cs="Times New Roman"/>
        </w:rPr>
        <w:t>IMF Staff Discussion Note 15/21, International Monetary Fund, Washington, DC.</w:t>
      </w:r>
    </w:p>
    <w:p w:rsidR="00AF7F15" w:rsidRPr="00150967" w:rsidRDefault="00AF7F15" w:rsidP="00AF7F15">
      <w:pPr>
        <w:pStyle w:val="body-paragraph1"/>
        <w:ind w:left="0"/>
        <w:rPr>
          <w:color w:val="000000" w:themeColor="text1"/>
          <w:szCs w:val="18"/>
          <w:lang w:val="en"/>
        </w:rPr>
      </w:pPr>
      <w:r w:rsidRPr="00150967">
        <w:rPr>
          <w:color w:val="000000" w:themeColor="text1"/>
          <w:szCs w:val="18"/>
          <w:lang w:val="en"/>
        </w:rPr>
        <w:t xml:space="preserve">‘COMPANY SPOTLIGHT -- F. Hoffmann-La Roche’ (2010) </w:t>
      </w:r>
      <w:proofErr w:type="spellStart"/>
      <w:r w:rsidRPr="00150967">
        <w:rPr>
          <w:i/>
          <w:iCs/>
          <w:color w:val="000000" w:themeColor="text1"/>
          <w:szCs w:val="18"/>
          <w:lang w:val="en"/>
        </w:rPr>
        <w:t>PharmaWatch</w:t>
      </w:r>
      <w:proofErr w:type="spellEnd"/>
      <w:r w:rsidRPr="00150967">
        <w:rPr>
          <w:i/>
          <w:iCs/>
          <w:color w:val="000000" w:themeColor="text1"/>
          <w:szCs w:val="18"/>
          <w:lang w:val="en"/>
        </w:rPr>
        <w:t>: Cancer</w:t>
      </w:r>
      <w:r w:rsidRPr="00150967">
        <w:rPr>
          <w:color w:val="000000" w:themeColor="text1"/>
          <w:szCs w:val="18"/>
          <w:lang w:val="en"/>
        </w:rPr>
        <w:t>, 9(5), pp. 19–24. Available at: https://search-ebscohost-com.ezproxy.uwtsd.ac.uk/login.aspx?direct=true&amp;db=bth&amp;AN=50466711&amp;site=ehost-live (Accessed: 24 April 2019).</w:t>
      </w:r>
    </w:p>
    <w:p w:rsidR="00340F4F" w:rsidRDefault="00340F4F" w:rsidP="0018586E">
      <w:pPr>
        <w:pStyle w:val="body-paragraph1"/>
        <w:ind w:left="0"/>
        <w:rPr>
          <w:szCs w:val="18"/>
          <w:lang w:val="en"/>
        </w:rPr>
      </w:pPr>
      <w:proofErr w:type="spellStart"/>
      <w:r w:rsidRPr="00263356">
        <w:rPr>
          <w:szCs w:val="18"/>
          <w:lang w:val="en"/>
        </w:rPr>
        <w:t>Conybeare</w:t>
      </w:r>
      <w:proofErr w:type="spellEnd"/>
      <w:r w:rsidRPr="00263356">
        <w:rPr>
          <w:szCs w:val="18"/>
          <w:lang w:val="en"/>
        </w:rPr>
        <w:t xml:space="preserve">, J. A. C. (1988) ‘Managing International Trade Conflicts’, </w:t>
      </w:r>
      <w:r w:rsidRPr="00263356">
        <w:rPr>
          <w:i/>
          <w:iCs/>
          <w:szCs w:val="18"/>
          <w:lang w:val="en"/>
        </w:rPr>
        <w:t>Journal of International Affairs</w:t>
      </w:r>
      <w:r w:rsidRPr="00263356">
        <w:rPr>
          <w:szCs w:val="18"/>
          <w:lang w:val="en"/>
        </w:rPr>
        <w:t>, 42(1), p. 75. Available at: https://search-ebscohost-com.ezproxy.uwtsd.ac.uk/login.aspx?direct=true&amp;db=bth&amp;AN=5298398&amp;site=ehost-live (Accessed: 3 May 2019</w:t>
      </w:r>
    </w:p>
    <w:p w:rsidR="0018586E" w:rsidRPr="007333EB" w:rsidRDefault="0018586E" w:rsidP="0018586E">
      <w:pPr>
        <w:pStyle w:val="body-paragraph1"/>
        <w:ind w:left="0"/>
        <w:rPr>
          <w:szCs w:val="18"/>
          <w:lang w:val="en"/>
        </w:rPr>
      </w:pPr>
      <w:r w:rsidRPr="007333EB">
        <w:rPr>
          <w:szCs w:val="18"/>
          <w:lang w:val="en"/>
        </w:rPr>
        <w:t xml:space="preserve">DATAMONITOR: F. Hoffmann-La Roche Ltd’ (2011) </w:t>
      </w:r>
      <w:r w:rsidRPr="007333EB">
        <w:rPr>
          <w:i/>
          <w:iCs/>
          <w:szCs w:val="18"/>
          <w:lang w:val="en"/>
        </w:rPr>
        <w:t>Roche Group SWOT Analysis</w:t>
      </w:r>
      <w:r w:rsidRPr="007333EB">
        <w:rPr>
          <w:szCs w:val="18"/>
          <w:lang w:val="en"/>
        </w:rPr>
        <w:t>, pp. 1–8. Available at: https://search-ebscohost-com.ezproxy.uwtsd.ac.uk/login.aspx?direct=true&amp;db=bth&amp;AN=69715050&amp;site=ehost-live (Accessed: 3 May 2019).</w:t>
      </w:r>
    </w:p>
    <w:p w:rsidR="004D78E9" w:rsidRPr="00307934" w:rsidRDefault="004D78E9" w:rsidP="004D78E9">
      <w:pPr>
        <w:rPr>
          <w:rFonts w:ascii="Times New Roman" w:hAnsi="Times New Roman" w:cs="Times New Roman"/>
          <w:color w:val="000000" w:themeColor="text1"/>
          <w:lang w:val="en"/>
        </w:rPr>
      </w:pPr>
      <w:proofErr w:type="spellStart"/>
      <w:r w:rsidRPr="00307934">
        <w:rPr>
          <w:rFonts w:ascii="Times New Roman" w:hAnsi="Times New Roman" w:cs="Times New Roman"/>
          <w:color w:val="000000" w:themeColor="text1"/>
          <w:lang w:val="en"/>
        </w:rPr>
        <w:t>Dlabay</w:t>
      </w:r>
      <w:proofErr w:type="spellEnd"/>
      <w:r w:rsidRPr="00307934">
        <w:rPr>
          <w:rFonts w:ascii="Times New Roman" w:hAnsi="Times New Roman" w:cs="Times New Roman"/>
          <w:color w:val="000000" w:themeColor="text1"/>
          <w:lang w:val="en"/>
        </w:rPr>
        <w:t xml:space="preserve">, L. and Scott, J. (2011) </w:t>
      </w:r>
      <w:r w:rsidRPr="00307934">
        <w:rPr>
          <w:rFonts w:ascii="Times New Roman" w:hAnsi="Times New Roman" w:cs="Times New Roman"/>
          <w:i/>
          <w:color w:val="000000" w:themeColor="text1"/>
          <w:lang w:val="en"/>
        </w:rPr>
        <w:t>International Business</w:t>
      </w:r>
      <w:r w:rsidRPr="00307934">
        <w:rPr>
          <w:rFonts w:ascii="Times New Roman" w:hAnsi="Times New Roman" w:cs="Times New Roman"/>
          <w:color w:val="000000" w:themeColor="text1"/>
          <w:lang w:val="en"/>
        </w:rPr>
        <w:t>. South-Western Cengage Learning, 4th ed.</w:t>
      </w:r>
    </w:p>
    <w:p w:rsidR="004D78E9" w:rsidRDefault="004D78E9" w:rsidP="00171A2E">
      <w:pPr>
        <w:autoSpaceDE w:val="0"/>
        <w:autoSpaceDN w:val="0"/>
        <w:adjustRightInd w:val="0"/>
        <w:rPr>
          <w:rFonts w:ascii="Times New Roman" w:hAnsi="Times New Roman" w:cs="Times New Roman"/>
          <w:bCs/>
        </w:rPr>
      </w:pPr>
    </w:p>
    <w:p w:rsidR="00171A2E" w:rsidRPr="00425D25" w:rsidRDefault="00171A2E" w:rsidP="00171A2E">
      <w:pPr>
        <w:autoSpaceDE w:val="0"/>
        <w:autoSpaceDN w:val="0"/>
        <w:adjustRightInd w:val="0"/>
        <w:rPr>
          <w:rFonts w:ascii="Times New Roman" w:hAnsi="Times New Roman" w:cs="Times New Roman"/>
          <w:bCs/>
        </w:rPr>
      </w:pPr>
      <w:r w:rsidRPr="00425D25">
        <w:rPr>
          <w:rFonts w:ascii="Times New Roman" w:hAnsi="Times New Roman" w:cs="Times New Roman"/>
          <w:bCs/>
        </w:rPr>
        <w:t xml:space="preserve">European Commission. (ND). </w:t>
      </w:r>
      <w:r w:rsidRPr="00425D25">
        <w:rPr>
          <w:rFonts w:ascii="Times New Roman" w:hAnsi="Times New Roman" w:cs="Times New Roman"/>
          <w:i/>
          <w:szCs w:val="36"/>
          <w:lang w:val="en"/>
        </w:rPr>
        <w:t>Pharmaceutical Committee, Veterinary Pharmaceutical Committee and Expert groups</w:t>
      </w:r>
      <w:r>
        <w:rPr>
          <w:rFonts w:cs="Arial"/>
          <w:szCs w:val="36"/>
          <w:lang w:val="en"/>
        </w:rPr>
        <w:t xml:space="preserve">. </w:t>
      </w:r>
      <w:r w:rsidRPr="00425D25">
        <w:rPr>
          <w:rFonts w:ascii="Times New Roman" w:hAnsi="Times New Roman" w:cs="Times New Roman"/>
          <w:bCs/>
        </w:rPr>
        <w:t xml:space="preserve">Available </w:t>
      </w:r>
      <w:r w:rsidRPr="00425D25">
        <w:rPr>
          <w:rFonts w:ascii="Times New Roman" w:hAnsi="Times New Roman" w:cs="Times New Roman"/>
          <w:bCs/>
        </w:rPr>
        <w:lastRenderedPageBreak/>
        <w:t>at:</w:t>
      </w:r>
      <w:r w:rsidRPr="00171A2E">
        <w:rPr>
          <w:rFonts w:ascii="Times New Roman" w:hAnsi="Times New Roman" w:cs="Times New Roman"/>
          <w:bCs/>
        </w:rPr>
        <w:t>https://ec.europa.eu/health/documents/pharmaceutical-committee_en</w:t>
      </w:r>
      <w:r w:rsidRPr="00425D25">
        <w:rPr>
          <w:rFonts w:ascii="Times New Roman" w:hAnsi="Times New Roman" w:cs="Times New Roman"/>
          <w:bCs/>
        </w:rPr>
        <w:t xml:space="preserve"> (Accessed 13th May 2019).</w:t>
      </w:r>
    </w:p>
    <w:p w:rsidR="00171A2E" w:rsidRDefault="00171A2E" w:rsidP="007423D9">
      <w:pPr>
        <w:autoSpaceDE w:val="0"/>
        <w:autoSpaceDN w:val="0"/>
        <w:adjustRightInd w:val="0"/>
        <w:rPr>
          <w:rFonts w:ascii="Times New Roman" w:hAnsi="Times New Roman" w:cs="Times New Roman"/>
        </w:rPr>
      </w:pPr>
    </w:p>
    <w:p w:rsidR="00EA5DD2" w:rsidRPr="00AE72F0" w:rsidRDefault="00EA5DD2" w:rsidP="00EA5DD2">
      <w:pPr>
        <w:pStyle w:val="Default"/>
        <w:rPr>
          <w:color w:val="000000" w:themeColor="text1"/>
        </w:rPr>
      </w:pPr>
      <w:r w:rsidRPr="00AE72F0">
        <w:rPr>
          <w:rFonts w:ascii="Times New Roman" w:hAnsi="Times New Roman" w:cs="Times New Roman"/>
          <w:bCs/>
          <w:color w:val="000000" w:themeColor="text1"/>
        </w:rPr>
        <w:t xml:space="preserve">F. Hoffmann-La Roche Ltd. (2019) </w:t>
      </w:r>
      <w:r w:rsidRPr="00AE72F0">
        <w:rPr>
          <w:rFonts w:ascii="Times New Roman" w:hAnsi="Times New Roman" w:cs="Times New Roman"/>
          <w:bCs/>
          <w:i/>
          <w:color w:val="000000" w:themeColor="text1"/>
        </w:rPr>
        <w:t xml:space="preserve">Roche enters into definitive merger agreement to acquire Spark Therapeutics. </w:t>
      </w:r>
      <w:r w:rsidRPr="00AE72F0">
        <w:rPr>
          <w:rFonts w:ascii="Times New Roman" w:hAnsi="Times New Roman" w:cs="Times New Roman"/>
          <w:bCs/>
          <w:color w:val="000000" w:themeColor="text1"/>
        </w:rPr>
        <w:t xml:space="preserve">Available at: </w:t>
      </w:r>
      <w:r w:rsidRPr="00EA5DD2">
        <w:rPr>
          <w:rFonts w:ascii="Times New Roman" w:hAnsi="Times New Roman" w:cs="Times New Roman"/>
          <w:bCs/>
        </w:rPr>
        <w:t>https://www.roche.com/dam/jcr:d19abe4a-5714-47ec-8d1c-da964b1463a9/en/20190225_MR_Spark_Therapeutics_final_EN.pdf</w:t>
      </w:r>
      <w:r w:rsidRPr="00AE72F0">
        <w:rPr>
          <w:rFonts w:ascii="Times New Roman" w:hAnsi="Times New Roman" w:cs="Times New Roman"/>
          <w:bCs/>
          <w:color w:val="000000" w:themeColor="text1"/>
        </w:rPr>
        <w:t xml:space="preserve"> (Accessed 09 May 2019).</w:t>
      </w:r>
    </w:p>
    <w:p w:rsidR="002B0361" w:rsidRPr="006D4C93" w:rsidRDefault="002B0361" w:rsidP="002B0361">
      <w:pPr>
        <w:autoSpaceDE w:val="0"/>
        <w:autoSpaceDN w:val="0"/>
        <w:adjustRightInd w:val="0"/>
        <w:spacing w:before="240"/>
        <w:rPr>
          <w:rFonts w:ascii="Times New Roman" w:hAnsi="Times New Roman" w:cs="Times New Roman"/>
          <w:sz w:val="29"/>
          <w:szCs w:val="23"/>
          <w:lang w:val="en"/>
        </w:rPr>
      </w:pPr>
      <w:r w:rsidRPr="006D4C93">
        <w:rPr>
          <w:rFonts w:ascii="Times New Roman" w:hAnsi="Times New Roman" w:cs="Times New Roman"/>
          <w:color w:val="000000"/>
          <w:szCs w:val="19"/>
        </w:rPr>
        <w:t xml:space="preserve">F. Hoffmann-La Roche Ltd (2019) </w:t>
      </w:r>
      <w:r w:rsidRPr="006D4C93">
        <w:rPr>
          <w:rFonts w:ascii="Times New Roman" w:hAnsi="Times New Roman" w:cs="Times New Roman"/>
          <w:i/>
          <w:color w:val="000000"/>
          <w:szCs w:val="19"/>
        </w:rPr>
        <w:t>Roche in Brief 2018</w:t>
      </w:r>
      <w:r w:rsidRPr="006D4C93">
        <w:rPr>
          <w:rFonts w:ascii="Times New Roman" w:hAnsi="Times New Roman" w:cs="Times New Roman"/>
          <w:color w:val="000000"/>
          <w:szCs w:val="19"/>
        </w:rPr>
        <w:t>. Available at:https://www.roche.com/dam/jcr:20934dbc-436d-470c-8fcc-d6f067caeab9/en/rib18e.pdf (Accessed 07 May 2019).</w:t>
      </w:r>
    </w:p>
    <w:p w:rsidR="00854DF8" w:rsidRDefault="00854DF8" w:rsidP="00854DF8">
      <w:pPr>
        <w:pStyle w:val="body-paragraph1"/>
        <w:ind w:left="0"/>
        <w:rPr>
          <w:szCs w:val="18"/>
          <w:lang w:val="en"/>
        </w:rPr>
      </w:pPr>
      <w:r w:rsidRPr="00B63D9E">
        <w:rPr>
          <w:szCs w:val="18"/>
        </w:rPr>
        <w:t xml:space="preserve">F. Hoffmann-La Roche Ltd (2019) </w:t>
      </w:r>
      <w:r w:rsidRPr="00B63D9E">
        <w:rPr>
          <w:i/>
          <w:szCs w:val="18"/>
          <w:lang w:val="en"/>
        </w:rPr>
        <w:t>Finance Report 2018</w:t>
      </w:r>
      <w:r w:rsidRPr="00B63D9E">
        <w:rPr>
          <w:szCs w:val="18"/>
          <w:lang w:val="en"/>
        </w:rPr>
        <w:t xml:space="preserve"> Available at: </w:t>
      </w:r>
      <w:r w:rsidRPr="00854DF8">
        <w:rPr>
          <w:szCs w:val="18"/>
          <w:lang w:val="en"/>
        </w:rPr>
        <w:t>https://www.roche.com/dam/jcr:933329c4-4564-4b17-a29b-246ac7e617d5/en/fb18e.pdf</w:t>
      </w:r>
      <w:r w:rsidRPr="00B63D9E">
        <w:rPr>
          <w:szCs w:val="18"/>
          <w:lang w:val="en"/>
        </w:rPr>
        <w:t xml:space="preserve"> (Accessed 03 May 2019).</w:t>
      </w:r>
    </w:p>
    <w:p w:rsidR="00854DF8" w:rsidRPr="0029766D" w:rsidRDefault="00854DF8" w:rsidP="00854DF8">
      <w:pPr>
        <w:autoSpaceDE w:val="0"/>
        <w:autoSpaceDN w:val="0"/>
        <w:adjustRightInd w:val="0"/>
        <w:rPr>
          <w:rFonts w:ascii="Times New Roman" w:hAnsi="Times New Roman" w:cs="Times New Roman"/>
          <w:lang w:val="en"/>
        </w:rPr>
      </w:pPr>
      <w:r w:rsidRPr="0029766D">
        <w:rPr>
          <w:rFonts w:ascii="Times New Roman" w:hAnsi="Times New Roman" w:cs="Times New Roman"/>
          <w:lang w:val="en-IN"/>
        </w:rPr>
        <w:t>F. Hoffmann-La Roche Ltd</w:t>
      </w:r>
      <w:r w:rsidRPr="0029766D">
        <w:rPr>
          <w:rFonts w:ascii="Times New Roman" w:hAnsi="Times New Roman" w:cs="Times New Roman"/>
          <w:lang w:val="en"/>
        </w:rPr>
        <w:t xml:space="preserve"> (2016) </w:t>
      </w:r>
      <w:r w:rsidRPr="0029766D">
        <w:rPr>
          <w:rFonts w:ascii="Times New Roman" w:hAnsi="Times New Roman" w:cs="Times New Roman"/>
          <w:i/>
          <w:lang w:val="en"/>
        </w:rPr>
        <w:t>Roche Diagnostics India.</w:t>
      </w:r>
      <w:r w:rsidRPr="0029766D">
        <w:rPr>
          <w:rFonts w:ascii="Times New Roman" w:hAnsi="Times New Roman" w:cs="Times New Roman"/>
          <w:lang w:val="en"/>
        </w:rPr>
        <w:t xml:space="preserve"> Available at: </w:t>
      </w:r>
      <w:r w:rsidRPr="00854DF8">
        <w:rPr>
          <w:rFonts w:ascii="Times New Roman" w:hAnsi="Times New Roman" w:cs="Times New Roman"/>
          <w:lang w:val="en"/>
        </w:rPr>
        <w:t>http://www.roche-diagnostics.co.in/</w:t>
      </w:r>
      <w:r w:rsidRPr="0029766D">
        <w:rPr>
          <w:rFonts w:ascii="Times New Roman" w:hAnsi="Times New Roman" w:cs="Times New Roman"/>
          <w:lang w:val="en"/>
        </w:rPr>
        <w:t xml:space="preserve"> (Accessed 03 May 2019).</w:t>
      </w:r>
    </w:p>
    <w:p w:rsidR="00552926" w:rsidRDefault="00552926" w:rsidP="00552926">
      <w:pPr>
        <w:rPr>
          <w:rFonts w:ascii="Times New Roman" w:hAnsi="Times New Roman" w:cs="Times New Roman"/>
          <w:color w:val="000000" w:themeColor="text1"/>
        </w:rPr>
      </w:pPr>
    </w:p>
    <w:p w:rsidR="00552926" w:rsidRPr="00413D56" w:rsidRDefault="00552926" w:rsidP="00552926">
      <w:pPr>
        <w:rPr>
          <w:color w:val="000000" w:themeColor="text1"/>
        </w:rPr>
      </w:pPr>
      <w:r w:rsidRPr="00413D56">
        <w:rPr>
          <w:rFonts w:ascii="Times New Roman" w:hAnsi="Times New Roman" w:cs="Times New Roman"/>
          <w:color w:val="000000" w:themeColor="text1"/>
        </w:rPr>
        <w:t>F. Hoffmann-La Roche Ltd,</w:t>
      </w:r>
      <w:r w:rsidRPr="00413D56">
        <w:rPr>
          <w:rFonts w:ascii="Times New Roman" w:hAnsi="Times New Roman" w:cs="Times New Roman"/>
          <w:color w:val="000000" w:themeColor="text1"/>
          <w:lang w:val="en"/>
        </w:rPr>
        <w:t xml:space="preserve"> </w:t>
      </w:r>
      <w:r w:rsidRPr="00413D56">
        <w:rPr>
          <w:rFonts w:ascii="Times New Roman" w:hAnsi="Times New Roman" w:cs="Times New Roman"/>
          <w:color w:val="000000" w:themeColor="text1"/>
        </w:rPr>
        <w:t>Group Legal Compliance</w:t>
      </w:r>
      <w:r w:rsidRPr="00413D56">
        <w:rPr>
          <w:rFonts w:ascii="Times New Roman" w:hAnsi="Times New Roman" w:cs="Times New Roman"/>
          <w:color w:val="000000" w:themeColor="text1"/>
          <w:lang w:val="en"/>
        </w:rPr>
        <w:t xml:space="preserve"> (2015)</w:t>
      </w:r>
      <w:r w:rsidRPr="00413D56">
        <w:rPr>
          <w:rFonts w:ascii="Times New Roman" w:hAnsi="Times New Roman" w:cs="Times New Roman"/>
          <w:i/>
          <w:color w:val="000000" w:themeColor="text1"/>
          <w:szCs w:val="21"/>
          <w:lang w:val="en"/>
        </w:rPr>
        <w:t xml:space="preserve"> Roche: Code of Conduct, Available at:</w:t>
      </w:r>
      <w:r w:rsidRPr="00413D56">
        <w:rPr>
          <w:rFonts w:ascii="Times New Roman" w:hAnsi="Times New Roman" w:cs="Times New Roman"/>
          <w:color w:val="000000" w:themeColor="text1"/>
          <w:szCs w:val="21"/>
          <w:lang w:val="en"/>
        </w:rPr>
        <w:t xml:space="preserve"> </w:t>
      </w:r>
      <w:r w:rsidRPr="00552926">
        <w:rPr>
          <w:rFonts w:ascii="Times New Roman" w:hAnsi="Times New Roman" w:cs="Times New Roman"/>
          <w:szCs w:val="21"/>
          <w:lang w:val="en"/>
        </w:rPr>
        <w:t>https://www.roche.com/dam/jcr:800e2b77-e360-4d0a-a388-bc1bd63c2fea/en/code_of_conduct.pdf</w:t>
      </w:r>
      <w:r w:rsidRPr="00413D56">
        <w:rPr>
          <w:rFonts w:ascii="Times New Roman" w:hAnsi="Times New Roman" w:cs="Times New Roman"/>
          <w:color w:val="000000" w:themeColor="text1"/>
          <w:szCs w:val="21"/>
          <w:lang w:val="en"/>
        </w:rPr>
        <w:t xml:space="preserve"> (Accessed 01 May 2019).</w:t>
      </w:r>
    </w:p>
    <w:p w:rsidR="008144E5" w:rsidRPr="00854DF8" w:rsidRDefault="008144E5" w:rsidP="00854DF8">
      <w:pPr>
        <w:pStyle w:val="body-paragraph1"/>
        <w:ind w:left="0"/>
        <w:rPr>
          <w:szCs w:val="18"/>
          <w:lang w:val="en"/>
        </w:rPr>
      </w:pPr>
      <w:r w:rsidRPr="00425D25">
        <w:rPr>
          <w:bCs/>
        </w:rPr>
        <w:t xml:space="preserve">Food and Drug Administration. (2018) </w:t>
      </w:r>
      <w:r w:rsidRPr="00425D25">
        <w:rPr>
          <w:bCs/>
          <w:i/>
        </w:rPr>
        <w:t>Development and approval process.</w:t>
      </w:r>
      <w:r w:rsidRPr="00425D25">
        <w:rPr>
          <w:bCs/>
        </w:rPr>
        <w:t xml:space="preserve"> Available at: </w:t>
      </w:r>
      <w:r w:rsidRPr="008144E5">
        <w:rPr>
          <w:bCs/>
        </w:rPr>
        <w:t>https://www.fda.gov/drugs/development-approval-process-drugs</w:t>
      </w:r>
      <w:r w:rsidRPr="00425D25">
        <w:rPr>
          <w:bCs/>
        </w:rPr>
        <w:t xml:space="preserve"> (Accessed 11th May 2019).</w:t>
      </w:r>
    </w:p>
    <w:p w:rsidR="008702D8" w:rsidRPr="00425D25" w:rsidRDefault="008702D8" w:rsidP="008702D8">
      <w:pPr>
        <w:rPr>
          <w:rFonts w:ascii="Times New Roman" w:hAnsi="Times New Roman" w:cs="Times New Roman"/>
          <w:bCs/>
        </w:rPr>
      </w:pPr>
      <w:r w:rsidRPr="00425D25">
        <w:rPr>
          <w:rFonts w:ascii="Times New Roman" w:hAnsi="Times New Roman" w:cs="Times New Roman"/>
          <w:bCs/>
        </w:rPr>
        <w:t xml:space="preserve">Food and Drug Administration. (2018) </w:t>
      </w:r>
      <w:r w:rsidRPr="00425D25">
        <w:rPr>
          <w:rFonts w:ascii="Times New Roman" w:hAnsi="Times New Roman" w:cs="Times New Roman"/>
          <w:bCs/>
          <w:i/>
        </w:rPr>
        <w:t>What we do</w:t>
      </w:r>
      <w:r w:rsidRPr="00425D25">
        <w:rPr>
          <w:rFonts w:ascii="Times New Roman" w:hAnsi="Times New Roman" w:cs="Times New Roman"/>
          <w:bCs/>
        </w:rPr>
        <w:t>. Available at:</w:t>
      </w:r>
      <w:r w:rsidRPr="00425D25">
        <w:t xml:space="preserve"> </w:t>
      </w:r>
      <w:r w:rsidRPr="008702D8">
        <w:rPr>
          <w:rFonts w:ascii="Times New Roman" w:hAnsi="Times New Roman" w:cs="Times New Roman"/>
          <w:bCs/>
        </w:rPr>
        <w:t>https://www.fda.gov/about-fda/what-we-do</w:t>
      </w:r>
      <w:r w:rsidRPr="00425D25">
        <w:rPr>
          <w:rFonts w:ascii="Times New Roman" w:hAnsi="Times New Roman" w:cs="Times New Roman"/>
          <w:bCs/>
        </w:rPr>
        <w:t xml:space="preserve"> (Accessed 11th May 2019).</w:t>
      </w:r>
    </w:p>
    <w:p w:rsidR="008702D8" w:rsidRDefault="008702D8" w:rsidP="008702D8">
      <w:pPr>
        <w:autoSpaceDE w:val="0"/>
        <w:autoSpaceDN w:val="0"/>
        <w:adjustRightInd w:val="0"/>
        <w:rPr>
          <w:rFonts w:ascii="Times New Roman" w:hAnsi="Times New Roman" w:cs="Times New Roman"/>
        </w:rPr>
      </w:pPr>
    </w:p>
    <w:p w:rsidR="00A34A64" w:rsidRPr="0032314B" w:rsidRDefault="007423D9" w:rsidP="007423D9">
      <w:pPr>
        <w:autoSpaceDE w:val="0"/>
        <w:autoSpaceDN w:val="0"/>
        <w:adjustRightInd w:val="0"/>
        <w:rPr>
          <w:rFonts w:ascii="Times New Roman" w:hAnsi="Times New Roman" w:cs="Times New Roman"/>
          <w:i/>
        </w:rPr>
      </w:pPr>
      <w:r w:rsidRPr="0032314B">
        <w:rPr>
          <w:rFonts w:ascii="Times New Roman" w:hAnsi="Times New Roman" w:cs="Times New Roman"/>
        </w:rPr>
        <w:t xml:space="preserve">International Monetary Fund. (2018). </w:t>
      </w:r>
      <w:r w:rsidRPr="0032314B">
        <w:rPr>
          <w:rFonts w:ascii="Times New Roman" w:hAnsi="Times New Roman" w:cs="Times New Roman"/>
          <w:i/>
        </w:rPr>
        <w:t>World Economic Outlook April 2018.</w:t>
      </w:r>
      <w:r w:rsidRPr="0032314B">
        <w:rPr>
          <w:rFonts w:ascii="Times New Roman" w:hAnsi="Times New Roman" w:cs="Times New Roman"/>
        </w:rPr>
        <w:t xml:space="preserve"> Available</w:t>
      </w:r>
      <w:r w:rsidRPr="0032314B">
        <w:t xml:space="preserve"> at: https://www.imf.org/en/Publications/WEO/Issues/2018/03/20/world-economic-outlook-april-2018 (Accessed 17th May 2019).</w:t>
      </w:r>
    </w:p>
    <w:p w:rsidR="00426D4C" w:rsidRPr="00367E7C" w:rsidRDefault="00426D4C" w:rsidP="00426D4C">
      <w:pPr>
        <w:spacing w:before="100" w:beforeAutospacing="1" w:after="100" w:afterAutospacing="1"/>
        <w:rPr>
          <w:rFonts w:ascii="Times New Roman" w:eastAsia="Times New Roman" w:hAnsi="Times New Roman" w:cs="Times New Roman"/>
          <w:lang w:val="en" w:eastAsia="en-GB"/>
        </w:rPr>
      </w:pPr>
      <w:r>
        <w:rPr>
          <w:rFonts w:ascii="Times New Roman" w:hAnsi="Times New Roman" w:cs="Times New Roman"/>
          <w:lang w:val="en"/>
        </w:rPr>
        <w:t>Gautam, A.</w:t>
      </w:r>
      <w:r w:rsidRPr="00367E7C">
        <w:rPr>
          <w:rFonts w:ascii="Times New Roman" w:hAnsi="Times New Roman" w:cs="Times New Roman"/>
          <w:lang w:val="en"/>
        </w:rPr>
        <w:t xml:space="preserve"> </w:t>
      </w:r>
      <w:r>
        <w:rPr>
          <w:rFonts w:ascii="Times New Roman" w:hAnsi="Times New Roman" w:cs="Times New Roman"/>
          <w:lang w:val="en"/>
        </w:rPr>
        <w:t>(</w:t>
      </w:r>
      <w:r w:rsidRPr="00367E7C">
        <w:rPr>
          <w:rFonts w:ascii="Times New Roman" w:hAnsi="Times New Roman" w:cs="Times New Roman"/>
          <w:lang w:val="en"/>
        </w:rPr>
        <w:t>2017</w:t>
      </w:r>
      <w:r>
        <w:rPr>
          <w:rFonts w:ascii="Times New Roman" w:hAnsi="Times New Roman" w:cs="Times New Roman"/>
          <w:lang w:val="en"/>
        </w:rPr>
        <w:t>)</w:t>
      </w:r>
      <w:r w:rsidRPr="00367E7C">
        <w:rPr>
          <w:rFonts w:ascii="Times New Roman" w:hAnsi="Times New Roman" w:cs="Times New Roman"/>
          <w:lang w:val="en"/>
        </w:rPr>
        <w:t xml:space="preserve">. </w:t>
      </w:r>
      <w:r w:rsidRPr="00367E7C">
        <w:rPr>
          <w:rFonts w:ascii="Times New Roman" w:hAnsi="Times New Roman" w:cs="Times New Roman"/>
          <w:i/>
          <w:lang w:val="en"/>
        </w:rPr>
        <w:t>Market watch: Strategies for biosimilars in emerging markets</w:t>
      </w:r>
      <w:r w:rsidRPr="00367E7C">
        <w:rPr>
          <w:rFonts w:ascii="Times New Roman" w:hAnsi="Times New Roman" w:cs="Times New Roman"/>
          <w:lang w:val="en"/>
        </w:rPr>
        <w:t xml:space="preserve">. </w:t>
      </w:r>
      <w:r w:rsidRPr="00367E7C">
        <w:rPr>
          <w:rFonts w:ascii="Times New Roman" w:hAnsi="Times New Roman" w:cs="Times New Roman"/>
          <w:iCs/>
          <w:lang w:val="en"/>
        </w:rPr>
        <w:t xml:space="preserve">Nature </w:t>
      </w:r>
      <w:r w:rsidRPr="00367E7C">
        <w:rPr>
          <w:rFonts w:ascii="Times New Roman" w:hAnsi="Times New Roman" w:cs="Times New Roman"/>
          <w:i/>
          <w:iCs/>
          <w:lang w:val="en"/>
        </w:rPr>
        <w:t>reviews.</w:t>
      </w:r>
      <w:r w:rsidRPr="00367E7C">
        <w:rPr>
          <w:rFonts w:ascii="Times New Roman" w:hAnsi="Times New Roman" w:cs="Times New Roman"/>
          <w:lang w:val="en"/>
        </w:rPr>
        <w:t>, 16(8), pp.520–521.</w:t>
      </w:r>
    </w:p>
    <w:p w:rsidR="00F218AE" w:rsidRPr="0032314B" w:rsidRDefault="00904C32" w:rsidP="00C72166">
      <w:pPr>
        <w:pStyle w:val="NormalWeb"/>
      </w:pPr>
      <w:r w:rsidRPr="0032314B">
        <w:t>Genentech. (2019)</w:t>
      </w:r>
      <w:r w:rsidRPr="0032314B">
        <w:rPr>
          <w:rFonts w:ascii="Georgia" w:hAnsi="Georgia"/>
        </w:rPr>
        <w:t xml:space="preserve"> </w:t>
      </w:r>
      <w:r w:rsidRPr="0032314B">
        <w:rPr>
          <w:i/>
        </w:rPr>
        <w:t xml:space="preserve">An Open Letter to the </w:t>
      </w:r>
      <w:proofErr w:type="spellStart"/>
      <w:r w:rsidRPr="0032314B">
        <w:rPr>
          <w:i/>
        </w:rPr>
        <w:t>Hemophilia</w:t>
      </w:r>
      <w:proofErr w:type="spellEnd"/>
      <w:r w:rsidRPr="0032314B">
        <w:rPr>
          <w:i/>
        </w:rPr>
        <w:t xml:space="preserve"> Community Regarding Patient Access to </w:t>
      </w:r>
      <w:proofErr w:type="spellStart"/>
      <w:r w:rsidRPr="0032314B">
        <w:rPr>
          <w:i/>
        </w:rPr>
        <w:t>Hemlibra</w:t>
      </w:r>
      <w:proofErr w:type="spellEnd"/>
      <w:r w:rsidRPr="0032314B">
        <w:rPr>
          <w:i/>
        </w:rPr>
        <w:t xml:space="preserve"> </w:t>
      </w:r>
      <w:r w:rsidRPr="0032314B">
        <w:t>(</w:t>
      </w:r>
      <w:proofErr w:type="spellStart"/>
      <w:r w:rsidRPr="0032314B">
        <w:t>emicizumab-kxwh</w:t>
      </w:r>
      <w:proofErr w:type="spellEnd"/>
      <w:r w:rsidRPr="0032314B">
        <w:t>). Available at: https://www.gene.com/media/statements/ps_011118 (Accessed 17th May 2019).</w:t>
      </w:r>
    </w:p>
    <w:p w:rsidR="00426D4C" w:rsidRPr="00717228" w:rsidRDefault="00426D4C" w:rsidP="00426D4C">
      <w:pPr>
        <w:pStyle w:val="Default"/>
        <w:rPr>
          <w:rStyle w:val="A02"/>
          <w:rFonts w:ascii="Times New Roman" w:hAnsi="Times New Roman" w:cs="Times New Roman"/>
          <w:b w:val="0"/>
          <w:bCs w:val="0"/>
          <w:color w:val="auto"/>
          <w:sz w:val="24"/>
          <w:szCs w:val="24"/>
        </w:rPr>
      </w:pPr>
      <w:r w:rsidRPr="00426D4C">
        <w:rPr>
          <w:rStyle w:val="A02"/>
          <w:rFonts w:ascii="Times New Roman" w:hAnsi="Times New Roman" w:cs="Times New Roman"/>
          <w:b w:val="0"/>
          <w:color w:val="auto"/>
          <w:sz w:val="24"/>
          <w:szCs w:val="24"/>
        </w:rPr>
        <w:t>Gupta, A. (2013)</w:t>
      </w:r>
      <w:r w:rsidRPr="00717228">
        <w:rPr>
          <w:rStyle w:val="A02"/>
          <w:rFonts w:ascii="Times New Roman" w:hAnsi="Times New Roman" w:cs="Times New Roman"/>
          <w:color w:val="auto"/>
          <w:sz w:val="24"/>
          <w:szCs w:val="24"/>
        </w:rPr>
        <w:t xml:space="preserve"> </w:t>
      </w:r>
      <w:r w:rsidRPr="00717228">
        <w:rPr>
          <w:rFonts w:ascii="Times New Roman" w:hAnsi="Times New Roman" w:cs="Times New Roman"/>
          <w:bCs/>
          <w:i/>
          <w:color w:val="auto"/>
          <w:szCs w:val="36"/>
        </w:rPr>
        <w:t xml:space="preserve">Environment &amp; PEST Analysis: An Approach to External Business Environment. </w:t>
      </w:r>
      <w:r w:rsidRPr="00717228">
        <w:rPr>
          <w:rFonts w:ascii="Times New Roman" w:hAnsi="Times New Roman" w:cs="Times New Roman"/>
          <w:bCs/>
          <w:color w:val="auto"/>
          <w:szCs w:val="36"/>
        </w:rPr>
        <w:t>Pp. 34-43. Available at:</w:t>
      </w:r>
      <w:r w:rsidRPr="00717228">
        <w:rPr>
          <w:color w:val="auto"/>
        </w:rPr>
        <w:t xml:space="preserve"> </w:t>
      </w:r>
      <w:r w:rsidRPr="00426D4C">
        <w:rPr>
          <w:rFonts w:ascii="Times New Roman" w:hAnsi="Times New Roman" w:cs="Times New Roman"/>
          <w:bCs/>
          <w:szCs w:val="36"/>
        </w:rPr>
        <w:t>https://pdfs.semanticscholar.org/d9d2/86c5a903a91d4e5e6cff565f186f91383a02.pdf</w:t>
      </w:r>
      <w:r w:rsidRPr="00717228">
        <w:rPr>
          <w:rFonts w:ascii="Times New Roman" w:hAnsi="Times New Roman" w:cs="Times New Roman"/>
          <w:bCs/>
          <w:color w:val="auto"/>
          <w:szCs w:val="36"/>
        </w:rPr>
        <w:t xml:space="preserve"> (Accessed 02 May 2019).</w:t>
      </w:r>
    </w:p>
    <w:p w:rsidR="00426D4C" w:rsidRDefault="00426D4C" w:rsidP="0069148F">
      <w:pPr>
        <w:autoSpaceDE w:val="0"/>
        <w:autoSpaceDN w:val="0"/>
        <w:adjustRightInd w:val="0"/>
        <w:rPr>
          <w:rFonts w:ascii="Times New Roman" w:hAnsi="Times New Roman" w:cs="Times New Roman"/>
          <w:iCs/>
          <w:color w:val="000000" w:themeColor="text1"/>
        </w:rPr>
      </w:pPr>
    </w:p>
    <w:p w:rsidR="00846313" w:rsidRPr="00846313" w:rsidRDefault="00846313" w:rsidP="00846313">
      <w:pPr>
        <w:pStyle w:val="Heading2"/>
        <w:spacing w:before="0"/>
        <w:rPr>
          <w:rFonts w:ascii="Times New Roman" w:hAnsi="Times New Roman" w:cs="Times New Roman"/>
          <w:color w:val="000000" w:themeColor="text1"/>
          <w:sz w:val="24"/>
          <w:szCs w:val="24"/>
        </w:rPr>
      </w:pPr>
      <w:r w:rsidRPr="00846313">
        <w:rPr>
          <w:rFonts w:ascii="Times New Roman" w:hAnsi="Times New Roman" w:cs="Times New Roman"/>
          <w:color w:val="000000" w:themeColor="text1"/>
          <w:sz w:val="24"/>
          <w:szCs w:val="24"/>
        </w:rPr>
        <w:t xml:space="preserve">International Monetary Fund. (2018). </w:t>
      </w:r>
      <w:r w:rsidRPr="00846313">
        <w:rPr>
          <w:rFonts w:ascii="Times New Roman" w:hAnsi="Times New Roman" w:cs="Times New Roman"/>
          <w:bCs/>
          <w:i/>
          <w:color w:val="000000" w:themeColor="text1"/>
          <w:sz w:val="24"/>
          <w:szCs w:val="24"/>
        </w:rPr>
        <w:t>World Economic Outlook, April 2018</w:t>
      </w:r>
      <w:r w:rsidRPr="00846313">
        <w:rPr>
          <w:rFonts w:ascii="Times New Roman" w:hAnsi="Times New Roman" w:cs="Times New Roman"/>
          <w:bCs/>
          <w:i/>
          <w:color w:val="000000" w:themeColor="text1"/>
          <w:sz w:val="24"/>
          <w:szCs w:val="24"/>
        </w:rPr>
        <w:br/>
        <w:t>Cyclical Upswing, Structural Change</w:t>
      </w:r>
      <w:r>
        <w:rPr>
          <w:rFonts w:ascii="Times New Roman" w:hAnsi="Times New Roman" w:cs="Times New Roman"/>
          <w:bCs/>
          <w:i/>
          <w:color w:val="000000" w:themeColor="text1"/>
          <w:sz w:val="24"/>
          <w:szCs w:val="24"/>
        </w:rPr>
        <w:t xml:space="preserve">. </w:t>
      </w:r>
      <w:r>
        <w:rPr>
          <w:rFonts w:ascii="Times New Roman" w:hAnsi="Times New Roman" w:cs="Times New Roman"/>
          <w:bCs/>
          <w:color w:val="000000" w:themeColor="text1"/>
          <w:sz w:val="24"/>
          <w:szCs w:val="24"/>
        </w:rPr>
        <w:t xml:space="preserve">Available at: </w:t>
      </w:r>
      <w:r w:rsidRPr="00846313">
        <w:rPr>
          <w:rFonts w:ascii="Times New Roman" w:hAnsi="Times New Roman" w:cs="Times New Roman"/>
          <w:bCs/>
          <w:color w:val="000000" w:themeColor="text1"/>
          <w:sz w:val="24"/>
          <w:szCs w:val="24"/>
        </w:rPr>
        <w:t>https://www.imf.org/en/Publications/WEO/Issues/2018/03/20/world-economic-outlook-april-2018</w:t>
      </w:r>
      <w:r>
        <w:rPr>
          <w:rFonts w:ascii="Times New Roman" w:hAnsi="Times New Roman" w:cs="Times New Roman"/>
          <w:bCs/>
          <w:color w:val="000000" w:themeColor="text1"/>
          <w:sz w:val="24"/>
          <w:szCs w:val="24"/>
        </w:rPr>
        <w:t xml:space="preserve"> (Accessed 19th May 2019).</w:t>
      </w:r>
    </w:p>
    <w:p w:rsidR="00846313" w:rsidRDefault="00846313" w:rsidP="0069148F">
      <w:pPr>
        <w:autoSpaceDE w:val="0"/>
        <w:autoSpaceDN w:val="0"/>
        <w:adjustRightInd w:val="0"/>
        <w:rPr>
          <w:rFonts w:ascii="Times New Roman" w:hAnsi="Times New Roman" w:cs="Times New Roman"/>
          <w:iCs/>
          <w:color w:val="000000" w:themeColor="text1"/>
        </w:rPr>
      </w:pPr>
    </w:p>
    <w:p w:rsidR="0069148F" w:rsidRPr="00FD0B1E" w:rsidRDefault="0069148F" w:rsidP="0069148F">
      <w:pPr>
        <w:autoSpaceDE w:val="0"/>
        <w:autoSpaceDN w:val="0"/>
        <w:adjustRightInd w:val="0"/>
        <w:rPr>
          <w:rFonts w:ascii="Times New Roman" w:hAnsi="Times New Roman" w:cs="Times New Roman"/>
          <w:iCs/>
          <w:color w:val="000000" w:themeColor="text1"/>
        </w:rPr>
      </w:pPr>
      <w:r w:rsidRPr="00FD0B1E">
        <w:rPr>
          <w:rFonts w:ascii="Times New Roman" w:hAnsi="Times New Roman" w:cs="Times New Roman"/>
          <w:iCs/>
          <w:color w:val="000000" w:themeColor="text1"/>
        </w:rPr>
        <w:lastRenderedPageBreak/>
        <w:t xml:space="preserve">Institute for Government. (ND) </w:t>
      </w:r>
      <w:r w:rsidRPr="00FD0B1E">
        <w:rPr>
          <w:rFonts w:ascii="Times New Roman" w:hAnsi="Times New Roman" w:cs="Times New Roman"/>
          <w:i/>
          <w:color w:val="000000" w:themeColor="text1"/>
          <w:lang w:val="en"/>
        </w:rPr>
        <w:t>Summary: Trade after Brexit.</w:t>
      </w:r>
      <w:r w:rsidRPr="00FD0B1E">
        <w:rPr>
          <w:rFonts w:ascii="Times New Roman" w:hAnsi="Times New Roman" w:cs="Times New Roman"/>
          <w:color w:val="000000" w:themeColor="text1"/>
          <w:lang w:val="en"/>
        </w:rPr>
        <w:t xml:space="preserve"> Available at: </w:t>
      </w:r>
      <w:r w:rsidRPr="0069148F">
        <w:rPr>
          <w:rFonts w:ascii="Times New Roman" w:hAnsi="Times New Roman" w:cs="Times New Roman"/>
          <w:lang w:val="en"/>
        </w:rPr>
        <w:t>https://www.instituteforgovernment.org.uk/summary-trade-after-brexit</w:t>
      </w:r>
      <w:r w:rsidRPr="00FD0B1E">
        <w:rPr>
          <w:rFonts w:ascii="Times New Roman" w:hAnsi="Times New Roman" w:cs="Times New Roman"/>
          <w:color w:val="000000" w:themeColor="text1"/>
          <w:lang w:val="en"/>
        </w:rPr>
        <w:t xml:space="preserve"> (Accessed 14th May 2019).</w:t>
      </w:r>
    </w:p>
    <w:p w:rsidR="0069148F" w:rsidRDefault="0069148F" w:rsidP="003C1618">
      <w:pPr>
        <w:rPr>
          <w:rFonts w:ascii="Times New Roman" w:hAnsi="Times New Roman" w:cs="Times New Roman"/>
        </w:rPr>
      </w:pPr>
    </w:p>
    <w:p w:rsidR="003E1B91" w:rsidRPr="003E1B91" w:rsidRDefault="003E1B91" w:rsidP="003E1B91">
      <w:pPr>
        <w:rPr>
          <w:rFonts w:ascii="Times New Roman" w:hAnsi="Times New Roman" w:cs="Times New Roman"/>
          <w:bCs/>
        </w:rPr>
      </w:pPr>
      <w:r w:rsidRPr="003E1B91">
        <w:rPr>
          <w:rStyle w:val="A02"/>
          <w:rFonts w:ascii="Times New Roman" w:hAnsi="Times New Roman" w:cs="Times New Roman"/>
          <w:b w:val="0"/>
          <w:sz w:val="24"/>
          <w:szCs w:val="24"/>
        </w:rPr>
        <w:t xml:space="preserve">International Federation of </w:t>
      </w:r>
      <w:r w:rsidRPr="003E1B91">
        <w:rPr>
          <w:rStyle w:val="A02"/>
          <w:rFonts w:ascii="Times New Roman" w:hAnsi="Times New Roman" w:cs="Times New Roman"/>
          <w:b w:val="0"/>
          <w:color w:val="000000" w:themeColor="text1"/>
          <w:sz w:val="24"/>
          <w:szCs w:val="24"/>
        </w:rPr>
        <w:t xml:space="preserve">Pharmaceutical Manufacturers &amp; Associations., (2017) </w:t>
      </w:r>
      <w:r w:rsidRPr="003E1B91">
        <w:rPr>
          <w:rStyle w:val="A02"/>
          <w:rFonts w:ascii="Times New Roman" w:hAnsi="Times New Roman" w:cs="Times New Roman"/>
          <w:b w:val="0"/>
          <w:i/>
          <w:color w:val="000000" w:themeColor="text1"/>
          <w:sz w:val="24"/>
          <w:szCs w:val="24"/>
        </w:rPr>
        <w:t xml:space="preserve">The Pharmaceutical industry and global health: Facts and figures. </w:t>
      </w:r>
      <w:r w:rsidRPr="003E1B91">
        <w:rPr>
          <w:rStyle w:val="A02"/>
          <w:rFonts w:ascii="Times New Roman" w:hAnsi="Times New Roman" w:cs="Times New Roman"/>
          <w:b w:val="0"/>
          <w:color w:val="000000" w:themeColor="text1"/>
          <w:sz w:val="24"/>
          <w:szCs w:val="24"/>
        </w:rPr>
        <w:t xml:space="preserve">Available at: </w:t>
      </w:r>
      <w:r w:rsidRPr="003E1B91">
        <w:rPr>
          <w:rFonts w:ascii="Times New Roman" w:hAnsi="Times New Roman" w:cs="Times New Roman"/>
        </w:rPr>
        <w:t>https://www.ifpma.org/wp-content/uploads/2017/02/IFPMA-Facts-And-Figures-2017.pdf</w:t>
      </w:r>
      <w:r w:rsidRPr="003E1B91">
        <w:rPr>
          <w:rStyle w:val="A02"/>
          <w:rFonts w:ascii="Times New Roman" w:hAnsi="Times New Roman" w:cs="Times New Roman"/>
          <w:color w:val="000000" w:themeColor="text1"/>
          <w:sz w:val="24"/>
          <w:szCs w:val="24"/>
        </w:rPr>
        <w:t xml:space="preserve"> </w:t>
      </w:r>
      <w:r w:rsidRPr="003E1B91">
        <w:rPr>
          <w:rStyle w:val="A02"/>
          <w:rFonts w:ascii="Times New Roman" w:hAnsi="Times New Roman" w:cs="Times New Roman"/>
          <w:b w:val="0"/>
          <w:sz w:val="24"/>
          <w:szCs w:val="24"/>
        </w:rPr>
        <w:t>(Access 01 May 2019).</w:t>
      </w:r>
    </w:p>
    <w:p w:rsidR="003E1B91" w:rsidRDefault="003E1B91" w:rsidP="003C1618">
      <w:pPr>
        <w:rPr>
          <w:rFonts w:ascii="Times New Roman" w:hAnsi="Times New Roman" w:cs="Times New Roman"/>
        </w:rPr>
      </w:pPr>
    </w:p>
    <w:p w:rsidR="003C1618" w:rsidRPr="0032314B" w:rsidRDefault="003C1618" w:rsidP="003C1618">
      <w:pPr>
        <w:rPr>
          <w:rFonts w:ascii="Times New Roman" w:hAnsi="Times New Roman" w:cs="Times New Roman"/>
        </w:rPr>
      </w:pPr>
      <w:r w:rsidRPr="0032314B">
        <w:rPr>
          <w:rFonts w:ascii="Times New Roman" w:hAnsi="Times New Roman" w:cs="Times New Roman"/>
        </w:rPr>
        <w:t xml:space="preserve">London IP. (2016) </w:t>
      </w:r>
      <w:r w:rsidRPr="0032314B">
        <w:rPr>
          <w:rFonts w:ascii="Times New Roman" w:hAnsi="Times New Roman" w:cs="Times New Roman"/>
          <w:bCs/>
          <w:i/>
        </w:rPr>
        <w:t xml:space="preserve">Patent Infringement. </w:t>
      </w:r>
      <w:r w:rsidRPr="0032314B">
        <w:rPr>
          <w:rFonts w:ascii="Times New Roman" w:hAnsi="Times New Roman" w:cs="Times New Roman"/>
          <w:bCs/>
        </w:rPr>
        <w:t>Available at:</w:t>
      </w:r>
      <w:r w:rsidRPr="0032314B">
        <w:t xml:space="preserve"> </w:t>
      </w:r>
      <w:r w:rsidRPr="0032314B">
        <w:rPr>
          <w:rFonts w:ascii="Times New Roman" w:hAnsi="Times New Roman" w:cs="Times New Roman"/>
          <w:bCs/>
        </w:rPr>
        <w:t>http://www.londonip.co.uk/patents/patent-infringement/ (Accessed 17</w:t>
      </w:r>
      <w:r w:rsidRPr="0032314B">
        <w:rPr>
          <w:rFonts w:ascii="Times New Roman" w:hAnsi="Times New Roman" w:cs="Times New Roman"/>
          <w:bCs/>
          <w:vertAlign w:val="superscript"/>
        </w:rPr>
        <w:t>th</w:t>
      </w:r>
      <w:r w:rsidRPr="0032314B">
        <w:rPr>
          <w:rFonts w:ascii="Times New Roman" w:hAnsi="Times New Roman" w:cs="Times New Roman"/>
          <w:bCs/>
        </w:rPr>
        <w:t xml:space="preserve"> May 2019).</w:t>
      </w:r>
    </w:p>
    <w:p w:rsidR="008112A9" w:rsidRDefault="008112A9" w:rsidP="008112A9">
      <w:pPr>
        <w:autoSpaceDE w:val="0"/>
        <w:autoSpaceDN w:val="0"/>
        <w:adjustRightInd w:val="0"/>
        <w:rPr>
          <w:rFonts w:ascii="Times New Roman" w:hAnsi="Times New Roman" w:cs="Times New Roman"/>
        </w:rPr>
      </w:pPr>
    </w:p>
    <w:p w:rsidR="008112A9" w:rsidRDefault="008112A9" w:rsidP="008112A9">
      <w:pPr>
        <w:autoSpaceDE w:val="0"/>
        <w:autoSpaceDN w:val="0"/>
        <w:adjustRightInd w:val="0"/>
        <w:rPr>
          <w:rFonts w:ascii="Times New Roman" w:hAnsi="Times New Roman" w:cs="Times New Roman"/>
        </w:rPr>
      </w:pPr>
      <w:r w:rsidRPr="00127FA1">
        <w:rPr>
          <w:rFonts w:ascii="Times New Roman" w:hAnsi="Times New Roman" w:cs="Times New Roman"/>
        </w:rPr>
        <w:t xml:space="preserve">M. Aitken, M. Kleinrock, and D. Nass, </w:t>
      </w:r>
      <w:r w:rsidRPr="00127FA1">
        <w:rPr>
          <w:rFonts w:ascii="Times New Roman" w:hAnsi="Times New Roman" w:cs="Times New Roman"/>
          <w:i/>
          <w:iCs/>
        </w:rPr>
        <w:t>Outlook for Global Medicines</w:t>
      </w:r>
      <w:r w:rsidRPr="00127FA1">
        <w:rPr>
          <w:rFonts w:ascii="Times New Roman" w:hAnsi="Times New Roman" w:cs="Times New Roman"/>
        </w:rPr>
        <w:t xml:space="preserve"> </w:t>
      </w:r>
      <w:r w:rsidRPr="00127FA1">
        <w:rPr>
          <w:rFonts w:ascii="Times New Roman" w:hAnsi="Times New Roman" w:cs="Times New Roman"/>
          <w:i/>
          <w:iCs/>
        </w:rPr>
        <w:t>through 2021, Balancing Cost and</w:t>
      </w:r>
      <w:r w:rsidRPr="00127FA1">
        <w:rPr>
          <w:rFonts w:ascii="Times New Roman" w:hAnsi="Times New Roman" w:cs="Times New Roman"/>
        </w:rPr>
        <w:t xml:space="preserve"> </w:t>
      </w:r>
      <w:r w:rsidRPr="00127FA1">
        <w:rPr>
          <w:rFonts w:ascii="Times New Roman" w:hAnsi="Times New Roman" w:cs="Times New Roman"/>
          <w:i/>
          <w:iCs/>
        </w:rPr>
        <w:t>Value</w:t>
      </w:r>
      <w:r w:rsidRPr="00127FA1">
        <w:rPr>
          <w:rFonts w:ascii="Times New Roman" w:hAnsi="Times New Roman" w:cs="Times New Roman"/>
        </w:rPr>
        <w:t>, Report, QuintilesIMS Institute, (Parsippany, NJ, December 2016).</w:t>
      </w:r>
    </w:p>
    <w:p w:rsidR="00312E19" w:rsidRDefault="00312E19" w:rsidP="002C4A64">
      <w:pPr>
        <w:autoSpaceDE w:val="0"/>
        <w:autoSpaceDN w:val="0"/>
        <w:adjustRightInd w:val="0"/>
        <w:rPr>
          <w:rFonts w:ascii="Times New Roman" w:eastAsia="Times New Roman" w:hAnsi="Times New Roman" w:cs="Times New Roman"/>
        </w:rPr>
      </w:pPr>
    </w:p>
    <w:p w:rsidR="002C4A64" w:rsidRDefault="002C4A64" w:rsidP="002C4A64">
      <w:pPr>
        <w:autoSpaceDE w:val="0"/>
        <w:autoSpaceDN w:val="0"/>
        <w:adjustRightInd w:val="0"/>
        <w:rPr>
          <w:rFonts w:ascii="Source Sans Pro" w:hAnsi="Source Sans Pro"/>
          <w:sz w:val="23"/>
          <w:szCs w:val="23"/>
          <w:lang w:val="en"/>
        </w:rPr>
      </w:pPr>
      <w:r w:rsidRPr="00307934">
        <w:rPr>
          <w:rFonts w:ascii="Times New Roman" w:hAnsi="Times New Roman" w:cs="Times New Roman"/>
          <w:color w:val="000000" w:themeColor="text1"/>
        </w:rPr>
        <w:t xml:space="preserve">Miller, K.D., (1992). </w:t>
      </w:r>
      <w:r w:rsidRPr="00307934">
        <w:rPr>
          <w:rFonts w:ascii="Times New Roman" w:hAnsi="Times New Roman" w:cs="Times New Roman"/>
          <w:i/>
          <w:color w:val="000000" w:themeColor="text1"/>
        </w:rPr>
        <w:t>A framework for integrated risk management in international business</w:t>
      </w:r>
      <w:r w:rsidRPr="00307934">
        <w:rPr>
          <w:rFonts w:ascii="Times New Roman" w:hAnsi="Times New Roman" w:cs="Times New Roman"/>
          <w:color w:val="000000" w:themeColor="text1"/>
        </w:rPr>
        <w:t xml:space="preserve">. </w:t>
      </w:r>
      <w:r w:rsidRPr="00307934">
        <w:rPr>
          <w:rFonts w:ascii="Times New Roman" w:hAnsi="Times New Roman" w:cs="Times New Roman"/>
          <w:iCs/>
          <w:color w:val="000000" w:themeColor="text1"/>
        </w:rPr>
        <w:t>Journal of international business studies</w:t>
      </w:r>
      <w:r w:rsidRPr="00307934">
        <w:rPr>
          <w:rFonts w:ascii="Times New Roman" w:hAnsi="Times New Roman" w:cs="Times New Roman"/>
          <w:color w:val="000000" w:themeColor="text1"/>
        </w:rPr>
        <w:t xml:space="preserve">, </w:t>
      </w:r>
      <w:r w:rsidRPr="00307934">
        <w:rPr>
          <w:rFonts w:ascii="Times New Roman" w:hAnsi="Times New Roman" w:cs="Times New Roman"/>
          <w:i/>
          <w:iCs/>
          <w:color w:val="000000" w:themeColor="text1"/>
        </w:rPr>
        <w:t>23</w:t>
      </w:r>
      <w:r w:rsidRPr="00307934">
        <w:rPr>
          <w:rFonts w:ascii="Times New Roman" w:hAnsi="Times New Roman" w:cs="Times New Roman"/>
          <w:color w:val="000000" w:themeColor="text1"/>
        </w:rPr>
        <w:t>(2), pp.311-331</w:t>
      </w:r>
    </w:p>
    <w:p w:rsidR="001D1904" w:rsidRDefault="001D1904" w:rsidP="001D1904">
      <w:pPr>
        <w:pStyle w:val="NormalWeb"/>
      </w:pPr>
      <w:proofErr w:type="spellStart"/>
      <w:r w:rsidRPr="004E2476">
        <w:t>Mittelman</w:t>
      </w:r>
      <w:proofErr w:type="spellEnd"/>
      <w:r w:rsidRPr="004E2476">
        <w:t>,</w:t>
      </w:r>
      <w:r>
        <w:t xml:space="preserve"> J.</w:t>
      </w:r>
      <w:r w:rsidRPr="004E2476">
        <w:t xml:space="preserve"> </w:t>
      </w:r>
      <w:r w:rsidRPr="004E2476">
        <w:rPr>
          <w:i/>
          <w:iCs/>
        </w:rPr>
        <w:t xml:space="preserve">The Globalization Syndrome </w:t>
      </w:r>
      <w:r w:rsidRPr="004E2476">
        <w:t>(Princeton, NJ: Princeton University Press, 2000), 210, 214.</w:t>
      </w:r>
    </w:p>
    <w:p w:rsidR="008702D8" w:rsidRPr="00425D25" w:rsidRDefault="008702D8" w:rsidP="008702D8">
      <w:pPr>
        <w:autoSpaceDE w:val="0"/>
        <w:autoSpaceDN w:val="0"/>
        <w:adjustRightInd w:val="0"/>
        <w:rPr>
          <w:rFonts w:ascii="Times New Roman" w:hAnsi="Times New Roman" w:cs="Times New Roman"/>
          <w:spacing w:val="2"/>
          <w:lang w:val="en"/>
        </w:rPr>
      </w:pPr>
      <w:proofErr w:type="spellStart"/>
      <w:r w:rsidRPr="00425D25">
        <w:rPr>
          <w:rFonts w:ascii="Times New Roman" w:hAnsi="Times New Roman" w:cs="Times New Roman"/>
        </w:rPr>
        <w:t>Ornaghi</w:t>
      </w:r>
      <w:proofErr w:type="spellEnd"/>
      <w:r w:rsidRPr="00425D25">
        <w:rPr>
          <w:rFonts w:ascii="Times New Roman" w:hAnsi="Times New Roman" w:cs="Times New Roman"/>
        </w:rPr>
        <w:t xml:space="preserve">, C., (2009). </w:t>
      </w:r>
      <w:r w:rsidRPr="00425D25">
        <w:rPr>
          <w:rFonts w:ascii="Times New Roman" w:hAnsi="Times New Roman" w:cs="Times New Roman"/>
          <w:i/>
        </w:rPr>
        <w:t>Mergers and innovation in big pharma</w:t>
      </w:r>
      <w:r w:rsidRPr="00425D25">
        <w:rPr>
          <w:rFonts w:ascii="Times New Roman" w:hAnsi="Times New Roman" w:cs="Times New Roman"/>
        </w:rPr>
        <w:t xml:space="preserve">. </w:t>
      </w:r>
      <w:r w:rsidRPr="00425D25">
        <w:rPr>
          <w:rFonts w:ascii="Times New Roman" w:hAnsi="Times New Roman" w:cs="Times New Roman"/>
          <w:iCs/>
        </w:rPr>
        <w:t>International journal of industrial organization</w:t>
      </w:r>
      <w:r w:rsidRPr="00425D25">
        <w:rPr>
          <w:rFonts w:ascii="Times New Roman" w:hAnsi="Times New Roman" w:cs="Times New Roman"/>
        </w:rPr>
        <w:t xml:space="preserve">, </w:t>
      </w:r>
      <w:r w:rsidRPr="00425D25">
        <w:rPr>
          <w:rFonts w:ascii="Times New Roman" w:hAnsi="Times New Roman" w:cs="Times New Roman"/>
          <w:i/>
          <w:iCs/>
        </w:rPr>
        <w:t>27</w:t>
      </w:r>
      <w:r w:rsidRPr="00425D25">
        <w:rPr>
          <w:rFonts w:ascii="Times New Roman" w:hAnsi="Times New Roman" w:cs="Times New Roman"/>
        </w:rPr>
        <w:t>(1), pp.70-79.</w:t>
      </w:r>
    </w:p>
    <w:p w:rsidR="008702D8" w:rsidRDefault="008702D8" w:rsidP="008112A9">
      <w:pPr>
        <w:autoSpaceDE w:val="0"/>
        <w:autoSpaceDN w:val="0"/>
        <w:adjustRightInd w:val="0"/>
        <w:rPr>
          <w:rFonts w:ascii="Times New Roman" w:hAnsi="Times New Roman" w:cs="Times New Roman"/>
          <w:lang w:val="en"/>
        </w:rPr>
      </w:pPr>
    </w:p>
    <w:p w:rsidR="008112A9" w:rsidRPr="008112A9" w:rsidRDefault="008112A9" w:rsidP="008112A9">
      <w:pPr>
        <w:autoSpaceDE w:val="0"/>
        <w:autoSpaceDN w:val="0"/>
        <w:adjustRightInd w:val="0"/>
        <w:rPr>
          <w:rFonts w:ascii="Times New Roman" w:hAnsi="Times New Roman" w:cs="Times New Roman"/>
        </w:rPr>
      </w:pPr>
      <w:r w:rsidRPr="00127FA1">
        <w:rPr>
          <w:rFonts w:ascii="Times New Roman" w:hAnsi="Times New Roman" w:cs="Times New Roman"/>
          <w:lang w:val="en"/>
        </w:rPr>
        <w:t>Peters, R. C. (2017) ‘</w:t>
      </w:r>
      <w:r w:rsidRPr="00127FA1">
        <w:rPr>
          <w:rFonts w:ascii="Times New Roman" w:hAnsi="Times New Roman" w:cs="Times New Roman"/>
          <w:i/>
          <w:lang w:val="en"/>
        </w:rPr>
        <w:t>Solving Pharma’s Post-Brexit Puzzle’</w:t>
      </w:r>
      <w:r w:rsidRPr="00127FA1">
        <w:rPr>
          <w:rFonts w:ascii="Times New Roman" w:hAnsi="Times New Roman" w:cs="Times New Roman"/>
          <w:lang w:val="en"/>
        </w:rPr>
        <w:t xml:space="preserve">, </w:t>
      </w:r>
      <w:r w:rsidRPr="00127FA1">
        <w:rPr>
          <w:rFonts w:ascii="Times New Roman" w:hAnsi="Times New Roman" w:cs="Times New Roman"/>
          <w:iCs/>
          <w:lang w:val="en"/>
        </w:rPr>
        <w:t>Pharmaceutical Technology Europe</w:t>
      </w:r>
      <w:r w:rsidRPr="00127FA1">
        <w:rPr>
          <w:rFonts w:ascii="Times New Roman" w:hAnsi="Times New Roman" w:cs="Times New Roman"/>
          <w:lang w:val="en"/>
        </w:rPr>
        <w:t>, 29(1), pp. 24–26. Available at: https://search-ebscohost-com.ezproxy.uwtsd.ac.uk/login.aspx?direct=true&amp;db=bth&amp;AN=120924475&amp;site=ehost-live (Accessed: 13 May 2019</w:t>
      </w:r>
    </w:p>
    <w:p w:rsidR="008112A9" w:rsidRDefault="008112A9" w:rsidP="003802C2">
      <w:pPr>
        <w:autoSpaceDE w:val="0"/>
        <w:autoSpaceDN w:val="0"/>
        <w:adjustRightInd w:val="0"/>
        <w:rPr>
          <w:rFonts w:ascii="Times New Roman" w:hAnsi="Times New Roman" w:cs="Times New Roman"/>
          <w:iCs/>
        </w:rPr>
      </w:pPr>
    </w:p>
    <w:p w:rsidR="003802C2" w:rsidRPr="00490DB0" w:rsidRDefault="003802C2" w:rsidP="003802C2">
      <w:pPr>
        <w:autoSpaceDE w:val="0"/>
        <w:autoSpaceDN w:val="0"/>
        <w:adjustRightInd w:val="0"/>
        <w:rPr>
          <w:rFonts w:ascii="Times New Roman" w:hAnsi="Times New Roman" w:cs="Times New Roman"/>
          <w:iCs/>
        </w:rPr>
      </w:pPr>
      <w:r w:rsidRPr="00B74629">
        <w:rPr>
          <w:rFonts w:ascii="Times New Roman" w:hAnsi="Times New Roman" w:cs="Times New Roman"/>
          <w:iCs/>
        </w:rPr>
        <w:t>Pharmaceutical Technology. (2018)</w:t>
      </w:r>
      <w:r w:rsidRPr="00B74629">
        <w:rPr>
          <w:rFonts w:ascii="Times New Roman" w:hAnsi="Times New Roman" w:cs="Times New Roman"/>
          <w:i/>
          <w:iCs/>
        </w:rPr>
        <w:t xml:space="preserve"> </w:t>
      </w:r>
      <w:r w:rsidRPr="00B74629">
        <w:rPr>
          <w:rFonts w:ascii="Times New Roman" w:hAnsi="Times New Roman" w:cs="Times New Roman"/>
          <w:i/>
        </w:rPr>
        <w:t>Brexit will impact drug packaging, and many pharma firms are unaware</w:t>
      </w:r>
      <w:r w:rsidRPr="00B74629">
        <w:rPr>
          <w:rFonts w:ascii="Times New Roman" w:hAnsi="Times New Roman" w:cs="Times New Roman"/>
          <w:i/>
          <w:iCs/>
        </w:rPr>
        <w:t xml:space="preserve"> </w:t>
      </w:r>
      <w:r w:rsidRPr="00B74629">
        <w:rPr>
          <w:rFonts w:ascii="Times New Roman" w:hAnsi="Times New Roman" w:cs="Times New Roman"/>
          <w:iCs/>
        </w:rPr>
        <w:t xml:space="preserve">Available at: </w:t>
      </w:r>
      <w:r w:rsidRPr="003802C2">
        <w:rPr>
          <w:rFonts w:ascii="Times New Roman" w:hAnsi="Times New Roman" w:cs="Times New Roman"/>
          <w:iCs/>
        </w:rPr>
        <w:t>https://www.pharmaceutical-technology.com/comment/brexit-will-impact-drug-packaging-many-pharma-firms-unaware/</w:t>
      </w:r>
      <w:r w:rsidRPr="00B74629">
        <w:rPr>
          <w:rFonts w:ascii="Times New Roman" w:hAnsi="Times New Roman" w:cs="Times New Roman"/>
          <w:iCs/>
        </w:rPr>
        <w:t xml:space="preserve"> (Accessed 13</w:t>
      </w:r>
      <w:r w:rsidRPr="00B74629">
        <w:rPr>
          <w:rFonts w:ascii="Times New Roman" w:hAnsi="Times New Roman" w:cs="Times New Roman"/>
          <w:iCs/>
          <w:vertAlign w:val="superscript"/>
        </w:rPr>
        <w:t>th</w:t>
      </w:r>
      <w:r w:rsidRPr="00B74629">
        <w:rPr>
          <w:rFonts w:ascii="Times New Roman" w:hAnsi="Times New Roman" w:cs="Times New Roman"/>
          <w:iCs/>
        </w:rPr>
        <w:t xml:space="preserve"> May 2019).</w:t>
      </w:r>
    </w:p>
    <w:p w:rsidR="003802C2" w:rsidRDefault="003802C2" w:rsidP="00C042A3">
      <w:pPr>
        <w:autoSpaceDE w:val="0"/>
        <w:autoSpaceDN w:val="0"/>
        <w:adjustRightInd w:val="0"/>
        <w:rPr>
          <w:rFonts w:ascii="Times New Roman" w:hAnsi="Times New Roman" w:cs="Times New Roman"/>
          <w:color w:val="000000" w:themeColor="text1"/>
        </w:rPr>
      </w:pPr>
    </w:p>
    <w:p w:rsidR="00C042A3" w:rsidRPr="00C042A3" w:rsidRDefault="00C042A3" w:rsidP="00C042A3">
      <w:pPr>
        <w:autoSpaceDE w:val="0"/>
        <w:autoSpaceDN w:val="0"/>
        <w:adjustRightInd w:val="0"/>
        <w:rPr>
          <w:rFonts w:ascii="Times New Roman" w:hAnsi="Times New Roman" w:cs="Times New Roman"/>
          <w:bCs/>
          <w:color w:val="000000" w:themeColor="text1"/>
        </w:rPr>
      </w:pPr>
      <w:r w:rsidRPr="00CB477C">
        <w:rPr>
          <w:rFonts w:ascii="Times New Roman" w:hAnsi="Times New Roman" w:cs="Times New Roman"/>
          <w:color w:val="000000" w:themeColor="text1"/>
        </w:rPr>
        <w:t>Population Action. (2011)</w:t>
      </w:r>
      <w:r>
        <w:rPr>
          <w:rFonts w:ascii="Times New Roman" w:hAnsi="Times New Roman" w:cs="Times New Roman"/>
          <w:color w:val="000000" w:themeColor="text1"/>
        </w:rPr>
        <w:t>.</w:t>
      </w:r>
      <w:r w:rsidRPr="00CB477C">
        <w:rPr>
          <w:rFonts w:ascii="Times New Roman" w:hAnsi="Times New Roman" w:cs="Times New Roman"/>
          <w:color w:val="000000" w:themeColor="text1"/>
        </w:rPr>
        <w:t xml:space="preserve"> </w:t>
      </w:r>
      <w:r w:rsidRPr="00CB477C">
        <w:rPr>
          <w:rFonts w:ascii="Times New Roman" w:hAnsi="Times New Roman" w:cs="Times New Roman"/>
          <w:i/>
          <w:color w:val="000000" w:themeColor="text1"/>
        </w:rPr>
        <w:t xml:space="preserve">Why Population Matters to </w:t>
      </w:r>
      <w:r w:rsidRPr="00CB477C">
        <w:rPr>
          <w:rFonts w:ascii="Times New Roman" w:hAnsi="Times New Roman" w:cs="Times New Roman"/>
          <w:bCs/>
          <w:i/>
          <w:color w:val="000000" w:themeColor="text1"/>
        </w:rPr>
        <w:t>Infectious diseases and HIV/AIDS</w:t>
      </w:r>
      <w:r w:rsidRPr="00CB477C">
        <w:rPr>
          <w:rFonts w:ascii="Times New Roman" w:hAnsi="Times New Roman" w:cs="Times New Roman"/>
          <w:bCs/>
          <w:color w:val="000000" w:themeColor="text1"/>
        </w:rPr>
        <w:t xml:space="preserve">. Available at: </w:t>
      </w:r>
      <w:r w:rsidRPr="00C042A3">
        <w:rPr>
          <w:rFonts w:ascii="Times New Roman" w:hAnsi="Times New Roman" w:cs="Times New Roman"/>
          <w:bCs/>
        </w:rPr>
        <w:t>https://pai.org/wp-content/uploads/2012/02/PAI-1293-DISEASE_compressed.pdf</w:t>
      </w:r>
      <w:r w:rsidRPr="00CB477C">
        <w:rPr>
          <w:rFonts w:ascii="Times New Roman" w:hAnsi="Times New Roman" w:cs="Times New Roman"/>
          <w:bCs/>
          <w:color w:val="000000" w:themeColor="text1"/>
        </w:rPr>
        <w:t xml:space="preserve"> (Accessed 16th May 2019). </w:t>
      </w:r>
    </w:p>
    <w:p w:rsidR="00854354" w:rsidRPr="00854354" w:rsidRDefault="00854354" w:rsidP="00854354">
      <w:pPr>
        <w:autoSpaceDE w:val="0"/>
        <w:autoSpaceDN w:val="0"/>
        <w:adjustRightInd w:val="0"/>
        <w:spacing w:before="240"/>
        <w:rPr>
          <w:rFonts w:ascii="Times New Roman" w:hAnsi="Times New Roman" w:cs="Times New Roman"/>
          <w:lang w:val="en"/>
        </w:rPr>
      </w:pPr>
      <w:proofErr w:type="spellStart"/>
      <w:r w:rsidRPr="00B1543A">
        <w:rPr>
          <w:rFonts w:ascii="Times New Roman" w:hAnsi="Times New Roman" w:cs="Times New Roman"/>
          <w:lang w:val="en"/>
        </w:rPr>
        <w:t>Pahl</w:t>
      </w:r>
      <w:proofErr w:type="spellEnd"/>
      <w:r w:rsidRPr="00B1543A">
        <w:rPr>
          <w:rFonts w:ascii="Times New Roman" w:hAnsi="Times New Roman" w:cs="Times New Roman"/>
          <w:lang w:val="en"/>
        </w:rPr>
        <w:t xml:space="preserve">, N. and Richter, A. (2007) </w:t>
      </w:r>
      <w:r w:rsidRPr="00E1349D">
        <w:rPr>
          <w:rFonts w:ascii="Times New Roman" w:hAnsi="Times New Roman" w:cs="Times New Roman"/>
          <w:i/>
          <w:lang w:val="en"/>
        </w:rPr>
        <w:t>SWOT Analysis – Idea, Methodology and a Practical Approach</w:t>
      </w:r>
      <w:r w:rsidRPr="00B1543A">
        <w:rPr>
          <w:rFonts w:ascii="Times New Roman" w:hAnsi="Times New Roman" w:cs="Times New Roman"/>
          <w:lang w:val="en"/>
        </w:rPr>
        <w:t>.</w:t>
      </w:r>
      <w:r>
        <w:rPr>
          <w:rFonts w:ascii="Times New Roman" w:hAnsi="Times New Roman" w:cs="Times New Roman"/>
          <w:lang w:val="en"/>
        </w:rPr>
        <w:t xml:space="preserve"> Available at: </w:t>
      </w:r>
      <w:r w:rsidRPr="00854354">
        <w:rPr>
          <w:rFonts w:ascii="Times New Roman" w:hAnsi="Times New Roman" w:cs="Times New Roman"/>
          <w:lang w:val="en"/>
        </w:rPr>
        <w:t>https://books.google.co.uk/books?id=JJEBWvvG73YC&amp;printsec=frontcover&amp;dq=swot+analysis&amp;hl=en&amp;sa=X&amp;ved=0ahUKEwiTtY-ciIniAhUITxUIHTb2BgEQ6AEIKDAA#v=onepage&amp;q=swot%20analysis&amp;f=false</w:t>
      </w:r>
      <w:r w:rsidRPr="00B1543A">
        <w:rPr>
          <w:rFonts w:ascii="Times New Roman" w:hAnsi="Times New Roman" w:cs="Times New Roman"/>
          <w:lang w:val="en"/>
        </w:rPr>
        <w:t xml:space="preserve">. (Accessed 07 May 2019). </w:t>
      </w:r>
    </w:p>
    <w:p w:rsidR="008F6458" w:rsidRPr="008F6458" w:rsidRDefault="008F6458" w:rsidP="008F6458">
      <w:pPr>
        <w:pStyle w:val="Heading1"/>
        <w:rPr>
          <w:b w:val="0"/>
          <w:bCs w:val="0"/>
          <w:color w:val="000000" w:themeColor="text1"/>
          <w:lang w:val="en-US" w:eastAsia="en-GB"/>
        </w:rPr>
      </w:pPr>
      <w:r w:rsidRPr="008F6458">
        <w:rPr>
          <w:b w:val="0"/>
          <w:color w:val="000000" w:themeColor="text1"/>
          <w:sz w:val="24"/>
          <w:szCs w:val="24"/>
          <w:lang w:val="en-US"/>
        </w:rPr>
        <w:t xml:space="preserve">Roche. (2019) </w:t>
      </w:r>
      <w:r w:rsidRPr="008F6458">
        <w:rPr>
          <w:b w:val="0"/>
          <w:i/>
          <w:color w:val="000000" w:themeColor="text1"/>
          <w:sz w:val="24"/>
          <w:szCs w:val="24"/>
          <w:lang w:val="en-US" w:eastAsia="en-GB"/>
        </w:rPr>
        <w:t>COBAS</w:t>
      </w:r>
      <w:r w:rsidRPr="008F6458">
        <w:rPr>
          <w:b w:val="0"/>
          <w:i/>
          <w:color w:val="000000" w:themeColor="text1"/>
          <w:sz w:val="24"/>
          <w:szCs w:val="24"/>
          <w:vertAlign w:val="superscript"/>
          <w:lang w:val="en-US" w:eastAsia="en-GB"/>
        </w:rPr>
        <w:t>®</w:t>
      </w:r>
      <w:r w:rsidRPr="008F6458">
        <w:rPr>
          <w:b w:val="0"/>
          <w:i/>
          <w:color w:val="000000" w:themeColor="text1"/>
          <w:sz w:val="24"/>
          <w:szCs w:val="24"/>
          <w:lang w:val="en-US" w:eastAsia="en-GB"/>
        </w:rPr>
        <w:t xml:space="preserve"> </w:t>
      </w:r>
      <w:proofErr w:type="spellStart"/>
      <w:r w:rsidRPr="008F6458">
        <w:rPr>
          <w:b w:val="0"/>
          <w:i/>
          <w:color w:val="000000" w:themeColor="text1"/>
          <w:sz w:val="24"/>
          <w:szCs w:val="24"/>
          <w:lang w:val="en-US" w:eastAsia="en-GB"/>
        </w:rPr>
        <w:t>AmpliPrep</w:t>
      </w:r>
      <w:proofErr w:type="spellEnd"/>
      <w:r w:rsidRPr="008F6458">
        <w:rPr>
          <w:b w:val="0"/>
          <w:i/>
          <w:color w:val="000000" w:themeColor="text1"/>
          <w:sz w:val="24"/>
          <w:szCs w:val="24"/>
          <w:lang w:val="en-US" w:eastAsia="en-GB"/>
        </w:rPr>
        <w:t>/COBAS</w:t>
      </w:r>
      <w:r w:rsidRPr="008F6458">
        <w:rPr>
          <w:b w:val="0"/>
          <w:i/>
          <w:color w:val="000000" w:themeColor="text1"/>
          <w:sz w:val="24"/>
          <w:szCs w:val="24"/>
          <w:vertAlign w:val="superscript"/>
          <w:lang w:val="en-US" w:eastAsia="en-GB"/>
        </w:rPr>
        <w:t>®</w:t>
      </w:r>
      <w:r w:rsidRPr="008F6458">
        <w:rPr>
          <w:b w:val="0"/>
          <w:i/>
          <w:color w:val="000000" w:themeColor="text1"/>
          <w:sz w:val="24"/>
          <w:szCs w:val="24"/>
          <w:lang w:val="en-US" w:eastAsia="en-GB"/>
        </w:rPr>
        <w:t xml:space="preserve"> TaqMan</w:t>
      </w:r>
      <w:r w:rsidRPr="008F6458">
        <w:rPr>
          <w:b w:val="0"/>
          <w:i/>
          <w:color w:val="000000" w:themeColor="text1"/>
          <w:sz w:val="24"/>
          <w:szCs w:val="24"/>
          <w:vertAlign w:val="superscript"/>
          <w:lang w:val="en-US" w:eastAsia="en-GB"/>
        </w:rPr>
        <w:t>®</w:t>
      </w:r>
      <w:r w:rsidRPr="008F6458">
        <w:rPr>
          <w:b w:val="0"/>
          <w:i/>
          <w:color w:val="000000" w:themeColor="text1"/>
          <w:sz w:val="24"/>
          <w:szCs w:val="24"/>
          <w:lang w:val="en-US" w:eastAsia="en-GB"/>
        </w:rPr>
        <w:t xml:space="preserve"> HIV-1 Test, v2.0.</w:t>
      </w:r>
      <w:r w:rsidRPr="008F6458">
        <w:rPr>
          <w:b w:val="0"/>
          <w:color w:val="000000" w:themeColor="text1"/>
          <w:sz w:val="24"/>
          <w:szCs w:val="24"/>
          <w:lang w:val="en-US" w:eastAsia="en-GB"/>
        </w:rPr>
        <w:t xml:space="preserve"> Available at: </w:t>
      </w:r>
      <w:r w:rsidRPr="008F6458">
        <w:rPr>
          <w:b w:val="0"/>
          <w:sz w:val="24"/>
          <w:szCs w:val="24"/>
          <w:lang w:val="en-US" w:eastAsia="en-GB"/>
        </w:rPr>
        <w:t>https://diagnostics.roche.com/global/en/products/params/cobas-ampliprep-cobas-taqman-hiv-1-test-v2-0.html</w:t>
      </w:r>
      <w:r>
        <w:rPr>
          <w:b w:val="0"/>
          <w:color w:val="000000" w:themeColor="text1"/>
          <w:sz w:val="24"/>
          <w:szCs w:val="24"/>
          <w:lang w:val="en-US" w:eastAsia="en-GB"/>
        </w:rPr>
        <w:t xml:space="preserve"> (Accessed 16th May 2019).</w:t>
      </w:r>
    </w:p>
    <w:p w:rsidR="00C042A3" w:rsidRDefault="00C042A3" w:rsidP="00C042A3">
      <w:pPr>
        <w:autoSpaceDE w:val="0"/>
        <w:autoSpaceDN w:val="0"/>
        <w:adjustRightInd w:val="0"/>
        <w:rPr>
          <w:rFonts w:ascii="Times New Roman" w:hAnsi="Times New Roman" w:cs="Times New Roman"/>
          <w:color w:val="000000" w:themeColor="text1"/>
        </w:rPr>
      </w:pPr>
      <w:r w:rsidRPr="00830CA3">
        <w:rPr>
          <w:rFonts w:ascii="Times New Roman" w:hAnsi="Times New Roman" w:cs="Times New Roman"/>
          <w:color w:val="000000" w:themeColor="text1"/>
        </w:rPr>
        <w:lastRenderedPageBreak/>
        <w:t xml:space="preserve">Roche. (2019). </w:t>
      </w:r>
      <w:r w:rsidRPr="00830CA3">
        <w:rPr>
          <w:rFonts w:ascii="Times New Roman" w:hAnsi="Times New Roman" w:cs="Times New Roman"/>
          <w:i/>
          <w:color w:val="000000" w:themeColor="text1"/>
        </w:rPr>
        <w:t>Annual Report 2018</w:t>
      </w:r>
      <w:r w:rsidRPr="00830CA3">
        <w:rPr>
          <w:rFonts w:ascii="Times New Roman" w:hAnsi="Times New Roman" w:cs="Times New Roman"/>
          <w:color w:val="000000" w:themeColor="text1"/>
        </w:rPr>
        <w:t>. Available at:</w:t>
      </w:r>
      <w:r w:rsidRPr="00830CA3">
        <w:rPr>
          <w:color w:val="000000" w:themeColor="text1"/>
        </w:rPr>
        <w:t xml:space="preserve"> </w:t>
      </w:r>
      <w:r w:rsidRPr="00C042A3">
        <w:rPr>
          <w:rFonts w:ascii="Times New Roman" w:hAnsi="Times New Roman" w:cs="Times New Roman"/>
        </w:rPr>
        <w:t>https://www.roche.com/dam/jcr:af865dfd-50fb-458b-9cac-34097db9d3ec/en/ar18e.pdf</w:t>
      </w:r>
      <w:r w:rsidRPr="00830CA3">
        <w:rPr>
          <w:rFonts w:ascii="Times New Roman" w:hAnsi="Times New Roman" w:cs="Times New Roman"/>
          <w:color w:val="000000" w:themeColor="text1"/>
        </w:rPr>
        <w:t xml:space="preserve"> (Accessed 15th May 2019).</w:t>
      </w:r>
    </w:p>
    <w:p w:rsidR="00C042A3" w:rsidRDefault="00C042A3" w:rsidP="001E296B">
      <w:pPr>
        <w:outlineLvl w:val="0"/>
        <w:rPr>
          <w:rFonts w:ascii="Times New Roman" w:eastAsia="Times New Roman" w:hAnsi="Times New Roman" w:cs="Times New Roman"/>
          <w:kern w:val="36"/>
        </w:rPr>
      </w:pPr>
    </w:p>
    <w:p w:rsidR="00E8437B" w:rsidRPr="00D212E0" w:rsidRDefault="00E8437B" w:rsidP="00E8437B">
      <w:pPr>
        <w:autoSpaceDE w:val="0"/>
        <w:autoSpaceDN w:val="0"/>
        <w:adjustRightInd w:val="0"/>
        <w:rPr>
          <w:rFonts w:ascii="Times New Roman" w:hAnsi="Times New Roman" w:cs="Times New Roman"/>
          <w:iCs/>
        </w:rPr>
      </w:pPr>
      <w:r w:rsidRPr="00D212E0">
        <w:rPr>
          <w:rFonts w:ascii="Times New Roman" w:hAnsi="Times New Roman" w:cs="Times New Roman"/>
          <w:iCs/>
        </w:rPr>
        <w:t xml:space="preserve">Roche. (2019) </w:t>
      </w:r>
      <w:r w:rsidRPr="00D212E0">
        <w:rPr>
          <w:rFonts w:ascii="Times New Roman" w:hAnsi="Times New Roman" w:cs="Times New Roman"/>
          <w:i/>
        </w:rPr>
        <w:t xml:space="preserve">Roche Diabetes Care preparations for Brexit impact on supply chain in the UK. </w:t>
      </w:r>
      <w:r w:rsidRPr="00D212E0">
        <w:rPr>
          <w:rFonts w:ascii="Times New Roman" w:hAnsi="Times New Roman" w:cs="Times New Roman"/>
        </w:rPr>
        <w:t xml:space="preserve">Available at: </w:t>
      </w:r>
      <w:r w:rsidRPr="00E8437B">
        <w:rPr>
          <w:rFonts w:ascii="Times New Roman" w:hAnsi="Times New Roman" w:cs="Times New Roman"/>
        </w:rPr>
        <w:t>https://webcache.googleusercontent.com/search?q=cache:YYkPLkW0hIsJ:https://www.accu-chek.co.uk/filedownload/25626+&amp;cd=13&amp;hl=en&amp;ct=clnk&amp;gl=uk</w:t>
      </w:r>
      <w:r w:rsidRPr="00D212E0">
        <w:rPr>
          <w:rFonts w:ascii="Times New Roman" w:hAnsi="Times New Roman" w:cs="Times New Roman"/>
        </w:rPr>
        <w:t xml:space="preserve"> (Accessed 13</w:t>
      </w:r>
      <w:r w:rsidRPr="00D212E0">
        <w:rPr>
          <w:rFonts w:ascii="Times New Roman" w:hAnsi="Times New Roman" w:cs="Times New Roman"/>
          <w:vertAlign w:val="superscript"/>
        </w:rPr>
        <w:t>th</w:t>
      </w:r>
      <w:r w:rsidRPr="00D212E0">
        <w:rPr>
          <w:rFonts w:ascii="Times New Roman" w:hAnsi="Times New Roman" w:cs="Times New Roman"/>
        </w:rPr>
        <w:t xml:space="preserve"> May 2019).</w:t>
      </w:r>
    </w:p>
    <w:p w:rsidR="00E8437B" w:rsidRDefault="00E8437B" w:rsidP="00DE527E">
      <w:pPr>
        <w:autoSpaceDE w:val="0"/>
        <w:autoSpaceDN w:val="0"/>
        <w:adjustRightInd w:val="0"/>
        <w:rPr>
          <w:rFonts w:ascii="Times New Roman" w:hAnsi="Times New Roman" w:cs="Times New Roman"/>
          <w:szCs w:val="19"/>
        </w:rPr>
      </w:pPr>
    </w:p>
    <w:p w:rsidR="00803F42" w:rsidRPr="00396D5F" w:rsidRDefault="00803F42" w:rsidP="00803F42">
      <w:pPr>
        <w:autoSpaceDE w:val="0"/>
        <w:autoSpaceDN w:val="0"/>
        <w:adjustRightInd w:val="0"/>
        <w:rPr>
          <w:rFonts w:ascii="Times New Roman" w:hAnsi="Times New Roman" w:cs="Times New Roman"/>
          <w:bCs/>
          <w:i/>
        </w:rPr>
      </w:pPr>
      <w:r w:rsidRPr="00396D5F">
        <w:rPr>
          <w:rFonts w:ascii="Times New Roman" w:hAnsi="Times New Roman" w:cs="Times New Roman"/>
          <w:szCs w:val="19"/>
        </w:rPr>
        <w:t>Roche (2019)</w:t>
      </w:r>
      <w:r w:rsidRPr="00396D5F">
        <w:rPr>
          <w:rFonts w:ascii="Minion-Bold" w:hAnsi="Minion-Bold" w:cs="Minion-Bold"/>
          <w:b/>
          <w:bCs/>
          <w:sz w:val="32"/>
          <w:szCs w:val="32"/>
        </w:rPr>
        <w:t xml:space="preserve"> </w:t>
      </w:r>
      <w:r w:rsidRPr="00396D5F">
        <w:rPr>
          <w:rFonts w:ascii="Times New Roman" w:hAnsi="Times New Roman" w:cs="Times New Roman"/>
          <w:bCs/>
          <w:i/>
        </w:rPr>
        <w:t xml:space="preserve">Roche Position1 on Counterfeit and Falsified Pharmaceutical &amp; Diagnostic Products. </w:t>
      </w:r>
      <w:r w:rsidRPr="00396D5F">
        <w:rPr>
          <w:rFonts w:ascii="Times New Roman" w:hAnsi="Times New Roman" w:cs="Times New Roman"/>
          <w:bCs/>
        </w:rPr>
        <w:t>Available at:</w:t>
      </w:r>
      <w:r w:rsidRPr="00396D5F">
        <w:rPr>
          <w:rFonts w:ascii="Times New Roman" w:hAnsi="Times New Roman" w:cs="Times New Roman"/>
          <w:szCs w:val="19"/>
        </w:rPr>
        <w:t xml:space="preserve"> </w:t>
      </w:r>
      <w:r w:rsidRPr="00803F42">
        <w:rPr>
          <w:rFonts w:ascii="Times New Roman" w:hAnsi="Times New Roman" w:cs="Times New Roman"/>
          <w:szCs w:val="19"/>
        </w:rPr>
        <w:t>https://www.roche.com/dam/jcr:d1fed4b2-1d2d-4f40-98ff-c5fae6be0ba1/06_Position_Counterfeiting_inkl.%20FAQ_reviewed_March_2019.pdf</w:t>
      </w:r>
      <w:r w:rsidRPr="00396D5F">
        <w:rPr>
          <w:rFonts w:ascii="Times New Roman" w:hAnsi="Times New Roman" w:cs="Times New Roman"/>
          <w:szCs w:val="19"/>
        </w:rPr>
        <w:t xml:space="preserve"> (Accessed 07 May 2019).</w:t>
      </w:r>
    </w:p>
    <w:p w:rsidR="00803F42" w:rsidRDefault="00803F42" w:rsidP="00DE527E">
      <w:pPr>
        <w:autoSpaceDE w:val="0"/>
        <w:autoSpaceDN w:val="0"/>
        <w:adjustRightInd w:val="0"/>
        <w:rPr>
          <w:rFonts w:ascii="Times New Roman" w:hAnsi="Times New Roman" w:cs="Times New Roman"/>
          <w:szCs w:val="19"/>
        </w:rPr>
      </w:pPr>
    </w:p>
    <w:p w:rsidR="00DE527E" w:rsidRPr="006603A0" w:rsidRDefault="00DE527E" w:rsidP="00DE527E">
      <w:pPr>
        <w:autoSpaceDE w:val="0"/>
        <w:autoSpaceDN w:val="0"/>
        <w:adjustRightInd w:val="0"/>
        <w:rPr>
          <w:rFonts w:ascii="Times New Roman" w:hAnsi="Times New Roman" w:cs="Times New Roman"/>
          <w:szCs w:val="19"/>
        </w:rPr>
      </w:pPr>
      <w:r w:rsidRPr="006603A0">
        <w:rPr>
          <w:rFonts w:ascii="Times New Roman" w:hAnsi="Times New Roman" w:cs="Times New Roman"/>
          <w:szCs w:val="19"/>
        </w:rPr>
        <w:t xml:space="preserve">Roche. (2017). </w:t>
      </w:r>
      <w:r w:rsidRPr="006603A0">
        <w:rPr>
          <w:rFonts w:ascii="Times New Roman" w:hAnsi="Times New Roman" w:cs="Times New Roman"/>
          <w:bCs/>
          <w:i/>
        </w:rPr>
        <w:t xml:space="preserve">Roche Position1 on Pricing. </w:t>
      </w:r>
      <w:r w:rsidRPr="006603A0">
        <w:rPr>
          <w:rFonts w:ascii="Times New Roman" w:hAnsi="Times New Roman" w:cs="Times New Roman"/>
          <w:bCs/>
        </w:rPr>
        <w:t xml:space="preserve">Available at: </w:t>
      </w:r>
      <w:r w:rsidRPr="00DE527E">
        <w:rPr>
          <w:rFonts w:ascii="Times New Roman" w:hAnsi="Times New Roman" w:cs="Times New Roman"/>
          <w:bCs/>
        </w:rPr>
        <w:t>https://www.roche.com/dam/jcr:9442a181-d5b4-4b51-8c7b 34c62c93ab9e/</w:t>
      </w:r>
      <w:proofErr w:type="spellStart"/>
      <w:r w:rsidRPr="00DE527E">
        <w:rPr>
          <w:rFonts w:ascii="Times New Roman" w:hAnsi="Times New Roman" w:cs="Times New Roman"/>
          <w:bCs/>
        </w:rPr>
        <w:t>en</w:t>
      </w:r>
      <w:proofErr w:type="spellEnd"/>
      <w:r w:rsidRPr="00DE527E">
        <w:rPr>
          <w:rFonts w:ascii="Times New Roman" w:hAnsi="Times New Roman" w:cs="Times New Roman"/>
          <w:bCs/>
        </w:rPr>
        <w:t>/Roche_on_Position_Pricing.pdf</w:t>
      </w:r>
      <w:r w:rsidRPr="006603A0">
        <w:rPr>
          <w:rFonts w:ascii="Times New Roman" w:hAnsi="Times New Roman" w:cs="Times New Roman"/>
          <w:bCs/>
        </w:rPr>
        <w:t xml:space="preserve"> (Accessed 15th May 2019).</w:t>
      </w:r>
    </w:p>
    <w:p w:rsidR="00DE527E" w:rsidRDefault="00DE527E" w:rsidP="001E296B">
      <w:pPr>
        <w:outlineLvl w:val="0"/>
        <w:rPr>
          <w:rFonts w:ascii="Times New Roman" w:eastAsia="Times New Roman" w:hAnsi="Times New Roman" w:cs="Times New Roman"/>
          <w:kern w:val="36"/>
        </w:rPr>
      </w:pPr>
    </w:p>
    <w:p w:rsidR="00312E19" w:rsidRPr="00307934" w:rsidRDefault="00312E19" w:rsidP="00312E19">
      <w:pPr>
        <w:rPr>
          <w:rFonts w:ascii="Times New Roman" w:hAnsi="Times New Roman" w:cs="Times New Roman"/>
          <w:color w:val="000000" w:themeColor="text1"/>
          <w:lang w:val="en"/>
        </w:rPr>
      </w:pPr>
      <w:r>
        <w:rPr>
          <w:rFonts w:ascii="Times New Roman" w:hAnsi="Times New Roman" w:cs="Times New Roman"/>
          <w:color w:val="000000" w:themeColor="text1"/>
          <w:lang w:val="en"/>
        </w:rPr>
        <w:t>Roche Diagnostics</w:t>
      </w:r>
      <w:r w:rsidRPr="00307934">
        <w:rPr>
          <w:rFonts w:ascii="Times New Roman" w:hAnsi="Times New Roman" w:cs="Times New Roman"/>
          <w:color w:val="000000" w:themeColor="text1"/>
          <w:lang w:val="en"/>
        </w:rPr>
        <w:t xml:space="preserve">. </w:t>
      </w:r>
      <w:r>
        <w:rPr>
          <w:rFonts w:ascii="Times New Roman" w:hAnsi="Times New Roman" w:cs="Times New Roman"/>
          <w:color w:val="000000" w:themeColor="text1"/>
          <w:lang w:val="en"/>
        </w:rPr>
        <w:t>(</w:t>
      </w:r>
      <w:r w:rsidRPr="00307934">
        <w:rPr>
          <w:rFonts w:ascii="Times New Roman" w:hAnsi="Times New Roman" w:cs="Times New Roman"/>
          <w:color w:val="000000" w:themeColor="text1"/>
          <w:lang w:val="en"/>
        </w:rPr>
        <w:t>2016</w:t>
      </w:r>
      <w:r>
        <w:rPr>
          <w:rFonts w:ascii="Times New Roman" w:hAnsi="Times New Roman" w:cs="Times New Roman"/>
          <w:color w:val="000000" w:themeColor="text1"/>
          <w:lang w:val="en"/>
        </w:rPr>
        <w:t>)</w:t>
      </w:r>
      <w:r w:rsidRPr="00307934">
        <w:rPr>
          <w:rFonts w:ascii="Times New Roman" w:hAnsi="Times New Roman" w:cs="Times New Roman"/>
          <w:color w:val="000000" w:themeColor="text1"/>
          <w:lang w:val="en"/>
        </w:rPr>
        <w:t xml:space="preserve">. </w:t>
      </w:r>
      <w:r w:rsidRPr="00307934">
        <w:rPr>
          <w:rFonts w:ascii="Times New Roman" w:hAnsi="Times New Roman" w:cs="Times New Roman"/>
          <w:i/>
          <w:color w:val="000000" w:themeColor="text1"/>
          <w:lang w:val="en"/>
        </w:rPr>
        <w:t>Company Profile Roche Diagnostics.</w:t>
      </w:r>
      <w:r w:rsidRPr="00307934">
        <w:rPr>
          <w:rFonts w:ascii="Times New Roman" w:hAnsi="Times New Roman" w:cs="Times New Roman"/>
          <w:color w:val="000000" w:themeColor="text1"/>
          <w:lang w:val="en"/>
        </w:rPr>
        <w:t xml:space="preserve"> Available at: </w:t>
      </w:r>
      <w:r w:rsidRPr="00312E19">
        <w:rPr>
          <w:rFonts w:ascii="Times New Roman" w:hAnsi="Times New Roman" w:cs="Times New Roman"/>
          <w:lang w:val="en"/>
        </w:rPr>
        <w:t>https://advantage-marketline-com.ezproxy.uwtsd.ac.uk/Product?ptype=Companies&amp;pid=51F4469D-1749-405A-8330-0CB49F5A2DB6</w:t>
      </w:r>
      <w:r w:rsidRPr="00307934">
        <w:rPr>
          <w:rFonts w:ascii="Times New Roman" w:hAnsi="Times New Roman" w:cs="Times New Roman"/>
          <w:color w:val="000000" w:themeColor="text1"/>
          <w:lang w:val="en"/>
        </w:rPr>
        <w:t>. (Accessed 01 May 2019).</w:t>
      </w:r>
    </w:p>
    <w:p w:rsidR="00312E19" w:rsidRDefault="00312E19" w:rsidP="001E296B">
      <w:pPr>
        <w:outlineLvl w:val="0"/>
        <w:rPr>
          <w:rFonts w:ascii="Times New Roman" w:eastAsia="Times New Roman" w:hAnsi="Times New Roman" w:cs="Times New Roman"/>
          <w:kern w:val="36"/>
        </w:rPr>
      </w:pPr>
    </w:p>
    <w:p w:rsidR="008B6D2E" w:rsidRPr="0032314B" w:rsidRDefault="008B6D2E" w:rsidP="001E296B">
      <w:pPr>
        <w:outlineLvl w:val="0"/>
        <w:rPr>
          <w:rFonts w:ascii="Times New Roman" w:eastAsia="Times New Roman" w:hAnsi="Times New Roman" w:cs="Times New Roman"/>
          <w:kern w:val="36"/>
        </w:rPr>
      </w:pPr>
      <w:r w:rsidRPr="0032314B">
        <w:rPr>
          <w:rFonts w:ascii="Times New Roman" w:eastAsia="Times New Roman" w:hAnsi="Times New Roman" w:cs="Times New Roman"/>
          <w:kern w:val="36"/>
        </w:rPr>
        <w:t xml:space="preserve">Roche. (ND) </w:t>
      </w:r>
      <w:proofErr w:type="spellStart"/>
      <w:r w:rsidR="003323C0" w:rsidRPr="0032314B">
        <w:rPr>
          <w:rFonts w:ascii="Times New Roman" w:eastAsia="Times New Roman" w:hAnsi="Times New Roman" w:cs="Times New Roman"/>
          <w:i/>
          <w:kern w:val="36"/>
        </w:rPr>
        <w:t>C</w:t>
      </w:r>
      <w:r w:rsidRPr="0032314B">
        <w:rPr>
          <w:rFonts w:ascii="Times New Roman" w:eastAsia="Times New Roman" w:hAnsi="Times New Roman" w:cs="Times New Roman"/>
          <w:i/>
          <w:kern w:val="36"/>
        </w:rPr>
        <w:t>obas</w:t>
      </w:r>
      <w:proofErr w:type="spellEnd"/>
      <w:r w:rsidRPr="0032314B">
        <w:rPr>
          <w:rFonts w:ascii="Times New Roman" w:eastAsia="Times New Roman" w:hAnsi="Times New Roman" w:cs="Times New Roman"/>
          <w:i/>
          <w:kern w:val="36"/>
          <w:vertAlign w:val="superscript"/>
        </w:rPr>
        <w:t>®</w:t>
      </w:r>
      <w:r w:rsidRPr="0032314B">
        <w:rPr>
          <w:rFonts w:ascii="Times New Roman" w:eastAsia="Times New Roman" w:hAnsi="Times New Roman" w:cs="Times New Roman"/>
          <w:i/>
          <w:kern w:val="36"/>
        </w:rPr>
        <w:t> 8100 automated workflow series</w:t>
      </w:r>
      <w:r w:rsidRPr="0032314B">
        <w:rPr>
          <w:rFonts w:ascii="Times New Roman" w:eastAsia="Times New Roman" w:hAnsi="Times New Roman" w:cs="Times New Roman"/>
          <w:kern w:val="36"/>
        </w:rPr>
        <w:t>. Available at: https://diagnostics.roche.com/global/en/prproduc/systems/cobas_-8100-automated-workflow-series.html (Accessed 16th May 2019).</w:t>
      </w:r>
    </w:p>
    <w:p w:rsidR="003323C0" w:rsidRPr="0032314B" w:rsidRDefault="003323C0" w:rsidP="001E296B">
      <w:pPr>
        <w:outlineLvl w:val="0"/>
        <w:rPr>
          <w:rFonts w:ascii="Times New Roman" w:eastAsia="Times New Roman" w:hAnsi="Times New Roman" w:cs="Times New Roman"/>
          <w:kern w:val="36"/>
        </w:rPr>
      </w:pPr>
    </w:p>
    <w:p w:rsidR="003323C0" w:rsidRPr="0032314B" w:rsidRDefault="003323C0" w:rsidP="001E296B">
      <w:pPr>
        <w:outlineLvl w:val="0"/>
        <w:rPr>
          <w:rFonts w:ascii="Times New Roman" w:eastAsia="Times New Roman" w:hAnsi="Times New Roman" w:cs="Times New Roman"/>
          <w:kern w:val="36"/>
        </w:rPr>
      </w:pPr>
      <w:r w:rsidRPr="0032314B">
        <w:rPr>
          <w:rFonts w:ascii="Times New Roman" w:eastAsia="Times New Roman" w:hAnsi="Times New Roman" w:cs="Times New Roman"/>
          <w:kern w:val="36"/>
        </w:rPr>
        <w:t xml:space="preserve">Roche. (ND) </w:t>
      </w:r>
      <w:r w:rsidRPr="0032314B">
        <w:rPr>
          <w:rFonts w:ascii="Times New Roman" w:eastAsia="Times New Roman" w:hAnsi="Times New Roman" w:cs="Times New Roman"/>
          <w:i/>
          <w:kern w:val="36"/>
        </w:rPr>
        <w:t>Our SHE goals and performance</w:t>
      </w:r>
      <w:r w:rsidRPr="0032314B">
        <w:rPr>
          <w:rFonts w:ascii="Times New Roman" w:eastAsia="Times New Roman" w:hAnsi="Times New Roman" w:cs="Times New Roman"/>
          <w:kern w:val="36"/>
        </w:rPr>
        <w:t xml:space="preserve">. Available at: https://www.roche.com/dam/jcr:dc27004f-72b3-41b6-8de3-1145626aac38/en/she_greenhouse_gas_emissions.pdf (Accessed 17th May 2019). </w:t>
      </w:r>
    </w:p>
    <w:p w:rsidR="00726037" w:rsidRPr="00726037" w:rsidRDefault="00726037" w:rsidP="00726037">
      <w:pPr>
        <w:pStyle w:val="Heading1"/>
        <w:rPr>
          <w:b w:val="0"/>
          <w:sz w:val="24"/>
          <w:szCs w:val="24"/>
        </w:rPr>
      </w:pPr>
      <w:r w:rsidRPr="00726037">
        <w:rPr>
          <w:b w:val="0"/>
          <w:sz w:val="24"/>
          <w:szCs w:val="24"/>
        </w:rPr>
        <w:t>Roche. (ND).</w:t>
      </w:r>
      <w:r>
        <w:rPr>
          <w:b w:val="0"/>
          <w:sz w:val="24"/>
          <w:szCs w:val="24"/>
        </w:rPr>
        <w:t xml:space="preserve"> </w:t>
      </w:r>
      <w:r w:rsidRPr="00726037">
        <w:rPr>
          <w:b w:val="0"/>
          <w:i/>
          <w:sz w:val="24"/>
          <w:szCs w:val="24"/>
        </w:rPr>
        <w:t>About Roche Solution Integration and Services</w:t>
      </w:r>
      <w:r>
        <w:rPr>
          <w:b w:val="0"/>
          <w:sz w:val="24"/>
          <w:szCs w:val="24"/>
        </w:rPr>
        <w:t xml:space="preserve">. </w:t>
      </w:r>
      <w:r w:rsidRPr="00726037">
        <w:rPr>
          <w:b w:val="0"/>
          <w:sz w:val="24"/>
          <w:szCs w:val="24"/>
          <w:lang w:val="en-US"/>
        </w:rPr>
        <w:t>Available at: https://diagnostics.roche.com/global/en/about/about-roche-solution-integration-and-services.html (Accessed 16th May 2019).</w:t>
      </w:r>
    </w:p>
    <w:p w:rsidR="008F6458" w:rsidRPr="009B7F38" w:rsidRDefault="008F6458" w:rsidP="008F6458">
      <w:pPr>
        <w:autoSpaceDE w:val="0"/>
        <w:autoSpaceDN w:val="0"/>
        <w:adjustRightInd w:val="0"/>
        <w:rPr>
          <w:rFonts w:ascii="Times New Roman" w:hAnsi="Times New Roman" w:cs="Times New Roman"/>
          <w:bCs/>
          <w:color w:val="000000" w:themeColor="text1"/>
        </w:rPr>
      </w:pPr>
      <w:r w:rsidRPr="009B7F38">
        <w:rPr>
          <w:rFonts w:ascii="Times New Roman" w:hAnsi="Times New Roman" w:cs="Times New Roman"/>
          <w:bCs/>
          <w:color w:val="000000" w:themeColor="text1"/>
        </w:rPr>
        <w:t>Roche. (ND)</w:t>
      </w:r>
      <w:r w:rsidRPr="009B7F38">
        <w:rPr>
          <w:color w:val="000000" w:themeColor="text1"/>
          <w:lang w:val="en"/>
        </w:rPr>
        <w:t xml:space="preserve"> </w:t>
      </w:r>
      <w:r w:rsidRPr="009B7F38">
        <w:rPr>
          <w:rFonts w:ascii="Times New Roman" w:hAnsi="Times New Roman" w:cs="Times New Roman"/>
          <w:i/>
          <w:color w:val="000000" w:themeColor="text1"/>
          <w:lang w:val="en"/>
        </w:rPr>
        <w:t>Taking aim at HIV/AIDS.</w:t>
      </w:r>
      <w:r w:rsidRPr="009B7F38">
        <w:rPr>
          <w:rFonts w:ascii="Times New Roman" w:hAnsi="Times New Roman" w:cs="Times New Roman"/>
          <w:bCs/>
          <w:color w:val="000000" w:themeColor="text1"/>
          <w:sz w:val="28"/>
        </w:rPr>
        <w:t xml:space="preserve"> </w:t>
      </w:r>
      <w:r w:rsidRPr="009B7F38">
        <w:rPr>
          <w:rFonts w:ascii="Times New Roman" w:hAnsi="Times New Roman" w:cs="Times New Roman"/>
          <w:bCs/>
          <w:color w:val="000000" w:themeColor="text1"/>
        </w:rPr>
        <w:t xml:space="preserve">Available at: </w:t>
      </w:r>
      <w:r w:rsidRPr="008F6458">
        <w:rPr>
          <w:rFonts w:ascii="Times New Roman" w:hAnsi="Times New Roman" w:cs="Times New Roman"/>
          <w:bCs/>
        </w:rPr>
        <w:t>https://www.roche.com/sustainability/access-to-healthcare/hiv-aids-free-generation.htm</w:t>
      </w:r>
      <w:r w:rsidRPr="009B7F38">
        <w:rPr>
          <w:rFonts w:ascii="Times New Roman" w:hAnsi="Times New Roman" w:cs="Times New Roman"/>
          <w:bCs/>
          <w:color w:val="000000" w:themeColor="text1"/>
        </w:rPr>
        <w:t xml:space="preserve"> (Accessed 16th May 2019).</w:t>
      </w:r>
    </w:p>
    <w:p w:rsidR="007700D1" w:rsidRDefault="007700D1" w:rsidP="007700D1">
      <w:pPr>
        <w:autoSpaceDE w:val="0"/>
        <w:autoSpaceDN w:val="0"/>
        <w:adjustRightInd w:val="0"/>
        <w:spacing w:before="240"/>
        <w:rPr>
          <w:rFonts w:ascii="Times New Roman" w:hAnsi="Times New Roman" w:cs="Times New Roman"/>
          <w:lang w:val="en"/>
        </w:rPr>
      </w:pPr>
      <w:r w:rsidRPr="00A0487D">
        <w:rPr>
          <w:rFonts w:ascii="Times New Roman" w:hAnsi="Times New Roman" w:cs="Times New Roman"/>
          <w:lang w:val="en"/>
        </w:rPr>
        <w:t xml:space="preserve">Roche. (ND) </w:t>
      </w:r>
      <w:r w:rsidRPr="00A0487D">
        <w:rPr>
          <w:rFonts w:ascii="Times New Roman" w:hAnsi="Times New Roman" w:cs="Times New Roman"/>
          <w:i/>
          <w:lang w:val="en"/>
        </w:rPr>
        <w:t>Growing a pool of talent for emerging markets</w:t>
      </w:r>
      <w:r w:rsidRPr="00A0487D">
        <w:rPr>
          <w:rFonts w:ascii="Times New Roman" w:hAnsi="Times New Roman" w:cs="Times New Roman"/>
          <w:lang w:val="en"/>
        </w:rPr>
        <w:t xml:space="preserve">. Available at: </w:t>
      </w:r>
      <w:r w:rsidRPr="007700D1">
        <w:rPr>
          <w:rFonts w:ascii="Times New Roman" w:hAnsi="Times New Roman" w:cs="Times New Roman"/>
          <w:lang w:val="en"/>
        </w:rPr>
        <w:t>https://www.roche.com/media/store/roche_stories/roche-stories-2016-12-21.htm</w:t>
      </w:r>
      <w:r w:rsidRPr="00A0487D">
        <w:rPr>
          <w:rFonts w:ascii="Times New Roman" w:hAnsi="Times New Roman" w:cs="Times New Roman"/>
          <w:lang w:val="en"/>
        </w:rPr>
        <w:t xml:space="preserve"> (Accessed 09 May 2019).</w:t>
      </w:r>
    </w:p>
    <w:p w:rsidR="007700D1" w:rsidRPr="00181E6E" w:rsidRDefault="007700D1" w:rsidP="007700D1">
      <w:pPr>
        <w:autoSpaceDE w:val="0"/>
        <w:autoSpaceDN w:val="0"/>
        <w:adjustRightInd w:val="0"/>
        <w:spacing w:before="240"/>
        <w:rPr>
          <w:rFonts w:ascii="Times New Roman" w:hAnsi="Times New Roman" w:cs="Times New Roman"/>
          <w:lang w:val="en"/>
        </w:rPr>
      </w:pPr>
      <w:r w:rsidRPr="00181E6E">
        <w:rPr>
          <w:rFonts w:ascii="Times New Roman" w:hAnsi="Times New Roman" w:cs="Times New Roman"/>
          <w:lang w:val="en"/>
        </w:rPr>
        <w:t xml:space="preserve">Roche. (ND) </w:t>
      </w:r>
      <w:r w:rsidRPr="00C32096">
        <w:rPr>
          <w:rFonts w:ascii="Times New Roman" w:hAnsi="Times New Roman" w:cs="Times New Roman"/>
          <w:i/>
          <w:lang w:val="en"/>
        </w:rPr>
        <w:t>Patents and intellectual property.</w:t>
      </w:r>
      <w:r w:rsidRPr="00181E6E">
        <w:rPr>
          <w:rFonts w:ascii="Times New Roman" w:hAnsi="Times New Roman" w:cs="Times New Roman"/>
          <w:lang w:val="en"/>
        </w:rPr>
        <w:t xml:space="preserve"> Available at: </w:t>
      </w:r>
      <w:r w:rsidRPr="007700D1">
        <w:rPr>
          <w:rFonts w:ascii="Times New Roman" w:hAnsi="Times New Roman" w:cs="Times New Roman"/>
          <w:lang w:val="en"/>
        </w:rPr>
        <w:t>https://www.roche.com/sustainability/patents.htm</w:t>
      </w:r>
      <w:r w:rsidRPr="00181E6E">
        <w:rPr>
          <w:rFonts w:ascii="Times New Roman" w:hAnsi="Times New Roman" w:cs="Times New Roman"/>
          <w:lang w:val="en"/>
        </w:rPr>
        <w:t xml:space="preserve"> (Accessed 09 May 2019).</w:t>
      </w:r>
    </w:p>
    <w:p w:rsidR="00DD5B8A" w:rsidRDefault="00DD5B8A" w:rsidP="00DD5B8A">
      <w:pPr>
        <w:autoSpaceDE w:val="0"/>
        <w:autoSpaceDN w:val="0"/>
        <w:adjustRightInd w:val="0"/>
        <w:rPr>
          <w:rFonts w:ascii="Times New Roman" w:hAnsi="Times New Roman" w:cs="Times New Roman"/>
          <w:lang w:val="en"/>
        </w:rPr>
      </w:pPr>
      <w:r w:rsidRPr="007328DF">
        <w:rPr>
          <w:rFonts w:ascii="Times New Roman" w:hAnsi="Times New Roman" w:cs="Times New Roman"/>
          <w:lang w:val="en"/>
        </w:rPr>
        <w:t xml:space="preserve">Schumacher, R. </w:t>
      </w:r>
      <w:r>
        <w:rPr>
          <w:rFonts w:ascii="Times New Roman" w:hAnsi="Times New Roman" w:cs="Times New Roman"/>
          <w:lang w:val="en"/>
        </w:rPr>
        <w:t>(</w:t>
      </w:r>
      <w:r w:rsidRPr="007328DF">
        <w:rPr>
          <w:rFonts w:ascii="Times New Roman" w:hAnsi="Times New Roman" w:cs="Times New Roman"/>
          <w:lang w:val="en"/>
        </w:rPr>
        <w:t>2012</w:t>
      </w:r>
      <w:r>
        <w:rPr>
          <w:rFonts w:ascii="Times New Roman" w:hAnsi="Times New Roman" w:cs="Times New Roman"/>
          <w:lang w:val="en"/>
        </w:rPr>
        <w:t>)</w:t>
      </w:r>
      <w:r w:rsidRPr="007328DF">
        <w:rPr>
          <w:rFonts w:ascii="Times New Roman" w:hAnsi="Times New Roman" w:cs="Times New Roman"/>
          <w:lang w:val="en"/>
        </w:rPr>
        <w:t xml:space="preserve"> </w:t>
      </w:r>
      <w:r w:rsidRPr="007328DF">
        <w:rPr>
          <w:rFonts w:ascii="Times New Roman" w:hAnsi="Times New Roman" w:cs="Times New Roman"/>
          <w:i/>
          <w:lang w:val="en"/>
        </w:rPr>
        <w:t>Free Trade and Absolute and Comparative Advantage: A Critical Comparison of Two Major Theories of International Trade</w:t>
      </w:r>
      <w:r w:rsidRPr="007328DF">
        <w:rPr>
          <w:rFonts w:ascii="Times New Roman" w:hAnsi="Times New Roman" w:cs="Times New Roman"/>
          <w:lang w:val="en"/>
        </w:rPr>
        <w:t xml:space="preserve">. </w:t>
      </w:r>
      <w:proofErr w:type="spellStart"/>
      <w:r w:rsidRPr="007328DF">
        <w:rPr>
          <w:rFonts w:ascii="Times New Roman" w:hAnsi="Times New Roman" w:cs="Times New Roman"/>
          <w:lang w:val="en"/>
        </w:rPr>
        <w:t>Universitätsverl</w:t>
      </w:r>
      <w:proofErr w:type="spellEnd"/>
      <w:r w:rsidRPr="007328DF">
        <w:rPr>
          <w:rFonts w:ascii="Times New Roman" w:hAnsi="Times New Roman" w:cs="Times New Roman"/>
          <w:lang w:val="en"/>
        </w:rPr>
        <w:t xml:space="preserve">. Available at: </w:t>
      </w:r>
      <w:hyperlink r:id="rId6" w:history="1">
        <w:r w:rsidRPr="007328DF">
          <w:rPr>
            <w:rFonts w:ascii="Times New Roman" w:hAnsi="Times New Roman" w:cs="Times New Roman"/>
            <w:lang w:val="en"/>
          </w:rPr>
          <w:t>https://books.google.co.uk/books?id=U5nPkWSVpzQC.</w:t>
        </w:r>
      </w:hyperlink>
    </w:p>
    <w:p w:rsidR="009D1BB8" w:rsidRDefault="009D1BB8" w:rsidP="00DD5B8A">
      <w:pPr>
        <w:autoSpaceDE w:val="0"/>
        <w:autoSpaceDN w:val="0"/>
        <w:adjustRightInd w:val="0"/>
        <w:rPr>
          <w:rFonts w:ascii="Times New Roman" w:hAnsi="Times New Roman" w:cs="Times New Roman"/>
          <w:lang w:val="en"/>
        </w:rPr>
      </w:pPr>
    </w:p>
    <w:p w:rsidR="009D1BB8" w:rsidRDefault="009D1BB8" w:rsidP="009D1BB8">
      <w:pPr>
        <w:rPr>
          <w:rStyle w:val="A02"/>
          <w:rFonts w:ascii="Times New Roman" w:hAnsi="Times New Roman" w:cs="Times New Roman"/>
          <w:color w:val="auto"/>
          <w:sz w:val="24"/>
          <w:szCs w:val="24"/>
        </w:rPr>
      </w:pPr>
      <w:r w:rsidRPr="009D1BB8">
        <w:rPr>
          <w:rStyle w:val="A02"/>
          <w:rFonts w:ascii="Times New Roman" w:hAnsi="Times New Roman" w:cs="Times New Roman"/>
          <w:b w:val="0"/>
          <w:color w:val="auto"/>
          <w:sz w:val="24"/>
          <w:szCs w:val="24"/>
        </w:rPr>
        <w:lastRenderedPageBreak/>
        <w:t xml:space="preserve">Roche (ND) </w:t>
      </w:r>
      <w:r w:rsidRPr="009D1BB8">
        <w:rPr>
          <w:rStyle w:val="A02"/>
          <w:rFonts w:ascii="Times New Roman" w:hAnsi="Times New Roman" w:cs="Times New Roman"/>
          <w:b w:val="0"/>
          <w:i/>
          <w:color w:val="auto"/>
          <w:sz w:val="24"/>
          <w:szCs w:val="24"/>
        </w:rPr>
        <w:t>Risk Management</w:t>
      </w:r>
      <w:r w:rsidRPr="009D1BB8">
        <w:rPr>
          <w:rStyle w:val="A02"/>
          <w:rFonts w:ascii="Times New Roman" w:hAnsi="Times New Roman" w:cs="Times New Roman"/>
          <w:b w:val="0"/>
          <w:color w:val="auto"/>
          <w:sz w:val="24"/>
          <w:szCs w:val="24"/>
        </w:rPr>
        <w:t xml:space="preserve">. Available at: </w:t>
      </w:r>
      <w:r w:rsidRPr="009D1BB8">
        <w:rPr>
          <w:rFonts w:ascii="Times New Roman" w:hAnsi="Times New Roman" w:cs="Times New Roman"/>
        </w:rPr>
        <w:t>https://www.roche.com/sustainability/approach/risk-management.htm</w:t>
      </w:r>
      <w:r w:rsidRPr="00D95E78">
        <w:rPr>
          <w:rStyle w:val="A02"/>
          <w:rFonts w:ascii="Times New Roman" w:hAnsi="Times New Roman" w:cs="Times New Roman"/>
          <w:color w:val="auto"/>
          <w:sz w:val="24"/>
          <w:szCs w:val="24"/>
        </w:rPr>
        <w:t xml:space="preserve"> </w:t>
      </w:r>
      <w:r w:rsidRPr="009D1BB8">
        <w:rPr>
          <w:rStyle w:val="A02"/>
          <w:rFonts w:ascii="Times New Roman" w:hAnsi="Times New Roman" w:cs="Times New Roman"/>
          <w:b w:val="0"/>
          <w:color w:val="auto"/>
          <w:sz w:val="24"/>
          <w:szCs w:val="24"/>
        </w:rPr>
        <w:t>(Accessed 02 May 2019).</w:t>
      </w:r>
      <w:r w:rsidRPr="00D95E78">
        <w:rPr>
          <w:rStyle w:val="A02"/>
          <w:rFonts w:ascii="Times New Roman" w:hAnsi="Times New Roman" w:cs="Times New Roman"/>
          <w:color w:val="auto"/>
          <w:sz w:val="24"/>
          <w:szCs w:val="24"/>
        </w:rPr>
        <w:t xml:space="preserve"> </w:t>
      </w:r>
    </w:p>
    <w:p w:rsidR="00DD321C" w:rsidRPr="00A20D25" w:rsidRDefault="00DD321C" w:rsidP="00DD321C">
      <w:pPr>
        <w:autoSpaceDE w:val="0"/>
        <w:autoSpaceDN w:val="0"/>
        <w:adjustRightInd w:val="0"/>
        <w:spacing w:before="240"/>
        <w:rPr>
          <w:rFonts w:ascii="Times New Roman" w:hAnsi="Times New Roman" w:cs="Times New Roman"/>
          <w:lang w:val="en"/>
        </w:rPr>
      </w:pPr>
      <w:r w:rsidRPr="00A20D25">
        <w:rPr>
          <w:rFonts w:ascii="Times New Roman" w:hAnsi="Times New Roman" w:cs="Times New Roman"/>
          <w:color w:val="000000" w:themeColor="text1"/>
          <w:szCs w:val="18"/>
          <w:lang w:val="en"/>
        </w:rPr>
        <w:t xml:space="preserve">Roche Diagnostics: An Underappreciated Jewel’ (2004) </w:t>
      </w:r>
      <w:r w:rsidRPr="00A20D25">
        <w:rPr>
          <w:rFonts w:ascii="Times New Roman" w:hAnsi="Times New Roman" w:cs="Times New Roman"/>
          <w:i/>
          <w:iCs/>
          <w:color w:val="000000" w:themeColor="text1"/>
          <w:szCs w:val="18"/>
          <w:lang w:val="en"/>
        </w:rPr>
        <w:t>Black Book - Roche: The Scales Tip in a More Positive Direction</w:t>
      </w:r>
      <w:r w:rsidRPr="00A20D25">
        <w:rPr>
          <w:rFonts w:ascii="Times New Roman" w:hAnsi="Times New Roman" w:cs="Times New Roman"/>
          <w:color w:val="000000" w:themeColor="text1"/>
          <w:szCs w:val="18"/>
          <w:lang w:val="en"/>
        </w:rPr>
        <w:t>, pp. 37–40. Available at: https://search- ebscohostcom.ezproxy.uwtsd.ac.uk/login.aspx?direct=true&amp;db=bth&amp;AN=16653339&amp;site=ehost-live (Accessed: 24 April 2019).</w:t>
      </w:r>
    </w:p>
    <w:p w:rsidR="00DD321C" w:rsidRPr="00E30724" w:rsidRDefault="00DD321C" w:rsidP="009D1BB8">
      <w:pPr>
        <w:rPr>
          <w:rStyle w:val="A02"/>
          <w:rFonts w:ascii="Times New Roman" w:hAnsi="Times New Roman" w:cs="Times New Roman"/>
          <w:b w:val="0"/>
          <w:color w:val="auto"/>
          <w:sz w:val="24"/>
          <w:szCs w:val="24"/>
        </w:rPr>
      </w:pPr>
    </w:p>
    <w:p w:rsidR="0051275D" w:rsidRPr="00307934" w:rsidRDefault="0051275D" w:rsidP="0051275D">
      <w:pPr>
        <w:rPr>
          <w:rFonts w:ascii="Times New Roman" w:hAnsi="Times New Roman" w:cs="Times New Roman"/>
          <w:color w:val="000000" w:themeColor="text1"/>
        </w:rPr>
      </w:pPr>
      <w:proofErr w:type="spellStart"/>
      <w:r w:rsidRPr="00307934">
        <w:rPr>
          <w:rFonts w:ascii="Times New Roman" w:hAnsi="Times New Roman" w:cs="Times New Roman"/>
          <w:color w:val="000000" w:themeColor="text1"/>
        </w:rPr>
        <w:t>Shenkar</w:t>
      </w:r>
      <w:proofErr w:type="spellEnd"/>
      <w:r w:rsidRPr="00307934">
        <w:rPr>
          <w:rFonts w:ascii="Times New Roman" w:hAnsi="Times New Roman" w:cs="Times New Roman"/>
          <w:color w:val="000000" w:themeColor="text1"/>
        </w:rPr>
        <w:t xml:space="preserve">, O., Luo, Y. and Chi, T., </w:t>
      </w:r>
      <w:r>
        <w:rPr>
          <w:rFonts w:ascii="Times New Roman" w:hAnsi="Times New Roman" w:cs="Times New Roman"/>
          <w:color w:val="000000" w:themeColor="text1"/>
        </w:rPr>
        <w:t>(</w:t>
      </w:r>
      <w:r w:rsidRPr="00307934">
        <w:rPr>
          <w:rFonts w:ascii="Times New Roman" w:hAnsi="Times New Roman" w:cs="Times New Roman"/>
          <w:color w:val="000000" w:themeColor="text1"/>
        </w:rPr>
        <w:t>2014</w:t>
      </w:r>
      <w:r>
        <w:rPr>
          <w:rFonts w:ascii="Times New Roman" w:hAnsi="Times New Roman" w:cs="Times New Roman"/>
          <w:color w:val="000000" w:themeColor="text1"/>
        </w:rPr>
        <w:t>)</w:t>
      </w:r>
      <w:r w:rsidRPr="00307934">
        <w:rPr>
          <w:rFonts w:ascii="Times New Roman" w:hAnsi="Times New Roman" w:cs="Times New Roman"/>
          <w:color w:val="000000" w:themeColor="text1"/>
        </w:rPr>
        <w:t xml:space="preserve">. </w:t>
      </w:r>
      <w:r w:rsidRPr="00307934">
        <w:rPr>
          <w:rFonts w:ascii="Times New Roman" w:hAnsi="Times New Roman" w:cs="Times New Roman"/>
          <w:i/>
          <w:iCs/>
          <w:color w:val="000000" w:themeColor="text1"/>
        </w:rPr>
        <w:t>International business</w:t>
      </w:r>
      <w:r w:rsidRPr="00307934">
        <w:rPr>
          <w:rFonts w:ascii="Times New Roman" w:hAnsi="Times New Roman" w:cs="Times New Roman"/>
          <w:color w:val="000000" w:themeColor="text1"/>
        </w:rPr>
        <w:t>. Routledge.</w:t>
      </w:r>
    </w:p>
    <w:p w:rsidR="0051275D" w:rsidRDefault="0051275D" w:rsidP="00E8437B">
      <w:pPr>
        <w:autoSpaceDE w:val="0"/>
        <w:autoSpaceDN w:val="0"/>
        <w:adjustRightInd w:val="0"/>
        <w:rPr>
          <w:rFonts w:ascii="Times New Roman" w:hAnsi="Times New Roman" w:cs="Times New Roman"/>
          <w:iCs/>
          <w:color w:val="000000" w:themeColor="text1"/>
        </w:rPr>
      </w:pPr>
    </w:p>
    <w:p w:rsidR="00E8437B" w:rsidRPr="00FD0B1E" w:rsidRDefault="00E8437B" w:rsidP="00E8437B">
      <w:pPr>
        <w:autoSpaceDE w:val="0"/>
        <w:autoSpaceDN w:val="0"/>
        <w:adjustRightInd w:val="0"/>
        <w:rPr>
          <w:rFonts w:ascii="Times New Roman" w:hAnsi="Times New Roman" w:cs="Times New Roman"/>
          <w:iCs/>
          <w:color w:val="000000" w:themeColor="text1"/>
        </w:rPr>
      </w:pPr>
      <w:r>
        <w:rPr>
          <w:rFonts w:ascii="Times New Roman" w:hAnsi="Times New Roman" w:cs="Times New Roman"/>
          <w:iCs/>
          <w:color w:val="000000" w:themeColor="text1"/>
        </w:rPr>
        <w:t>Staines, R.</w:t>
      </w:r>
      <w:r w:rsidRPr="00FD0B1E">
        <w:rPr>
          <w:rFonts w:ascii="Times New Roman" w:hAnsi="Times New Roman" w:cs="Times New Roman"/>
          <w:iCs/>
          <w:color w:val="000000" w:themeColor="text1"/>
        </w:rPr>
        <w:t xml:space="preserve"> (2018) </w:t>
      </w:r>
      <w:r w:rsidRPr="00FD0B1E">
        <w:rPr>
          <w:rFonts w:ascii="Times New Roman" w:hAnsi="Times New Roman" w:cs="Times New Roman"/>
          <w:bCs/>
          <w:i/>
          <w:color w:val="000000" w:themeColor="text1"/>
        </w:rPr>
        <w:t>UK ‘less interesting’ to pharma because of Brexit – Roche CEO</w:t>
      </w:r>
      <w:r w:rsidRPr="00FD0B1E">
        <w:rPr>
          <w:rFonts w:ascii="Times New Roman" w:hAnsi="Times New Roman" w:cs="Times New Roman"/>
          <w:bCs/>
          <w:color w:val="000000" w:themeColor="text1"/>
        </w:rPr>
        <w:t xml:space="preserve">. Available at: </w:t>
      </w:r>
      <w:r w:rsidRPr="00E8437B">
        <w:rPr>
          <w:rFonts w:ascii="Times New Roman" w:hAnsi="Times New Roman" w:cs="Times New Roman"/>
          <w:bCs/>
        </w:rPr>
        <w:t>https://pharmaphorum.com/news/uk-less-interesting-to-pharma-because-of-brexit-roche-ceo/</w:t>
      </w:r>
      <w:r w:rsidRPr="00FD0B1E">
        <w:rPr>
          <w:rFonts w:ascii="Times New Roman" w:hAnsi="Times New Roman" w:cs="Times New Roman"/>
          <w:bCs/>
          <w:color w:val="000000" w:themeColor="text1"/>
        </w:rPr>
        <w:t xml:space="preserve"> (Accessed 14</w:t>
      </w:r>
      <w:r w:rsidRPr="00FD0B1E">
        <w:rPr>
          <w:rFonts w:ascii="Times New Roman" w:hAnsi="Times New Roman" w:cs="Times New Roman"/>
          <w:bCs/>
          <w:color w:val="000000" w:themeColor="text1"/>
          <w:vertAlign w:val="superscript"/>
        </w:rPr>
        <w:t>th</w:t>
      </w:r>
      <w:r w:rsidRPr="00FD0B1E">
        <w:rPr>
          <w:rFonts w:ascii="Times New Roman" w:hAnsi="Times New Roman" w:cs="Times New Roman"/>
          <w:bCs/>
          <w:color w:val="000000" w:themeColor="text1"/>
        </w:rPr>
        <w:t xml:space="preserve"> May 2019).</w:t>
      </w:r>
    </w:p>
    <w:p w:rsidR="007700D1" w:rsidRDefault="007700D1" w:rsidP="007700D1">
      <w:pPr>
        <w:autoSpaceDE w:val="0"/>
        <w:autoSpaceDN w:val="0"/>
        <w:adjustRightInd w:val="0"/>
        <w:rPr>
          <w:rFonts w:ascii="Times New Roman" w:hAnsi="Times New Roman" w:cs="Times New Roman"/>
          <w:szCs w:val="19"/>
        </w:rPr>
      </w:pPr>
    </w:p>
    <w:p w:rsidR="007700D1" w:rsidRPr="00C32096" w:rsidRDefault="007700D1" w:rsidP="007700D1">
      <w:pPr>
        <w:autoSpaceDE w:val="0"/>
        <w:autoSpaceDN w:val="0"/>
        <w:adjustRightInd w:val="0"/>
        <w:rPr>
          <w:rFonts w:ascii="Times New Roman" w:hAnsi="Times New Roman" w:cs="Times New Roman"/>
          <w:iCs/>
        </w:rPr>
      </w:pPr>
      <w:r w:rsidRPr="00C32096">
        <w:rPr>
          <w:rFonts w:ascii="Times New Roman" w:hAnsi="Times New Roman" w:cs="Times New Roman"/>
          <w:szCs w:val="19"/>
        </w:rPr>
        <w:t xml:space="preserve">Starkey, I. and Ziegler, M. (2018) </w:t>
      </w:r>
      <w:r w:rsidRPr="00C32096">
        <w:rPr>
          <w:rFonts w:ascii="Times New Roman" w:hAnsi="Times New Roman" w:cs="Times New Roman"/>
          <w:i/>
          <w:iCs/>
        </w:rPr>
        <w:t>Roche Holdings, Inc. Annual Report 2017.</w:t>
      </w:r>
      <w:r w:rsidRPr="00C32096">
        <w:rPr>
          <w:rFonts w:ascii="Times New Roman" w:hAnsi="Times New Roman" w:cs="Times New Roman"/>
          <w:iCs/>
        </w:rPr>
        <w:t xml:space="preserve"> Available at: </w:t>
      </w:r>
      <w:r w:rsidRPr="007700D1">
        <w:rPr>
          <w:rFonts w:ascii="Times New Roman" w:hAnsi="Times New Roman" w:cs="Times New Roman"/>
          <w:iCs/>
        </w:rPr>
        <w:t>https://www.roche.com/dam/jcr:b3394994-8f6e-437b-86dc-9b942eb0005b/en/rhi-ar-2017.pdf</w:t>
      </w:r>
      <w:r w:rsidRPr="00C32096">
        <w:rPr>
          <w:rFonts w:ascii="Times New Roman" w:hAnsi="Times New Roman" w:cs="Times New Roman"/>
          <w:iCs/>
        </w:rPr>
        <w:t xml:space="preserve"> (Accessed 09 May 2019).</w:t>
      </w:r>
    </w:p>
    <w:p w:rsidR="008112A9" w:rsidRPr="00CB16E5" w:rsidRDefault="008112A9" w:rsidP="008112A9">
      <w:pPr>
        <w:pStyle w:val="body-paragraph1"/>
        <w:ind w:left="0"/>
        <w:rPr>
          <w:color w:val="333333"/>
          <w:lang w:val="en"/>
        </w:rPr>
      </w:pPr>
      <w:proofErr w:type="spellStart"/>
      <w:r w:rsidRPr="00CD5E4B">
        <w:rPr>
          <w:color w:val="333333"/>
          <w:lang w:val="en"/>
        </w:rPr>
        <w:t>Swanick</w:t>
      </w:r>
      <w:proofErr w:type="spellEnd"/>
      <w:r w:rsidRPr="00CD5E4B">
        <w:rPr>
          <w:color w:val="333333"/>
          <w:lang w:val="en"/>
        </w:rPr>
        <w:t>, M.</w:t>
      </w:r>
      <w:r>
        <w:rPr>
          <w:color w:val="333333"/>
          <w:lang w:val="en"/>
        </w:rPr>
        <w:t>, Pisani, J., Saunders, T., and Comer, B.</w:t>
      </w:r>
      <w:r w:rsidRPr="00CD5E4B">
        <w:rPr>
          <w:color w:val="333333"/>
          <w:lang w:val="en"/>
        </w:rPr>
        <w:t xml:space="preserve"> (2016) ‘</w:t>
      </w:r>
      <w:r w:rsidRPr="00CD5E4B">
        <w:rPr>
          <w:i/>
          <w:color w:val="333333"/>
          <w:lang w:val="en"/>
        </w:rPr>
        <w:t>After Brexit’</w:t>
      </w:r>
      <w:r w:rsidRPr="00CD5E4B">
        <w:rPr>
          <w:color w:val="333333"/>
          <w:lang w:val="en"/>
        </w:rPr>
        <w:t xml:space="preserve">, </w:t>
      </w:r>
      <w:r w:rsidRPr="00CD5E4B">
        <w:rPr>
          <w:iCs/>
          <w:color w:val="333333"/>
          <w:lang w:val="en"/>
        </w:rPr>
        <w:t>Pharmaceutical Executive</w:t>
      </w:r>
      <w:r w:rsidRPr="00CD5E4B">
        <w:rPr>
          <w:color w:val="333333"/>
          <w:lang w:val="en"/>
        </w:rPr>
        <w:t>, 36(9), pp. 43–58. Available at: https://search-ebscohost-com.ezproxy.uwtsd.ac.uk/login.aspx?direct=true&amp;db=bth&amp;AN=118209157&amp;site=eho</w:t>
      </w:r>
      <w:r>
        <w:rPr>
          <w:color w:val="333333"/>
          <w:lang w:val="en"/>
        </w:rPr>
        <w:t>st-live (Accessed: 13 May 2019).</w:t>
      </w:r>
    </w:p>
    <w:p w:rsidR="00065757" w:rsidRPr="000A3AED" w:rsidRDefault="00065757" w:rsidP="00065757">
      <w:pPr>
        <w:autoSpaceDE w:val="0"/>
        <w:autoSpaceDN w:val="0"/>
        <w:adjustRightInd w:val="0"/>
        <w:rPr>
          <w:rFonts w:ascii="Times New Roman" w:hAnsi="Times New Roman" w:cs="Times New Roman"/>
          <w:szCs w:val="19"/>
        </w:rPr>
      </w:pPr>
      <w:r w:rsidRPr="000A3AED">
        <w:rPr>
          <w:rFonts w:ascii="Times New Roman" w:hAnsi="Times New Roman" w:cs="Times New Roman"/>
          <w:szCs w:val="19"/>
        </w:rPr>
        <w:t xml:space="preserve">The World Health Organisation (2018) </w:t>
      </w:r>
      <w:r w:rsidRPr="000A3AED">
        <w:rPr>
          <w:rFonts w:ascii="Times New Roman" w:hAnsi="Times New Roman" w:cs="Times New Roman"/>
          <w:i/>
          <w:szCs w:val="19"/>
        </w:rPr>
        <w:t>Substandard and falsified medical products.</w:t>
      </w:r>
      <w:r w:rsidRPr="000A3AED">
        <w:rPr>
          <w:rFonts w:ascii="Times New Roman" w:hAnsi="Times New Roman" w:cs="Times New Roman"/>
          <w:szCs w:val="19"/>
        </w:rPr>
        <w:t xml:space="preserve"> Available at: </w:t>
      </w:r>
      <w:r w:rsidRPr="00065757">
        <w:rPr>
          <w:rFonts w:ascii="Times New Roman" w:hAnsi="Times New Roman" w:cs="Times New Roman"/>
          <w:szCs w:val="19"/>
        </w:rPr>
        <w:t>https://www.who.int/en/news-room/fact-sheets/detail/substandard-and-falsified-medical-products</w:t>
      </w:r>
      <w:r w:rsidRPr="000A3AED">
        <w:rPr>
          <w:rFonts w:ascii="Times New Roman" w:hAnsi="Times New Roman" w:cs="Times New Roman"/>
          <w:szCs w:val="19"/>
        </w:rPr>
        <w:t xml:space="preserve"> (Accessed 07 May 2019).</w:t>
      </w:r>
    </w:p>
    <w:p w:rsidR="008112A9" w:rsidRPr="004C63F7" w:rsidRDefault="008112A9" w:rsidP="008112A9">
      <w:pPr>
        <w:pStyle w:val="body-paragraph1"/>
        <w:ind w:left="0"/>
        <w:rPr>
          <w:lang w:val="en"/>
        </w:rPr>
      </w:pPr>
      <w:r w:rsidRPr="004C63F7">
        <w:rPr>
          <w:lang w:val="en"/>
        </w:rPr>
        <w:t xml:space="preserve">Thomas, F. (2018) </w:t>
      </w:r>
      <w:r w:rsidRPr="004C63F7">
        <w:rPr>
          <w:i/>
          <w:lang w:val="en"/>
        </w:rPr>
        <w:t>‘The Good, The Bad, and The Brexit: Taking stock on the “big-ticket” news items, both good and bad, from the past 12 months’</w:t>
      </w:r>
      <w:r w:rsidRPr="004C63F7">
        <w:rPr>
          <w:lang w:val="en"/>
        </w:rPr>
        <w:t xml:space="preserve">, </w:t>
      </w:r>
      <w:r w:rsidRPr="004C63F7">
        <w:rPr>
          <w:iCs/>
          <w:lang w:val="en"/>
        </w:rPr>
        <w:t>Pharmaceutical Technology Europe</w:t>
      </w:r>
      <w:r w:rsidRPr="004C63F7">
        <w:rPr>
          <w:lang w:val="en"/>
        </w:rPr>
        <w:t>, 30(12), p. 5. Available at: https://search-ebscohost-com.ezproxy.uwtsd.ac.uk/login.aspx?direct=true&amp;db=bth&amp;AN=133565098&amp;site=ehost-live (Accessed: 13 May 2019).</w:t>
      </w:r>
    </w:p>
    <w:p w:rsidR="008144E5" w:rsidRDefault="008144E5" w:rsidP="008144E5">
      <w:pPr>
        <w:autoSpaceDE w:val="0"/>
        <w:autoSpaceDN w:val="0"/>
        <w:adjustRightInd w:val="0"/>
        <w:rPr>
          <w:rFonts w:ascii="Times New Roman" w:hAnsi="Times New Roman" w:cs="Times New Roman"/>
          <w:bCs/>
        </w:rPr>
      </w:pPr>
      <w:r>
        <w:rPr>
          <w:rFonts w:ascii="Times New Roman" w:hAnsi="Times New Roman" w:cs="Times New Roman"/>
          <w:lang w:val="en"/>
        </w:rPr>
        <w:t xml:space="preserve">UK Government. (2019) </w:t>
      </w:r>
      <w:r w:rsidRPr="008217D8">
        <w:rPr>
          <w:rFonts w:ascii="Times New Roman" w:hAnsi="Times New Roman" w:cs="Times New Roman"/>
          <w:i/>
          <w:lang w:val="en"/>
        </w:rPr>
        <w:t>MHRA response to EU exit no-deal legislative proposals consultation</w:t>
      </w:r>
      <w:r>
        <w:rPr>
          <w:lang w:val="en"/>
        </w:rPr>
        <w:t xml:space="preserve">. </w:t>
      </w:r>
      <w:r w:rsidRPr="008217D8">
        <w:rPr>
          <w:rFonts w:ascii="Times New Roman" w:hAnsi="Times New Roman" w:cs="Times New Roman"/>
          <w:bCs/>
        </w:rPr>
        <w:t xml:space="preserve">Available at: </w:t>
      </w:r>
      <w:r w:rsidRPr="008144E5">
        <w:rPr>
          <w:rFonts w:ascii="Times New Roman" w:hAnsi="Times New Roman" w:cs="Times New Roman"/>
          <w:bCs/>
        </w:rPr>
        <w:t>https://www.gov.uk/government/news/mhra-releases-response-to-consultation-on-eu-exit-no-deal-legislative-proposals</w:t>
      </w:r>
      <w:r w:rsidRPr="008217D8">
        <w:rPr>
          <w:rFonts w:ascii="Times New Roman" w:hAnsi="Times New Roman" w:cs="Times New Roman"/>
          <w:bCs/>
        </w:rPr>
        <w:t xml:space="preserve"> (Accessed 13th May 2019).</w:t>
      </w:r>
    </w:p>
    <w:p w:rsidR="00CB52E4" w:rsidRDefault="00CB52E4" w:rsidP="00854DF8">
      <w:pPr>
        <w:autoSpaceDE w:val="0"/>
        <w:autoSpaceDN w:val="0"/>
        <w:adjustRightInd w:val="0"/>
        <w:spacing w:line="480" w:lineRule="auto"/>
        <w:jc w:val="both"/>
        <w:rPr>
          <w:rFonts w:ascii="Times New Roman" w:hAnsi="Times New Roman" w:cs="Times New Roman"/>
          <w:color w:val="000000" w:themeColor="text1"/>
        </w:rPr>
      </w:pPr>
    </w:p>
    <w:p w:rsidR="00854DF8" w:rsidRPr="000A5CEA" w:rsidRDefault="00C042A3" w:rsidP="00854DF8">
      <w:pPr>
        <w:autoSpaceDE w:val="0"/>
        <w:autoSpaceDN w:val="0"/>
        <w:adjustRightInd w:val="0"/>
        <w:spacing w:line="480" w:lineRule="auto"/>
        <w:jc w:val="both"/>
        <w:rPr>
          <w:rFonts w:ascii="Times New Roman" w:hAnsi="Times New Roman" w:cs="Times New Roman"/>
          <w:spacing w:val="2"/>
          <w:lang w:val="en"/>
        </w:rPr>
      </w:pPr>
      <w:r w:rsidRPr="000A5CEA">
        <w:rPr>
          <w:rFonts w:ascii="Times New Roman" w:hAnsi="Times New Roman" w:cs="Times New Roman"/>
        </w:rPr>
        <w:t xml:space="preserve">Yadav, P., 2010. </w:t>
      </w:r>
      <w:r w:rsidRPr="000A5CEA">
        <w:rPr>
          <w:rFonts w:ascii="Times New Roman" w:hAnsi="Times New Roman" w:cs="Times New Roman"/>
          <w:i/>
        </w:rPr>
        <w:t>Differential pricing for pharmaceuticals</w:t>
      </w:r>
      <w:r w:rsidRPr="000A5CEA">
        <w:rPr>
          <w:rFonts w:ascii="Times New Roman" w:hAnsi="Times New Roman" w:cs="Times New Roman"/>
        </w:rPr>
        <w:t xml:space="preserve">. </w:t>
      </w:r>
      <w:r w:rsidRPr="000A5CEA">
        <w:rPr>
          <w:rFonts w:ascii="Times New Roman" w:hAnsi="Times New Roman" w:cs="Times New Roman"/>
          <w:iCs/>
        </w:rPr>
        <w:t>DFID: London</w:t>
      </w:r>
      <w:r w:rsidRPr="000A5CEA">
        <w:rPr>
          <w:rFonts w:ascii="Times New Roman" w:hAnsi="Times New Roman" w:cs="Times New Roman"/>
        </w:rPr>
        <w:t>.</w:t>
      </w:r>
    </w:p>
    <w:p w:rsidR="00065757" w:rsidRPr="00854DF8" w:rsidRDefault="00065757" w:rsidP="00F9197D">
      <w:pPr>
        <w:autoSpaceDE w:val="0"/>
        <w:autoSpaceDN w:val="0"/>
        <w:adjustRightInd w:val="0"/>
        <w:jc w:val="both"/>
        <w:rPr>
          <w:rFonts w:ascii="Times New Roman" w:hAnsi="Times New Roman" w:cs="Times New Roman"/>
          <w:color w:val="000000" w:themeColor="text1"/>
          <w:spacing w:val="2"/>
          <w:lang w:val="en"/>
        </w:rPr>
      </w:pPr>
      <w:proofErr w:type="spellStart"/>
      <w:r w:rsidRPr="000A5CEA">
        <w:rPr>
          <w:rFonts w:ascii="Times New Roman" w:hAnsi="Times New Roman" w:cs="Times New Roman"/>
          <w:lang w:val="en"/>
        </w:rPr>
        <w:t>Yipeng</w:t>
      </w:r>
      <w:proofErr w:type="spellEnd"/>
      <w:r w:rsidRPr="000A5CEA">
        <w:rPr>
          <w:rFonts w:ascii="Times New Roman" w:hAnsi="Times New Roman" w:cs="Times New Roman"/>
          <w:lang w:val="en"/>
        </w:rPr>
        <w:t xml:space="preserve">, L. (2017). </w:t>
      </w:r>
      <w:r w:rsidRPr="000A5CEA">
        <w:rPr>
          <w:rFonts w:ascii="Times New Roman" w:hAnsi="Times New Roman" w:cs="Times New Roman"/>
          <w:i/>
          <w:lang w:val="en"/>
        </w:rPr>
        <w:t>Emerging-Market Firms Venturing into Advanced Economies: The Role of Context</w:t>
      </w:r>
      <w:r w:rsidRPr="000A5CEA">
        <w:rPr>
          <w:rFonts w:ascii="Times New Roman" w:hAnsi="Times New Roman" w:cs="Times New Roman"/>
          <w:lang w:val="en"/>
        </w:rPr>
        <w:t xml:space="preserve">. </w:t>
      </w:r>
      <w:r w:rsidRPr="000A5CEA">
        <w:rPr>
          <w:rFonts w:ascii="Times New Roman" w:hAnsi="Times New Roman" w:cs="Times New Roman"/>
          <w:iCs/>
          <w:lang w:val="en"/>
        </w:rPr>
        <w:t>Thunderbird International Business Review</w:t>
      </w:r>
      <w:r w:rsidRPr="000A5CEA">
        <w:rPr>
          <w:rFonts w:ascii="Times New Roman" w:hAnsi="Times New Roman" w:cs="Times New Roman"/>
          <w:lang w:val="en"/>
        </w:rPr>
        <w:t>, 59(3), pp.255–257</w:t>
      </w:r>
      <w:r w:rsidRPr="00065757">
        <w:rPr>
          <w:rFonts w:ascii="Times New Roman" w:hAnsi="Times New Roman" w:cs="Times New Roman"/>
          <w:lang w:val="en"/>
        </w:rPr>
        <w:t>.</w:t>
      </w:r>
    </w:p>
    <w:p w:rsidR="00C042A3" w:rsidRDefault="00C042A3" w:rsidP="00C042A3">
      <w:pPr>
        <w:autoSpaceDE w:val="0"/>
        <w:autoSpaceDN w:val="0"/>
        <w:adjustRightInd w:val="0"/>
        <w:rPr>
          <w:rFonts w:ascii="Times New Roman" w:hAnsi="Times New Roman" w:cs="Times New Roman"/>
          <w:iCs/>
        </w:rPr>
      </w:pPr>
    </w:p>
    <w:p w:rsidR="0069148F" w:rsidRDefault="0069148F" w:rsidP="0069148F">
      <w:pPr>
        <w:autoSpaceDE w:val="0"/>
        <w:autoSpaceDN w:val="0"/>
        <w:adjustRightInd w:val="0"/>
        <w:rPr>
          <w:rFonts w:ascii="Times New Roman" w:hAnsi="Times New Roman" w:cs="Times New Roman"/>
          <w:iCs/>
        </w:rPr>
      </w:pPr>
    </w:p>
    <w:p w:rsidR="008702D8" w:rsidRPr="00654448" w:rsidRDefault="008702D8" w:rsidP="008702D8">
      <w:pPr>
        <w:autoSpaceDE w:val="0"/>
        <w:autoSpaceDN w:val="0"/>
        <w:adjustRightInd w:val="0"/>
        <w:rPr>
          <w:rFonts w:ascii="Times New Roman" w:hAnsi="Times New Roman" w:cs="Times New Roman"/>
          <w:color w:val="222222"/>
          <w:spacing w:val="2"/>
          <w:lang w:val="en"/>
        </w:rPr>
      </w:pPr>
    </w:p>
    <w:p w:rsidR="004D78E9" w:rsidRDefault="004D78E9" w:rsidP="00AF7F15">
      <w:pPr>
        <w:rPr>
          <w:rFonts w:ascii="Times New Roman" w:hAnsi="Times New Roman" w:cs="Times New Roman"/>
          <w:color w:val="000000" w:themeColor="text1"/>
        </w:rPr>
      </w:pPr>
    </w:p>
    <w:p w:rsidR="004D78E9" w:rsidRDefault="004D78E9" w:rsidP="00AF7F15">
      <w:pPr>
        <w:rPr>
          <w:rFonts w:ascii="Times New Roman" w:hAnsi="Times New Roman" w:cs="Times New Roman"/>
          <w:color w:val="000000" w:themeColor="text1"/>
          <w:lang w:val="en"/>
        </w:rPr>
      </w:pPr>
    </w:p>
    <w:p w:rsidR="004D78E9" w:rsidRDefault="004D78E9" w:rsidP="00AF7F15">
      <w:pPr>
        <w:rPr>
          <w:rFonts w:ascii="Times New Roman" w:hAnsi="Times New Roman" w:cs="Times New Roman"/>
          <w:color w:val="000000" w:themeColor="text1"/>
          <w:lang w:val="en"/>
        </w:rPr>
      </w:pPr>
    </w:p>
    <w:p w:rsidR="00C042A3" w:rsidRDefault="00C042A3" w:rsidP="00F218AE">
      <w:pPr>
        <w:rPr>
          <w:rFonts w:ascii="Times New Roman" w:hAnsi="Times New Roman" w:cs="Times New Roman"/>
        </w:rPr>
      </w:pPr>
    </w:p>
    <w:sectPr w:rsidR="00C042A3" w:rsidSect="00872D31">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778E" w:rsidRDefault="0034778E" w:rsidP="00BE1769">
      <w:r>
        <w:separator/>
      </w:r>
    </w:p>
  </w:endnote>
  <w:endnote w:type="continuationSeparator" w:id="0">
    <w:p w:rsidR="0034778E" w:rsidRDefault="0034778E" w:rsidP="00BE17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JJCEN J+ Imago BQ">
    <w:altName w:val="Calibri"/>
    <w:panose1 w:val="020B0604020202020204"/>
    <w:charset w:val="00"/>
    <w:family w:val="swiss"/>
    <w:pitch w:val="default"/>
    <w:sig w:usb0="00000003" w:usb1="00000000" w:usb2="00000000" w:usb3="00000000" w:csb0="00000001" w:csb1="00000000"/>
  </w:font>
  <w:font w:name="Myriad Pro Light">
    <w:altName w:val="Myriad Pro Light"/>
    <w:panose1 w:val="020B0604020202020204"/>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ource Sans Pro">
    <w:altName w:val="Cambria Math"/>
    <w:panose1 w:val="020B0503030403020204"/>
    <w:charset w:val="00"/>
    <w:family w:val="swiss"/>
    <w:pitch w:val="variable"/>
    <w:sig w:usb0="600002F7" w:usb1="02000001" w:usb2="00000000" w:usb3="00000000" w:csb0="0000019F" w:csb1="00000000"/>
  </w:font>
  <w:font w:name="Minion-Bold">
    <w:altName w:val="Calibri"/>
    <w:panose1 w:val="020B0604020202020204"/>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6825577"/>
      <w:docPartObj>
        <w:docPartGallery w:val="Page Numbers (Bottom of Page)"/>
        <w:docPartUnique/>
      </w:docPartObj>
    </w:sdtPr>
    <w:sdtEndPr>
      <w:rPr>
        <w:noProof/>
      </w:rPr>
    </w:sdtEndPr>
    <w:sdtContent>
      <w:p w:rsidR="00BE1769" w:rsidRDefault="00BE1769">
        <w:pPr>
          <w:pStyle w:val="Footer"/>
          <w:jc w:val="right"/>
        </w:pPr>
        <w:r>
          <w:fldChar w:fldCharType="begin"/>
        </w:r>
        <w:r>
          <w:instrText xml:space="preserve"> PAGE   \* MERGEFORMAT </w:instrText>
        </w:r>
        <w:r>
          <w:fldChar w:fldCharType="separate"/>
        </w:r>
        <w:r w:rsidR="000A5CEA">
          <w:rPr>
            <w:noProof/>
          </w:rPr>
          <w:t>18</w:t>
        </w:r>
        <w:r>
          <w:rPr>
            <w:noProof/>
          </w:rPr>
          <w:fldChar w:fldCharType="end"/>
        </w:r>
      </w:p>
    </w:sdtContent>
  </w:sdt>
  <w:p w:rsidR="00BE1769" w:rsidRDefault="00BE17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778E" w:rsidRDefault="0034778E" w:rsidP="00BE1769">
      <w:r>
        <w:separator/>
      </w:r>
    </w:p>
  </w:footnote>
  <w:footnote w:type="continuationSeparator" w:id="0">
    <w:p w:rsidR="0034778E" w:rsidRDefault="0034778E" w:rsidP="00BE176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9F"/>
    <w:rsid w:val="00007D44"/>
    <w:rsid w:val="00010818"/>
    <w:rsid w:val="000338BB"/>
    <w:rsid w:val="00037291"/>
    <w:rsid w:val="00065757"/>
    <w:rsid w:val="00071233"/>
    <w:rsid w:val="000719C7"/>
    <w:rsid w:val="000765DE"/>
    <w:rsid w:val="000A5CEA"/>
    <w:rsid w:val="000C4F40"/>
    <w:rsid w:val="00105A48"/>
    <w:rsid w:val="00157DD2"/>
    <w:rsid w:val="00170E8C"/>
    <w:rsid w:val="00171A2E"/>
    <w:rsid w:val="0018586E"/>
    <w:rsid w:val="00186F5A"/>
    <w:rsid w:val="001A34AE"/>
    <w:rsid w:val="001B0C75"/>
    <w:rsid w:val="001B39D1"/>
    <w:rsid w:val="001D1904"/>
    <w:rsid w:val="001E296B"/>
    <w:rsid w:val="001F26B1"/>
    <w:rsid w:val="002040A2"/>
    <w:rsid w:val="00211D12"/>
    <w:rsid w:val="00220EB8"/>
    <w:rsid w:val="00245F8A"/>
    <w:rsid w:val="00251B63"/>
    <w:rsid w:val="00265937"/>
    <w:rsid w:val="002733BF"/>
    <w:rsid w:val="002A5B7D"/>
    <w:rsid w:val="002B0361"/>
    <w:rsid w:val="002C4A64"/>
    <w:rsid w:val="002D2A74"/>
    <w:rsid w:val="002E0AAA"/>
    <w:rsid w:val="002E0C47"/>
    <w:rsid w:val="002E7FA7"/>
    <w:rsid w:val="00311186"/>
    <w:rsid w:val="00312E19"/>
    <w:rsid w:val="0032314B"/>
    <w:rsid w:val="003316C0"/>
    <w:rsid w:val="003323C0"/>
    <w:rsid w:val="00336AD3"/>
    <w:rsid w:val="00340F4F"/>
    <w:rsid w:val="0034778E"/>
    <w:rsid w:val="00350D02"/>
    <w:rsid w:val="003802C2"/>
    <w:rsid w:val="003806C7"/>
    <w:rsid w:val="00393D0C"/>
    <w:rsid w:val="00396567"/>
    <w:rsid w:val="003A57FB"/>
    <w:rsid w:val="003B7658"/>
    <w:rsid w:val="003C1618"/>
    <w:rsid w:val="003D4689"/>
    <w:rsid w:val="003D6EDA"/>
    <w:rsid w:val="003E1B91"/>
    <w:rsid w:val="004030EC"/>
    <w:rsid w:val="00413863"/>
    <w:rsid w:val="00426D4C"/>
    <w:rsid w:val="0043392E"/>
    <w:rsid w:val="00452990"/>
    <w:rsid w:val="00481898"/>
    <w:rsid w:val="00486BEC"/>
    <w:rsid w:val="00487508"/>
    <w:rsid w:val="004979C3"/>
    <w:rsid w:val="004B74CD"/>
    <w:rsid w:val="004D78E9"/>
    <w:rsid w:val="004E451A"/>
    <w:rsid w:val="0050243C"/>
    <w:rsid w:val="00510887"/>
    <w:rsid w:val="0051275D"/>
    <w:rsid w:val="00525C7F"/>
    <w:rsid w:val="00526727"/>
    <w:rsid w:val="00536098"/>
    <w:rsid w:val="00551C1F"/>
    <w:rsid w:val="00552926"/>
    <w:rsid w:val="00586797"/>
    <w:rsid w:val="005D45DA"/>
    <w:rsid w:val="005F43EE"/>
    <w:rsid w:val="0060287C"/>
    <w:rsid w:val="00603172"/>
    <w:rsid w:val="0066209F"/>
    <w:rsid w:val="00674FBB"/>
    <w:rsid w:val="0069148F"/>
    <w:rsid w:val="006B47DE"/>
    <w:rsid w:val="006D3C5F"/>
    <w:rsid w:val="006F11FF"/>
    <w:rsid w:val="006F502C"/>
    <w:rsid w:val="00714F69"/>
    <w:rsid w:val="00720764"/>
    <w:rsid w:val="00726037"/>
    <w:rsid w:val="007358E3"/>
    <w:rsid w:val="007423D9"/>
    <w:rsid w:val="0074517F"/>
    <w:rsid w:val="00751FB1"/>
    <w:rsid w:val="007700D1"/>
    <w:rsid w:val="007976F4"/>
    <w:rsid w:val="007B3497"/>
    <w:rsid w:val="007B73B5"/>
    <w:rsid w:val="007C2F0E"/>
    <w:rsid w:val="007E0084"/>
    <w:rsid w:val="007E7737"/>
    <w:rsid w:val="00803E87"/>
    <w:rsid w:val="00803F42"/>
    <w:rsid w:val="008112A9"/>
    <w:rsid w:val="00811E71"/>
    <w:rsid w:val="008144E5"/>
    <w:rsid w:val="008152E8"/>
    <w:rsid w:val="00837800"/>
    <w:rsid w:val="00846313"/>
    <w:rsid w:val="00854354"/>
    <w:rsid w:val="00854DF8"/>
    <w:rsid w:val="008610A6"/>
    <w:rsid w:val="008702D8"/>
    <w:rsid w:val="00872D31"/>
    <w:rsid w:val="00894D32"/>
    <w:rsid w:val="008A0203"/>
    <w:rsid w:val="008B6D2E"/>
    <w:rsid w:val="008C15C9"/>
    <w:rsid w:val="008F6458"/>
    <w:rsid w:val="009020C2"/>
    <w:rsid w:val="00904C32"/>
    <w:rsid w:val="00930DAA"/>
    <w:rsid w:val="00950682"/>
    <w:rsid w:val="00957E78"/>
    <w:rsid w:val="0096153C"/>
    <w:rsid w:val="00985225"/>
    <w:rsid w:val="009B132F"/>
    <w:rsid w:val="009D1BB8"/>
    <w:rsid w:val="009E1114"/>
    <w:rsid w:val="00A20D25"/>
    <w:rsid w:val="00A34A64"/>
    <w:rsid w:val="00A7248F"/>
    <w:rsid w:val="00A91A09"/>
    <w:rsid w:val="00A96ECB"/>
    <w:rsid w:val="00AE519D"/>
    <w:rsid w:val="00AF7F15"/>
    <w:rsid w:val="00B03D6F"/>
    <w:rsid w:val="00B06E47"/>
    <w:rsid w:val="00B201CB"/>
    <w:rsid w:val="00B277F8"/>
    <w:rsid w:val="00B3373E"/>
    <w:rsid w:val="00B379A6"/>
    <w:rsid w:val="00B55B04"/>
    <w:rsid w:val="00B6407A"/>
    <w:rsid w:val="00B67D3D"/>
    <w:rsid w:val="00B71173"/>
    <w:rsid w:val="00B7404B"/>
    <w:rsid w:val="00B85C75"/>
    <w:rsid w:val="00BA479F"/>
    <w:rsid w:val="00BA7EEE"/>
    <w:rsid w:val="00BB0147"/>
    <w:rsid w:val="00BB0FD3"/>
    <w:rsid w:val="00BB2313"/>
    <w:rsid w:val="00BB480D"/>
    <w:rsid w:val="00BC3E4A"/>
    <w:rsid w:val="00BD1505"/>
    <w:rsid w:val="00BE1769"/>
    <w:rsid w:val="00C042A3"/>
    <w:rsid w:val="00C33D8F"/>
    <w:rsid w:val="00C72166"/>
    <w:rsid w:val="00C8261C"/>
    <w:rsid w:val="00CA1E34"/>
    <w:rsid w:val="00CB0210"/>
    <w:rsid w:val="00CB52E4"/>
    <w:rsid w:val="00CD7FAE"/>
    <w:rsid w:val="00CE00DC"/>
    <w:rsid w:val="00CF3671"/>
    <w:rsid w:val="00CF7CA6"/>
    <w:rsid w:val="00D74107"/>
    <w:rsid w:val="00D77801"/>
    <w:rsid w:val="00DD321C"/>
    <w:rsid w:val="00DD4589"/>
    <w:rsid w:val="00DD5B8A"/>
    <w:rsid w:val="00DD7A79"/>
    <w:rsid w:val="00DE41A4"/>
    <w:rsid w:val="00DE527E"/>
    <w:rsid w:val="00DF68A1"/>
    <w:rsid w:val="00E10622"/>
    <w:rsid w:val="00E2043C"/>
    <w:rsid w:val="00E34F70"/>
    <w:rsid w:val="00E418B1"/>
    <w:rsid w:val="00E62DAF"/>
    <w:rsid w:val="00E7060C"/>
    <w:rsid w:val="00E8437B"/>
    <w:rsid w:val="00E85468"/>
    <w:rsid w:val="00E87C6B"/>
    <w:rsid w:val="00EA2305"/>
    <w:rsid w:val="00EA5DD2"/>
    <w:rsid w:val="00EB4DB1"/>
    <w:rsid w:val="00ED3ED6"/>
    <w:rsid w:val="00EE082D"/>
    <w:rsid w:val="00F20CE0"/>
    <w:rsid w:val="00F218AE"/>
    <w:rsid w:val="00F429BB"/>
    <w:rsid w:val="00F9197D"/>
    <w:rsid w:val="00F9535E"/>
    <w:rsid w:val="00FA7B57"/>
    <w:rsid w:val="00FB3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386B4"/>
  <w15:chartTrackingRefBased/>
  <w15:docId w15:val="{86D54714-61C3-FB41-8EDC-28BF53BA9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B6D2E"/>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4979C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79C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218AE"/>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F218AE"/>
  </w:style>
  <w:style w:type="character" w:customStyle="1" w:styleId="Heading1Char">
    <w:name w:val="Heading 1 Char"/>
    <w:basedOn w:val="DefaultParagraphFont"/>
    <w:link w:val="Heading1"/>
    <w:uiPriority w:val="9"/>
    <w:rsid w:val="008B6D2E"/>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8B6D2E"/>
    <w:rPr>
      <w:color w:val="0563C1" w:themeColor="hyperlink"/>
      <w:u w:val="single"/>
    </w:rPr>
  </w:style>
  <w:style w:type="character" w:customStyle="1" w:styleId="UnresolvedMention1">
    <w:name w:val="Unresolved Mention1"/>
    <w:basedOn w:val="DefaultParagraphFont"/>
    <w:uiPriority w:val="99"/>
    <w:semiHidden/>
    <w:unhideWhenUsed/>
    <w:rsid w:val="008B6D2E"/>
    <w:rPr>
      <w:color w:val="605E5C"/>
      <w:shd w:val="clear" w:color="auto" w:fill="E1DFDD"/>
    </w:rPr>
  </w:style>
  <w:style w:type="character" w:styleId="FollowedHyperlink">
    <w:name w:val="FollowedHyperlink"/>
    <w:basedOn w:val="DefaultParagraphFont"/>
    <w:uiPriority w:val="99"/>
    <w:semiHidden/>
    <w:unhideWhenUsed/>
    <w:rsid w:val="008B6D2E"/>
    <w:rPr>
      <w:color w:val="954F72" w:themeColor="followedHyperlink"/>
      <w:u w:val="single"/>
    </w:rPr>
  </w:style>
  <w:style w:type="character" w:styleId="Strong">
    <w:name w:val="Strong"/>
    <w:basedOn w:val="DefaultParagraphFont"/>
    <w:uiPriority w:val="22"/>
    <w:qFormat/>
    <w:rsid w:val="004030EC"/>
    <w:rPr>
      <w:b/>
      <w:bCs/>
    </w:rPr>
  </w:style>
  <w:style w:type="character" w:customStyle="1" w:styleId="Heading2Char">
    <w:name w:val="Heading 2 Char"/>
    <w:basedOn w:val="DefaultParagraphFont"/>
    <w:link w:val="Heading2"/>
    <w:uiPriority w:val="9"/>
    <w:rsid w:val="004979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979C3"/>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E34F70"/>
    <w:rPr>
      <w:i/>
      <w:iCs/>
    </w:rPr>
  </w:style>
  <w:style w:type="paragraph" w:customStyle="1" w:styleId="Default">
    <w:name w:val="Default"/>
    <w:rsid w:val="007976F4"/>
    <w:pPr>
      <w:autoSpaceDE w:val="0"/>
      <w:autoSpaceDN w:val="0"/>
      <w:adjustRightInd w:val="0"/>
    </w:pPr>
    <w:rPr>
      <w:rFonts w:ascii="JJCEN J+ Imago BQ" w:hAnsi="JJCEN J+ Imago BQ" w:cs="JJCEN J+ Imago BQ"/>
      <w:color w:val="000000"/>
    </w:rPr>
  </w:style>
  <w:style w:type="paragraph" w:styleId="Header">
    <w:name w:val="header"/>
    <w:basedOn w:val="Normal"/>
    <w:link w:val="HeaderChar"/>
    <w:uiPriority w:val="99"/>
    <w:unhideWhenUsed/>
    <w:rsid w:val="00BE1769"/>
    <w:pPr>
      <w:tabs>
        <w:tab w:val="center" w:pos="4513"/>
        <w:tab w:val="right" w:pos="9026"/>
      </w:tabs>
    </w:pPr>
  </w:style>
  <w:style w:type="character" w:customStyle="1" w:styleId="HeaderChar">
    <w:name w:val="Header Char"/>
    <w:basedOn w:val="DefaultParagraphFont"/>
    <w:link w:val="Header"/>
    <w:uiPriority w:val="99"/>
    <w:rsid w:val="00BE1769"/>
  </w:style>
  <w:style w:type="paragraph" w:styleId="Footer">
    <w:name w:val="footer"/>
    <w:basedOn w:val="Normal"/>
    <w:link w:val="FooterChar"/>
    <w:uiPriority w:val="99"/>
    <w:unhideWhenUsed/>
    <w:rsid w:val="00BE1769"/>
    <w:pPr>
      <w:tabs>
        <w:tab w:val="center" w:pos="4513"/>
        <w:tab w:val="right" w:pos="9026"/>
      </w:tabs>
    </w:pPr>
  </w:style>
  <w:style w:type="character" w:customStyle="1" w:styleId="FooterChar">
    <w:name w:val="Footer Char"/>
    <w:basedOn w:val="DefaultParagraphFont"/>
    <w:link w:val="Footer"/>
    <w:uiPriority w:val="99"/>
    <w:rsid w:val="00BE1769"/>
  </w:style>
  <w:style w:type="paragraph" w:customStyle="1" w:styleId="body-paragraph4">
    <w:name w:val="body-paragraph4"/>
    <w:basedOn w:val="Normal"/>
    <w:rsid w:val="0069148F"/>
    <w:pPr>
      <w:spacing w:before="100" w:beforeAutospacing="1" w:after="100" w:afterAutospacing="1"/>
      <w:ind w:left="2220"/>
    </w:pPr>
    <w:rPr>
      <w:rFonts w:ascii="Times New Roman" w:eastAsia="Times New Roman" w:hAnsi="Times New Roman" w:cs="Times New Roman"/>
      <w:lang w:eastAsia="en-GB"/>
    </w:rPr>
  </w:style>
  <w:style w:type="paragraph" w:customStyle="1" w:styleId="body-paragraph1">
    <w:name w:val="body-paragraph1"/>
    <w:basedOn w:val="Normal"/>
    <w:rsid w:val="008112A9"/>
    <w:pPr>
      <w:spacing w:before="100" w:beforeAutospacing="1" w:after="100" w:afterAutospacing="1"/>
      <w:ind w:left="2220"/>
    </w:pPr>
    <w:rPr>
      <w:rFonts w:ascii="Times New Roman" w:eastAsia="Times New Roman" w:hAnsi="Times New Roman" w:cs="Times New Roman"/>
      <w:lang w:eastAsia="en-GB"/>
    </w:rPr>
  </w:style>
  <w:style w:type="character" w:customStyle="1" w:styleId="A02">
    <w:name w:val="A0+2"/>
    <w:uiPriority w:val="99"/>
    <w:rsid w:val="006F502C"/>
    <w:rPr>
      <w:rFonts w:cs="Myriad Pro Light"/>
      <w:b/>
      <w:bCs/>
      <w:color w:val="000000"/>
      <w:sz w:val="16"/>
      <w:szCs w:val="16"/>
    </w:rPr>
  </w:style>
  <w:style w:type="character" w:styleId="UnresolvedMention">
    <w:name w:val="Unresolved Mention"/>
    <w:basedOn w:val="DefaultParagraphFont"/>
    <w:uiPriority w:val="99"/>
    <w:semiHidden/>
    <w:unhideWhenUsed/>
    <w:rsid w:val="008463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186576">
      <w:bodyDiv w:val="1"/>
      <w:marLeft w:val="0"/>
      <w:marRight w:val="0"/>
      <w:marTop w:val="0"/>
      <w:marBottom w:val="0"/>
      <w:divBdr>
        <w:top w:val="none" w:sz="0" w:space="0" w:color="auto"/>
        <w:left w:val="none" w:sz="0" w:space="0" w:color="auto"/>
        <w:bottom w:val="none" w:sz="0" w:space="0" w:color="auto"/>
        <w:right w:val="none" w:sz="0" w:space="0" w:color="auto"/>
      </w:divBdr>
    </w:div>
    <w:div w:id="355664975">
      <w:bodyDiv w:val="1"/>
      <w:marLeft w:val="0"/>
      <w:marRight w:val="0"/>
      <w:marTop w:val="0"/>
      <w:marBottom w:val="0"/>
      <w:divBdr>
        <w:top w:val="none" w:sz="0" w:space="0" w:color="auto"/>
        <w:left w:val="none" w:sz="0" w:space="0" w:color="auto"/>
        <w:bottom w:val="none" w:sz="0" w:space="0" w:color="auto"/>
        <w:right w:val="none" w:sz="0" w:space="0" w:color="auto"/>
      </w:divBdr>
      <w:divsChild>
        <w:div w:id="1940595938">
          <w:marLeft w:val="0"/>
          <w:marRight w:val="0"/>
          <w:marTop w:val="0"/>
          <w:marBottom w:val="0"/>
          <w:divBdr>
            <w:top w:val="none" w:sz="0" w:space="0" w:color="auto"/>
            <w:left w:val="none" w:sz="0" w:space="0" w:color="auto"/>
            <w:bottom w:val="none" w:sz="0" w:space="0" w:color="auto"/>
            <w:right w:val="none" w:sz="0" w:space="0" w:color="auto"/>
          </w:divBdr>
          <w:divsChild>
            <w:div w:id="1586960208">
              <w:marLeft w:val="0"/>
              <w:marRight w:val="0"/>
              <w:marTop w:val="0"/>
              <w:marBottom w:val="0"/>
              <w:divBdr>
                <w:top w:val="none" w:sz="0" w:space="0" w:color="auto"/>
                <w:left w:val="none" w:sz="0" w:space="0" w:color="auto"/>
                <w:bottom w:val="none" w:sz="0" w:space="0" w:color="auto"/>
                <w:right w:val="none" w:sz="0" w:space="0" w:color="auto"/>
              </w:divBdr>
              <w:divsChild>
                <w:div w:id="1883445732">
                  <w:marLeft w:val="0"/>
                  <w:marRight w:val="0"/>
                  <w:marTop w:val="0"/>
                  <w:marBottom w:val="0"/>
                  <w:divBdr>
                    <w:top w:val="none" w:sz="0" w:space="0" w:color="auto"/>
                    <w:left w:val="none" w:sz="0" w:space="0" w:color="auto"/>
                    <w:bottom w:val="none" w:sz="0" w:space="0" w:color="auto"/>
                    <w:right w:val="none" w:sz="0" w:space="0" w:color="auto"/>
                  </w:divBdr>
                  <w:divsChild>
                    <w:div w:id="170100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6077780">
      <w:bodyDiv w:val="1"/>
      <w:marLeft w:val="0"/>
      <w:marRight w:val="0"/>
      <w:marTop w:val="0"/>
      <w:marBottom w:val="0"/>
      <w:divBdr>
        <w:top w:val="none" w:sz="0" w:space="0" w:color="auto"/>
        <w:left w:val="none" w:sz="0" w:space="0" w:color="auto"/>
        <w:bottom w:val="none" w:sz="0" w:space="0" w:color="auto"/>
        <w:right w:val="none" w:sz="0" w:space="0" w:color="auto"/>
      </w:divBdr>
      <w:divsChild>
        <w:div w:id="1987971790">
          <w:marLeft w:val="0"/>
          <w:marRight w:val="0"/>
          <w:marTop w:val="0"/>
          <w:marBottom w:val="0"/>
          <w:divBdr>
            <w:top w:val="none" w:sz="0" w:space="0" w:color="auto"/>
            <w:left w:val="none" w:sz="0" w:space="0" w:color="auto"/>
            <w:bottom w:val="none" w:sz="0" w:space="0" w:color="auto"/>
            <w:right w:val="none" w:sz="0" w:space="0" w:color="auto"/>
          </w:divBdr>
          <w:divsChild>
            <w:div w:id="580021235">
              <w:marLeft w:val="0"/>
              <w:marRight w:val="0"/>
              <w:marTop w:val="0"/>
              <w:marBottom w:val="0"/>
              <w:divBdr>
                <w:top w:val="none" w:sz="0" w:space="0" w:color="auto"/>
                <w:left w:val="none" w:sz="0" w:space="0" w:color="auto"/>
                <w:bottom w:val="none" w:sz="0" w:space="0" w:color="auto"/>
                <w:right w:val="none" w:sz="0" w:space="0" w:color="auto"/>
              </w:divBdr>
              <w:divsChild>
                <w:div w:id="196504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715797">
      <w:bodyDiv w:val="1"/>
      <w:marLeft w:val="0"/>
      <w:marRight w:val="0"/>
      <w:marTop w:val="0"/>
      <w:marBottom w:val="0"/>
      <w:divBdr>
        <w:top w:val="none" w:sz="0" w:space="0" w:color="auto"/>
        <w:left w:val="none" w:sz="0" w:space="0" w:color="auto"/>
        <w:bottom w:val="none" w:sz="0" w:space="0" w:color="auto"/>
        <w:right w:val="none" w:sz="0" w:space="0" w:color="auto"/>
      </w:divBdr>
    </w:div>
    <w:div w:id="509221905">
      <w:bodyDiv w:val="1"/>
      <w:marLeft w:val="0"/>
      <w:marRight w:val="0"/>
      <w:marTop w:val="0"/>
      <w:marBottom w:val="0"/>
      <w:divBdr>
        <w:top w:val="none" w:sz="0" w:space="0" w:color="auto"/>
        <w:left w:val="none" w:sz="0" w:space="0" w:color="auto"/>
        <w:bottom w:val="none" w:sz="0" w:space="0" w:color="auto"/>
        <w:right w:val="none" w:sz="0" w:space="0" w:color="auto"/>
      </w:divBdr>
      <w:divsChild>
        <w:div w:id="1800031291">
          <w:marLeft w:val="0"/>
          <w:marRight w:val="0"/>
          <w:marTop w:val="0"/>
          <w:marBottom w:val="0"/>
          <w:divBdr>
            <w:top w:val="none" w:sz="0" w:space="0" w:color="auto"/>
            <w:left w:val="none" w:sz="0" w:space="0" w:color="auto"/>
            <w:bottom w:val="none" w:sz="0" w:space="0" w:color="auto"/>
            <w:right w:val="none" w:sz="0" w:space="0" w:color="auto"/>
          </w:divBdr>
          <w:divsChild>
            <w:div w:id="1692026474">
              <w:marLeft w:val="0"/>
              <w:marRight w:val="0"/>
              <w:marTop w:val="0"/>
              <w:marBottom w:val="0"/>
              <w:divBdr>
                <w:top w:val="none" w:sz="0" w:space="0" w:color="auto"/>
                <w:left w:val="none" w:sz="0" w:space="0" w:color="auto"/>
                <w:bottom w:val="none" w:sz="0" w:space="0" w:color="auto"/>
                <w:right w:val="none" w:sz="0" w:space="0" w:color="auto"/>
              </w:divBdr>
              <w:divsChild>
                <w:div w:id="58931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021595">
      <w:bodyDiv w:val="1"/>
      <w:marLeft w:val="0"/>
      <w:marRight w:val="0"/>
      <w:marTop w:val="0"/>
      <w:marBottom w:val="0"/>
      <w:divBdr>
        <w:top w:val="none" w:sz="0" w:space="0" w:color="auto"/>
        <w:left w:val="none" w:sz="0" w:space="0" w:color="auto"/>
        <w:bottom w:val="none" w:sz="0" w:space="0" w:color="auto"/>
        <w:right w:val="none" w:sz="0" w:space="0" w:color="auto"/>
      </w:divBdr>
    </w:div>
    <w:div w:id="843858721">
      <w:bodyDiv w:val="1"/>
      <w:marLeft w:val="0"/>
      <w:marRight w:val="0"/>
      <w:marTop w:val="0"/>
      <w:marBottom w:val="0"/>
      <w:divBdr>
        <w:top w:val="none" w:sz="0" w:space="0" w:color="auto"/>
        <w:left w:val="none" w:sz="0" w:space="0" w:color="auto"/>
        <w:bottom w:val="none" w:sz="0" w:space="0" w:color="auto"/>
        <w:right w:val="none" w:sz="0" w:space="0" w:color="auto"/>
      </w:divBdr>
    </w:div>
    <w:div w:id="1025325098">
      <w:bodyDiv w:val="1"/>
      <w:marLeft w:val="0"/>
      <w:marRight w:val="0"/>
      <w:marTop w:val="0"/>
      <w:marBottom w:val="0"/>
      <w:divBdr>
        <w:top w:val="none" w:sz="0" w:space="0" w:color="auto"/>
        <w:left w:val="none" w:sz="0" w:space="0" w:color="auto"/>
        <w:bottom w:val="none" w:sz="0" w:space="0" w:color="auto"/>
        <w:right w:val="none" w:sz="0" w:space="0" w:color="auto"/>
      </w:divBdr>
      <w:divsChild>
        <w:div w:id="985545120">
          <w:marLeft w:val="0"/>
          <w:marRight w:val="0"/>
          <w:marTop w:val="0"/>
          <w:marBottom w:val="0"/>
          <w:divBdr>
            <w:top w:val="none" w:sz="0" w:space="0" w:color="auto"/>
            <w:left w:val="none" w:sz="0" w:space="0" w:color="auto"/>
            <w:bottom w:val="none" w:sz="0" w:space="0" w:color="auto"/>
            <w:right w:val="none" w:sz="0" w:space="0" w:color="auto"/>
          </w:divBdr>
          <w:divsChild>
            <w:div w:id="1381173677">
              <w:marLeft w:val="0"/>
              <w:marRight w:val="0"/>
              <w:marTop w:val="0"/>
              <w:marBottom w:val="0"/>
              <w:divBdr>
                <w:top w:val="none" w:sz="0" w:space="0" w:color="auto"/>
                <w:left w:val="none" w:sz="0" w:space="0" w:color="auto"/>
                <w:bottom w:val="none" w:sz="0" w:space="0" w:color="auto"/>
                <w:right w:val="none" w:sz="0" w:space="0" w:color="auto"/>
              </w:divBdr>
              <w:divsChild>
                <w:div w:id="917247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955705">
      <w:bodyDiv w:val="1"/>
      <w:marLeft w:val="0"/>
      <w:marRight w:val="0"/>
      <w:marTop w:val="0"/>
      <w:marBottom w:val="0"/>
      <w:divBdr>
        <w:top w:val="none" w:sz="0" w:space="0" w:color="auto"/>
        <w:left w:val="none" w:sz="0" w:space="0" w:color="auto"/>
        <w:bottom w:val="none" w:sz="0" w:space="0" w:color="auto"/>
        <w:right w:val="none" w:sz="0" w:space="0" w:color="auto"/>
      </w:divBdr>
      <w:divsChild>
        <w:div w:id="1507133856">
          <w:marLeft w:val="0"/>
          <w:marRight w:val="0"/>
          <w:marTop w:val="0"/>
          <w:marBottom w:val="0"/>
          <w:divBdr>
            <w:top w:val="none" w:sz="0" w:space="0" w:color="auto"/>
            <w:left w:val="none" w:sz="0" w:space="0" w:color="auto"/>
            <w:bottom w:val="none" w:sz="0" w:space="0" w:color="auto"/>
            <w:right w:val="none" w:sz="0" w:space="0" w:color="auto"/>
          </w:divBdr>
          <w:divsChild>
            <w:div w:id="1801607043">
              <w:marLeft w:val="0"/>
              <w:marRight w:val="0"/>
              <w:marTop w:val="0"/>
              <w:marBottom w:val="0"/>
              <w:divBdr>
                <w:top w:val="none" w:sz="0" w:space="0" w:color="auto"/>
                <w:left w:val="none" w:sz="0" w:space="0" w:color="auto"/>
                <w:bottom w:val="none" w:sz="0" w:space="0" w:color="auto"/>
                <w:right w:val="none" w:sz="0" w:space="0" w:color="auto"/>
              </w:divBdr>
              <w:divsChild>
                <w:div w:id="152609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705195">
      <w:bodyDiv w:val="1"/>
      <w:marLeft w:val="0"/>
      <w:marRight w:val="0"/>
      <w:marTop w:val="0"/>
      <w:marBottom w:val="0"/>
      <w:divBdr>
        <w:top w:val="none" w:sz="0" w:space="0" w:color="auto"/>
        <w:left w:val="none" w:sz="0" w:space="0" w:color="auto"/>
        <w:bottom w:val="none" w:sz="0" w:space="0" w:color="auto"/>
        <w:right w:val="none" w:sz="0" w:space="0" w:color="auto"/>
      </w:divBdr>
    </w:div>
    <w:div w:id="1892961552">
      <w:bodyDiv w:val="1"/>
      <w:marLeft w:val="0"/>
      <w:marRight w:val="0"/>
      <w:marTop w:val="0"/>
      <w:marBottom w:val="0"/>
      <w:divBdr>
        <w:top w:val="none" w:sz="0" w:space="0" w:color="auto"/>
        <w:left w:val="none" w:sz="0" w:space="0" w:color="auto"/>
        <w:bottom w:val="none" w:sz="0" w:space="0" w:color="auto"/>
        <w:right w:val="none" w:sz="0" w:space="0" w:color="auto"/>
      </w:divBdr>
      <w:divsChild>
        <w:div w:id="1060177736">
          <w:marLeft w:val="0"/>
          <w:marRight w:val="0"/>
          <w:marTop w:val="0"/>
          <w:marBottom w:val="0"/>
          <w:divBdr>
            <w:top w:val="none" w:sz="0" w:space="0" w:color="auto"/>
            <w:left w:val="none" w:sz="0" w:space="0" w:color="auto"/>
            <w:bottom w:val="none" w:sz="0" w:space="0" w:color="auto"/>
            <w:right w:val="none" w:sz="0" w:space="0" w:color="auto"/>
          </w:divBdr>
          <w:divsChild>
            <w:div w:id="349837118">
              <w:marLeft w:val="0"/>
              <w:marRight w:val="0"/>
              <w:marTop w:val="0"/>
              <w:marBottom w:val="0"/>
              <w:divBdr>
                <w:top w:val="none" w:sz="0" w:space="0" w:color="auto"/>
                <w:left w:val="none" w:sz="0" w:space="0" w:color="auto"/>
                <w:bottom w:val="none" w:sz="0" w:space="0" w:color="auto"/>
                <w:right w:val="none" w:sz="0" w:space="0" w:color="auto"/>
              </w:divBdr>
              <w:divsChild>
                <w:div w:id="38792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063432">
      <w:bodyDiv w:val="1"/>
      <w:marLeft w:val="0"/>
      <w:marRight w:val="0"/>
      <w:marTop w:val="0"/>
      <w:marBottom w:val="0"/>
      <w:divBdr>
        <w:top w:val="none" w:sz="0" w:space="0" w:color="auto"/>
        <w:left w:val="none" w:sz="0" w:space="0" w:color="auto"/>
        <w:bottom w:val="none" w:sz="0" w:space="0" w:color="auto"/>
        <w:right w:val="none" w:sz="0" w:space="0" w:color="auto"/>
      </w:divBdr>
      <w:divsChild>
        <w:div w:id="225190717">
          <w:marLeft w:val="0"/>
          <w:marRight w:val="0"/>
          <w:marTop w:val="0"/>
          <w:marBottom w:val="0"/>
          <w:divBdr>
            <w:top w:val="none" w:sz="0" w:space="0" w:color="auto"/>
            <w:left w:val="none" w:sz="0" w:space="0" w:color="auto"/>
            <w:bottom w:val="none" w:sz="0" w:space="0" w:color="auto"/>
            <w:right w:val="none" w:sz="0" w:space="0" w:color="auto"/>
          </w:divBdr>
          <w:divsChild>
            <w:div w:id="913860075">
              <w:marLeft w:val="0"/>
              <w:marRight w:val="0"/>
              <w:marTop w:val="0"/>
              <w:marBottom w:val="0"/>
              <w:divBdr>
                <w:top w:val="none" w:sz="0" w:space="0" w:color="auto"/>
                <w:left w:val="none" w:sz="0" w:space="0" w:color="auto"/>
                <w:bottom w:val="none" w:sz="0" w:space="0" w:color="auto"/>
                <w:right w:val="none" w:sz="0" w:space="0" w:color="auto"/>
              </w:divBdr>
              <w:divsChild>
                <w:div w:id="47973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uk/books?id=U5nPkWSVpzQC."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21</Pages>
  <Words>6242</Words>
  <Characters>35580</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Cook (1250412)</dc:creator>
  <cp:keywords/>
  <dc:description/>
  <cp:lastModifiedBy>Sarah Cook (1250412)</cp:lastModifiedBy>
  <cp:revision>68</cp:revision>
  <dcterms:created xsi:type="dcterms:W3CDTF">2019-05-19T18:24:00Z</dcterms:created>
  <dcterms:modified xsi:type="dcterms:W3CDTF">2019-05-19T21:03:00Z</dcterms:modified>
</cp:coreProperties>
</file>