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6807E" w14:textId="77777777" w:rsidR="00B17958" w:rsidRPr="00911CE7" w:rsidRDefault="00B17958" w:rsidP="00B17958">
      <w:pPr>
        <w:spacing w:before="120" w:after="120" w:line="240" w:lineRule="auto"/>
        <w:jc w:val="center"/>
        <w:rPr>
          <w:rFonts w:eastAsia="Aptos" w:cs="Arial"/>
          <w:color w:val="000000"/>
        </w:rPr>
      </w:pPr>
      <w:r w:rsidRPr="00911CE7">
        <w:rPr>
          <w:rFonts w:eastAsia="Aptos" w:cs="Arial"/>
          <w:noProof/>
          <w:color w:val="000000"/>
        </w:rPr>
        <w:drawing>
          <wp:inline distT="0" distB="0" distL="0" distR="0" wp14:anchorId="18B7351F" wp14:editId="477DA7E7">
            <wp:extent cx="3383280" cy="1356360"/>
            <wp:effectExtent l="0" t="0" r="7620" b="0"/>
            <wp:docPr id="456771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F1C127A" w14:textId="77777777" w:rsidR="00B17958" w:rsidRPr="00911CE7" w:rsidRDefault="00B17958" w:rsidP="00B17958">
      <w:pPr>
        <w:spacing w:before="120" w:after="120" w:line="240" w:lineRule="auto"/>
        <w:rPr>
          <w:rFonts w:eastAsia="Aptos" w:cs="Arial"/>
          <w:color w:val="000000"/>
        </w:rPr>
      </w:pPr>
    </w:p>
    <w:p w14:paraId="52FDAEB5" w14:textId="77777777" w:rsidR="00B17958" w:rsidRPr="00911CE7" w:rsidRDefault="00B17958" w:rsidP="00B17958">
      <w:pPr>
        <w:spacing w:before="120" w:after="120" w:line="240" w:lineRule="auto"/>
        <w:rPr>
          <w:rFonts w:eastAsia="Aptos" w:cs="Arial"/>
          <w:color w:val="000000"/>
        </w:rPr>
      </w:pPr>
    </w:p>
    <w:p w14:paraId="69242E2B" w14:textId="653281E2" w:rsidR="00B17958" w:rsidRPr="00911CE7" w:rsidRDefault="00B17958" w:rsidP="00B17958">
      <w:pPr>
        <w:spacing w:before="120" w:after="120" w:line="240" w:lineRule="auto"/>
        <w:jc w:val="center"/>
        <w:rPr>
          <w:rFonts w:eastAsia="Aptos" w:cs="Arial"/>
          <w:b/>
          <w:bCs/>
          <w:color w:val="000000"/>
        </w:rPr>
      </w:pPr>
      <w:r w:rsidRPr="00911CE7">
        <w:rPr>
          <w:rFonts w:eastAsia="Aptos" w:cs="Arial"/>
          <w:b/>
          <w:bCs/>
          <w:color w:val="000000"/>
        </w:rPr>
        <w:t>Student Name:</w:t>
      </w:r>
      <w:r w:rsidR="00D96107">
        <w:rPr>
          <w:rFonts w:eastAsia="Aptos" w:cs="Arial"/>
          <w:b/>
          <w:bCs/>
          <w:color w:val="000000"/>
        </w:rPr>
        <w:t xml:space="preserve"> Dhruv </w:t>
      </w:r>
      <w:proofErr w:type="spellStart"/>
      <w:r w:rsidR="00D96107">
        <w:rPr>
          <w:rFonts w:eastAsia="Aptos" w:cs="Arial"/>
          <w:b/>
          <w:bCs/>
          <w:color w:val="000000"/>
        </w:rPr>
        <w:t>Bhupendrabhai</w:t>
      </w:r>
      <w:proofErr w:type="spellEnd"/>
      <w:r w:rsidR="00D96107">
        <w:rPr>
          <w:rFonts w:eastAsia="Aptos" w:cs="Arial"/>
          <w:b/>
          <w:bCs/>
          <w:color w:val="000000"/>
        </w:rPr>
        <w:t xml:space="preserve"> Solanki</w:t>
      </w:r>
    </w:p>
    <w:p w14:paraId="2C0C0E59" w14:textId="77777777" w:rsidR="00B17958" w:rsidRPr="00911CE7" w:rsidRDefault="00B17958" w:rsidP="00B17958">
      <w:pPr>
        <w:spacing w:before="120" w:after="120" w:line="240" w:lineRule="auto"/>
        <w:jc w:val="center"/>
        <w:rPr>
          <w:rFonts w:eastAsia="Aptos" w:cs="Arial"/>
          <w:b/>
          <w:bCs/>
          <w:color w:val="000000"/>
        </w:rPr>
      </w:pPr>
    </w:p>
    <w:p w14:paraId="658F474B" w14:textId="331F1CF3" w:rsidR="00B17958" w:rsidRPr="00911CE7" w:rsidRDefault="00B17958" w:rsidP="00B17958">
      <w:pPr>
        <w:spacing w:before="120" w:after="120" w:line="240" w:lineRule="auto"/>
        <w:jc w:val="center"/>
        <w:rPr>
          <w:rFonts w:eastAsia="Aptos" w:cs="Arial"/>
          <w:b/>
          <w:bCs/>
          <w:color w:val="000000"/>
        </w:rPr>
      </w:pPr>
      <w:r w:rsidRPr="00911CE7">
        <w:rPr>
          <w:rFonts w:eastAsia="Aptos" w:cs="Arial"/>
          <w:b/>
          <w:bCs/>
          <w:color w:val="000000"/>
        </w:rPr>
        <w:t>Student ID:</w:t>
      </w:r>
      <w:r w:rsidR="00D40E74" w:rsidRPr="00D40E74">
        <w:rPr>
          <w:b/>
          <w:bCs/>
        </w:rPr>
        <w:t xml:space="preserve"> </w:t>
      </w:r>
      <w:r w:rsidR="00D40E74">
        <w:rPr>
          <w:b/>
          <w:bCs/>
        </w:rPr>
        <w:t>2519348</w:t>
      </w:r>
    </w:p>
    <w:p w14:paraId="44AEF5B7" w14:textId="77777777" w:rsidR="00B17958" w:rsidRPr="00911CE7" w:rsidRDefault="00B17958" w:rsidP="00B17958">
      <w:pPr>
        <w:spacing w:before="120" w:after="120" w:line="240" w:lineRule="auto"/>
        <w:jc w:val="center"/>
        <w:rPr>
          <w:rFonts w:eastAsia="Aptos" w:cs="Arial"/>
          <w:color w:val="000000"/>
        </w:rPr>
      </w:pPr>
    </w:p>
    <w:p w14:paraId="071555C9" w14:textId="77777777" w:rsidR="00B17958" w:rsidRPr="00911CE7" w:rsidRDefault="00B17958" w:rsidP="00B17958">
      <w:pPr>
        <w:spacing w:before="120" w:after="120" w:line="240" w:lineRule="auto"/>
        <w:jc w:val="center"/>
        <w:rPr>
          <w:rFonts w:eastAsia="Aptos" w:cs="Arial"/>
          <w:color w:val="000000"/>
        </w:rPr>
      </w:pPr>
    </w:p>
    <w:p w14:paraId="5888AD80" w14:textId="5C3D0421" w:rsidR="00B17958" w:rsidRPr="00911CE7" w:rsidRDefault="00B17958" w:rsidP="00B17958">
      <w:pPr>
        <w:spacing w:before="120" w:after="120" w:line="240" w:lineRule="auto"/>
        <w:jc w:val="center"/>
        <w:rPr>
          <w:rFonts w:eastAsia="Aptos" w:cs="Arial"/>
          <w:b/>
          <w:bCs/>
          <w:color w:val="000000"/>
        </w:rPr>
      </w:pPr>
      <w:r w:rsidRPr="00911CE7">
        <w:rPr>
          <w:rFonts w:eastAsia="Aptos" w:cs="Arial"/>
          <w:b/>
          <w:bCs/>
          <w:color w:val="000000"/>
        </w:rPr>
        <w:t xml:space="preserve">Module Name: </w:t>
      </w:r>
      <w:r w:rsidR="00513D44" w:rsidRPr="00513D44">
        <w:rPr>
          <w:rFonts w:eastAsia="Aptos" w:cs="Arial"/>
          <w:b/>
          <w:bCs/>
          <w:color w:val="000000"/>
        </w:rPr>
        <w:t>Financial Management</w:t>
      </w:r>
    </w:p>
    <w:p w14:paraId="0E74EB28" w14:textId="77777777" w:rsidR="00B17958" w:rsidRPr="00911CE7" w:rsidRDefault="00B17958" w:rsidP="00B17958">
      <w:pPr>
        <w:spacing w:before="120" w:after="120" w:line="240" w:lineRule="auto"/>
        <w:jc w:val="center"/>
        <w:rPr>
          <w:rFonts w:eastAsia="Aptos" w:cs="Arial"/>
          <w:b/>
          <w:bCs/>
          <w:color w:val="000000"/>
        </w:rPr>
      </w:pPr>
    </w:p>
    <w:p w14:paraId="366E2756" w14:textId="59E82E1C" w:rsidR="00B17958" w:rsidRPr="00911CE7" w:rsidRDefault="00B17958" w:rsidP="00B17958">
      <w:pPr>
        <w:spacing w:before="120" w:after="120" w:line="240" w:lineRule="auto"/>
        <w:jc w:val="center"/>
        <w:rPr>
          <w:rFonts w:eastAsia="Aptos" w:cs="Arial"/>
          <w:b/>
          <w:bCs/>
          <w:color w:val="000000"/>
        </w:rPr>
      </w:pPr>
      <w:r w:rsidRPr="00911CE7">
        <w:rPr>
          <w:rFonts w:eastAsia="Aptos" w:cs="Arial"/>
          <w:b/>
          <w:bCs/>
          <w:color w:val="000000"/>
        </w:rPr>
        <w:t>Module Code: LCMB70</w:t>
      </w:r>
      <w:r w:rsidR="00513D44">
        <w:rPr>
          <w:rFonts w:eastAsia="Aptos" w:cs="Arial"/>
          <w:b/>
          <w:bCs/>
          <w:color w:val="000000"/>
        </w:rPr>
        <w:t>02</w:t>
      </w:r>
    </w:p>
    <w:p w14:paraId="3AE7E4DC" w14:textId="77777777" w:rsidR="00B17958" w:rsidRPr="00911CE7" w:rsidRDefault="00B17958" w:rsidP="00B17958">
      <w:pPr>
        <w:spacing w:before="120" w:after="120" w:line="240" w:lineRule="auto"/>
        <w:jc w:val="center"/>
        <w:rPr>
          <w:rFonts w:eastAsia="Aptos" w:cs="Arial"/>
          <w:b/>
          <w:bCs/>
          <w:color w:val="000000"/>
        </w:rPr>
      </w:pPr>
    </w:p>
    <w:p w14:paraId="6D43A4DC" w14:textId="77777777" w:rsidR="00B17958" w:rsidRPr="00911CE7" w:rsidRDefault="00B17958" w:rsidP="00B17958">
      <w:pPr>
        <w:spacing w:before="120" w:after="120" w:line="240" w:lineRule="auto"/>
        <w:rPr>
          <w:rFonts w:eastAsia="Aptos" w:cs="Arial"/>
          <w:b/>
          <w:bCs/>
          <w:color w:val="000000"/>
        </w:rPr>
      </w:pPr>
    </w:p>
    <w:p w14:paraId="57187D10" w14:textId="77777777" w:rsidR="00B17958" w:rsidRPr="00911CE7" w:rsidRDefault="00B17958" w:rsidP="00B17958">
      <w:pPr>
        <w:spacing w:before="120" w:after="120" w:line="240" w:lineRule="auto"/>
        <w:jc w:val="center"/>
        <w:rPr>
          <w:rFonts w:eastAsia="Aptos" w:cs="Arial"/>
          <w:b/>
          <w:bCs/>
          <w:color w:val="000000"/>
        </w:rPr>
      </w:pPr>
    </w:p>
    <w:p w14:paraId="6182B371" w14:textId="4C6354F3" w:rsidR="00B17958" w:rsidRPr="00911CE7" w:rsidRDefault="00B17958" w:rsidP="00B17958">
      <w:pPr>
        <w:spacing w:before="120" w:after="120" w:line="240" w:lineRule="auto"/>
        <w:jc w:val="center"/>
        <w:rPr>
          <w:rFonts w:eastAsia="Aptos" w:cs="Arial"/>
          <w:b/>
          <w:bCs/>
          <w:color w:val="000000"/>
        </w:rPr>
      </w:pPr>
      <w:r w:rsidRPr="00911CE7">
        <w:rPr>
          <w:rFonts w:eastAsia="Aptos" w:cs="Arial"/>
          <w:b/>
          <w:bCs/>
          <w:color w:val="000000"/>
        </w:rPr>
        <w:t>Lecturer’s Name:</w:t>
      </w:r>
      <w:r w:rsidRPr="00911CE7">
        <w:t xml:space="preserve"> </w:t>
      </w:r>
      <w:proofErr w:type="spellStart"/>
      <w:r w:rsidR="00F02873" w:rsidRPr="000E6D01">
        <w:rPr>
          <w:b/>
          <w:bCs/>
        </w:rPr>
        <w:t>Shengfeng</w:t>
      </w:r>
      <w:proofErr w:type="spellEnd"/>
      <w:r w:rsidR="00F02873" w:rsidRPr="000E6D01">
        <w:rPr>
          <w:b/>
          <w:bCs/>
        </w:rPr>
        <w:t xml:space="preserve"> Mei</w:t>
      </w:r>
    </w:p>
    <w:p w14:paraId="6E2ACDB7" w14:textId="77777777" w:rsidR="00B17958" w:rsidRPr="00911CE7" w:rsidRDefault="00B17958" w:rsidP="00B17958">
      <w:pPr>
        <w:spacing w:before="120" w:after="120" w:line="240" w:lineRule="auto"/>
        <w:jc w:val="center"/>
        <w:rPr>
          <w:rFonts w:eastAsia="Aptos" w:cs="Arial"/>
          <w:b/>
          <w:bCs/>
          <w:color w:val="000000"/>
        </w:rPr>
      </w:pPr>
    </w:p>
    <w:p w14:paraId="7B22D33F" w14:textId="77777777" w:rsidR="00B17958" w:rsidRPr="00911CE7" w:rsidRDefault="00B17958" w:rsidP="00B17958">
      <w:pPr>
        <w:spacing w:before="120" w:after="120" w:line="240" w:lineRule="auto"/>
        <w:rPr>
          <w:rFonts w:eastAsia="Aptos" w:cs="Arial"/>
          <w:b/>
          <w:bCs/>
          <w:color w:val="000000"/>
        </w:rPr>
      </w:pPr>
    </w:p>
    <w:p w14:paraId="020F1C24" w14:textId="7B790D98" w:rsidR="00B17958" w:rsidRPr="00911CE7" w:rsidRDefault="00B17958" w:rsidP="00B17958">
      <w:pPr>
        <w:spacing w:before="120" w:after="120" w:line="240" w:lineRule="auto"/>
        <w:jc w:val="center"/>
        <w:rPr>
          <w:rFonts w:eastAsia="Aptos" w:cs="Arial"/>
          <w:b/>
          <w:bCs/>
          <w:color w:val="000000"/>
        </w:rPr>
      </w:pPr>
      <w:r w:rsidRPr="00911CE7">
        <w:rPr>
          <w:rFonts w:eastAsia="Aptos" w:cs="Arial"/>
          <w:b/>
          <w:bCs/>
          <w:color w:val="000000"/>
        </w:rPr>
        <w:t xml:space="preserve">Work Count: </w:t>
      </w:r>
      <w:r>
        <w:rPr>
          <w:rFonts w:eastAsia="Aptos" w:cs="Arial"/>
          <w:b/>
          <w:bCs/>
          <w:color w:val="000000"/>
        </w:rPr>
        <w:t>5</w:t>
      </w:r>
      <w:r w:rsidR="00513D44">
        <w:rPr>
          <w:rFonts w:eastAsia="Aptos" w:cs="Arial"/>
          <w:b/>
          <w:bCs/>
          <w:color w:val="000000"/>
        </w:rPr>
        <w:t>206</w:t>
      </w:r>
    </w:p>
    <w:p w14:paraId="332A4A39" w14:textId="77777777" w:rsidR="00416FD6" w:rsidRDefault="00416FD6"/>
    <w:p w14:paraId="30310330" w14:textId="77777777" w:rsidR="00416FD6" w:rsidRDefault="00416FD6"/>
    <w:p w14:paraId="2DA2903E" w14:textId="77777777" w:rsidR="00416FD6" w:rsidRDefault="00416FD6"/>
    <w:p w14:paraId="02547DC6" w14:textId="77777777" w:rsidR="00416FD6" w:rsidRDefault="00416FD6"/>
    <w:p w14:paraId="4B0B1864" w14:textId="77777777" w:rsidR="00513D44" w:rsidRDefault="00513D44">
      <w:pPr>
        <w:rPr>
          <w:b/>
          <w:bCs/>
          <w:sz w:val="28"/>
          <w:szCs w:val="28"/>
        </w:rPr>
      </w:pPr>
    </w:p>
    <w:p w14:paraId="1B47CEF3" w14:textId="77777777" w:rsidR="00513D44" w:rsidRDefault="00513D44">
      <w:pPr>
        <w:spacing w:line="278" w:lineRule="auto"/>
        <w:jc w:val="left"/>
        <w:rPr>
          <w:b/>
          <w:bCs/>
          <w:sz w:val="28"/>
          <w:szCs w:val="28"/>
        </w:rPr>
      </w:pPr>
      <w:r>
        <w:rPr>
          <w:b/>
          <w:bCs/>
          <w:sz w:val="28"/>
          <w:szCs w:val="28"/>
        </w:rPr>
        <w:br w:type="page"/>
      </w:r>
    </w:p>
    <w:p w14:paraId="5C8158EC" w14:textId="7DF025C7" w:rsidR="00416FD6" w:rsidRDefault="00416FD6" w:rsidP="00513D44">
      <w:pPr>
        <w:spacing w:line="278" w:lineRule="auto"/>
        <w:jc w:val="left"/>
        <w:rPr>
          <w:b/>
          <w:bCs/>
          <w:sz w:val="28"/>
          <w:szCs w:val="28"/>
        </w:rPr>
      </w:pPr>
      <w:r w:rsidRPr="00416FD6">
        <w:rPr>
          <w:b/>
          <w:bCs/>
          <w:sz w:val="28"/>
          <w:szCs w:val="28"/>
        </w:rPr>
        <w:lastRenderedPageBreak/>
        <w:t>Table of Contents</w:t>
      </w:r>
    </w:p>
    <w:p w14:paraId="217402E7" w14:textId="7B49A7B8" w:rsidR="008775A5" w:rsidRDefault="008775A5">
      <w:pPr>
        <w:pStyle w:val="TOC1"/>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\o "1-4" \h \z \u </w:instrText>
      </w:r>
      <w:r>
        <w:rPr>
          <w:b/>
          <w:bCs/>
          <w:sz w:val="28"/>
          <w:szCs w:val="28"/>
        </w:rPr>
        <w:fldChar w:fldCharType="separate"/>
      </w:r>
      <w:hyperlink w:anchor="_Toc227659633" w:history="1">
        <w:r w:rsidRPr="00D92599">
          <w:rPr>
            <w:rStyle w:val="Hyperlink"/>
            <w:noProof/>
          </w:rPr>
          <w:t>1. Financial Health Check</w:t>
        </w:r>
        <w:r>
          <w:rPr>
            <w:noProof/>
            <w:webHidden/>
          </w:rPr>
          <w:tab/>
        </w:r>
        <w:r>
          <w:rPr>
            <w:noProof/>
            <w:webHidden/>
          </w:rPr>
          <w:fldChar w:fldCharType="begin"/>
        </w:r>
        <w:r>
          <w:rPr>
            <w:noProof/>
            <w:webHidden/>
          </w:rPr>
          <w:instrText xml:space="preserve"> PAGEREF _Toc227659633 \h </w:instrText>
        </w:r>
        <w:r>
          <w:rPr>
            <w:noProof/>
            <w:webHidden/>
          </w:rPr>
        </w:r>
        <w:r>
          <w:rPr>
            <w:noProof/>
            <w:webHidden/>
          </w:rPr>
          <w:fldChar w:fldCharType="separate"/>
        </w:r>
        <w:r w:rsidR="0019204C">
          <w:rPr>
            <w:noProof/>
            <w:webHidden/>
          </w:rPr>
          <w:t>9</w:t>
        </w:r>
        <w:r>
          <w:rPr>
            <w:noProof/>
            <w:webHidden/>
          </w:rPr>
          <w:fldChar w:fldCharType="end"/>
        </w:r>
      </w:hyperlink>
    </w:p>
    <w:p w14:paraId="7AA00E9D" w14:textId="63819639" w:rsidR="008775A5" w:rsidRDefault="008775A5">
      <w:pPr>
        <w:pStyle w:val="TOC2"/>
        <w:tabs>
          <w:tab w:val="right" w:leader="dot" w:pos="9350"/>
        </w:tabs>
        <w:rPr>
          <w:rFonts w:asciiTheme="minorHAnsi" w:eastAsiaTheme="minorEastAsia" w:hAnsiTheme="minorHAnsi"/>
          <w:noProof/>
        </w:rPr>
      </w:pPr>
      <w:hyperlink w:anchor="_Toc227659634" w:history="1">
        <w:r w:rsidRPr="00D92599">
          <w:rPr>
            <w:rStyle w:val="Hyperlink"/>
            <w:noProof/>
          </w:rPr>
          <w:t>1.1 Introduction to the Company</w:t>
        </w:r>
        <w:r>
          <w:rPr>
            <w:noProof/>
            <w:webHidden/>
          </w:rPr>
          <w:tab/>
        </w:r>
        <w:r>
          <w:rPr>
            <w:noProof/>
            <w:webHidden/>
          </w:rPr>
          <w:fldChar w:fldCharType="begin"/>
        </w:r>
        <w:r>
          <w:rPr>
            <w:noProof/>
            <w:webHidden/>
          </w:rPr>
          <w:instrText xml:space="preserve"> PAGEREF _Toc227659634 \h </w:instrText>
        </w:r>
        <w:r>
          <w:rPr>
            <w:noProof/>
            <w:webHidden/>
          </w:rPr>
        </w:r>
        <w:r>
          <w:rPr>
            <w:noProof/>
            <w:webHidden/>
          </w:rPr>
          <w:fldChar w:fldCharType="separate"/>
        </w:r>
        <w:r w:rsidR="0019204C">
          <w:rPr>
            <w:noProof/>
            <w:webHidden/>
          </w:rPr>
          <w:t>9</w:t>
        </w:r>
        <w:r>
          <w:rPr>
            <w:noProof/>
            <w:webHidden/>
          </w:rPr>
          <w:fldChar w:fldCharType="end"/>
        </w:r>
      </w:hyperlink>
    </w:p>
    <w:p w14:paraId="695DA4CE" w14:textId="2383CFAC" w:rsidR="008775A5" w:rsidRDefault="008775A5">
      <w:pPr>
        <w:pStyle w:val="TOC2"/>
        <w:tabs>
          <w:tab w:val="right" w:leader="dot" w:pos="9350"/>
        </w:tabs>
        <w:rPr>
          <w:rFonts w:asciiTheme="minorHAnsi" w:eastAsiaTheme="minorEastAsia" w:hAnsiTheme="minorHAnsi"/>
          <w:noProof/>
        </w:rPr>
      </w:pPr>
      <w:hyperlink w:anchor="_Toc227659635" w:history="1">
        <w:r w:rsidRPr="00D92599">
          <w:rPr>
            <w:rStyle w:val="Hyperlink"/>
            <w:noProof/>
          </w:rPr>
          <w:t>1.2 Overview of Financial Statements (5-year period)</w:t>
        </w:r>
        <w:r>
          <w:rPr>
            <w:noProof/>
            <w:webHidden/>
          </w:rPr>
          <w:tab/>
        </w:r>
        <w:r>
          <w:rPr>
            <w:noProof/>
            <w:webHidden/>
          </w:rPr>
          <w:fldChar w:fldCharType="begin"/>
        </w:r>
        <w:r>
          <w:rPr>
            <w:noProof/>
            <w:webHidden/>
          </w:rPr>
          <w:instrText xml:space="preserve"> PAGEREF _Toc227659635 \h </w:instrText>
        </w:r>
        <w:r>
          <w:rPr>
            <w:noProof/>
            <w:webHidden/>
          </w:rPr>
        </w:r>
        <w:r>
          <w:rPr>
            <w:noProof/>
            <w:webHidden/>
          </w:rPr>
          <w:fldChar w:fldCharType="separate"/>
        </w:r>
        <w:r w:rsidR="0019204C">
          <w:rPr>
            <w:noProof/>
            <w:webHidden/>
          </w:rPr>
          <w:t>10</w:t>
        </w:r>
        <w:r>
          <w:rPr>
            <w:noProof/>
            <w:webHidden/>
          </w:rPr>
          <w:fldChar w:fldCharType="end"/>
        </w:r>
      </w:hyperlink>
    </w:p>
    <w:p w14:paraId="488851C5" w14:textId="51A901F9" w:rsidR="008775A5" w:rsidRDefault="008775A5">
      <w:pPr>
        <w:pStyle w:val="TOC2"/>
        <w:tabs>
          <w:tab w:val="right" w:leader="dot" w:pos="9350"/>
        </w:tabs>
        <w:rPr>
          <w:rFonts w:asciiTheme="minorHAnsi" w:eastAsiaTheme="minorEastAsia" w:hAnsiTheme="minorHAnsi"/>
          <w:noProof/>
        </w:rPr>
      </w:pPr>
      <w:hyperlink w:anchor="_Toc227659636" w:history="1">
        <w:r w:rsidRPr="00D92599">
          <w:rPr>
            <w:rStyle w:val="Hyperlink"/>
            <w:noProof/>
          </w:rPr>
          <w:t>1.3 Profitability Ratios</w:t>
        </w:r>
        <w:r>
          <w:rPr>
            <w:noProof/>
            <w:webHidden/>
          </w:rPr>
          <w:tab/>
        </w:r>
        <w:r>
          <w:rPr>
            <w:noProof/>
            <w:webHidden/>
          </w:rPr>
          <w:fldChar w:fldCharType="begin"/>
        </w:r>
        <w:r>
          <w:rPr>
            <w:noProof/>
            <w:webHidden/>
          </w:rPr>
          <w:instrText xml:space="preserve"> PAGEREF _Toc227659636 \h </w:instrText>
        </w:r>
        <w:r>
          <w:rPr>
            <w:noProof/>
            <w:webHidden/>
          </w:rPr>
        </w:r>
        <w:r>
          <w:rPr>
            <w:noProof/>
            <w:webHidden/>
          </w:rPr>
          <w:fldChar w:fldCharType="separate"/>
        </w:r>
        <w:r w:rsidR="0019204C">
          <w:rPr>
            <w:noProof/>
            <w:webHidden/>
          </w:rPr>
          <w:t>10</w:t>
        </w:r>
        <w:r>
          <w:rPr>
            <w:noProof/>
            <w:webHidden/>
          </w:rPr>
          <w:fldChar w:fldCharType="end"/>
        </w:r>
      </w:hyperlink>
    </w:p>
    <w:p w14:paraId="30B5D1BA" w14:textId="1AB7F58B" w:rsidR="008775A5" w:rsidRDefault="008775A5">
      <w:pPr>
        <w:pStyle w:val="TOC3"/>
        <w:tabs>
          <w:tab w:val="right" w:leader="dot" w:pos="9350"/>
        </w:tabs>
        <w:rPr>
          <w:rFonts w:asciiTheme="minorHAnsi" w:eastAsiaTheme="minorEastAsia" w:hAnsiTheme="minorHAnsi"/>
          <w:noProof/>
        </w:rPr>
      </w:pPr>
      <w:hyperlink w:anchor="_Toc227659637" w:history="1">
        <w:r w:rsidRPr="00D92599">
          <w:rPr>
            <w:rStyle w:val="Hyperlink"/>
            <w:noProof/>
          </w:rPr>
          <w:t>1.3.1 Gross Profit Margin</w:t>
        </w:r>
        <w:r>
          <w:rPr>
            <w:noProof/>
            <w:webHidden/>
          </w:rPr>
          <w:tab/>
        </w:r>
        <w:r>
          <w:rPr>
            <w:noProof/>
            <w:webHidden/>
          </w:rPr>
          <w:fldChar w:fldCharType="begin"/>
        </w:r>
        <w:r>
          <w:rPr>
            <w:noProof/>
            <w:webHidden/>
          </w:rPr>
          <w:instrText xml:space="preserve"> PAGEREF _Toc227659637 \h </w:instrText>
        </w:r>
        <w:r>
          <w:rPr>
            <w:noProof/>
            <w:webHidden/>
          </w:rPr>
        </w:r>
        <w:r>
          <w:rPr>
            <w:noProof/>
            <w:webHidden/>
          </w:rPr>
          <w:fldChar w:fldCharType="separate"/>
        </w:r>
        <w:r w:rsidR="0019204C">
          <w:rPr>
            <w:noProof/>
            <w:webHidden/>
          </w:rPr>
          <w:t>10</w:t>
        </w:r>
        <w:r>
          <w:rPr>
            <w:noProof/>
            <w:webHidden/>
          </w:rPr>
          <w:fldChar w:fldCharType="end"/>
        </w:r>
      </w:hyperlink>
    </w:p>
    <w:p w14:paraId="4A3B9A45" w14:textId="700D9AA3" w:rsidR="008775A5" w:rsidRDefault="008775A5">
      <w:pPr>
        <w:pStyle w:val="TOC3"/>
        <w:tabs>
          <w:tab w:val="right" w:leader="dot" w:pos="9350"/>
        </w:tabs>
        <w:rPr>
          <w:rFonts w:asciiTheme="minorHAnsi" w:eastAsiaTheme="minorEastAsia" w:hAnsiTheme="minorHAnsi"/>
          <w:noProof/>
        </w:rPr>
      </w:pPr>
      <w:hyperlink w:anchor="_Toc227659638" w:history="1">
        <w:r w:rsidRPr="00D92599">
          <w:rPr>
            <w:rStyle w:val="Hyperlink"/>
            <w:noProof/>
          </w:rPr>
          <w:t>1.3.2 Operating Profit Margin</w:t>
        </w:r>
        <w:r>
          <w:rPr>
            <w:noProof/>
            <w:webHidden/>
          </w:rPr>
          <w:tab/>
        </w:r>
        <w:r>
          <w:rPr>
            <w:noProof/>
            <w:webHidden/>
          </w:rPr>
          <w:fldChar w:fldCharType="begin"/>
        </w:r>
        <w:r>
          <w:rPr>
            <w:noProof/>
            <w:webHidden/>
          </w:rPr>
          <w:instrText xml:space="preserve"> PAGEREF _Toc227659638 \h </w:instrText>
        </w:r>
        <w:r>
          <w:rPr>
            <w:noProof/>
            <w:webHidden/>
          </w:rPr>
        </w:r>
        <w:r>
          <w:rPr>
            <w:noProof/>
            <w:webHidden/>
          </w:rPr>
          <w:fldChar w:fldCharType="separate"/>
        </w:r>
        <w:r w:rsidR="0019204C">
          <w:rPr>
            <w:noProof/>
            <w:webHidden/>
          </w:rPr>
          <w:t>11</w:t>
        </w:r>
        <w:r>
          <w:rPr>
            <w:noProof/>
            <w:webHidden/>
          </w:rPr>
          <w:fldChar w:fldCharType="end"/>
        </w:r>
      </w:hyperlink>
    </w:p>
    <w:p w14:paraId="6B9A30C4" w14:textId="66922AE0" w:rsidR="008775A5" w:rsidRDefault="008775A5">
      <w:pPr>
        <w:pStyle w:val="TOC3"/>
        <w:tabs>
          <w:tab w:val="right" w:leader="dot" w:pos="9350"/>
        </w:tabs>
        <w:rPr>
          <w:rFonts w:asciiTheme="minorHAnsi" w:eastAsiaTheme="minorEastAsia" w:hAnsiTheme="minorHAnsi"/>
          <w:noProof/>
        </w:rPr>
      </w:pPr>
      <w:hyperlink w:anchor="_Toc227659639" w:history="1">
        <w:r w:rsidRPr="00D92599">
          <w:rPr>
            <w:rStyle w:val="Hyperlink"/>
            <w:noProof/>
          </w:rPr>
          <w:t>1.3.3 Net Profit Margin</w:t>
        </w:r>
        <w:r>
          <w:rPr>
            <w:noProof/>
            <w:webHidden/>
          </w:rPr>
          <w:tab/>
        </w:r>
        <w:r>
          <w:rPr>
            <w:noProof/>
            <w:webHidden/>
          </w:rPr>
          <w:fldChar w:fldCharType="begin"/>
        </w:r>
        <w:r>
          <w:rPr>
            <w:noProof/>
            <w:webHidden/>
          </w:rPr>
          <w:instrText xml:space="preserve"> PAGEREF _Toc227659639 \h </w:instrText>
        </w:r>
        <w:r>
          <w:rPr>
            <w:noProof/>
            <w:webHidden/>
          </w:rPr>
        </w:r>
        <w:r>
          <w:rPr>
            <w:noProof/>
            <w:webHidden/>
          </w:rPr>
          <w:fldChar w:fldCharType="separate"/>
        </w:r>
        <w:r w:rsidR="0019204C">
          <w:rPr>
            <w:noProof/>
            <w:webHidden/>
          </w:rPr>
          <w:t>12</w:t>
        </w:r>
        <w:r>
          <w:rPr>
            <w:noProof/>
            <w:webHidden/>
          </w:rPr>
          <w:fldChar w:fldCharType="end"/>
        </w:r>
      </w:hyperlink>
    </w:p>
    <w:p w14:paraId="154DB808" w14:textId="4BA70B39" w:rsidR="008775A5" w:rsidRDefault="008775A5">
      <w:pPr>
        <w:pStyle w:val="TOC3"/>
        <w:tabs>
          <w:tab w:val="right" w:leader="dot" w:pos="9350"/>
        </w:tabs>
        <w:rPr>
          <w:rFonts w:asciiTheme="minorHAnsi" w:eastAsiaTheme="minorEastAsia" w:hAnsiTheme="minorHAnsi"/>
          <w:noProof/>
        </w:rPr>
      </w:pPr>
      <w:hyperlink w:anchor="_Toc227659640" w:history="1">
        <w:r w:rsidRPr="00D92599">
          <w:rPr>
            <w:rStyle w:val="Hyperlink"/>
            <w:noProof/>
          </w:rPr>
          <w:t>1.3.4 Return on Assets (ROA)</w:t>
        </w:r>
        <w:r>
          <w:rPr>
            <w:noProof/>
            <w:webHidden/>
          </w:rPr>
          <w:tab/>
        </w:r>
        <w:r>
          <w:rPr>
            <w:noProof/>
            <w:webHidden/>
          </w:rPr>
          <w:fldChar w:fldCharType="begin"/>
        </w:r>
        <w:r>
          <w:rPr>
            <w:noProof/>
            <w:webHidden/>
          </w:rPr>
          <w:instrText xml:space="preserve"> PAGEREF _Toc227659640 \h </w:instrText>
        </w:r>
        <w:r>
          <w:rPr>
            <w:noProof/>
            <w:webHidden/>
          </w:rPr>
        </w:r>
        <w:r>
          <w:rPr>
            <w:noProof/>
            <w:webHidden/>
          </w:rPr>
          <w:fldChar w:fldCharType="separate"/>
        </w:r>
        <w:r w:rsidR="0019204C">
          <w:rPr>
            <w:noProof/>
            <w:webHidden/>
          </w:rPr>
          <w:t>12</w:t>
        </w:r>
        <w:r>
          <w:rPr>
            <w:noProof/>
            <w:webHidden/>
          </w:rPr>
          <w:fldChar w:fldCharType="end"/>
        </w:r>
      </w:hyperlink>
    </w:p>
    <w:p w14:paraId="6199C2E0" w14:textId="53B20C8B" w:rsidR="008775A5" w:rsidRDefault="008775A5">
      <w:pPr>
        <w:pStyle w:val="TOC3"/>
        <w:tabs>
          <w:tab w:val="right" w:leader="dot" w:pos="9350"/>
        </w:tabs>
        <w:rPr>
          <w:rFonts w:asciiTheme="minorHAnsi" w:eastAsiaTheme="minorEastAsia" w:hAnsiTheme="minorHAnsi"/>
          <w:noProof/>
        </w:rPr>
      </w:pPr>
      <w:hyperlink w:anchor="_Toc227659641" w:history="1">
        <w:r w:rsidRPr="00D92599">
          <w:rPr>
            <w:rStyle w:val="Hyperlink"/>
            <w:noProof/>
          </w:rPr>
          <w:t>1.3.5 Return on Equity (ROE)</w:t>
        </w:r>
        <w:r>
          <w:rPr>
            <w:noProof/>
            <w:webHidden/>
          </w:rPr>
          <w:tab/>
        </w:r>
        <w:r>
          <w:rPr>
            <w:noProof/>
            <w:webHidden/>
          </w:rPr>
          <w:fldChar w:fldCharType="begin"/>
        </w:r>
        <w:r>
          <w:rPr>
            <w:noProof/>
            <w:webHidden/>
          </w:rPr>
          <w:instrText xml:space="preserve"> PAGEREF _Toc227659641 \h </w:instrText>
        </w:r>
        <w:r>
          <w:rPr>
            <w:noProof/>
            <w:webHidden/>
          </w:rPr>
        </w:r>
        <w:r>
          <w:rPr>
            <w:noProof/>
            <w:webHidden/>
          </w:rPr>
          <w:fldChar w:fldCharType="separate"/>
        </w:r>
        <w:r w:rsidR="0019204C">
          <w:rPr>
            <w:noProof/>
            <w:webHidden/>
          </w:rPr>
          <w:t>13</w:t>
        </w:r>
        <w:r>
          <w:rPr>
            <w:noProof/>
            <w:webHidden/>
          </w:rPr>
          <w:fldChar w:fldCharType="end"/>
        </w:r>
      </w:hyperlink>
    </w:p>
    <w:p w14:paraId="62D5FF83" w14:textId="37F84511" w:rsidR="008775A5" w:rsidRDefault="008775A5">
      <w:pPr>
        <w:pStyle w:val="TOC2"/>
        <w:tabs>
          <w:tab w:val="right" w:leader="dot" w:pos="9350"/>
        </w:tabs>
        <w:rPr>
          <w:rFonts w:asciiTheme="minorHAnsi" w:eastAsiaTheme="minorEastAsia" w:hAnsiTheme="minorHAnsi"/>
          <w:noProof/>
        </w:rPr>
      </w:pPr>
      <w:hyperlink w:anchor="_Toc227659642" w:history="1">
        <w:r w:rsidRPr="00D92599">
          <w:rPr>
            <w:rStyle w:val="Hyperlink"/>
            <w:noProof/>
          </w:rPr>
          <w:t>1.4 Liquidity Ratios</w:t>
        </w:r>
        <w:r>
          <w:rPr>
            <w:noProof/>
            <w:webHidden/>
          </w:rPr>
          <w:tab/>
        </w:r>
        <w:r>
          <w:rPr>
            <w:noProof/>
            <w:webHidden/>
          </w:rPr>
          <w:fldChar w:fldCharType="begin"/>
        </w:r>
        <w:r>
          <w:rPr>
            <w:noProof/>
            <w:webHidden/>
          </w:rPr>
          <w:instrText xml:space="preserve"> PAGEREF _Toc227659642 \h </w:instrText>
        </w:r>
        <w:r>
          <w:rPr>
            <w:noProof/>
            <w:webHidden/>
          </w:rPr>
        </w:r>
        <w:r>
          <w:rPr>
            <w:noProof/>
            <w:webHidden/>
          </w:rPr>
          <w:fldChar w:fldCharType="separate"/>
        </w:r>
        <w:r w:rsidR="0019204C">
          <w:rPr>
            <w:noProof/>
            <w:webHidden/>
          </w:rPr>
          <w:t>14</w:t>
        </w:r>
        <w:r>
          <w:rPr>
            <w:noProof/>
            <w:webHidden/>
          </w:rPr>
          <w:fldChar w:fldCharType="end"/>
        </w:r>
      </w:hyperlink>
    </w:p>
    <w:p w14:paraId="46B83342" w14:textId="7B8FA030" w:rsidR="008775A5" w:rsidRDefault="008775A5">
      <w:pPr>
        <w:pStyle w:val="TOC3"/>
        <w:tabs>
          <w:tab w:val="right" w:leader="dot" w:pos="9350"/>
        </w:tabs>
        <w:rPr>
          <w:rFonts w:asciiTheme="minorHAnsi" w:eastAsiaTheme="minorEastAsia" w:hAnsiTheme="minorHAnsi"/>
          <w:noProof/>
        </w:rPr>
      </w:pPr>
      <w:hyperlink w:anchor="_Toc227659643" w:history="1">
        <w:r w:rsidRPr="00D92599">
          <w:rPr>
            <w:rStyle w:val="Hyperlink"/>
            <w:noProof/>
          </w:rPr>
          <w:t>1.4.1 Current Ratio</w:t>
        </w:r>
        <w:r>
          <w:rPr>
            <w:noProof/>
            <w:webHidden/>
          </w:rPr>
          <w:tab/>
        </w:r>
        <w:r>
          <w:rPr>
            <w:noProof/>
            <w:webHidden/>
          </w:rPr>
          <w:fldChar w:fldCharType="begin"/>
        </w:r>
        <w:r>
          <w:rPr>
            <w:noProof/>
            <w:webHidden/>
          </w:rPr>
          <w:instrText xml:space="preserve"> PAGEREF _Toc227659643 \h </w:instrText>
        </w:r>
        <w:r>
          <w:rPr>
            <w:noProof/>
            <w:webHidden/>
          </w:rPr>
        </w:r>
        <w:r>
          <w:rPr>
            <w:noProof/>
            <w:webHidden/>
          </w:rPr>
          <w:fldChar w:fldCharType="separate"/>
        </w:r>
        <w:r w:rsidR="0019204C">
          <w:rPr>
            <w:noProof/>
            <w:webHidden/>
          </w:rPr>
          <w:t>14</w:t>
        </w:r>
        <w:r>
          <w:rPr>
            <w:noProof/>
            <w:webHidden/>
          </w:rPr>
          <w:fldChar w:fldCharType="end"/>
        </w:r>
      </w:hyperlink>
    </w:p>
    <w:p w14:paraId="23934FAF" w14:textId="3D7BEF46" w:rsidR="008775A5" w:rsidRDefault="008775A5">
      <w:pPr>
        <w:pStyle w:val="TOC3"/>
        <w:tabs>
          <w:tab w:val="right" w:leader="dot" w:pos="9350"/>
        </w:tabs>
        <w:rPr>
          <w:rFonts w:asciiTheme="minorHAnsi" w:eastAsiaTheme="minorEastAsia" w:hAnsiTheme="minorHAnsi"/>
          <w:noProof/>
        </w:rPr>
      </w:pPr>
      <w:hyperlink w:anchor="_Toc227659644" w:history="1">
        <w:r w:rsidRPr="00D92599">
          <w:rPr>
            <w:rStyle w:val="Hyperlink"/>
            <w:noProof/>
          </w:rPr>
          <w:t>1.4.2 Quick Ratio</w:t>
        </w:r>
        <w:r>
          <w:rPr>
            <w:noProof/>
            <w:webHidden/>
          </w:rPr>
          <w:tab/>
        </w:r>
        <w:r>
          <w:rPr>
            <w:noProof/>
            <w:webHidden/>
          </w:rPr>
          <w:fldChar w:fldCharType="begin"/>
        </w:r>
        <w:r>
          <w:rPr>
            <w:noProof/>
            <w:webHidden/>
          </w:rPr>
          <w:instrText xml:space="preserve"> PAGEREF _Toc227659644 \h </w:instrText>
        </w:r>
        <w:r>
          <w:rPr>
            <w:noProof/>
            <w:webHidden/>
          </w:rPr>
        </w:r>
        <w:r>
          <w:rPr>
            <w:noProof/>
            <w:webHidden/>
          </w:rPr>
          <w:fldChar w:fldCharType="separate"/>
        </w:r>
        <w:r w:rsidR="0019204C">
          <w:rPr>
            <w:noProof/>
            <w:webHidden/>
          </w:rPr>
          <w:t>14</w:t>
        </w:r>
        <w:r>
          <w:rPr>
            <w:noProof/>
            <w:webHidden/>
          </w:rPr>
          <w:fldChar w:fldCharType="end"/>
        </w:r>
      </w:hyperlink>
    </w:p>
    <w:p w14:paraId="6564A4D8" w14:textId="58E44A78" w:rsidR="008775A5" w:rsidRDefault="008775A5">
      <w:pPr>
        <w:pStyle w:val="TOC2"/>
        <w:tabs>
          <w:tab w:val="right" w:leader="dot" w:pos="9350"/>
        </w:tabs>
        <w:rPr>
          <w:rFonts w:asciiTheme="minorHAnsi" w:eastAsiaTheme="minorEastAsia" w:hAnsiTheme="minorHAnsi"/>
          <w:noProof/>
        </w:rPr>
      </w:pPr>
      <w:hyperlink w:anchor="_Toc227659645" w:history="1">
        <w:r w:rsidRPr="00D92599">
          <w:rPr>
            <w:rStyle w:val="Hyperlink"/>
            <w:noProof/>
          </w:rPr>
          <w:t>1.5 Efficiency Ratios</w:t>
        </w:r>
        <w:r>
          <w:rPr>
            <w:noProof/>
            <w:webHidden/>
          </w:rPr>
          <w:tab/>
        </w:r>
        <w:r>
          <w:rPr>
            <w:noProof/>
            <w:webHidden/>
          </w:rPr>
          <w:fldChar w:fldCharType="begin"/>
        </w:r>
        <w:r>
          <w:rPr>
            <w:noProof/>
            <w:webHidden/>
          </w:rPr>
          <w:instrText xml:space="preserve"> PAGEREF _Toc227659645 \h </w:instrText>
        </w:r>
        <w:r>
          <w:rPr>
            <w:noProof/>
            <w:webHidden/>
          </w:rPr>
        </w:r>
        <w:r>
          <w:rPr>
            <w:noProof/>
            <w:webHidden/>
          </w:rPr>
          <w:fldChar w:fldCharType="separate"/>
        </w:r>
        <w:r w:rsidR="0019204C">
          <w:rPr>
            <w:noProof/>
            <w:webHidden/>
          </w:rPr>
          <w:t>15</w:t>
        </w:r>
        <w:r>
          <w:rPr>
            <w:noProof/>
            <w:webHidden/>
          </w:rPr>
          <w:fldChar w:fldCharType="end"/>
        </w:r>
      </w:hyperlink>
    </w:p>
    <w:p w14:paraId="6114DC1E" w14:textId="6A45A33A" w:rsidR="008775A5" w:rsidRDefault="008775A5">
      <w:pPr>
        <w:pStyle w:val="TOC3"/>
        <w:tabs>
          <w:tab w:val="right" w:leader="dot" w:pos="9350"/>
        </w:tabs>
        <w:rPr>
          <w:rFonts w:asciiTheme="minorHAnsi" w:eastAsiaTheme="minorEastAsia" w:hAnsiTheme="minorHAnsi"/>
          <w:noProof/>
        </w:rPr>
      </w:pPr>
      <w:hyperlink w:anchor="_Toc227659646" w:history="1">
        <w:r w:rsidRPr="00D92599">
          <w:rPr>
            <w:rStyle w:val="Hyperlink"/>
            <w:noProof/>
          </w:rPr>
          <w:t>1.5.1 Inventory Turnover</w:t>
        </w:r>
        <w:r>
          <w:rPr>
            <w:noProof/>
            <w:webHidden/>
          </w:rPr>
          <w:tab/>
        </w:r>
        <w:r>
          <w:rPr>
            <w:noProof/>
            <w:webHidden/>
          </w:rPr>
          <w:fldChar w:fldCharType="begin"/>
        </w:r>
        <w:r>
          <w:rPr>
            <w:noProof/>
            <w:webHidden/>
          </w:rPr>
          <w:instrText xml:space="preserve"> PAGEREF _Toc227659646 \h </w:instrText>
        </w:r>
        <w:r>
          <w:rPr>
            <w:noProof/>
            <w:webHidden/>
          </w:rPr>
        </w:r>
        <w:r>
          <w:rPr>
            <w:noProof/>
            <w:webHidden/>
          </w:rPr>
          <w:fldChar w:fldCharType="separate"/>
        </w:r>
        <w:r w:rsidR="0019204C">
          <w:rPr>
            <w:noProof/>
            <w:webHidden/>
          </w:rPr>
          <w:t>15</w:t>
        </w:r>
        <w:r>
          <w:rPr>
            <w:noProof/>
            <w:webHidden/>
          </w:rPr>
          <w:fldChar w:fldCharType="end"/>
        </w:r>
      </w:hyperlink>
    </w:p>
    <w:p w14:paraId="784D4915" w14:textId="7EA03F78" w:rsidR="008775A5" w:rsidRDefault="008775A5">
      <w:pPr>
        <w:pStyle w:val="TOC3"/>
        <w:tabs>
          <w:tab w:val="right" w:leader="dot" w:pos="9350"/>
        </w:tabs>
        <w:rPr>
          <w:rFonts w:asciiTheme="minorHAnsi" w:eastAsiaTheme="minorEastAsia" w:hAnsiTheme="minorHAnsi"/>
          <w:noProof/>
        </w:rPr>
      </w:pPr>
      <w:hyperlink w:anchor="_Toc227659647" w:history="1">
        <w:r w:rsidRPr="00D92599">
          <w:rPr>
            <w:rStyle w:val="Hyperlink"/>
            <w:noProof/>
          </w:rPr>
          <w:t>1.5.2 Receivables Collection Period</w:t>
        </w:r>
        <w:r>
          <w:rPr>
            <w:noProof/>
            <w:webHidden/>
          </w:rPr>
          <w:tab/>
        </w:r>
        <w:r>
          <w:rPr>
            <w:noProof/>
            <w:webHidden/>
          </w:rPr>
          <w:fldChar w:fldCharType="begin"/>
        </w:r>
        <w:r>
          <w:rPr>
            <w:noProof/>
            <w:webHidden/>
          </w:rPr>
          <w:instrText xml:space="preserve"> PAGEREF _Toc227659647 \h </w:instrText>
        </w:r>
        <w:r>
          <w:rPr>
            <w:noProof/>
            <w:webHidden/>
          </w:rPr>
        </w:r>
        <w:r>
          <w:rPr>
            <w:noProof/>
            <w:webHidden/>
          </w:rPr>
          <w:fldChar w:fldCharType="separate"/>
        </w:r>
        <w:r w:rsidR="0019204C">
          <w:rPr>
            <w:noProof/>
            <w:webHidden/>
          </w:rPr>
          <w:t>16</w:t>
        </w:r>
        <w:r>
          <w:rPr>
            <w:noProof/>
            <w:webHidden/>
          </w:rPr>
          <w:fldChar w:fldCharType="end"/>
        </w:r>
      </w:hyperlink>
    </w:p>
    <w:p w14:paraId="47F990D5" w14:textId="3988A531" w:rsidR="008775A5" w:rsidRDefault="008775A5">
      <w:pPr>
        <w:pStyle w:val="TOC3"/>
        <w:tabs>
          <w:tab w:val="right" w:leader="dot" w:pos="9350"/>
        </w:tabs>
        <w:rPr>
          <w:rFonts w:asciiTheme="minorHAnsi" w:eastAsiaTheme="minorEastAsia" w:hAnsiTheme="minorHAnsi"/>
          <w:noProof/>
        </w:rPr>
      </w:pPr>
      <w:hyperlink w:anchor="_Toc227659648" w:history="1">
        <w:r w:rsidRPr="00D92599">
          <w:rPr>
            <w:rStyle w:val="Hyperlink"/>
            <w:noProof/>
          </w:rPr>
          <w:t>1.5.3 Payables Payment Period</w:t>
        </w:r>
        <w:r>
          <w:rPr>
            <w:noProof/>
            <w:webHidden/>
          </w:rPr>
          <w:tab/>
        </w:r>
        <w:r>
          <w:rPr>
            <w:noProof/>
            <w:webHidden/>
          </w:rPr>
          <w:fldChar w:fldCharType="begin"/>
        </w:r>
        <w:r>
          <w:rPr>
            <w:noProof/>
            <w:webHidden/>
          </w:rPr>
          <w:instrText xml:space="preserve"> PAGEREF _Toc227659648 \h </w:instrText>
        </w:r>
        <w:r>
          <w:rPr>
            <w:noProof/>
            <w:webHidden/>
          </w:rPr>
        </w:r>
        <w:r>
          <w:rPr>
            <w:noProof/>
            <w:webHidden/>
          </w:rPr>
          <w:fldChar w:fldCharType="separate"/>
        </w:r>
        <w:r w:rsidR="0019204C">
          <w:rPr>
            <w:noProof/>
            <w:webHidden/>
          </w:rPr>
          <w:t>16</w:t>
        </w:r>
        <w:r>
          <w:rPr>
            <w:noProof/>
            <w:webHidden/>
          </w:rPr>
          <w:fldChar w:fldCharType="end"/>
        </w:r>
      </w:hyperlink>
    </w:p>
    <w:p w14:paraId="4C360BED" w14:textId="7896CBFD" w:rsidR="008775A5" w:rsidRDefault="008775A5">
      <w:pPr>
        <w:pStyle w:val="TOC3"/>
        <w:tabs>
          <w:tab w:val="right" w:leader="dot" w:pos="9350"/>
        </w:tabs>
        <w:rPr>
          <w:rFonts w:asciiTheme="minorHAnsi" w:eastAsiaTheme="minorEastAsia" w:hAnsiTheme="minorHAnsi"/>
          <w:noProof/>
        </w:rPr>
      </w:pPr>
      <w:hyperlink w:anchor="_Toc227659649" w:history="1">
        <w:r w:rsidRPr="00D92599">
          <w:rPr>
            <w:rStyle w:val="Hyperlink"/>
            <w:noProof/>
          </w:rPr>
          <w:t>1.5.4 Total Asset Turnover</w:t>
        </w:r>
        <w:r>
          <w:rPr>
            <w:noProof/>
            <w:webHidden/>
          </w:rPr>
          <w:tab/>
        </w:r>
        <w:r>
          <w:rPr>
            <w:noProof/>
            <w:webHidden/>
          </w:rPr>
          <w:fldChar w:fldCharType="begin"/>
        </w:r>
        <w:r>
          <w:rPr>
            <w:noProof/>
            <w:webHidden/>
          </w:rPr>
          <w:instrText xml:space="preserve"> PAGEREF _Toc227659649 \h </w:instrText>
        </w:r>
        <w:r>
          <w:rPr>
            <w:noProof/>
            <w:webHidden/>
          </w:rPr>
        </w:r>
        <w:r>
          <w:rPr>
            <w:noProof/>
            <w:webHidden/>
          </w:rPr>
          <w:fldChar w:fldCharType="separate"/>
        </w:r>
        <w:r w:rsidR="0019204C">
          <w:rPr>
            <w:noProof/>
            <w:webHidden/>
          </w:rPr>
          <w:t>17</w:t>
        </w:r>
        <w:r>
          <w:rPr>
            <w:noProof/>
            <w:webHidden/>
          </w:rPr>
          <w:fldChar w:fldCharType="end"/>
        </w:r>
      </w:hyperlink>
    </w:p>
    <w:p w14:paraId="5074670D" w14:textId="601C12F2" w:rsidR="008775A5" w:rsidRDefault="008775A5">
      <w:pPr>
        <w:pStyle w:val="TOC2"/>
        <w:tabs>
          <w:tab w:val="right" w:leader="dot" w:pos="9350"/>
        </w:tabs>
        <w:rPr>
          <w:rFonts w:asciiTheme="minorHAnsi" w:eastAsiaTheme="minorEastAsia" w:hAnsiTheme="minorHAnsi"/>
          <w:noProof/>
        </w:rPr>
      </w:pPr>
      <w:hyperlink w:anchor="_Toc227659650" w:history="1">
        <w:r w:rsidRPr="00D92599">
          <w:rPr>
            <w:rStyle w:val="Hyperlink"/>
            <w:noProof/>
          </w:rPr>
          <w:t>1.6 Gearing (Leverage) Ratios</w:t>
        </w:r>
        <w:r>
          <w:rPr>
            <w:noProof/>
            <w:webHidden/>
          </w:rPr>
          <w:tab/>
        </w:r>
        <w:r>
          <w:rPr>
            <w:noProof/>
            <w:webHidden/>
          </w:rPr>
          <w:fldChar w:fldCharType="begin"/>
        </w:r>
        <w:r>
          <w:rPr>
            <w:noProof/>
            <w:webHidden/>
          </w:rPr>
          <w:instrText xml:space="preserve"> PAGEREF _Toc227659650 \h </w:instrText>
        </w:r>
        <w:r>
          <w:rPr>
            <w:noProof/>
            <w:webHidden/>
          </w:rPr>
        </w:r>
        <w:r>
          <w:rPr>
            <w:noProof/>
            <w:webHidden/>
          </w:rPr>
          <w:fldChar w:fldCharType="separate"/>
        </w:r>
        <w:r w:rsidR="0019204C">
          <w:rPr>
            <w:noProof/>
            <w:webHidden/>
          </w:rPr>
          <w:t>18</w:t>
        </w:r>
        <w:r>
          <w:rPr>
            <w:noProof/>
            <w:webHidden/>
          </w:rPr>
          <w:fldChar w:fldCharType="end"/>
        </w:r>
      </w:hyperlink>
    </w:p>
    <w:p w14:paraId="1CA24367" w14:textId="591FE943" w:rsidR="008775A5" w:rsidRDefault="008775A5">
      <w:pPr>
        <w:pStyle w:val="TOC3"/>
        <w:tabs>
          <w:tab w:val="right" w:leader="dot" w:pos="9350"/>
        </w:tabs>
        <w:rPr>
          <w:rFonts w:asciiTheme="minorHAnsi" w:eastAsiaTheme="minorEastAsia" w:hAnsiTheme="minorHAnsi"/>
          <w:noProof/>
        </w:rPr>
      </w:pPr>
      <w:hyperlink w:anchor="_Toc227659651" w:history="1">
        <w:r w:rsidRPr="00D92599">
          <w:rPr>
            <w:rStyle w:val="Hyperlink"/>
            <w:noProof/>
          </w:rPr>
          <w:t>1.6.1 Debt to Equity Ratio</w:t>
        </w:r>
        <w:r>
          <w:rPr>
            <w:noProof/>
            <w:webHidden/>
          </w:rPr>
          <w:tab/>
        </w:r>
        <w:r>
          <w:rPr>
            <w:noProof/>
            <w:webHidden/>
          </w:rPr>
          <w:fldChar w:fldCharType="begin"/>
        </w:r>
        <w:r>
          <w:rPr>
            <w:noProof/>
            <w:webHidden/>
          </w:rPr>
          <w:instrText xml:space="preserve"> PAGEREF _Toc227659651 \h </w:instrText>
        </w:r>
        <w:r>
          <w:rPr>
            <w:noProof/>
            <w:webHidden/>
          </w:rPr>
        </w:r>
        <w:r>
          <w:rPr>
            <w:noProof/>
            <w:webHidden/>
          </w:rPr>
          <w:fldChar w:fldCharType="separate"/>
        </w:r>
        <w:r w:rsidR="0019204C">
          <w:rPr>
            <w:noProof/>
            <w:webHidden/>
          </w:rPr>
          <w:t>18</w:t>
        </w:r>
        <w:r>
          <w:rPr>
            <w:noProof/>
            <w:webHidden/>
          </w:rPr>
          <w:fldChar w:fldCharType="end"/>
        </w:r>
      </w:hyperlink>
    </w:p>
    <w:p w14:paraId="18008C8E" w14:textId="22259F41" w:rsidR="008775A5" w:rsidRDefault="008775A5">
      <w:pPr>
        <w:pStyle w:val="TOC3"/>
        <w:tabs>
          <w:tab w:val="right" w:leader="dot" w:pos="9350"/>
        </w:tabs>
        <w:rPr>
          <w:rFonts w:asciiTheme="minorHAnsi" w:eastAsiaTheme="minorEastAsia" w:hAnsiTheme="minorHAnsi"/>
          <w:noProof/>
        </w:rPr>
      </w:pPr>
      <w:hyperlink w:anchor="_Toc227659652" w:history="1">
        <w:r w:rsidRPr="00D92599">
          <w:rPr>
            <w:rStyle w:val="Hyperlink"/>
            <w:noProof/>
          </w:rPr>
          <w:t>1.6.2 Interest Coverage Ratio</w:t>
        </w:r>
        <w:r>
          <w:rPr>
            <w:noProof/>
            <w:webHidden/>
          </w:rPr>
          <w:tab/>
        </w:r>
        <w:r>
          <w:rPr>
            <w:noProof/>
            <w:webHidden/>
          </w:rPr>
          <w:fldChar w:fldCharType="begin"/>
        </w:r>
        <w:r>
          <w:rPr>
            <w:noProof/>
            <w:webHidden/>
          </w:rPr>
          <w:instrText xml:space="preserve"> PAGEREF _Toc227659652 \h </w:instrText>
        </w:r>
        <w:r>
          <w:rPr>
            <w:noProof/>
            <w:webHidden/>
          </w:rPr>
        </w:r>
        <w:r>
          <w:rPr>
            <w:noProof/>
            <w:webHidden/>
          </w:rPr>
          <w:fldChar w:fldCharType="separate"/>
        </w:r>
        <w:r w:rsidR="0019204C">
          <w:rPr>
            <w:noProof/>
            <w:webHidden/>
          </w:rPr>
          <w:t>18</w:t>
        </w:r>
        <w:r>
          <w:rPr>
            <w:noProof/>
            <w:webHidden/>
          </w:rPr>
          <w:fldChar w:fldCharType="end"/>
        </w:r>
      </w:hyperlink>
    </w:p>
    <w:p w14:paraId="681CD7A9" w14:textId="6FF4FDCD" w:rsidR="008775A5" w:rsidRDefault="008775A5">
      <w:pPr>
        <w:pStyle w:val="TOC2"/>
        <w:tabs>
          <w:tab w:val="right" w:leader="dot" w:pos="9350"/>
        </w:tabs>
        <w:rPr>
          <w:rFonts w:asciiTheme="minorHAnsi" w:eastAsiaTheme="minorEastAsia" w:hAnsiTheme="minorHAnsi"/>
          <w:noProof/>
        </w:rPr>
      </w:pPr>
      <w:hyperlink w:anchor="_Toc227659653" w:history="1">
        <w:r w:rsidRPr="00D92599">
          <w:rPr>
            <w:rStyle w:val="Hyperlink"/>
            <w:noProof/>
          </w:rPr>
          <w:t>1.7 Investment Ratios</w:t>
        </w:r>
        <w:r>
          <w:rPr>
            <w:noProof/>
            <w:webHidden/>
          </w:rPr>
          <w:tab/>
        </w:r>
        <w:r>
          <w:rPr>
            <w:noProof/>
            <w:webHidden/>
          </w:rPr>
          <w:fldChar w:fldCharType="begin"/>
        </w:r>
        <w:r>
          <w:rPr>
            <w:noProof/>
            <w:webHidden/>
          </w:rPr>
          <w:instrText xml:space="preserve"> PAGEREF _Toc227659653 \h </w:instrText>
        </w:r>
        <w:r>
          <w:rPr>
            <w:noProof/>
            <w:webHidden/>
          </w:rPr>
        </w:r>
        <w:r>
          <w:rPr>
            <w:noProof/>
            <w:webHidden/>
          </w:rPr>
          <w:fldChar w:fldCharType="separate"/>
        </w:r>
        <w:r w:rsidR="0019204C">
          <w:rPr>
            <w:noProof/>
            <w:webHidden/>
          </w:rPr>
          <w:t>19</w:t>
        </w:r>
        <w:r>
          <w:rPr>
            <w:noProof/>
            <w:webHidden/>
          </w:rPr>
          <w:fldChar w:fldCharType="end"/>
        </w:r>
      </w:hyperlink>
    </w:p>
    <w:p w14:paraId="358A5173" w14:textId="75564DA8" w:rsidR="008775A5" w:rsidRDefault="008775A5">
      <w:pPr>
        <w:pStyle w:val="TOC3"/>
        <w:tabs>
          <w:tab w:val="right" w:leader="dot" w:pos="9350"/>
        </w:tabs>
        <w:rPr>
          <w:rFonts w:asciiTheme="minorHAnsi" w:eastAsiaTheme="minorEastAsia" w:hAnsiTheme="minorHAnsi"/>
          <w:noProof/>
        </w:rPr>
      </w:pPr>
      <w:hyperlink w:anchor="_Toc227659654" w:history="1">
        <w:r w:rsidRPr="00D92599">
          <w:rPr>
            <w:rStyle w:val="Hyperlink"/>
            <w:noProof/>
          </w:rPr>
          <w:t>1.7.1 Earnings per Share (EPS)</w:t>
        </w:r>
        <w:r>
          <w:rPr>
            <w:noProof/>
            <w:webHidden/>
          </w:rPr>
          <w:tab/>
        </w:r>
        <w:r>
          <w:rPr>
            <w:noProof/>
            <w:webHidden/>
          </w:rPr>
          <w:fldChar w:fldCharType="begin"/>
        </w:r>
        <w:r>
          <w:rPr>
            <w:noProof/>
            <w:webHidden/>
          </w:rPr>
          <w:instrText xml:space="preserve"> PAGEREF _Toc227659654 \h </w:instrText>
        </w:r>
        <w:r>
          <w:rPr>
            <w:noProof/>
            <w:webHidden/>
          </w:rPr>
        </w:r>
        <w:r>
          <w:rPr>
            <w:noProof/>
            <w:webHidden/>
          </w:rPr>
          <w:fldChar w:fldCharType="separate"/>
        </w:r>
        <w:r w:rsidR="0019204C">
          <w:rPr>
            <w:noProof/>
            <w:webHidden/>
          </w:rPr>
          <w:t>19</w:t>
        </w:r>
        <w:r>
          <w:rPr>
            <w:noProof/>
            <w:webHidden/>
          </w:rPr>
          <w:fldChar w:fldCharType="end"/>
        </w:r>
      </w:hyperlink>
    </w:p>
    <w:p w14:paraId="16638791" w14:textId="22AAECE1" w:rsidR="008775A5" w:rsidRDefault="008775A5">
      <w:pPr>
        <w:pStyle w:val="TOC3"/>
        <w:tabs>
          <w:tab w:val="right" w:leader="dot" w:pos="9350"/>
        </w:tabs>
        <w:rPr>
          <w:rFonts w:asciiTheme="minorHAnsi" w:eastAsiaTheme="minorEastAsia" w:hAnsiTheme="minorHAnsi"/>
          <w:noProof/>
        </w:rPr>
      </w:pPr>
      <w:hyperlink w:anchor="_Toc227659655" w:history="1">
        <w:r w:rsidRPr="00D92599">
          <w:rPr>
            <w:rStyle w:val="Hyperlink"/>
            <w:noProof/>
          </w:rPr>
          <w:t>1.7.2 Price/Earnings Ratio (P/E)</w:t>
        </w:r>
        <w:r>
          <w:rPr>
            <w:noProof/>
            <w:webHidden/>
          </w:rPr>
          <w:tab/>
        </w:r>
        <w:r>
          <w:rPr>
            <w:noProof/>
            <w:webHidden/>
          </w:rPr>
          <w:fldChar w:fldCharType="begin"/>
        </w:r>
        <w:r>
          <w:rPr>
            <w:noProof/>
            <w:webHidden/>
          </w:rPr>
          <w:instrText xml:space="preserve"> PAGEREF _Toc227659655 \h </w:instrText>
        </w:r>
        <w:r>
          <w:rPr>
            <w:noProof/>
            <w:webHidden/>
          </w:rPr>
        </w:r>
        <w:r>
          <w:rPr>
            <w:noProof/>
            <w:webHidden/>
          </w:rPr>
          <w:fldChar w:fldCharType="separate"/>
        </w:r>
        <w:r w:rsidR="0019204C">
          <w:rPr>
            <w:noProof/>
            <w:webHidden/>
          </w:rPr>
          <w:t>20</w:t>
        </w:r>
        <w:r>
          <w:rPr>
            <w:noProof/>
            <w:webHidden/>
          </w:rPr>
          <w:fldChar w:fldCharType="end"/>
        </w:r>
      </w:hyperlink>
    </w:p>
    <w:p w14:paraId="0354708A" w14:textId="176ED67B" w:rsidR="008775A5" w:rsidRDefault="008775A5">
      <w:pPr>
        <w:pStyle w:val="TOC2"/>
        <w:tabs>
          <w:tab w:val="right" w:leader="dot" w:pos="9350"/>
        </w:tabs>
        <w:rPr>
          <w:rFonts w:asciiTheme="minorHAnsi" w:eastAsiaTheme="minorEastAsia" w:hAnsiTheme="minorHAnsi"/>
          <w:noProof/>
        </w:rPr>
      </w:pPr>
      <w:hyperlink w:anchor="_Toc227659656" w:history="1">
        <w:r w:rsidRPr="00D92599">
          <w:rPr>
            <w:rStyle w:val="Hyperlink"/>
            <w:noProof/>
          </w:rPr>
          <w:t>1.8 Cash Flow Analysis</w:t>
        </w:r>
        <w:r>
          <w:rPr>
            <w:noProof/>
            <w:webHidden/>
          </w:rPr>
          <w:tab/>
        </w:r>
        <w:r>
          <w:rPr>
            <w:noProof/>
            <w:webHidden/>
          </w:rPr>
          <w:fldChar w:fldCharType="begin"/>
        </w:r>
        <w:r>
          <w:rPr>
            <w:noProof/>
            <w:webHidden/>
          </w:rPr>
          <w:instrText xml:space="preserve"> PAGEREF _Toc227659656 \h </w:instrText>
        </w:r>
        <w:r>
          <w:rPr>
            <w:noProof/>
            <w:webHidden/>
          </w:rPr>
        </w:r>
        <w:r>
          <w:rPr>
            <w:noProof/>
            <w:webHidden/>
          </w:rPr>
          <w:fldChar w:fldCharType="separate"/>
        </w:r>
        <w:r w:rsidR="0019204C">
          <w:rPr>
            <w:noProof/>
            <w:webHidden/>
          </w:rPr>
          <w:t>20</w:t>
        </w:r>
        <w:r>
          <w:rPr>
            <w:noProof/>
            <w:webHidden/>
          </w:rPr>
          <w:fldChar w:fldCharType="end"/>
        </w:r>
      </w:hyperlink>
    </w:p>
    <w:p w14:paraId="596E0DB6" w14:textId="4A6BAD74" w:rsidR="008775A5" w:rsidRDefault="008775A5">
      <w:pPr>
        <w:pStyle w:val="TOC3"/>
        <w:tabs>
          <w:tab w:val="right" w:leader="dot" w:pos="9350"/>
        </w:tabs>
        <w:rPr>
          <w:rFonts w:asciiTheme="minorHAnsi" w:eastAsiaTheme="minorEastAsia" w:hAnsiTheme="minorHAnsi"/>
          <w:noProof/>
        </w:rPr>
      </w:pPr>
      <w:hyperlink w:anchor="_Toc227659657" w:history="1">
        <w:r w:rsidRPr="00D92599">
          <w:rPr>
            <w:rStyle w:val="Hyperlink"/>
            <w:noProof/>
          </w:rPr>
          <w:t>1.8.1 Operating Cash Flow</w:t>
        </w:r>
        <w:r>
          <w:rPr>
            <w:noProof/>
            <w:webHidden/>
          </w:rPr>
          <w:tab/>
        </w:r>
        <w:r>
          <w:rPr>
            <w:noProof/>
            <w:webHidden/>
          </w:rPr>
          <w:fldChar w:fldCharType="begin"/>
        </w:r>
        <w:r>
          <w:rPr>
            <w:noProof/>
            <w:webHidden/>
          </w:rPr>
          <w:instrText xml:space="preserve"> PAGEREF _Toc227659657 \h </w:instrText>
        </w:r>
        <w:r>
          <w:rPr>
            <w:noProof/>
            <w:webHidden/>
          </w:rPr>
        </w:r>
        <w:r>
          <w:rPr>
            <w:noProof/>
            <w:webHidden/>
          </w:rPr>
          <w:fldChar w:fldCharType="separate"/>
        </w:r>
        <w:r w:rsidR="0019204C">
          <w:rPr>
            <w:noProof/>
            <w:webHidden/>
          </w:rPr>
          <w:t>20</w:t>
        </w:r>
        <w:r>
          <w:rPr>
            <w:noProof/>
            <w:webHidden/>
          </w:rPr>
          <w:fldChar w:fldCharType="end"/>
        </w:r>
      </w:hyperlink>
    </w:p>
    <w:p w14:paraId="6E10E612" w14:textId="45EA4233" w:rsidR="008775A5" w:rsidRDefault="008775A5">
      <w:pPr>
        <w:pStyle w:val="TOC3"/>
        <w:tabs>
          <w:tab w:val="right" w:leader="dot" w:pos="9350"/>
        </w:tabs>
        <w:rPr>
          <w:rFonts w:asciiTheme="minorHAnsi" w:eastAsiaTheme="minorEastAsia" w:hAnsiTheme="minorHAnsi"/>
          <w:noProof/>
        </w:rPr>
      </w:pPr>
      <w:hyperlink w:anchor="_Toc227659658" w:history="1">
        <w:r w:rsidRPr="00D92599">
          <w:rPr>
            <w:rStyle w:val="Hyperlink"/>
            <w:noProof/>
          </w:rPr>
          <w:t>1.8.2 Free Cash Flow</w:t>
        </w:r>
        <w:r>
          <w:rPr>
            <w:noProof/>
            <w:webHidden/>
          </w:rPr>
          <w:tab/>
        </w:r>
        <w:r>
          <w:rPr>
            <w:noProof/>
            <w:webHidden/>
          </w:rPr>
          <w:fldChar w:fldCharType="begin"/>
        </w:r>
        <w:r>
          <w:rPr>
            <w:noProof/>
            <w:webHidden/>
          </w:rPr>
          <w:instrText xml:space="preserve"> PAGEREF _Toc227659658 \h </w:instrText>
        </w:r>
        <w:r>
          <w:rPr>
            <w:noProof/>
            <w:webHidden/>
          </w:rPr>
        </w:r>
        <w:r>
          <w:rPr>
            <w:noProof/>
            <w:webHidden/>
          </w:rPr>
          <w:fldChar w:fldCharType="separate"/>
        </w:r>
        <w:r w:rsidR="0019204C">
          <w:rPr>
            <w:noProof/>
            <w:webHidden/>
          </w:rPr>
          <w:t>21</w:t>
        </w:r>
        <w:r>
          <w:rPr>
            <w:noProof/>
            <w:webHidden/>
          </w:rPr>
          <w:fldChar w:fldCharType="end"/>
        </w:r>
      </w:hyperlink>
    </w:p>
    <w:p w14:paraId="1957210D" w14:textId="44AAA1C5" w:rsidR="008775A5" w:rsidRDefault="008775A5">
      <w:pPr>
        <w:pStyle w:val="TOC3"/>
        <w:tabs>
          <w:tab w:val="right" w:leader="dot" w:pos="9350"/>
        </w:tabs>
        <w:rPr>
          <w:rFonts w:asciiTheme="minorHAnsi" w:eastAsiaTheme="minorEastAsia" w:hAnsiTheme="minorHAnsi"/>
          <w:noProof/>
        </w:rPr>
      </w:pPr>
      <w:hyperlink w:anchor="_Toc227659659" w:history="1">
        <w:r w:rsidRPr="00D92599">
          <w:rPr>
            <w:rStyle w:val="Hyperlink"/>
            <w:noProof/>
          </w:rPr>
          <w:t>1.8.3 Cash Flow Adequacy</w:t>
        </w:r>
        <w:r>
          <w:rPr>
            <w:noProof/>
            <w:webHidden/>
          </w:rPr>
          <w:tab/>
        </w:r>
        <w:r>
          <w:rPr>
            <w:noProof/>
            <w:webHidden/>
          </w:rPr>
          <w:fldChar w:fldCharType="begin"/>
        </w:r>
        <w:r>
          <w:rPr>
            <w:noProof/>
            <w:webHidden/>
          </w:rPr>
          <w:instrText xml:space="preserve"> PAGEREF _Toc227659659 \h </w:instrText>
        </w:r>
        <w:r>
          <w:rPr>
            <w:noProof/>
            <w:webHidden/>
          </w:rPr>
        </w:r>
        <w:r>
          <w:rPr>
            <w:noProof/>
            <w:webHidden/>
          </w:rPr>
          <w:fldChar w:fldCharType="separate"/>
        </w:r>
        <w:r w:rsidR="0019204C">
          <w:rPr>
            <w:noProof/>
            <w:webHidden/>
          </w:rPr>
          <w:t>22</w:t>
        </w:r>
        <w:r>
          <w:rPr>
            <w:noProof/>
            <w:webHidden/>
          </w:rPr>
          <w:fldChar w:fldCharType="end"/>
        </w:r>
      </w:hyperlink>
    </w:p>
    <w:p w14:paraId="3E9BA167" w14:textId="43B08993" w:rsidR="008775A5" w:rsidRDefault="008775A5">
      <w:pPr>
        <w:pStyle w:val="TOC2"/>
        <w:tabs>
          <w:tab w:val="right" w:leader="dot" w:pos="9350"/>
        </w:tabs>
        <w:rPr>
          <w:rFonts w:asciiTheme="minorHAnsi" w:eastAsiaTheme="minorEastAsia" w:hAnsiTheme="minorHAnsi"/>
          <w:noProof/>
        </w:rPr>
      </w:pPr>
      <w:hyperlink w:anchor="_Toc227659660" w:history="1">
        <w:r w:rsidRPr="00D92599">
          <w:rPr>
            <w:rStyle w:val="Hyperlink"/>
            <w:noProof/>
          </w:rPr>
          <w:t>1.9 Trend Analysis (5-year comparison)</w:t>
        </w:r>
        <w:r>
          <w:rPr>
            <w:noProof/>
            <w:webHidden/>
          </w:rPr>
          <w:tab/>
        </w:r>
        <w:r>
          <w:rPr>
            <w:noProof/>
            <w:webHidden/>
          </w:rPr>
          <w:fldChar w:fldCharType="begin"/>
        </w:r>
        <w:r>
          <w:rPr>
            <w:noProof/>
            <w:webHidden/>
          </w:rPr>
          <w:instrText xml:space="preserve"> PAGEREF _Toc227659660 \h </w:instrText>
        </w:r>
        <w:r>
          <w:rPr>
            <w:noProof/>
            <w:webHidden/>
          </w:rPr>
        </w:r>
        <w:r>
          <w:rPr>
            <w:noProof/>
            <w:webHidden/>
          </w:rPr>
          <w:fldChar w:fldCharType="separate"/>
        </w:r>
        <w:r w:rsidR="0019204C">
          <w:rPr>
            <w:noProof/>
            <w:webHidden/>
          </w:rPr>
          <w:t>22</w:t>
        </w:r>
        <w:r>
          <w:rPr>
            <w:noProof/>
            <w:webHidden/>
          </w:rPr>
          <w:fldChar w:fldCharType="end"/>
        </w:r>
      </w:hyperlink>
    </w:p>
    <w:p w14:paraId="738BB04D" w14:textId="267F432A" w:rsidR="008775A5" w:rsidRDefault="008775A5">
      <w:pPr>
        <w:pStyle w:val="TOC2"/>
        <w:tabs>
          <w:tab w:val="right" w:leader="dot" w:pos="9350"/>
        </w:tabs>
        <w:rPr>
          <w:rFonts w:asciiTheme="minorHAnsi" w:eastAsiaTheme="minorEastAsia" w:hAnsiTheme="minorHAnsi"/>
          <w:noProof/>
        </w:rPr>
      </w:pPr>
      <w:hyperlink w:anchor="_Toc227659661" w:history="1">
        <w:r w:rsidRPr="00D92599">
          <w:rPr>
            <w:rStyle w:val="Hyperlink"/>
            <w:noProof/>
          </w:rPr>
          <w:t>1.10 Strengths Identified</w:t>
        </w:r>
        <w:r>
          <w:rPr>
            <w:noProof/>
            <w:webHidden/>
          </w:rPr>
          <w:tab/>
        </w:r>
        <w:r>
          <w:rPr>
            <w:noProof/>
            <w:webHidden/>
          </w:rPr>
          <w:fldChar w:fldCharType="begin"/>
        </w:r>
        <w:r>
          <w:rPr>
            <w:noProof/>
            <w:webHidden/>
          </w:rPr>
          <w:instrText xml:space="preserve"> PAGEREF _Toc227659661 \h </w:instrText>
        </w:r>
        <w:r>
          <w:rPr>
            <w:noProof/>
            <w:webHidden/>
          </w:rPr>
        </w:r>
        <w:r>
          <w:rPr>
            <w:noProof/>
            <w:webHidden/>
          </w:rPr>
          <w:fldChar w:fldCharType="separate"/>
        </w:r>
        <w:r w:rsidR="0019204C">
          <w:rPr>
            <w:noProof/>
            <w:webHidden/>
          </w:rPr>
          <w:t>23</w:t>
        </w:r>
        <w:r>
          <w:rPr>
            <w:noProof/>
            <w:webHidden/>
          </w:rPr>
          <w:fldChar w:fldCharType="end"/>
        </w:r>
      </w:hyperlink>
    </w:p>
    <w:p w14:paraId="50F7698A" w14:textId="641F3E22" w:rsidR="008775A5" w:rsidRDefault="008775A5">
      <w:pPr>
        <w:pStyle w:val="TOC2"/>
        <w:tabs>
          <w:tab w:val="right" w:leader="dot" w:pos="9350"/>
        </w:tabs>
        <w:rPr>
          <w:rFonts w:asciiTheme="minorHAnsi" w:eastAsiaTheme="minorEastAsia" w:hAnsiTheme="minorHAnsi"/>
          <w:noProof/>
        </w:rPr>
      </w:pPr>
      <w:hyperlink w:anchor="_Toc227659662" w:history="1">
        <w:r w:rsidRPr="00D92599">
          <w:rPr>
            <w:rStyle w:val="Hyperlink"/>
            <w:noProof/>
          </w:rPr>
          <w:t>1.11 Weaknesses / Threats Identified</w:t>
        </w:r>
        <w:r>
          <w:rPr>
            <w:noProof/>
            <w:webHidden/>
          </w:rPr>
          <w:tab/>
        </w:r>
        <w:r>
          <w:rPr>
            <w:noProof/>
            <w:webHidden/>
          </w:rPr>
          <w:fldChar w:fldCharType="begin"/>
        </w:r>
        <w:r>
          <w:rPr>
            <w:noProof/>
            <w:webHidden/>
          </w:rPr>
          <w:instrText xml:space="preserve"> PAGEREF _Toc227659662 \h </w:instrText>
        </w:r>
        <w:r>
          <w:rPr>
            <w:noProof/>
            <w:webHidden/>
          </w:rPr>
        </w:r>
        <w:r>
          <w:rPr>
            <w:noProof/>
            <w:webHidden/>
          </w:rPr>
          <w:fldChar w:fldCharType="separate"/>
        </w:r>
        <w:r w:rsidR="0019204C">
          <w:rPr>
            <w:noProof/>
            <w:webHidden/>
          </w:rPr>
          <w:t>24</w:t>
        </w:r>
        <w:r>
          <w:rPr>
            <w:noProof/>
            <w:webHidden/>
          </w:rPr>
          <w:fldChar w:fldCharType="end"/>
        </w:r>
      </w:hyperlink>
    </w:p>
    <w:p w14:paraId="3E98BECE" w14:textId="6E26A4B9" w:rsidR="008775A5" w:rsidRDefault="008775A5">
      <w:pPr>
        <w:pStyle w:val="TOC1"/>
        <w:tabs>
          <w:tab w:val="right" w:leader="dot" w:pos="9350"/>
        </w:tabs>
        <w:rPr>
          <w:rFonts w:asciiTheme="minorHAnsi" w:eastAsiaTheme="minorEastAsia" w:hAnsiTheme="minorHAnsi"/>
          <w:noProof/>
        </w:rPr>
      </w:pPr>
      <w:hyperlink w:anchor="_Toc227659663" w:history="1">
        <w:r w:rsidRPr="00D92599">
          <w:rPr>
            <w:rStyle w:val="Hyperlink"/>
            <w:noProof/>
          </w:rPr>
          <w:t>2. Working Capital Management Analysis</w:t>
        </w:r>
        <w:r>
          <w:rPr>
            <w:noProof/>
            <w:webHidden/>
          </w:rPr>
          <w:tab/>
        </w:r>
        <w:r>
          <w:rPr>
            <w:noProof/>
            <w:webHidden/>
          </w:rPr>
          <w:fldChar w:fldCharType="begin"/>
        </w:r>
        <w:r>
          <w:rPr>
            <w:noProof/>
            <w:webHidden/>
          </w:rPr>
          <w:instrText xml:space="preserve"> PAGEREF _Toc227659663 \h </w:instrText>
        </w:r>
        <w:r>
          <w:rPr>
            <w:noProof/>
            <w:webHidden/>
          </w:rPr>
        </w:r>
        <w:r>
          <w:rPr>
            <w:noProof/>
            <w:webHidden/>
          </w:rPr>
          <w:fldChar w:fldCharType="separate"/>
        </w:r>
        <w:r w:rsidR="0019204C">
          <w:rPr>
            <w:noProof/>
            <w:webHidden/>
          </w:rPr>
          <w:t>24</w:t>
        </w:r>
        <w:r>
          <w:rPr>
            <w:noProof/>
            <w:webHidden/>
          </w:rPr>
          <w:fldChar w:fldCharType="end"/>
        </w:r>
      </w:hyperlink>
    </w:p>
    <w:p w14:paraId="04DCBF5A" w14:textId="27924420" w:rsidR="008775A5" w:rsidRDefault="008775A5">
      <w:pPr>
        <w:pStyle w:val="TOC2"/>
        <w:tabs>
          <w:tab w:val="right" w:leader="dot" w:pos="9350"/>
        </w:tabs>
        <w:rPr>
          <w:rFonts w:asciiTheme="minorHAnsi" w:eastAsiaTheme="minorEastAsia" w:hAnsiTheme="minorHAnsi"/>
          <w:noProof/>
        </w:rPr>
      </w:pPr>
      <w:hyperlink w:anchor="_Toc227659664" w:history="1">
        <w:r w:rsidRPr="00D92599">
          <w:rPr>
            <w:rStyle w:val="Hyperlink"/>
            <w:noProof/>
          </w:rPr>
          <w:t>2.1 Overview of Working Capital Position</w:t>
        </w:r>
        <w:r>
          <w:rPr>
            <w:noProof/>
            <w:webHidden/>
          </w:rPr>
          <w:tab/>
        </w:r>
        <w:r>
          <w:rPr>
            <w:noProof/>
            <w:webHidden/>
          </w:rPr>
          <w:fldChar w:fldCharType="begin"/>
        </w:r>
        <w:r>
          <w:rPr>
            <w:noProof/>
            <w:webHidden/>
          </w:rPr>
          <w:instrText xml:space="preserve"> PAGEREF _Toc227659664 \h </w:instrText>
        </w:r>
        <w:r>
          <w:rPr>
            <w:noProof/>
            <w:webHidden/>
          </w:rPr>
        </w:r>
        <w:r>
          <w:rPr>
            <w:noProof/>
            <w:webHidden/>
          </w:rPr>
          <w:fldChar w:fldCharType="separate"/>
        </w:r>
        <w:r w:rsidR="0019204C">
          <w:rPr>
            <w:noProof/>
            <w:webHidden/>
          </w:rPr>
          <w:t>24</w:t>
        </w:r>
        <w:r>
          <w:rPr>
            <w:noProof/>
            <w:webHidden/>
          </w:rPr>
          <w:fldChar w:fldCharType="end"/>
        </w:r>
      </w:hyperlink>
    </w:p>
    <w:p w14:paraId="23A5A35C" w14:textId="39C00251" w:rsidR="008775A5" w:rsidRDefault="008775A5">
      <w:pPr>
        <w:pStyle w:val="TOC2"/>
        <w:tabs>
          <w:tab w:val="right" w:leader="dot" w:pos="9350"/>
        </w:tabs>
        <w:rPr>
          <w:rFonts w:asciiTheme="minorHAnsi" w:eastAsiaTheme="minorEastAsia" w:hAnsiTheme="minorHAnsi"/>
          <w:noProof/>
        </w:rPr>
      </w:pPr>
      <w:hyperlink w:anchor="_Toc227659665" w:history="1">
        <w:r w:rsidRPr="00D92599">
          <w:rPr>
            <w:rStyle w:val="Hyperlink"/>
            <w:noProof/>
          </w:rPr>
          <w:t>2.2 Cash Operating Cycle (CCC)</w:t>
        </w:r>
        <w:r>
          <w:rPr>
            <w:noProof/>
            <w:webHidden/>
          </w:rPr>
          <w:tab/>
        </w:r>
        <w:r>
          <w:rPr>
            <w:noProof/>
            <w:webHidden/>
          </w:rPr>
          <w:fldChar w:fldCharType="begin"/>
        </w:r>
        <w:r>
          <w:rPr>
            <w:noProof/>
            <w:webHidden/>
          </w:rPr>
          <w:instrText xml:space="preserve"> PAGEREF _Toc227659665 \h </w:instrText>
        </w:r>
        <w:r>
          <w:rPr>
            <w:noProof/>
            <w:webHidden/>
          </w:rPr>
        </w:r>
        <w:r>
          <w:rPr>
            <w:noProof/>
            <w:webHidden/>
          </w:rPr>
          <w:fldChar w:fldCharType="separate"/>
        </w:r>
        <w:r w:rsidR="0019204C">
          <w:rPr>
            <w:noProof/>
            <w:webHidden/>
          </w:rPr>
          <w:t>26</w:t>
        </w:r>
        <w:r>
          <w:rPr>
            <w:noProof/>
            <w:webHidden/>
          </w:rPr>
          <w:fldChar w:fldCharType="end"/>
        </w:r>
      </w:hyperlink>
    </w:p>
    <w:p w14:paraId="2478B4B9" w14:textId="5E203666" w:rsidR="008775A5" w:rsidRDefault="008775A5">
      <w:pPr>
        <w:pStyle w:val="TOC2"/>
        <w:tabs>
          <w:tab w:val="right" w:leader="dot" w:pos="9350"/>
        </w:tabs>
        <w:rPr>
          <w:rFonts w:asciiTheme="minorHAnsi" w:eastAsiaTheme="minorEastAsia" w:hAnsiTheme="minorHAnsi"/>
          <w:noProof/>
        </w:rPr>
      </w:pPr>
      <w:hyperlink w:anchor="_Toc227659666" w:history="1">
        <w:r w:rsidRPr="00D92599">
          <w:rPr>
            <w:rStyle w:val="Hyperlink"/>
            <w:noProof/>
          </w:rPr>
          <w:t>2.3 Analysis of Liquidity Position</w:t>
        </w:r>
        <w:r>
          <w:rPr>
            <w:noProof/>
            <w:webHidden/>
          </w:rPr>
          <w:tab/>
        </w:r>
        <w:r>
          <w:rPr>
            <w:noProof/>
            <w:webHidden/>
          </w:rPr>
          <w:fldChar w:fldCharType="begin"/>
        </w:r>
        <w:r>
          <w:rPr>
            <w:noProof/>
            <w:webHidden/>
          </w:rPr>
          <w:instrText xml:space="preserve"> PAGEREF _Toc227659666 \h </w:instrText>
        </w:r>
        <w:r>
          <w:rPr>
            <w:noProof/>
            <w:webHidden/>
          </w:rPr>
        </w:r>
        <w:r>
          <w:rPr>
            <w:noProof/>
            <w:webHidden/>
          </w:rPr>
          <w:fldChar w:fldCharType="separate"/>
        </w:r>
        <w:r w:rsidR="0019204C">
          <w:rPr>
            <w:noProof/>
            <w:webHidden/>
          </w:rPr>
          <w:t>27</w:t>
        </w:r>
        <w:r>
          <w:rPr>
            <w:noProof/>
            <w:webHidden/>
          </w:rPr>
          <w:fldChar w:fldCharType="end"/>
        </w:r>
      </w:hyperlink>
    </w:p>
    <w:p w14:paraId="45B9EECE" w14:textId="0CB5729A" w:rsidR="008775A5" w:rsidRDefault="008775A5">
      <w:pPr>
        <w:pStyle w:val="TOC2"/>
        <w:tabs>
          <w:tab w:val="right" w:leader="dot" w:pos="9350"/>
        </w:tabs>
        <w:rPr>
          <w:rFonts w:asciiTheme="minorHAnsi" w:eastAsiaTheme="minorEastAsia" w:hAnsiTheme="minorHAnsi"/>
          <w:noProof/>
        </w:rPr>
      </w:pPr>
      <w:hyperlink w:anchor="_Toc227659667" w:history="1">
        <w:r w:rsidRPr="00D92599">
          <w:rPr>
            <w:rStyle w:val="Hyperlink"/>
            <w:noProof/>
          </w:rPr>
          <w:t>2.4 Issues in Current Working Capital Management</w:t>
        </w:r>
        <w:r>
          <w:rPr>
            <w:noProof/>
            <w:webHidden/>
          </w:rPr>
          <w:tab/>
        </w:r>
        <w:r>
          <w:rPr>
            <w:noProof/>
            <w:webHidden/>
          </w:rPr>
          <w:fldChar w:fldCharType="begin"/>
        </w:r>
        <w:r>
          <w:rPr>
            <w:noProof/>
            <w:webHidden/>
          </w:rPr>
          <w:instrText xml:space="preserve"> PAGEREF _Toc227659667 \h </w:instrText>
        </w:r>
        <w:r>
          <w:rPr>
            <w:noProof/>
            <w:webHidden/>
          </w:rPr>
        </w:r>
        <w:r>
          <w:rPr>
            <w:noProof/>
            <w:webHidden/>
          </w:rPr>
          <w:fldChar w:fldCharType="separate"/>
        </w:r>
        <w:r w:rsidR="0019204C">
          <w:rPr>
            <w:noProof/>
            <w:webHidden/>
          </w:rPr>
          <w:t>28</w:t>
        </w:r>
        <w:r>
          <w:rPr>
            <w:noProof/>
            <w:webHidden/>
          </w:rPr>
          <w:fldChar w:fldCharType="end"/>
        </w:r>
      </w:hyperlink>
    </w:p>
    <w:p w14:paraId="090B2743" w14:textId="1CAE6E45" w:rsidR="008775A5" w:rsidRDefault="008775A5">
      <w:pPr>
        <w:pStyle w:val="TOC2"/>
        <w:tabs>
          <w:tab w:val="right" w:leader="dot" w:pos="9350"/>
        </w:tabs>
        <w:rPr>
          <w:rFonts w:asciiTheme="minorHAnsi" w:eastAsiaTheme="minorEastAsia" w:hAnsiTheme="minorHAnsi"/>
          <w:noProof/>
        </w:rPr>
      </w:pPr>
      <w:hyperlink w:anchor="_Toc227659668" w:history="1">
        <w:r w:rsidRPr="00D92599">
          <w:rPr>
            <w:rStyle w:val="Hyperlink"/>
            <w:noProof/>
          </w:rPr>
          <w:t>2.5 Recommend Working Capital Improvement Strategies</w:t>
        </w:r>
        <w:r>
          <w:rPr>
            <w:noProof/>
            <w:webHidden/>
          </w:rPr>
          <w:tab/>
        </w:r>
        <w:r>
          <w:rPr>
            <w:noProof/>
            <w:webHidden/>
          </w:rPr>
          <w:fldChar w:fldCharType="begin"/>
        </w:r>
        <w:r>
          <w:rPr>
            <w:noProof/>
            <w:webHidden/>
          </w:rPr>
          <w:instrText xml:space="preserve"> PAGEREF _Toc227659668 \h </w:instrText>
        </w:r>
        <w:r>
          <w:rPr>
            <w:noProof/>
            <w:webHidden/>
          </w:rPr>
        </w:r>
        <w:r>
          <w:rPr>
            <w:noProof/>
            <w:webHidden/>
          </w:rPr>
          <w:fldChar w:fldCharType="separate"/>
        </w:r>
        <w:r w:rsidR="0019204C">
          <w:rPr>
            <w:noProof/>
            <w:webHidden/>
          </w:rPr>
          <w:t>29</w:t>
        </w:r>
        <w:r>
          <w:rPr>
            <w:noProof/>
            <w:webHidden/>
          </w:rPr>
          <w:fldChar w:fldCharType="end"/>
        </w:r>
      </w:hyperlink>
    </w:p>
    <w:p w14:paraId="0BEDE154" w14:textId="12806017" w:rsidR="008775A5" w:rsidRDefault="008775A5">
      <w:pPr>
        <w:pStyle w:val="TOC3"/>
        <w:tabs>
          <w:tab w:val="right" w:leader="dot" w:pos="9350"/>
        </w:tabs>
        <w:rPr>
          <w:rFonts w:asciiTheme="minorHAnsi" w:eastAsiaTheme="minorEastAsia" w:hAnsiTheme="minorHAnsi"/>
          <w:noProof/>
        </w:rPr>
      </w:pPr>
      <w:hyperlink w:anchor="_Toc227659669" w:history="1">
        <w:r w:rsidRPr="00D92599">
          <w:rPr>
            <w:rStyle w:val="Hyperlink"/>
            <w:noProof/>
          </w:rPr>
          <w:t>2.5.1 Inventory Management Improvements</w:t>
        </w:r>
        <w:r>
          <w:rPr>
            <w:noProof/>
            <w:webHidden/>
          </w:rPr>
          <w:tab/>
        </w:r>
        <w:r>
          <w:rPr>
            <w:noProof/>
            <w:webHidden/>
          </w:rPr>
          <w:fldChar w:fldCharType="begin"/>
        </w:r>
        <w:r>
          <w:rPr>
            <w:noProof/>
            <w:webHidden/>
          </w:rPr>
          <w:instrText xml:space="preserve"> PAGEREF _Toc227659669 \h </w:instrText>
        </w:r>
        <w:r>
          <w:rPr>
            <w:noProof/>
            <w:webHidden/>
          </w:rPr>
        </w:r>
        <w:r>
          <w:rPr>
            <w:noProof/>
            <w:webHidden/>
          </w:rPr>
          <w:fldChar w:fldCharType="separate"/>
        </w:r>
        <w:r w:rsidR="0019204C">
          <w:rPr>
            <w:noProof/>
            <w:webHidden/>
          </w:rPr>
          <w:t>29</w:t>
        </w:r>
        <w:r>
          <w:rPr>
            <w:noProof/>
            <w:webHidden/>
          </w:rPr>
          <w:fldChar w:fldCharType="end"/>
        </w:r>
      </w:hyperlink>
    </w:p>
    <w:p w14:paraId="3FE9F888" w14:textId="194DE460" w:rsidR="008775A5" w:rsidRDefault="008775A5">
      <w:pPr>
        <w:pStyle w:val="TOC3"/>
        <w:tabs>
          <w:tab w:val="right" w:leader="dot" w:pos="9350"/>
        </w:tabs>
        <w:rPr>
          <w:rFonts w:asciiTheme="minorHAnsi" w:eastAsiaTheme="minorEastAsia" w:hAnsiTheme="minorHAnsi"/>
          <w:noProof/>
        </w:rPr>
      </w:pPr>
      <w:hyperlink w:anchor="_Toc227659670" w:history="1">
        <w:r w:rsidRPr="00D92599">
          <w:rPr>
            <w:rStyle w:val="Hyperlink"/>
            <w:noProof/>
          </w:rPr>
          <w:t>2.5.2 Receivables Management Strategies</w:t>
        </w:r>
        <w:r>
          <w:rPr>
            <w:noProof/>
            <w:webHidden/>
          </w:rPr>
          <w:tab/>
        </w:r>
        <w:r>
          <w:rPr>
            <w:noProof/>
            <w:webHidden/>
          </w:rPr>
          <w:fldChar w:fldCharType="begin"/>
        </w:r>
        <w:r>
          <w:rPr>
            <w:noProof/>
            <w:webHidden/>
          </w:rPr>
          <w:instrText xml:space="preserve"> PAGEREF _Toc227659670 \h </w:instrText>
        </w:r>
        <w:r>
          <w:rPr>
            <w:noProof/>
            <w:webHidden/>
          </w:rPr>
        </w:r>
        <w:r>
          <w:rPr>
            <w:noProof/>
            <w:webHidden/>
          </w:rPr>
          <w:fldChar w:fldCharType="separate"/>
        </w:r>
        <w:r w:rsidR="0019204C">
          <w:rPr>
            <w:noProof/>
            <w:webHidden/>
          </w:rPr>
          <w:t>29</w:t>
        </w:r>
        <w:r>
          <w:rPr>
            <w:noProof/>
            <w:webHidden/>
          </w:rPr>
          <w:fldChar w:fldCharType="end"/>
        </w:r>
      </w:hyperlink>
    </w:p>
    <w:p w14:paraId="0DF048E9" w14:textId="5C99D1B8" w:rsidR="008775A5" w:rsidRDefault="008775A5">
      <w:pPr>
        <w:pStyle w:val="TOC3"/>
        <w:tabs>
          <w:tab w:val="right" w:leader="dot" w:pos="9350"/>
        </w:tabs>
        <w:rPr>
          <w:rFonts w:asciiTheme="minorHAnsi" w:eastAsiaTheme="minorEastAsia" w:hAnsiTheme="minorHAnsi"/>
          <w:noProof/>
        </w:rPr>
      </w:pPr>
      <w:hyperlink w:anchor="_Toc227659671" w:history="1">
        <w:r w:rsidRPr="00D92599">
          <w:rPr>
            <w:rStyle w:val="Hyperlink"/>
            <w:noProof/>
          </w:rPr>
          <w:t>2.5.3 Payables Optimization</w:t>
        </w:r>
        <w:r>
          <w:rPr>
            <w:noProof/>
            <w:webHidden/>
          </w:rPr>
          <w:tab/>
        </w:r>
        <w:r>
          <w:rPr>
            <w:noProof/>
            <w:webHidden/>
          </w:rPr>
          <w:fldChar w:fldCharType="begin"/>
        </w:r>
        <w:r>
          <w:rPr>
            <w:noProof/>
            <w:webHidden/>
          </w:rPr>
          <w:instrText xml:space="preserve"> PAGEREF _Toc227659671 \h </w:instrText>
        </w:r>
        <w:r>
          <w:rPr>
            <w:noProof/>
            <w:webHidden/>
          </w:rPr>
        </w:r>
        <w:r>
          <w:rPr>
            <w:noProof/>
            <w:webHidden/>
          </w:rPr>
          <w:fldChar w:fldCharType="separate"/>
        </w:r>
        <w:r w:rsidR="0019204C">
          <w:rPr>
            <w:noProof/>
            <w:webHidden/>
          </w:rPr>
          <w:t>30</w:t>
        </w:r>
        <w:r>
          <w:rPr>
            <w:noProof/>
            <w:webHidden/>
          </w:rPr>
          <w:fldChar w:fldCharType="end"/>
        </w:r>
      </w:hyperlink>
    </w:p>
    <w:p w14:paraId="5629BB68" w14:textId="2A3B8917" w:rsidR="008775A5" w:rsidRDefault="008775A5">
      <w:pPr>
        <w:pStyle w:val="TOC3"/>
        <w:tabs>
          <w:tab w:val="right" w:leader="dot" w:pos="9350"/>
        </w:tabs>
        <w:rPr>
          <w:rFonts w:asciiTheme="minorHAnsi" w:eastAsiaTheme="minorEastAsia" w:hAnsiTheme="minorHAnsi"/>
          <w:noProof/>
        </w:rPr>
      </w:pPr>
      <w:hyperlink w:anchor="_Toc227659672" w:history="1">
        <w:r w:rsidRPr="00D92599">
          <w:rPr>
            <w:rStyle w:val="Hyperlink"/>
            <w:noProof/>
          </w:rPr>
          <w:t>2.5.4 Cash Management Techniques</w:t>
        </w:r>
        <w:r>
          <w:rPr>
            <w:noProof/>
            <w:webHidden/>
          </w:rPr>
          <w:tab/>
        </w:r>
        <w:r>
          <w:rPr>
            <w:noProof/>
            <w:webHidden/>
          </w:rPr>
          <w:fldChar w:fldCharType="begin"/>
        </w:r>
        <w:r>
          <w:rPr>
            <w:noProof/>
            <w:webHidden/>
          </w:rPr>
          <w:instrText xml:space="preserve"> PAGEREF _Toc227659672 \h </w:instrText>
        </w:r>
        <w:r>
          <w:rPr>
            <w:noProof/>
            <w:webHidden/>
          </w:rPr>
        </w:r>
        <w:r>
          <w:rPr>
            <w:noProof/>
            <w:webHidden/>
          </w:rPr>
          <w:fldChar w:fldCharType="separate"/>
        </w:r>
        <w:r w:rsidR="0019204C">
          <w:rPr>
            <w:noProof/>
            <w:webHidden/>
          </w:rPr>
          <w:t>31</w:t>
        </w:r>
        <w:r>
          <w:rPr>
            <w:noProof/>
            <w:webHidden/>
          </w:rPr>
          <w:fldChar w:fldCharType="end"/>
        </w:r>
      </w:hyperlink>
    </w:p>
    <w:p w14:paraId="1A07576E" w14:textId="6EE76CD6" w:rsidR="008775A5" w:rsidRDefault="008775A5">
      <w:pPr>
        <w:pStyle w:val="TOC2"/>
        <w:tabs>
          <w:tab w:val="right" w:leader="dot" w:pos="9350"/>
        </w:tabs>
        <w:rPr>
          <w:rFonts w:asciiTheme="minorHAnsi" w:eastAsiaTheme="minorEastAsia" w:hAnsiTheme="minorHAnsi"/>
          <w:noProof/>
        </w:rPr>
      </w:pPr>
      <w:hyperlink w:anchor="_Toc227659673" w:history="1">
        <w:r w:rsidRPr="00D92599">
          <w:rPr>
            <w:rStyle w:val="Hyperlink"/>
            <w:noProof/>
          </w:rPr>
          <w:t>2.6 Compare short-term vs long-term financing options</w:t>
        </w:r>
        <w:r>
          <w:rPr>
            <w:noProof/>
            <w:webHidden/>
          </w:rPr>
          <w:tab/>
        </w:r>
        <w:r>
          <w:rPr>
            <w:noProof/>
            <w:webHidden/>
          </w:rPr>
          <w:fldChar w:fldCharType="begin"/>
        </w:r>
        <w:r>
          <w:rPr>
            <w:noProof/>
            <w:webHidden/>
          </w:rPr>
          <w:instrText xml:space="preserve"> PAGEREF _Toc227659673 \h </w:instrText>
        </w:r>
        <w:r>
          <w:rPr>
            <w:noProof/>
            <w:webHidden/>
          </w:rPr>
        </w:r>
        <w:r>
          <w:rPr>
            <w:noProof/>
            <w:webHidden/>
          </w:rPr>
          <w:fldChar w:fldCharType="separate"/>
        </w:r>
        <w:r w:rsidR="0019204C">
          <w:rPr>
            <w:noProof/>
            <w:webHidden/>
          </w:rPr>
          <w:t>31</w:t>
        </w:r>
        <w:r>
          <w:rPr>
            <w:noProof/>
            <w:webHidden/>
          </w:rPr>
          <w:fldChar w:fldCharType="end"/>
        </w:r>
      </w:hyperlink>
    </w:p>
    <w:p w14:paraId="26B1D7DA" w14:textId="3B110793" w:rsidR="008775A5" w:rsidRDefault="008775A5">
      <w:pPr>
        <w:pStyle w:val="TOC3"/>
        <w:tabs>
          <w:tab w:val="right" w:leader="dot" w:pos="9350"/>
        </w:tabs>
        <w:rPr>
          <w:rFonts w:asciiTheme="minorHAnsi" w:eastAsiaTheme="minorEastAsia" w:hAnsiTheme="minorHAnsi"/>
          <w:noProof/>
        </w:rPr>
      </w:pPr>
      <w:hyperlink w:anchor="_Toc227659674" w:history="1">
        <w:r w:rsidRPr="00D92599">
          <w:rPr>
            <w:rStyle w:val="Hyperlink"/>
            <w:noProof/>
          </w:rPr>
          <w:t>2.6.1 Short-Term Financing Options</w:t>
        </w:r>
        <w:r>
          <w:rPr>
            <w:noProof/>
            <w:webHidden/>
          </w:rPr>
          <w:tab/>
        </w:r>
        <w:r>
          <w:rPr>
            <w:noProof/>
            <w:webHidden/>
          </w:rPr>
          <w:fldChar w:fldCharType="begin"/>
        </w:r>
        <w:r>
          <w:rPr>
            <w:noProof/>
            <w:webHidden/>
          </w:rPr>
          <w:instrText xml:space="preserve"> PAGEREF _Toc227659674 \h </w:instrText>
        </w:r>
        <w:r>
          <w:rPr>
            <w:noProof/>
            <w:webHidden/>
          </w:rPr>
        </w:r>
        <w:r>
          <w:rPr>
            <w:noProof/>
            <w:webHidden/>
          </w:rPr>
          <w:fldChar w:fldCharType="separate"/>
        </w:r>
        <w:r w:rsidR="0019204C">
          <w:rPr>
            <w:noProof/>
            <w:webHidden/>
          </w:rPr>
          <w:t>31</w:t>
        </w:r>
        <w:r>
          <w:rPr>
            <w:noProof/>
            <w:webHidden/>
          </w:rPr>
          <w:fldChar w:fldCharType="end"/>
        </w:r>
      </w:hyperlink>
    </w:p>
    <w:p w14:paraId="0FB28537" w14:textId="0A107707" w:rsidR="008775A5" w:rsidRDefault="008775A5">
      <w:pPr>
        <w:pStyle w:val="TOC3"/>
        <w:tabs>
          <w:tab w:val="right" w:leader="dot" w:pos="9350"/>
        </w:tabs>
        <w:rPr>
          <w:rFonts w:asciiTheme="minorHAnsi" w:eastAsiaTheme="minorEastAsia" w:hAnsiTheme="minorHAnsi"/>
          <w:noProof/>
        </w:rPr>
      </w:pPr>
      <w:hyperlink w:anchor="_Toc227659675" w:history="1">
        <w:r w:rsidRPr="00D92599">
          <w:rPr>
            <w:rStyle w:val="Hyperlink"/>
            <w:noProof/>
          </w:rPr>
          <w:t>2.6.2 Long-Term Financing Options</w:t>
        </w:r>
        <w:r>
          <w:rPr>
            <w:noProof/>
            <w:webHidden/>
          </w:rPr>
          <w:tab/>
        </w:r>
        <w:r>
          <w:rPr>
            <w:noProof/>
            <w:webHidden/>
          </w:rPr>
          <w:fldChar w:fldCharType="begin"/>
        </w:r>
        <w:r>
          <w:rPr>
            <w:noProof/>
            <w:webHidden/>
          </w:rPr>
          <w:instrText xml:space="preserve"> PAGEREF _Toc227659675 \h </w:instrText>
        </w:r>
        <w:r>
          <w:rPr>
            <w:noProof/>
            <w:webHidden/>
          </w:rPr>
        </w:r>
        <w:r>
          <w:rPr>
            <w:noProof/>
            <w:webHidden/>
          </w:rPr>
          <w:fldChar w:fldCharType="separate"/>
        </w:r>
        <w:r w:rsidR="0019204C">
          <w:rPr>
            <w:noProof/>
            <w:webHidden/>
          </w:rPr>
          <w:t>31</w:t>
        </w:r>
        <w:r>
          <w:rPr>
            <w:noProof/>
            <w:webHidden/>
          </w:rPr>
          <w:fldChar w:fldCharType="end"/>
        </w:r>
      </w:hyperlink>
    </w:p>
    <w:p w14:paraId="4EAD393D" w14:textId="070BD60A" w:rsidR="008775A5" w:rsidRDefault="008775A5">
      <w:pPr>
        <w:pStyle w:val="TOC2"/>
        <w:tabs>
          <w:tab w:val="right" w:leader="dot" w:pos="9350"/>
        </w:tabs>
        <w:rPr>
          <w:rFonts w:asciiTheme="minorHAnsi" w:eastAsiaTheme="minorEastAsia" w:hAnsiTheme="minorHAnsi"/>
          <w:noProof/>
        </w:rPr>
      </w:pPr>
      <w:hyperlink w:anchor="_Toc227659676" w:history="1">
        <w:r w:rsidRPr="00D92599">
          <w:rPr>
            <w:rStyle w:val="Hyperlink"/>
            <w:noProof/>
          </w:rPr>
          <w:t>2.7 Recommended Working Capital Strategy</w:t>
        </w:r>
        <w:r>
          <w:rPr>
            <w:noProof/>
            <w:webHidden/>
          </w:rPr>
          <w:tab/>
        </w:r>
        <w:r>
          <w:rPr>
            <w:noProof/>
            <w:webHidden/>
          </w:rPr>
          <w:fldChar w:fldCharType="begin"/>
        </w:r>
        <w:r>
          <w:rPr>
            <w:noProof/>
            <w:webHidden/>
          </w:rPr>
          <w:instrText xml:space="preserve"> PAGEREF _Toc227659676 \h </w:instrText>
        </w:r>
        <w:r>
          <w:rPr>
            <w:noProof/>
            <w:webHidden/>
          </w:rPr>
        </w:r>
        <w:r>
          <w:rPr>
            <w:noProof/>
            <w:webHidden/>
          </w:rPr>
          <w:fldChar w:fldCharType="separate"/>
        </w:r>
        <w:r w:rsidR="0019204C">
          <w:rPr>
            <w:noProof/>
            <w:webHidden/>
          </w:rPr>
          <w:t>32</w:t>
        </w:r>
        <w:r>
          <w:rPr>
            <w:noProof/>
            <w:webHidden/>
          </w:rPr>
          <w:fldChar w:fldCharType="end"/>
        </w:r>
      </w:hyperlink>
    </w:p>
    <w:p w14:paraId="6679C415" w14:textId="792FA687" w:rsidR="008775A5" w:rsidRDefault="008775A5">
      <w:pPr>
        <w:pStyle w:val="TOC1"/>
        <w:tabs>
          <w:tab w:val="right" w:leader="dot" w:pos="9350"/>
        </w:tabs>
        <w:rPr>
          <w:rFonts w:asciiTheme="minorHAnsi" w:eastAsiaTheme="minorEastAsia" w:hAnsiTheme="minorHAnsi"/>
          <w:noProof/>
        </w:rPr>
      </w:pPr>
      <w:hyperlink w:anchor="_Toc227659677" w:history="1">
        <w:r w:rsidRPr="00D92599">
          <w:rPr>
            <w:rStyle w:val="Hyperlink"/>
            <w:noProof/>
          </w:rPr>
          <w:t>3. Strategic Financial Restructuring Plan</w:t>
        </w:r>
        <w:r>
          <w:rPr>
            <w:noProof/>
            <w:webHidden/>
          </w:rPr>
          <w:tab/>
        </w:r>
        <w:r>
          <w:rPr>
            <w:noProof/>
            <w:webHidden/>
          </w:rPr>
          <w:fldChar w:fldCharType="begin"/>
        </w:r>
        <w:r>
          <w:rPr>
            <w:noProof/>
            <w:webHidden/>
          </w:rPr>
          <w:instrText xml:space="preserve"> PAGEREF _Toc227659677 \h </w:instrText>
        </w:r>
        <w:r>
          <w:rPr>
            <w:noProof/>
            <w:webHidden/>
          </w:rPr>
        </w:r>
        <w:r>
          <w:rPr>
            <w:noProof/>
            <w:webHidden/>
          </w:rPr>
          <w:fldChar w:fldCharType="separate"/>
        </w:r>
        <w:r w:rsidR="0019204C">
          <w:rPr>
            <w:noProof/>
            <w:webHidden/>
          </w:rPr>
          <w:t>33</w:t>
        </w:r>
        <w:r>
          <w:rPr>
            <w:noProof/>
            <w:webHidden/>
          </w:rPr>
          <w:fldChar w:fldCharType="end"/>
        </w:r>
      </w:hyperlink>
    </w:p>
    <w:p w14:paraId="68643B2F" w14:textId="117009D6" w:rsidR="008775A5" w:rsidRDefault="008775A5">
      <w:pPr>
        <w:pStyle w:val="TOC2"/>
        <w:tabs>
          <w:tab w:val="right" w:leader="dot" w:pos="9350"/>
        </w:tabs>
        <w:rPr>
          <w:rFonts w:asciiTheme="minorHAnsi" w:eastAsiaTheme="minorEastAsia" w:hAnsiTheme="minorHAnsi"/>
          <w:noProof/>
        </w:rPr>
      </w:pPr>
      <w:hyperlink w:anchor="_Toc227659678" w:history="1">
        <w:r w:rsidRPr="00D92599">
          <w:rPr>
            <w:rStyle w:val="Hyperlink"/>
            <w:noProof/>
          </w:rPr>
          <w:t>3.1 Need for Financial Restructuring</w:t>
        </w:r>
        <w:r>
          <w:rPr>
            <w:noProof/>
            <w:webHidden/>
          </w:rPr>
          <w:tab/>
        </w:r>
        <w:r>
          <w:rPr>
            <w:noProof/>
            <w:webHidden/>
          </w:rPr>
          <w:fldChar w:fldCharType="begin"/>
        </w:r>
        <w:r>
          <w:rPr>
            <w:noProof/>
            <w:webHidden/>
          </w:rPr>
          <w:instrText xml:space="preserve"> PAGEREF _Toc227659678 \h </w:instrText>
        </w:r>
        <w:r>
          <w:rPr>
            <w:noProof/>
            <w:webHidden/>
          </w:rPr>
        </w:r>
        <w:r>
          <w:rPr>
            <w:noProof/>
            <w:webHidden/>
          </w:rPr>
          <w:fldChar w:fldCharType="separate"/>
        </w:r>
        <w:r w:rsidR="0019204C">
          <w:rPr>
            <w:noProof/>
            <w:webHidden/>
          </w:rPr>
          <w:t>33</w:t>
        </w:r>
        <w:r>
          <w:rPr>
            <w:noProof/>
            <w:webHidden/>
          </w:rPr>
          <w:fldChar w:fldCharType="end"/>
        </w:r>
      </w:hyperlink>
    </w:p>
    <w:p w14:paraId="683F66F1" w14:textId="1678549A" w:rsidR="008775A5" w:rsidRDefault="008775A5">
      <w:pPr>
        <w:pStyle w:val="TOC2"/>
        <w:tabs>
          <w:tab w:val="right" w:leader="dot" w:pos="9350"/>
        </w:tabs>
        <w:rPr>
          <w:rFonts w:asciiTheme="minorHAnsi" w:eastAsiaTheme="minorEastAsia" w:hAnsiTheme="minorHAnsi"/>
          <w:noProof/>
        </w:rPr>
      </w:pPr>
      <w:hyperlink w:anchor="_Toc227659679" w:history="1">
        <w:r w:rsidRPr="00D92599">
          <w:rPr>
            <w:rStyle w:val="Hyperlink"/>
            <w:noProof/>
          </w:rPr>
          <w:t>3.2 Identified Financial Issues</w:t>
        </w:r>
        <w:r>
          <w:rPr>
            <w:noProof/>
            <w:webHidden/>
          </w:rPr>
          <w:tab/>
        </w:r>
        <w:r>
          <w:rPr>
            <w:noProof/>
            <w:webHidden/>
          </w:rPr>
          <w:fldChar w:fldCharType="begin"/>
        </w:r>
        <w:r>
          <w:rPr>
            <w:noProof/>
            <w:webHidden/>
          </w:rPr>
          <w:instrText xml:space="preserve"> PAGEREF _Toc227659679 \h </w:instrText>
        </w:r>
        <w:r>
          <w:rPr>
            <w:noProof/>
            <w:webHidden/>
          </w:rPr>
        </w:r>
        <w:r>
          <w:rPr>
            <w:noProof/>
            <w:webHidden/>
          </w:rPr>
          <w:fldChar w:fldCharType="separate"/>
        </w:r>
        <w:r w:rsidR="0019204C">
          <w:rPr>
            <w:noProof/>
            <w:webHidden/>
          </w:rPr>
          <w:t>34</w:t>
        </w:r>
        <w:r>
          <w:rPr>
            <w:noProof/>
            <w:webHidden/>
          </w:rPr>
          <w:fldChar w:fldCharType="end"/>
        </w:r>
      </w:hyperlink>
    </w:p>
    <w:p w14:paraId="635D28D4" w14:textId="3151201A" w:rsidR="008775A5" w:rsidRDefault="008775A5">
      <w:pPr>
        <w:pStyle w:val="TOC2"/>
        <w:tabs>
          <w:tab w:val="right" w:leader="dot" w:pos="9350"/>
        </w:tabs>
        <w:rPr>
          <w:rFonts w:asciiTheme="minorHAnsi" w:eastAsiaTheme="minorEastAsia" w:hAnsiTheme="minorHAnsi"/>
          <w:noProof/>
        </w:rPr>
      </w:pPr>
      <w:hyperlink w:anchor="_Toc227659680" w:history="1">
        <w:r w:rsidRPr="00D92599">
          <w:rPr>
            <w:rStyle w:val="Hyperlink"/>
            <w:noProof/>
          </w:rPr>
          <w:t>3.3 Restructuring Options</w:t>
        </w:r>
        <w:r>
          <w:rPr>
            <w:noProof/>
            <w:webHidden/>
          </w:rPr>
          <w:tab/>
        </w:r>
        <w:r>
          <w:rPr>
            <w:noProof/>
            <w:webHidden/>
          </w:rPr>
          <w:fldChar w:fldCharType="begin"/>
        </w:r>
        <w:r>
          <w:rPr>
            <w:noProof/>
            <w:webHidden/>
          </w:rPr>
          <w:instrText xml:space="preserve"> PAGEREF _Toc227659680 \h </w:instrText>
        </w:r>
        <w:r>
          <w:rPr>
            <w:noProof/>
            <w:webHidden/>
          </w:rPr>
        </w:r>
        <w:r>
          <w:rPr>
            <w:noProof/>
            <w:webHidden/>
          </w:rPr>
          <w:fldChar w:fldCharType="separate"/>
        </w:r>
        <w:r w:rsidR="0019204C">
          <w:rPr>
            <w:noProof/>
            <w:webHidden/>
          </w:rPr>
          <w:t>34</w:t>
        </w:r>
        <w:r>
          <w:rPr>
            <w:noProof/>
            <w:webHidden/>
          </w:rPr>
          <w:fldChar w:fldCharType="end"/>
        </w:r>
      </w:hyperlink>
    </w:p>
    <w:p w14:paraId="07F441D5" w14:textId="1B58A27B" w:rsidR="008775A5" w:rsidRDefault="008775A5">
      <w:pPr>
        <w:pStyle w:val="TOC3"/>
        <w:tabs>
          <w:tab w:val="right" w:leader="dot" w:pos="9350"/>
        </w:tabs>
        <w:rPr>
          <w:rFonts w:asciiTheme="minorHAnsi" w:eastAsiaTheme="minorEastAsia" w:hAnsiTheme="minorHAnsi"/>
          <w:noProof/>
        </w:rPr>
      </w:pPr>
      <w:hyperlink w:anchor="_Toc227659681" w:history="1">
        <w:r w:rsidRPr="00D92599">
          <w:rPr>
            <w:rStyle w:val="Hyperlink"/>
            <w:noProof/>
          </w:rPr>
          <w:t>3.3.1 Divestiture Strategy</w:t>
        </w:r>
        <w:r>
          <w:rPr>
            <w:noProof/>
            <w:webHidden/>
          </w:rPr>
          <w:tab/>
        </w:r>
        <w:r>
          <w:rPr>
            <w:noProof/>
            <w:webHidden/>
          </w:rPr>
          <w:fldChar w:fldCharType="begin"/>
        </w:r>
        <w:r>
          <w:rPr>
            <w:noProof/>
            <w:webHidden/>
          </w:rPr>
          <w:instrText xml:space="preserve"> PAGEREF _Toc227659681 \h </w:instrText>
        </w:r>
        <w:r>
          <w:rPr>
            <w:noProof/>
            <w:webHidden/>
          </w:rPr>
        </w:r>
        <w:r>
          <w:rPr>
            <w:noProof/>
            <w:webHidden/>
          </w:rPr>
          <w:fldChar w:fldCharType="separate"/>
        </w:r>
        <w:r w:rsidR="0019204C">
          <w:rPr>
            <w:noProof/>
            <w:webHidden/>
          </w:rPr>
          <w:t>34</w:t>
        </w:r>
        <w:r>
          <w:rPr>
            <w:noProof/>
            <w:webHidden/>
          </w:rPr>
          <w:fldChar w:fldCharType="end"/>
        </w:r>
      </w:hyperlink>
    </w:p>
    <w:p w14:paraId="408E42AC" w14:textId="16DFF9D5" w:rsidR="008775A5" w:rsidRDefault="008775A5">
      <w:pPr>
        <w:pStyle w:val="TOC3"/>
        <w:tabs>
          <w:tab w:val="right" w:leader="dot" w:pos="9350"/>
        </w:tabs>
        <w:rPr>
          <w:rFonts w:asciiTheme="minorHAnsi" w:eastAsiaTheme="minorEastAsia" w:hAnsiTheme="minorHAnsi"/>
          <w:noProof/>
        </w:rPr>
      </w:pPr>
      <w:hyperlink w:anchor="_Toc227659682" w:history="1">
        <w:r w:rsidRPr="00D92599">
          <w:rPr>
            <w:rStyle w:val="Hyperlink"/>
            <w:noProof/>
          </w:rPr>
          <w:t>3.3.2 Merger / Acquisition Strategy</w:t>
        </w:r>
        <w:r>
          <w:rPr>
            <w:noProof/>
            <w:webHidden/>
          </w:rPr>
          <w:tab/>
        </w:r>
        <w:r>
          <w:rPr>
            <w:noProof/>
            <w:webHidden/>
          </w:rPr>
          <w:fldChar w:fldCharType="begin"/>
        </w:r>
        <w:r>
          <w:rPr>
            <w:noProof/>
            <w:webHidden/>
          </w:rPr>
          <w:instrText xml:space="preserve"> PAGEREF _Toc227659682 \h </w:instrText>
        </w:r>
        <w:r>
          <w:rPr>
            <w:noProof/>
            <w:webHidden/>
          </w:rPr>
        </w:r>
        <w:r>
          <w:rPr>
            <w:noProof/>
            <w:webHidden/>
          </w:rPr>
          <w:fldChar w:fldCharType="separate"/>
        </w:r>
        <w:r w:rsidR="0019204C">
          <w:rPr>
            <w:noProof/>
            <w:webHidden/>
          </w:rPr>
          <w:t>35</w:t>
        </w:r>
        <w:r>
          <w:rPr>
            <w:noProof/>
            <w:webHidden/>
          </w:rPr>
          <w:fldChar w:fldCharType="end"/>
        </w:r>
      </w:hyperlink>
    </w:p>
    <w:p w14:paraId="2CA0A677" w14:textId="299A8B31" w:rsidR="008775A5" w:rsidRDefault="008775A5">
      <w:pPr>
        <w:pStyle w:val="TOC3"/>
        <w:tabs>
          <w:tab w:val="right" w:leader="dot" w:pos="9350"/>
        </w:tabs>
        <w:rPr>
          <w:rFonts w:asciiTheme="minorHAnsi" w:eastAsiaTheme="minorEastAsia" w:hAnsiTheme="minorHAnsi"/>
          <w:noProof/>
        </w:rPr>
      </w:pPr>
      <w:hyperlink w:anchor="_Toc227659683" w:history="1">
        <w:r w:rsidRPr="00D92599">
          <w:rPr>
            <w:rStyle w:val="Hyperlink"/>
            <w:noProof/>
          </w:rPr>
          <w:t>3.3.3 Equity Injection</w:t>
        </w:r>
        <w:r>
          <w:rPr>
            <w:noProof/>
            <w:webHidden/>
          </w:rPr>
          <w:tab/>
        </w:r>
        <w:r>
          <w:rPr>
            <w:noProof/>
            <w:webHidden/>
          </w:rPr>
          <w:fldChar w:fldCharType="begin"/>
        </w:r>
        <w:r>
          <w:rPr>
            <w:noProof/>
            <w:webHidden/>
          </w:rPr>
          <w:instrText xml:space="preserve"> PAGEREF _Toc227659683 \h </w:instrText>
        </w:r>
        <w:r>
          <w:rPr>
            <w:noProof/>
            <w:webHidden/>
          </w:rPr>
        </w:r>
        <w:r>
          <w:rPr>
            <w:noProof/>
            <w:webHidden/>
          </w:rPr>
          <w:fldChar w:fldCharType="separate"/>
        </w:r>
        <w:r w:rsidR="0019204C">
          <w:rPr>
            <w:noProof/>
            <w:webHidden/>
          </w:rPr>
          <w:t>36</w:t>
        </w:r>
        <w:r>
          <w:rPr>
            <w:noProof/>
            <w:webHidden/>
          </w:rPr>
          <w:fldChar w:fldCharType="end"/>
        </w:r>
      </w:hyperlink>
    </w:p>
    <w:p w14:paraId="2A1EDEE0" w14:textId="6DDEA987" w:rsidR="008775A5" w:rsidRDefault="008775A5">
      <w:pPr>
        <w:pStyle w:val="TOC3"/>
        <w:tabs>
          <w:tab w:val="right" w:leader="dot" w:pos="9350"/>
        </w:tabs>
        <w:rPr>
          <w:rFonts w:asciiTheme="minorHAnsi" w:eastAsiaTheme="minorEastAsia" w:hAnsiTheme="minorHAnsi"/>
          <w:noProof/>
        </w:rPr>
      </w:pPr>
      <w:hyperlink w:anchor="_Toc227659684" w:history="1">
        <w:r w:rsidRPr="00D92599">
          <w:rPr>
            <w:rStyle w:val="Hyperlink"/>
            <w:noProof/>
          </w:rPr>
          <w:t>3.3.4 Debt Restructuring</w:t>
        </w:r>
        <w:r>
          <w:rPr>
            <w:noProof/>
            <w:webHidden/>
          </w:rPr>
          <w:tab/>
        </w:r>
        <w:r>
          <w:rPr>
            <w:noProof/>
            <w:webHidden/>
          </w:rPr>
          <w:fldChar w:fldCharType="begin"/>
        </w:r>
        <w:r>
          <w:rPr>
            <w:noProof/>
            <w:webHidden/>
          </w:rPr>
          <w:instrText xml:space="preserve"> PAGEREF _Toc227659684 \h </w:instrText>
        </w:r>
        <w:r>
          <w:rPr>
            <w:noProof/>
            <w:webHidden/>
          </w:rPr>
        </w:r>
        <w:r>
          <w:rPr>
            <w:noProof/>
            <w:webHidden/>
          </w:rPr>
          <w:fldChar w:fldCharType="separate"/>
        </w:r>
        <w:r w:rsidR="0019204C">
          <w:rPr>
            <w:noProof/>
            <w:webHidden/>
          </w:rPr>
          <w:t>37</w:t>
        </w:r>
        <w:r>
          <w:rPr>
            <w:noProof/>
            <w:webHidden/>
          </w:rPr>
          <w:fldChar w:fldCharType="end"/>
        </w:r>
      </w:hyperlink>
    </w:p>
    <w:p w14:paraId="7D590153" w14:textId="151220C0" w:rsidR="008775A5" w:rsidRDefault="008775A5">
      <w:pPr>
        <w:pStyle w:val="TOC2"/>
        <w:tabs>
          <w:tab w:val="right" w:leader="dot" w:pos="9350"/>
        </w:tabs>
        <w:rPr>
          <w:rFonts w:asciiTheme="minorHAnsi" w:eastAsiaTheme="minorEastAsia" w:hAnsiTheme="minorHAnsi"/>
          <w:noProof/>
        </w:rPr>
      </w:pPr>
      <w:hyperlink w:anchor="_Toc227659685" w:history="1">
        <w:r w:rsidRPr="00D92599">
          <w:rPr>
            <w:rStyle w:val="Hyperlink"/>
            <w:noProof/>
          </w:rPr>
          <w:t>3.4 Impact on Shareholder Value</w:t>
        </w:r>
        <w:r>
          <w:rPr>
            <w:noProof/>
            <w:webHidden/>
          </w:rPr>
          <w:tab/>
        </w:r>
        <w:r>
          <w:rPr>
            <w:noProof/>
            <w:webHidden/>
          </w:rPr>
          <w:fldChar w:fldCharType="begin"/>
        </w:r>
        <w:r>
          <w:rPr>
            <w:noProof/>
            <w:webHidden/>
          </w:rPr>
          <w:instrText xml:space="preserve"> PAGEREF _Toc227659685 \h </w:instrText>
        </w:r>
        <w:r>
          <w:rPr>
            <w:noProof/>
            <w:webHidden/>
          </w:rPr>
        </w:r>
        <w:r>
          <w:rPr>
            <w:noProof/>
            <w:webHidden/>
          </w:rPr>
          <w:fldChar w:fldCharType="separate"/>
        </w:r>
        <w:r w:rsidR="0019204C">
          <w:rPr>
            <w:noProof/>
            <w:webHidden/>
          </w:rPr>
          <w:t>37</w:t>
        </w:r>
        <w:r>
          <w:rPr>
            <w:noProof/>
            <w:webHidden/>
          </w:rPr>
          <w:fldChar w:fldCharType="end"/>
        </w:r>
      </w:hyperlink>
    </w:p>
    <w:p w14:paraId="5A94D811" w14:textId="2DC724E8" w:rsidR="008775A5" w:rsidRDefault="008775A5">
      <w:pPr>
        <w:pStyle w:val="TOC2"/>
        <w:tabs>
          <w:tab w:val="right" w:leader="dot" w:pos="9350"/>
        </w:tabs>
        <w:rPr>
          <w:rFonts w:asciiTheme="minorHAnsi" w:eastAsiaTheme="minorEastAsia" w:hAnsiTheme="minorHAnsi"/>
          <w:noProof/>
        </w:rPr>
      </w:pPr>
      <w:hyperlink w:anchor="_Toc227659686" w:history="1">
        <w:r w:rsidRPr="00D92599">
          <w:rPr>
            <w:rStyle w:val="Hyperlink"/>
            <w:noProof/>
          </w:rPr>
          <w:t>3.5 Impact on Capital Structure (Debt vs Equity)</w:t>
        </w:r>
        <w:r>
          <w:rPr>
            <w:noProof/>
            <w:webHidden/>
          </w:rPr>
          <w:tab/>
        </w:r>
        <w:r>
          <w:rPr>
            <w:noProof/>
            <w:webHidden/>
          </w:rPr>
          <w:fldChar w:fldCharType="begin"/>
        </w:r>
        <w:r>
          <w:rPr>
            <w:noProof/>
            <w:webHidden/>
          </w:rPr>
          <w:instrText xml:space="preserve"> PAGEREF _Toc227659686 \h </w:instrText>
        </w:r>
        <w:r>
          <w:rPr>
            <w:noProof/>
            <w:webHidden/>
          </w:rPr>
        </w:r>
        <w:r>
          <w:rPr>
            <w:noProof/>
            <w:webHidden/>
          </w:rPr>
          <w:fldChar w:fldCharType="separate"/>
        </w:r>
        <w:r w:rsidR="0019204C">
          <w:rPr>
            <w:noProof/>
            <w:webHidden/>
          </w:rPr>
          <w:t>38</w:t>
        </w:r>
        <w:r>
          <w:rPr>
            <w:noProof/>
            <w:webHidden/>
          </w:rPr>
          <w:fldChar w:fldCharType="end"/>
        </w:r>
      </w:hyperlink>
    </w:p>
    <w:p w14:paraId="1B31FB64" w14:textId="09E4D9EA" w:rsidR="008775A5" w:rsidRDefault="008775A5">
      <w:pPr>
        <w:pStyle w:val="TOC2"/>
        <w:tabs>
          <w:tab w:val="right" w:leader="dot" w:pos="9350"/>
        </w:tabs>
        <w:rPr>
          <w:rFonts w:asciiTheme="minorHAnsi" w:eastAsiaTheme="minorEastAsia" w:hAnsiTheme="minorHAnsi"/>
          <w:noProof/>
        </w:rPr>
      </w:pPr>
      <w:hyperlink w:anchor="_Toc227659687" w:history="1">
        <w:r w:rsidRPr="00D92599">
          <w:rPr>
            <w:rStyle w:val="Hyperlink"/>
            <w:noProof/>
          </w:rPr>
          <w:t>3.6 Impact on Operational Flexibility</w:t>
        </w:r>
        <w:r>
          <w:rPr>
            <w:noProof/>
            <w:webHidden/>
          </w:rPr>
          <w:tab/>
        </w:r>
        <w:r>
          <w:rPr>
            <w:noProof/>
            <w:webHidden/>
          </w:rPr>
          <w:fldChar w:fldCharType="begin"/>
        </w:r>
        <w:r>
          <w:rPr>
            <w:noProof/>
            <w:webHidden/>
          </w:rPr>
          <w:instrText xml:space="preserve"> PAGEREF _Toc227659687 \h </w:instrText>
        </w:r>
        <w:r>
          <w:rPr>
            <w:noProof/>
            <w:webHidden/>
          </w:rPr>
        </w:r>
        <w:r>
          <w:rPr>
            <w:noProof/>
            <w:webHidden/>
          </w:rPr>
          <w:fldChar w:fldCharType="separate"/>
        </w:r>
        <w:r w:rsidR="0019204C">
          <w:rPr>
            <w:noProof/>
            <w:webHidden/>
          </w:rPr>
          <w:t>38</w:t>
        </w:r>
        <w:r>
          <w:rPr>
            <w:noProof/>
            <w:webHidden/>
          </w:rPr>
          <w:fldChar w:fldCharType="end"/>
        </w:r>
      </w:hyperlink>
    </w:p>
    <w:p w14:paraId="6785DE6D" w14:textId="2917C1EB" w:rsidR="008775A5" w:rsidRDefault="008775A5">
      <w:pPr>
        <w:pStyle w:val="TOC2"/>
        <w:tabs>
          <w:tab w:val="right" w:leader="dot" w:pos="9350"/>
        </w:tabs>
        <w:rPr>
          <w:rFonts w:asciiTheme="minorHAnsi" w:eastAsiaTheme="minorEastAsia" w:hAnsiTheme="minorHAnsi"/>
          <w:noProof/>
        </w:rPr>
      </w:pPr>
      <w:hyperlink w:anchor="_Toc227659688" w:history="1">
        <w:r w:rsidRPr="00D92599">
          <w:rPr>
            <w:rStyle w:val="Hyperlink"/>
            <w:noProof/>
          </w:rPr>
          <w:t>3.7 International Considerations</w:t>
        </w:r>
        <w:r>
          <w:rPr>
            <w:noProof/>
            <w:webHidden/>
          </w:rPr>
          <w:tab/>
        </w:r>
        <w:r>
          <w:rPr>
            <w:noProof/>
            <w:webHidden/>
          </w:rPr>
          <w:fldChar w:fldCharType="begin"/>
        </w:r>
        <w:r>
          <w:rPr>
            <w:noProof/>
            <w:webHidden/>
          </w:rPr>
          <w:instrText xml:space="preserve"> PAGEREF _Toc227659688 \h </w:instrText>
        </w:r>
        <w:r>
          <w:rPr>
            <w:noProof/>
            <w:webHidden/>
          </w:rPr>
        </w:r>
        <w:r>
          <w:rPr>
            <w:noProof/>
            <w:webHidden/>
          </w:rPr>
          <w:fldChar w:fldCharType="separate"/>
        </w:r>
        <w:r w:rsidR="0019204C">
          <w:rPr>
            <w:noProof/>
            <w:webHidden/>
          </w:rPr>
          <w:t>39</w:t>
        </w:r>
        <w:r>
          <w:rPr>
            <w:noProof/>
            <w:webHidden/>
          </w:rPr>
          <w:fldChar w:fldCharType="end"/>
        </w:r>
      </w:hyperlink>
    </w:p>
    <w:p w14:paraId="15B2F728" w14:textId="2C2FA05F" w:rsidR="008775A5" w:rsidRDefault="008775A5">
      <w:pPr>
        <w:pStyle w:val="TOC3"/>
        <w:tabs>
          <w:tab w:val="right" w:leader="dot" w:pos="9350"/>
        </w:tabs>
        <w:rPr>
          <w:rFonts w:asciiTheme="minorHAnsi" w:eastAsiaTheme="minorEastAsia" w:hAnsiTheme="minorHAnsi"/>
          <w:noProof/>
        </w:rPr>
      </w:pPr>
      <w:hyperlink w:anchor="_Toc227659689" w:history="1">
        <w:r w:rsidRPr="00D92599">
          <w:rPr>
            <w:rStyle w:val="Hyperlink"/>
            <w:noProof/>
          </w:rPr>
          <w:t>3.7.1 Taxation Implications</w:t>
        </w:r>
        <w:r>
          <w:rPr>
            <w:noProof/>
            <w:webHidden/>
          </w:rPr>
          <w:tab/>
        </w:r>
        <w:r>
          <w:rPr>
            <w:noProof/>
            <w:webHidden/>
          </w:rPr>
          <w:fldChar w:fldCharType="begin"/>
        </w:r>
        <w:r>
          <w:rPr>
            <w:noProof/>
            <w:webHidden/>
          </w:rPr>
          <w:instrText xml:space="preserve"> PAGEREF _Toc227659689 \h </w:instrText>
        </w:r>
        <w:r>
          <w:rPr>
            <w:noProof/>
            <w:webHidden/>
          </w:rPr>
        </w:r>
        <w:r>
          <w:rPr>
            <w:noProof/>
            <w:webHidden/>
          </w:rPr>
          <w:fldChar w:fldCharType="separate"/>
        </w:r>
        <w:r w:rsidR="0019204C">
          <w:rPr>
            <w:noProof/>
            <w:webHidden/>
          </w:rPr>
          <w:t>39</w:t>
        </w:r>
        <w:r>
          <w:rPr>
            <w:noProof/>
            <w:webHidden/>
          </w:rPr>
          <w:fldChar w:fldCharType="end"/>
        </w:r>
      </w:hyperlink>
    </w:p>
    <w:p w14:paraId="0DC0812B" w14:textId="6FCA1CE7" w:rsidR="008775A5" w:rsidRDefault="008775A5">
      <w:pPr>
        <w:pStyle w:val="TOC3"/>
        <w:tabs>
          <w:tab w:val="right" w:leader="dot" w:pos="9350"/>
        </w:tabs>
        <w:rPr>
          <w:rFonts w:asciiTheme="minorHAnsi" w:eastAsiaTheme="minorEastAsia" w:hAnsiTheme="minorHAnsi"/>
          <w:noProof/>
        </w:rPr>
      </w:pPr>
      <w:hyperlink w:anchor="_Toc227659690" w:history="1">
        <w:r w:rsidRPr="00D92599">
          <w:rPr>
            <w:rStyle w:val="Hyperlink"/>
            <w:noProof/>
          </w:rPr>
          <w:t>3.7.2 Currency Risk</w:t>
        </w:r>
        <w:r>
          <w:rPr>
            <w:noProof/>
            <w:webHidden/>
          </w:rPr>
          <w:tab/>
        </w:r>
        <w:r>
          <w:rPr>
            <w:noProof/>
            <w:webHidden/>
          </w:rPr>
          <w:fldChar w:fldCharType="begin"/>
        </w:r>
        <w:r>
          <w:rPr>
            <w:noProof/>
            <w:webHidden/>
          </w:rPr>
          <w:instrText xml:space="preserve"> PAGEREF _Toc227659690 \h </w:instrText>
        </w:r>
        <w:r>
          <w:rPr>
            <w:noProof/>
            <w:webHidden/>
          </w:rPr>
        </w:r>
        <w:r>
          <w:rPr>
            <w:noProof/>
            <w:webHidden/>
          </w:rPr>
          <w:fldChar w:fldCharType="separate"/>
        </w:r>
        <w:r w:rsidR="0019204C">
          <w:rPr>
            <w:noProof/>
            <w:webHidden/>
          </w:rPr>
          <w:t>40</w:t>
        </w:r>
        <w:r>
          <w:rPr>
            <w:noProof/>
            <w:webHidden/>
          </w:rPr>
          <w:fldChar w:fldCharType="end"/>
        </w:r>
      </w:hyperlink>
    </w:p>
    <w:p w14:paraId="2D27F49C" w14:textId="3E6CC684" w:rsidR="008775A5" w:rsidRDefault="008775A5">
      <w:pPr>
        <w:pStyle w:val="TOC3"/>
        <w:tabs>
          <w:tab w:val="right" w:leader="dot" w:pos="9350"/>
        </w:tabs>
        <w:rPr>
          <w:rFonts w:asciiTheme="minorHAnsi" w:eastAsiaTheme="minorEastAsia" w:hAnsiTheme="minorHAnsi"/>
          <w:noProof/>
        </w:rPr>
      </w:pPr>
      <w:hyperlink w:anchor="_Toc227659691" w:history="1">
        <w:r w:rsidRPr="00D92599">
          <w:rPr>
            <w:rStyle w:val="Hyperlink"/>
            <w:noProof/>
          </w:rPr>
          <w:t>3.7.3 Inflation Effects</w:t>
        </w:r>
        <w:r>
          <w:rPr>
            <w:noProof/>
            <w:webHidden/>
          </w:rPr>
          <w:tab/>
        </w:r>
        <w:r>
          <w:rPr>
            <w:noProof/>
            <w:webHidden/>
          </w:rPr>
          <w:fldChar w:fldCharType="begin"/>
        </w:r>
        <w:r>
          <w:rPr>
            <w:noProof/>
            <w:webHidden/>
          </w:rPr>
          <w:instrText xml:space="preserve"> PAGEREF _Toc227659691 \h </w:instrText>
        </w:r>
        <w:r>
          <w:rPr>
            <w:noProof/>
            <w:webHidden/>
          </w:rPr>
        </w:r>
        <w:r>
          <w:rPr>
            <w:noProof/>
            <w:webHidden/>
          </w:rPr>
          <w:fldChar w:fldCharType="separate"/>
        </w:r>
        <w:r w:rsidR="0019204C">
          <w:rPr>
            <w:noProof/>
            <w:webHidden/>
          </w:rPr>
          <w:t>40</w:t>
        </w:r>
        <w:r>
          <w:rPr>
            <w:noProof/>
            <w:webHidden/>
          </w:rPr>
          <w:fldChar w:fldCharType="end"/>
        </w:r>
      </w:hyperlink>
    </w:p>
    <w:p w14:paraId="70DFE208" w14:textId="54483567" w:rsidR="008775A5" w:rsidRDefault="008775A5">
      <w:pPr>
        <w:pStyle w:val="TOC2"/>
        <w:tabs>
          <w:tab w:val="right" w:leader="dot" w:pos="9350"/>
        </w:tabs>
        <w:rPr>
          <w:rFonts w:asciiTheme="minorHAnsi" w:eastAsiaTheme="minorEastAsia" w:hAnsiTheme="minorHAnsi"/>
          <w:noProof/>
        </w:rPr>
      </w:pPr>
      <w:hyperlink w:anchor="_Toc227659692" w:history="1">
        <w:r w:rsidRPr="00D92599">
          <w:rPr>
            <w:rStyle w:val="Hyperlink"/>
            <w:noProof/>
          </w:rPr>
          <w:t>3.8 Ethical Considerations</w:t>
        </w:r>
        <w:r>
          <w:rPr>
            <w:noProof/>
            <w:webHidden/>
          </w:rPr>
          <w:tab/>
        </w:r>
        <w:r>
          <w:rPr>
            <w:noProof/>
            <w:webHidden/>
          </w:rPr>
          <w:fldChar w:fldCharType="begin"/>
        </w:r>
        <w:r>
          <w:rPr>
            <w:noProof/>
            <w:webHidden/>
          </w:rPr>
          <w:instrText xml:space="preserve"> PAGEREF _Toc227659692 \h </w:instrText>
        </w:r>
        <w:r>
          <w:rPr>
            <w:noProof/>
            <w:webHidden/>
          </w:rPr>
        </w:r>
        <w:r>
          <w:rPr>
            <w:noProof/>
            <w:webHidden/>
          </w:rPr>
          <w:fldChar w:fldCharType="separate"/>
        </w:r>
        <w:r w:rsidR="0019204C">
          <w:rPr>
            <w:noProof/>
            <w:webHidden/>
          </w:rPr>
          <w:t>41</w:t>
        </w:r>
        <w:r>
          <w:rPr>
            <w:noProof/>
            <w:webHidden/>
          </w:rPr>
          <w:fldChar w:fldCharType="end"/>
        </w:r>
      </w:hyperlink>
    </w:p>
    <w:p w14:paraId="57EF332F" w14:textId="74814ED9" w:rsidR="008775A5" w:rsidRDefault="008775A5">
      <w:pPr>
        <w:pStyle w:val="TOC3"/>
        <w:tabs>
          <w:tab w:val="right" w:leader="dot" w:pos="9350"/>
        </w:tabs>
        <w:rPr>
          <w:rFonts w:asciiTheme="minorHAnsi" w:eastAsiaTheme="minorEastAsia" w:hAnsiTheme="minorHAnsi"/>
          <w:noProof/>
        </w:rPr>
      </w:pPr>
      <w:hyperlink w:anchor="_Toc227659693" w:history="1">
        <w:r w:rsidRPr="00D92599">
          <w:rPr>
            <w:rStyle w:val="Hyperlink"/>
            <w:noProof/>
          </w:rPr>
          <w:t>3.8.1 Corporate Social Responsibility (CSR)</w:t>
        </w:r>
        <w:r>
          <w:rPr>
            <w:noProof/>
            <w:webHidden/>
          </w:rPr>
          <w:tab/>
        </w:r>
        <w:r>
          <w:rPr>
            <w:noProof/>
            <w:webHidden/>
          </w:rPr>
          <w:fldChar w:fldCharType="begin"/>
        </w:r>
        <w:r>
          <w:rPr>
            <w:noProof/>
            <w:webHidden/>
          </w:rPr>
          <w:instrText xml:space="preserve"> PAGEREF _Toc227659693 \h </w:instrText>
        </w:r>
        <w:r>
          <w:rPr>
            <w:noProof/>
            <w:webHidden/>
          </w:rPr>
        </w:r>
        <w:r>
          <w:rPr>
            <w:noProof/>
            <w:webHidden/>
          </w:rPr>
          <w:fldChar w:fldCharType="separate"/>
        </w:r>
        <w:r w:rsidR="0019204C">
          <w:rPr>
            <w:noProof/>
            <w:webHidden/>
          </w:rPr>
          <w:t>41</w:t>
        </w:r>
        <w:r>
          <w:rPr>
            <w:noProof/>
            <w:webHidden/>
          </w:rPr>
          <w:fldChar w:fldCharType="end"/>
        </w:r>
      </w:hyperlink>
    </w:p>
    <w:p w14:paraId="0E8B69AB" w14:textId="4FF7DC5F" w:rsidR="008775A5" w:rsidRDefault="008775A5">
      <w:pPr>
        <w:pStyle w:val="TOC3"/>
        <w:tabs>
          <w:tab w:val="right" w:leader="dot" w:pos="9350"/>
        </w:tabs>
        <w:rPr>
          <w:rFonts w:asciiTheme="minorHAnsi" w:eastAsiaTheme="minorEastAsia" w:hAnsiTheme="minorHAnsi"/>
          <w:noProof/>
        </w:rPr>
      </w:pPr>
      <w:hyperlink w:anchor="_Toc227659694" w:history="1">
        <w:r w:rsidRPr="00D92599">
          <w:rPr>
            <w:rStyle w:val="Hyperlink"/>
            <w:noProof/>
          </w:rPr>
          <w:t>3.8.2 Sustainability and ESG</w:t>
        </w:r>
        <w:r>
          <w:rPr>
            <w:noProof/>
            <w:webHidden/>
          </w:rPr>
          <w:tab/>
        </w:r>
        <w:r>
          <w:rPr>
            <w:noProof/>
            <w:webHidden/>
          </w:rPr>
          <w:fldChar w:fldCharType="begin"/>
        </w:r>
        <w:r>
          <w:rPr>
            <w:noProof/>
            <w:webHidden/>
          </w:rPr>
          <w:instrText xml:space="preserve"> PAGEREF _Toc227659694 \h </w:instrText>
        </w:r>
        <w:r>
          <w:rPr>
            <w:noProof/>
            <w:webHidden/>
          </w:rPr>
        </w:r>
        <w:r>
          <w:rPr>
            <w:noProof/>
            <w:webHidden/>
          </w:rPr>
          <w:fldChar w:fldCharType="separate"/>
        </w:r>
        <w:r w:rsidR="0019204C">
          <w:rPr>
            <w:noProof/>
            <w:webHidden/>
          </w:rPr>
          <w:t>42</w:t>
        </w:r>
        <w:r>
          <w:rPr>
            <w:noProof/>
            <w:webHidden/>
          </w:rPr>
          <w:fldChar w:fldCharType="end"/>
        </w:r>
      </w:hyperlink>
    </w:p>
    <w:p w14:paraId="15618590" w14:textId="32C73740" w:rsidR="008775A5" w:rsidRDefault="008775A5">
      <w:pPr>
        <w:pStyle w:val="TOC2"/>
        <w:tabs>
          <w:tab w:val="right" w:leader="dot" w:pos="9350"/>
        </w:tabs>
        <w:rPr>
          <w:rFonts w:asciiTheme="minorHAnsi" w:eastAsiaTheme="minorEastAsia" w:hAnsiTheme="minorHAnsi"/>
          <w:noProof/>
        </w:rPr>
      </w:pPr>
      <w:hyperlink w:anchor="_Toc227659695" w:history="1">
        <w:r w:rsidRPr="00D92599">
          <w:rPr>
            <w:rStyle w:val="Hyperlink"/>
            <w:noProof/>
          </w:rPr>
          <w:t>3.9 Recommended Restructuring Plan</w:t>
        </w:r>
        <w:r>
          <w:rPr>
            <w:noProof/>
            <w:webHidden/>
          </w:rPr>
          <w:tab/>
        </w:r>
        <w:r>
          <w:rPr>
            <w:noProof/>
            <w:webHidden/>
          </w:rPr>
          <w:fldChar w:fldCharType="begin"/>
        </w:r>
        <w:r>
          <w:rPr>
            <w:noProof/>
            <w:webHidden/>
          </w:rPr>
          <w:instrText xml:space="preserve"> PAGEREF _Toc227659695 \h </w:instrText>
        </w:r>
        <w:r>
          <w:rPr>
            <w:noProof/>
            <w:webHidden/>
          </w:rPr>
        </w:r>
        <w:r>
          <w:rPr>
            <w:noProof/>
            <w:webHidden/>
          </w:rPr>
          <w:fldChar w:fldCharType="separate"/>
        </w:r>
        <w:r w:rsidR="0019204C">
          <w:rPr>
            <w:noProof/>
            <w:webHidden/>
          </w:rPr>
          <w:t>43</w:t>
        </w:r>
        <w:r>
          <w:rPr>
            <w:noProof/>
            <w:webHidden/>
          </w:rPr>
          <w:fldChar w:fldCharType="end"/>
        </w:r>
      </w:hyperlink>
    </w:p>
    <w:p w14:paraId="594DA0E1" w14:textId="60CCC49E" w:rsidR="008775A5" w:rsidRDefault="008775A5">
      <w:pPr>
        <w:pStyle w:val="TOC1"/>
        <w:tabs>
          <w:tab w:val="right" w:leader="dot" w:pos="9350"/>
        </w:tabs>
        <w:rPr>
          <w:rFonts w:asciiTheme="minorHAnsi" w:eastAsiaTheme="minorEastAsia" w:hAnsiTheme="minorHAnsi"/>
          <w:noProof/>
        </w:rPr>
      </w:pPr>
      <w:hyperlink w:anchor="_Toc227659696" w:history="1">
        <w:r w:rsidRPr="00D92599">
          <w:rPr>
            <w:rStyle w:val="Hyperlink"/>
            <w:noProof/>
          </w:rPr>
          <w:t>4. Investment Appraisal and Capital Budgeting</w:t>
        </w:r>
        <w:r>
          <w:rPr>
            <w:noProof/>
            <w:webHidden/>
          </w:rPr>
          <w:tab/>
        </w:r>
        <w:r>
          <w:rPr>
            <w:noProof/>
            <w:webHidden/>
          </w:rPr>
          <w:fldChar w:fldCharType="begin"/>
        </w:r>
        <w:r>
          <w:rPr>
            <w:noProof/>
            <w:webHidden/>
          </w:rPr>
          <w:instrText xml:space="preserve"> PAGEREF _Toc227659696 \h </w:instrText>
        </w:r>
        <w:r>
          <w:rPr>
            <w:noProof/>
            <w:webHidden/>
          </w:rPr>
        </w:r>
        <w:r>
          <w:rPr>
            <w:noProof/>
            <w:webHidden/>
          </w:rPr>
          <w:fldChar w:fldCharType="separate"/>
        </w:r>
        <w:r w:rsidR="0019204C">
          <w:rPr>
            <w:noProof/>
            <w:webHidden/>
          </w:rPr>
          <w:t>43</w:t>
        </w:r>
        <w:r>
          <w:rPr>
            <w:noProof/>
            <w:webHidden/>
          </w:rPr>
          <w:fldChar w:fldCharType="end"/>
        </w:r>
      </w:hyperlink>
    </w:p>
    <w:p w14:paraId="1221C117" w14:textId="4C17DCE6" w:rsidR="008775A5" w:rsidRDefault="008775A5">
      <w:pPr>
        <w:pStyle w:val="TOC2"/>
        <w:tabs>
          <w:tab w:val="right" w:leader="dot" w:pos="9350"/>
        </w:tabs>
        <w:rPr>
          <w:rFonts w:asciiTheme="minorHAnsi" w:eastAsiaTheme="minorEastAsia" w:hAnsiTheme="minorHAnsi"/>
          <w:noProof/>
        </w:rPr>
      </w:pPr>
      <w:hyperlink w:anchor="_Toc227659697" w:history="1">
        <w:r w:rsidRPr="00D92599">
          <w:rPr>
            <w:rStyle w:val="Hyperlink"/>
            <w:noProof/>
          </w:rPr>
          <w:t>4.1 Introduction to Investment Projects</w:t>
        </w:r>
        <w:r>
          <w:rPr>
            <w:noProof/>
            <w:webHidden/>
          </w:rPr>
          <w:tab/>
        </w:r>
        <w:r>
          <w:rPr>
            <w:noProof/>
            <w:webHidden/>
          </w:rPr>
          <w:fldChar w:fldCharType="begin"/>
        </w:r>
        <w:r>
          <w:rPr>
            <w:noProof/>
            <w:webHidden/>
          </w:rPr>
          <w:instrText xml:space="preserve"> PAGEREF _Toc227659697 \h </w:instrText>
        </w:r>
        <w:r>
          <w:rPr>
            <w:noProof/>
            <w:webHidden/>
          </w:rPr>
        </w:r>
        <w:r>
          <w:rPr>
            <w:noProof/>
            <w:webHidden/>
          </w:rPr>
          <w:fldChar w:fldCharType="separate"/>
        </w:r>
        <w:r w:rsidR="0019204C">
          <w:rPr>
            <w:noProof/>
            <w:webHidden/>
          </w:rPr>
          <w:t>43</w:t>
        </w:r>
        <w:r>
          <w:rPr>
            <w:noProof/>
            <w:webHidden/>
          </w:rPr>
          <w:fldChar w:fldCharType="end"/>
        </w:r>
      </w:hyperlink>
    </w:p>
    <w:p w14:paraId="33F951AB" w14:textId="4FD08DA7" w:rsidR="008775A5" w:rsidRDefault="008775A5">
      <w:pPr>
        <w:pStyle w:val="TOC2"/>
        <w:tabs>
          <w:tab w:val="right" w:leader="dot" w:pos="9350"/>
        </w:tabs>
        <w:rPr>
          <w:rFonts w:asciiTheme="minorHAnsi" w:eastAsiaTheme="minorEastAsia" w:hAnsiTheme="minorHAnsi"/>
          <w:noProof/>
        </w:rPr>
      </w:pPr>
      <w:hyperlink w:anchor="_Toc227659698" w:history="1">
        <w:r w:rsidRPr="00D92599">
          <w:rPr>
            <w:rStyle w:val="Hyperlink"/>
            <w:noProof/>
          </w:rPr>
          <w:t>4.2 Payback Period (PBP)</w:t>
        </w:r>
        <w:r>
          <w:rPr>
            <w:noProof/>
            <w:webHidden/>
          </w:rPr>
          <w:tab/>
        </w:r>
        <w:r>
          <w:rPr>
            <w:noProof/>
            <w:webHidden/>
          </w:rPr>
          <w:fldChar w:fldCharType="begin"/>
        </w:r>
        <w:r>
          <w:rPr>
            <w:noProof/>
            <w:webHidden/>
          </w:rPr>
          <w:instrText xml:space="preserve"> PAGEREF _Toc227659698 \h </w:instrText>
        </w:r>
        <w:r>
          <w:rPr>
            <w:noProof/>
            <w:webHidden/>
          </w:rPr>
        </w:r>
        <w:r>
          <w:rPr>
            <w:noProof/>
            <w:webHidden/>
          </w:rPr>
          <w:fldChar w:fldCharType="separate"/>
        </w:r>
        <w:r w:rsidR="0019204C">
          <w:rPr>
            <w:noProof/>
            <w:webHidden/>
          </w:rPr>
          <w:t>44</w:t>
        </w:r>
        <w:r>
          <w:rPr>
            <w:noProof/>
            <w:webHidden/>
          </w:rPr>
          <w:fldChar w:fldCharType="end"/>
        </w:r>
      </w:hyperlink>
    </w:p>
    <w:p w14:paraId="7EBEDD71" w14:textId="18FB9840" w:rsidR="008775A5" w:rsidRDefault="008775A5">
      <w:pPr>
        <w:pStyle w:val="TOC2"/>
        <w:tabs>
          <w:tab w:val="right" w:leader="dot" w:pos="9350"/>
        </w:tabs>
        <w:rPr>
          <w:rFonts w:asciiTheme="minorHAnsi" w:eastAsiaTheme="minorEastAsia" w:hAnsiTheme="minorHAnsi"/>
          <w:noProof/>
        </w:rPr>
      </w:pPr>
      <w:hyperlink w:anchor="_Toc227659699" w:history="1">
        <w:r w:rsidRPr="00D92599">
          <w:rPr>
            <w:rStyle w:val="Hyperlink"/>
            <w:noProof/>
          </w:rPr>
          <w:t>4.3 Accounting Rate of Return (ARR)</w:t>
        </w:r>
        <w:r>
          <w:rPr>
            <w:noProof/>
            <w:webHidden/>
          </w:rPr>
          <w:tab/>
        </w:r>
        <w:r>
          <w:rPr>
            <w:noProof/>
            <w:webHidden/>
          </w:rPr>
          <w:fldChar w:fldCharType="begin"/>
        </w:r>
        <w:r>
          <w:rPr>
            <w:noProof/>
            <w:webHidden/>
          </w:rPr>
          <w:instrText xml:space="preserve"> PAGEREF _Toc227659699 \h </w:instrText>
        </w:r>
        <w:r>
          <w:rPr>
            <w:noProof/>
            <w:webHidden/>
          </w:rPr>
        </w:r>
        <w:r>
          <w:rPr>
            <w:noProof/>
            <w:webHidden/>
          </w:rPr>
          <w:fldChar w:fldCharType="separate"/>
        </w:r>
        <w:r w:rsidR="0019204C">
          <w:rPr>
            <w:noProof/>
            <w:webHidden/>
          </w:rPr>
          <w:t>44</w:t>
        </w:r>
        <w:r>
          <w:rPr>
            <w:noProof/>
            <w:webHidden/>
          </w:rPr>
          <w:fldChar w:fldCharType="end"/>
        </w:r>
      </w:hyperlink>
    </w:p>
    <w:p w14:paraId="7B422D76" w14:textId="2CCAEFF6" w:rsidR="008775A5" w:rsidRDefault="008775A5">
      <w:pPr>
        <w:pStyle w:val="TOC2"/>
        <w:tabs>
          <w:tab w:val="right" w:leader="dot" w:pos="9350"/>
        </w:tabs>
        <w:rPr>
          <w:rFonts w:asciiTheme="minorHAnsi" w:eastAsiaTheme="minorEastAsia" w:hAnsiTheme="minorHAnsi"/>
          <w:noProof/>
        </w:rPr>
      </w:pPr>
      <w:hyperlink w:anchor="_Toc227659700" w:history="1">
        <w:r w:rsidRPr="00D92599">
          <w:rPr>
            <w:rStyle w:val="Hyperlink"/>
            <w:noProof/>
          </w:rPr>
          <w:t>4.4 Net Present Value (NPV)</w:t>
        </w:r>
        <w:r>
          <w:rPr>
            <w:noProof/>
            <w:webHidden/>
          </w:rPr>
          <w:tab/>
        </w:r>
        <w:r>
          <w:rPr>
            <w:noProof/>
            <w:webHidden/>
          </w:rPr>
          <w:fldChar w:fldCharType="begin"/>
        </w:r>
        <w:r>
          <w:rPr>
            <w:noProof/>
            <w:webHidden/>
          </w:rPr>
          <w:instrText xml:space="preserve"> PAGEREF _Toc227659700 \h </w:instrText>
        </w:r>
        <w:r>
          <w:rPr>
            <w:noProof/>
            <w:webHidden/>
          </w:rPr>
        </w:r>
        <w:r>
          <w:rPr>
            <w:noProof/>
            <w:webHidden/>
          </w:rPr>
          <w:fldChar w:fldCharType="separate"/>
        </w:r>
        <w:r w:rsidR="0019204C">
          <w:rPr>
            <w:noProof/>
            <w:webHidden/>
          </w:rPr>
          <w:t>45</w:t>
        </w:r>
        <w:r>
          <w:rPr>
            <w:noProof/>
            <w:webHidden/>
          </w:rPr>
          <w:fldChar w:fldCharType="end"/>
        </w:r>
      </w:hyperlink>
    </w:p>
    <w:p w14:paraId="34D6F9FC" w14:textId="72005F5C" w:rsidR="008775A5" w:rsidRDefault="008775A5">
      <w:pPr>
        <w:pStyle w:val="TOC2"/>
        <w:tabs>
          <w:tab w:val="right" w:leader="dot" w:pos="9350"/>
        </w:tabs>
        <w:rPr>
          <w:rFonts w:asciiTheme="minorHAnsi" w:eastAsiaTheme="minorEastAsia" w:hAnsiTheme="minorHAnsi"/>
          <w:noProof/>
        </w:rPr>
      </w:pPr>
      <w:hyperlink w:anchor="_Toc227659701" w:history="1">
        <w:r w:rsidRPr="00D92599">
          <w:rPr>
            <w:rStyle w:val="Hyperlink"/>
            <w:noProof/>
          </w:rPr>
          <w:t>4.5 Profitability Index (PI)</w:t>
        </w:r>
        <w:r>
          <w:rPr>
            <w:noProof/>
            <w:webHidden/>
          </w:rPr>
          <w:tab/>
        </w:r>
        <w:r>
          <w:rPr>
            <w:noProof/>
            <w:webHidden/>
          </w:rPr>
          <w:fldChar w:fldCharType="begin"/>
        </w:r>
        <w:r>
          <w:rPr>
            <w:noProof/>
            <w:webHidden/>
          </w:rPr>
          <w:instrText xml:space="preserve"> PAGEREF _Toc227659701 \h </w:instrText>
        </w:r>
        <w:r>
          <w:rPr>
            <w:noProof/>
            <w:webHidden/>
          </w:rPr>
        </w:r>
        <w:r>
          <w:rPr>
            <w:noProof/>
            <w:webHidden/>
          </w:rPr>
          <w:fldChar w:fldCharType="separate"/>
        </w:r>
        <w:r w:rsidR="0019204C">
          <w:rPr>
            <w:noProof/>
            <w:webHidden/>
          </w:rPr>
          <w:t>45</w:t>
        </w:r>
        <w:r>
          <w:rPr>
            <w:noProof/>
            <w:webHidden/>
          </w:rPr>
          <w:fldChar w:fldCharType="end"/>
        </w:r>
      </w:hyperlink>
    </w:p>
    <w:p w14:paraId="3641049A" w14:textId="5EA992C5" w:rsidR="008775A5" w:rsidRDefault="008775A5">
      <w:pPr>
        <w:pStyle w:val="TOC2"/>
        <w:tabs>
          <w:tab w:val="right" w:leader="dot" w:pos="9350"/>
        </w:tabs>
        <w:rPr>
          <w:rFonts w:asciiTheme="minorHAnsi" w:eastAsiaTheme="minorEastAsia" w:hAnsiTheme="minorHAnsi"/>
          <w:noProof/>
        </w:rPr>
      </w:pPr>
      <w:hyperlink w:anchor="_Toc227659702" w:history="1">
        <w:r w:rsidRPr="00D92599">
          <w:rPr>
            <w:rStyle w:val="Hyperlink"/>
            <w:noProof/>
          </w:rPr>
          <w:t>4.6 Internal Rate of Return (IRR)</w:t>
        </w:r>
        <w:r>
          <w:rPr>
            <w:noProof/>
            <w:webHidden/>
          </w:rPr>
          <w:tab/>
        </w:r>
        <w:r>
          <w:rPr>
            <w:noProof/>
            <w:webHidden/>
          </w:rPr>
          <w:fldChar w:fldCharType="begin"/>
        </w:r>
        <w:r>
          <w:rPr>
            <w:noProof/>
            <w:webHidden/>
          </w:rPr>
          <w:instrText xml:space="preserve"> PAGEREF _Toc227659702 \h </w:instrText>
        </w:r>
        <w:r>
          <w:rPr>
            <w:noProof/>
            <w:webHidden/>
          </w:rPr>
        </w:r>
        <w:r>
          <w:rPr>
            <w:noProof/>
            <w:webHidden/>
          </w:rPr>
          <w:fldChar w:fldCharType="separate"/>
        </w:r>
        <w:r w:rsidR="0019204C">
          <w:rPr>
            <w:noProof/>
            <w:webHidden/>
          </w:rPr>
          <w:t>46</w:t>
        </w:r>
        <w:r>
          <w:rPr>
            <w:noProof/>
            <w:webHidden/>
          </w:rPr>
          <w:fldChar w:fldCharType="end"/>
        </w:r>
      </w:hyperlink>
    </w:p>
    <w:p w14:paraId="775A496E" w14:textId="7E702573" w:rsidR="008775A5" w:rsidRDefault="008775A5">
      <w:pPr>
        <w:pStyle w:val="TOC2"/>
        <w:tabs>
          <w:tab w:val="right" w:leader="dot" w:pos="9350"/>
        </w:tabs>
        <w:rPr>
          <w:rFonts w:asciiTheme="minorHAnsi" w:eastAsiaTheme="minorEastAsia" w:hAnsiTheme="minorHAnsi"/>
          <w:noProof/>
        </w:rPr>
      </w:pPr>
      <w:hyperlink w:anchor="_Toc227659703" w:history="1">
        <w:r w:rsidRPr="00D92599">
          <w:rPr>
            <w:rStyle w:val="Hyperlink"/>
            <w:noProof/>
          </w:rPr>
          <w:t>4.7 Comparative Evaluation of Projects</w:t>
        </w:r>
        <w:r>
          <w:rPr>
            <w:noProof/>
            <w:webHidden/>
          </w:rPr>
          <w:tab/>
        </w:r>
        <w:r>
          <w:rPr>
            <w:noProof/>
            <w:webHidden/>
          </w:rPr>
          <w:fldChar w:fldCharType="begin"/>
        </w:r>
        <w:r>
          <w:rPr>
            <w:noProof/>
            <w:webHidden/>
          </w:rPr>
          <w:instrText xml:space="preserve"> PAGEREF _Toc227659703 \h </w:instrText>
        </w:r>
        <w:r>
          <w:rPr>
            <w:noProof/>
            <w:webHidden/>
          </w:rPr>
        </w:r>
        <w:r>
          <w:rPr>
            <w:noProof/>
            <w:webHidden/>
          </w:rPr>
          <w:fldChar w:fldCharType="separate"/>
        </w:r>
        <w:r w:rsidR="0019204C">
          <w:rPr>
            <w:noProof/>
            <w:webHidden/>
          </w:rPr>
          <w:t>47</w:t>
        </w:r>
        <w:r>
          <w:rPr>
            <w:noProof/>
            <w:webHidden/>
          </w:rPr>
          <w:fldChar w:fldCharType="end"/>
        </w:r>
      </w:hyperlink>
    </w:p>
    <w:p w14:paraId="5DBFF7B9" w14:textId="13482B91" w:rsidR="008775A5" w:rsidRDefault="008775A5">
      <w:pPr>
        <w:pStyle w:val="TOC2"/>
        <w:tabs>
          <w:tab w:val="right" w:leader="dot" w:pos="9350"/>
        </w:tabs>
        <w:rPr>
          <w:rFonts w:asciiTheme="minorHAnsi" w:eastAsiaTheme="minorEastAsia" w:hAnsiTheme="minorHAnsi"/>
          <w:noProof/>
        </w:rPr>
      </w:pPr>
      <w:hyperlink w:anchor="_Toc227659704" w:history="1">
        <w:r w:rsidRPr="00D92599">
          <w:rPr>
            <w:rStyle w:val="Hyperlink"/>
            <w:noProof/>
          </w:rPr>
          <w:t>4.8 Recommended Project (Single Selection)</w:t>
        </w:r>
        <w:r>
          <w:rPr>
            <w:noProof/>
            <w:webHidden/>
          </w:rPr>
          <w:tab/>
        </w:r>
        <w:r>
          <w:rPr>
            <w:noProof/>
            <w:webHidden/>
          </w:rPr>
          <w:fldChar w:fldCharType="begin"/>
        </w:r>
        <w:r>
          <w:rPr>
            <w:noProof/>
            <w:webHidden/>
          </w:rPr>
          <w:instrText xml:space="preserve"> PAGEREF _Toc227659704 \h </w:instrText>
        </w:r>
        <w:r>
          <w:rPr>
            <w:noProof/>
            <w:webHidden/>
          </w:rPr>
        </w:r>
        <w:r>
          <w:rPr>
            <w:noProof/>
            <w:webHidden/>
          </w:rPr>
          <w:fldChar w:fldCharType="separate"/>
        </w:r>
        <w:r w:rsidR="0019204C">
          <w:rPr>
            <w:noProof/>
            <w:webHidden/>
          </w:rPr>
          <w:t>47</w:t>
        </w:r>
        <w:r>
          <w:rPr>
            <w:noProof/>
            <w:webHidden/>
          </w:rPr>
          <w:fldChar w:fldCharType="end"/>
        </w:r>
      </w:hyperlink>
    </w:p>
    <w:p w14:paraId="288F4A4D" w14:textId="08A4BD75" w:rsidR="008775A5" w:rsidRDefault="008775A5">
      <w:pPr>
        <w:pStyle w:val="TOC2"/>
        <w:tabs>
          <w:tab w:val="right" w:leader="dot" w:pos="9350"/>
        </w:tabs>
        <w:rPr>
          <w:rFonts w:asciiTheme="minorHAnsi" w:eastAsiaTheme="minorEastAsia" w:hAnsiTheme="minorHAnsi"/>
          <w:noProof/>
        </w:rPr>
      </w:pPr>
      <w:hyperlink w:anchor="_Toc227659705" w:history="1">
        <w:r w:rsidRPr="00D92599">
          <w:rPr>
            <w:rStyle w:val="Hyperlink"/>
            <w:noProof/>
          </w:rPr>
          <w:t>4.9 Justification Based on Financial Performance</w:t>
        </w:r>
        <w:r>
          <w:rPr>
            <w:noProof/>
            <w:webHidden/>
          </w:rPr>
          <w:tab/>
        </w:r>
        <w:r>
          <w:rPr>
            <w:noProof/>
            <w:webHidden/>
          </w:rPr>
          <w:fldChar w:fldCharType="begin"/>
        </w:r>
        <w:r>
          <w:rPr>
            <w:noProof/>
            <w:webHidden/>
          </w:rPr>
          <w:instrText xml:space="preserve"> PAGEREF _Toc227659705 \h </w:instrText>
        </w:r>
        <w:r>
          <w:rPr>
            <w:noProof/>
            <w:webHidden/>
          </w:rPr>
        </w:r>
        <w:r>
          <w:rPr>
            <w:noProof/>
            <w:webHidden/>
          </w:rPr>
          <w:fldChar w:fldCharType="separate"/>
        </w:r>
        <w:r w:rsidR="0019204C">
          <w:rPr>
            <w:noProof/>
            <w:webHidden/>
          </w:rPr>
          <w:t>48</w:t>
        </w:r>
        <w:r>
          <w:rPr>
            <w:noProof/>
            <w:webHidden/>
          </w:rPr>
          <w:fldChar w:fldCharType="end"/>
        </w:r>
      </w:hyperlink>
    </w:p>
    <w:p w14:paraId="1C223A80" w14:textId="0E88F29B" w:rsidR="008775A5" w:rsidRDefault="008775A5">
      <w:pPr>
        <w:pStyle w:val="TOC3"/>
        <w:tabs>
          <w:tab w:val="right" w:leader="dot" w:pos="9350"/>
        </w:tabs>
        <w:rPr>
          <w:rFonts w:asciiTheme="minorHAnsi" w:eastAsiaTheme="minorEastAsia" w:hAnsiTheme="minorHAnsi"/>
          <w:noProof/>
        </w:rPr>
      </w:pPr>
      <w:hyperlink w:anchor="_Toc227659706" w:history="1">
        <w:r w:rsidRPr="00D92599">
          <w:rPr>
            <w:rStyle w:val="Hyperlink"/>
            <w:noProof/>
          </w:rPr>
          <w:t>4.9.1 Profitability Considerations</w:t>
        </w:r>
        <w:r>
          <w:rPr>
            <w:noProof/>
            <w:webHidden/>
          </w:rPr>
          <w:tab/>
        </w:r>
        <w:r>
          <w:rPr>
            <w:noProof/>
            <w:webHidden/>
          </w:rPr>
          <w:fldChar w:fldCharType="begin"/>
        </w:r>
        <w:r>
          <w:rPr>
            <w:noProof/>
            <w:webHidden/>
          </w:rPr>
          <w:instrText xml:space="preserve"> PAGEREF _Toc227659706 \h </w:instrText>
        </w:r>
        <w:r>
          <w:rPr>
            <w:noProof/>
            <w:webHidden/>
          </w:rPr>
        </w:r>
        <w:r>
          <w:rPr>
            <w:noProof/>
            <w:webHidden/>
          </w:rPr>
          <w:fldChar w:fldCharType="separate"/>
        </w:r>
        <w:r w:rsidR="0019204C">
          <w:rPr>
            <w:noProof/>
            <w:webHidden/>
          </w:rPr>
          <w:t>48</w:t>
        </w:r>
        <w:r>
          <w:rPr>
            <w:noProof/>
            <w:webHidden/>
          </w:rPr>
          <w:fldChar w:fldCharType="end"/>
        </w:r>
      </w:hyperlink>
    </w:p>
    <w:p w14:paraId="682B01C3" w14:textId="322D0B9D" w:rsidR="008775A5" w:rsidRDefault="008775A5">
      <w:pPr>
        <w:pStyle w:val="TOC3"/>
        <w:tabs>
          <w:tab w:val="right" w:leader="dot" w:pos="9350"/>
        </w:tabs>
        <w:rPr>
          <w:rFonts w:asciiTheme="minorHAnsi" w:eastAsiaTheme="minorEastAsia" w:hAnsiTheme="minorHAnsi"/>
          <w:noProof/>
        </w:rPr>
      </w:pPr>
      <w:hyperlink w:anchor="_Toc227659707" w:history="1">
        <w:r w:rsidRPr="00D92599">
          <w:rPr>
            <w:rStyle w:val="Hyperlink"/>
            <w:noProof/>
          </w:rPr>
          <w:t>4.9.2 Liquidity Considerations</w:t>
        </w:r>
        <w:r>
          <w:rPr>
            <w:noProof/>
            <w:webHidden/>
          </w:rPr>
          <w:tab/>
        </w:r>
        <w:r>
          <w:rPr>
            <w:noProof/>
            <w:webHidden/>
          </w:rPr>
          <w:fldChar w:fldCharType="begin"/>
        </w:r>
        <w:r>
          <w:rPr>
            <w:noProof/>
            <w:webHidden/>
          </w:rPr>
          <w:instrText xml:space="preserve"> PAGEREF _Toc227659707 \h </w:instrText>
        </w:r>
        <w:r>
          <w:rPr>
            <w:noProof/>
            <w:webHidden/>
          </w:rPr>
        </w:r>
        <w:r>
          <w:rPr>
            <w:noProof/>
            <w:webHidden/>
          </w:rPr>
          <w:fldChar w:fldCharType="separate"/>
        </w:r>
        <w:r w:rsidR="0019204C">
          <w:rPr>
            <w:noProof/>
            <w:webHidden/>
          </w:rPr>
          <w:t>49</w:t>
        </w:r>
        <w:r>
          <w:rPr>
            <w:noProof/>
            <w:webHidden/>
          </w:rPr>
          <w:fldChar w:fldCharType="end"/>
        </w:r>
      </w:hyperlink>
    </w:p>
    <w:p w14:paraId="54EF77B2" w14:textId="30BBBC36" w:rsidR="008775A5" w:rsidRDefault="008775A5">
      <w:pPr>
        <w:pStyle w:val="TOC2"/>
        <w:tabs>
          <w:tab w:val="right" w:leader="dot" w:pos="9350"/>
        </w:tabs>
        <w:rPr>
          <w:rFonts w:asciiTheme="minorHAnsi" w:eastAsiaTheme="minorEastAsia" w:hAnsiTheme="minorHAnsi"/>
          <w:noProof/>
        </w:rPr>
      </w:pPr>
      <w:hyperlink w:anchor="_Toc227659708" w:history="1">
        <w:r w:rsidRPr="00D92599">
          <w:rPr>
            <w:rStyle w:val="Hyperlink"/>
            <w:noProof/>
          </w:rPr>
          <w:t>4.10 Non-Financial Risk Analysis</w:t>
        </w:r>
        <w:r>
          <w:rPr>
            <w:noProof/>
            <w:webHidden/>
          </w:rPr>
          <w:tab/>
        </w:r>
        <w:r>
          <w:rPr>
            <w:noProof/>
            <w:webHidden/>
          </w:rPr>
          <w:fldChar w:fldCharType="begin"/>
        </w:r>
        <w:r>
          <w:rPr>
            <w:noProof/>
            <w:webHidden/>
          </w:rPr>
          <w:instrText xml:space="preserve"> PAGEREF _Toc227659708 \h </w:instrText>
        </w:r>
        <w:r>
          <w:rPr>
            <w:noProof/>
            <w:webHidden/>
          </w:rPr>
        </w:r>
        <w:r>
          <w:rPr>
            <w:noProof/>
            <w:webHidden/>
          </w:rPr>
          <w:fldChar w:fldCharType="separate"/>
        </w:r>
        <w:r w:rsidR="0019204C">
          <w:rPr>
            <w:noProof/>
            <w:webHidden/>
          </w:rPr>
          <w:t>49</w:t>
        </w:r>
        <w:r>
          <w:rPr>
            <w:noProof/>
            <w:webHidden/>
          </w:rPr>
          <w:fldChar w:fldCharType="end"/>
        </w:r>
      </w:hyperlink>
    </w:p>
    <w:p w14:paraId="01CFCA0D" w14:textId="2B1291AE" w:rsidR="008775A5" w:rsidRDefault="008775A5">
      <w:pPr>
        <w:pStyle w:val="TOC3"/>
        <w:tabs>
          <w:tab w:val="right" w:leader="dot" w:pos="9350"/>
        </w:tabs>
        <w:rPr>
          <w:rFonts w:asciiTheme="minorHAnsi" w:eastAsiaTheme="minorEastAsia" w:hAnsiTheme="minorHAnsi"/>
          <w:noProof/>
        </w:rPr>
      </w:pPr>
      <w:hyperlink w:anchor="_Toc227659709" w:history="1">
        <w:r w:rsidRPr="00D92599">
          <w:rPr>
            <w:rStyle w:val="Hyperlink"/>
            <w:noProof/>
          </w:rPr>
          <w:t>4.10.1 Political Risk</w:t>
        </w:r>
        <w:r>
          <w:rPr>
            <w:noProof/>
            <w:webHidden/>
          </w:rPr>
          <w:tab/>
        </w:r>
        <w:r>
          <w:rPr>
            <w:noProof/>
            <w:webHidden/>
          </w:rPr>
          <w:fldChar w:fldCharType="begin"/>
        </w:r>
        <w:r>
          <w:rPr>
            <w:noProof/>
            <w:webHidden/>
          </w:rPr>
          <w:instrText xml:space="preserve"> PAGEREF _Toc227659709 \h </w:instrText>
        </w:r>
        <w:r>
          <w:rPr>
            <w:noProof/>
            <w:webHidden/>
          </w:rPr>
        </w:r>
        <w:r>
          <w:rPr>
            <w:noProof/>
            <w:webHidden/>
          </w:rPr>
          <w:fldChar w:fldCharType="separate"/>
        </w:r>
        <w:r w:rsidR="0019204C">
          <w:rPr>
            <w:noProof/>
            <w:webHidden/>
          </w:rPr>
          <w:t>49</w:t>
        </w:r>
        <w:r>
          <w:rPr>
            <w:noProof/>
            <w:webHidden/>
          </w:rPr>
          <w:fldChar w:fldCharType="end"/>
        </w:r>
      </w:hyperlink>
    </w:p>
    <w:p w14:paraId="1B86F4CB" w14:textId="00EB151E" w:rsidR="008775A5" w:rsidRDefault="008775A5">
      <w:pPr>
        <w:pStyle w:val="TOC3"/>
        <w:tabs>
          <w:tab w:val="right" w:leader="dot" w:pos="9350"/>
        </w:tabs>
        <w:rPr>
          <w:rFonts w:asciiTheme="minorHAnsi" w:eastAsiaTheme="minorEastAsia" w:hAnsiTheme="minorHAnsi"/>
          <w:noProof/>
        </w:rPr>
      </w:pPr>
      <w:hyperlink w:anchor="_Toc227659710" w:history="1">
        <w:r w:rsidRPr="00D92599">
          <w:rPr>
            <w:rStyle w:val="Hyperlink"/>
            <w:noProof/>
          </w:rPr>
          <w:t>4.10.2 Market / Customer Risk</w:t>
        </w:r>
        <w:r>
          <w:rPr>
            <w:noProof/>
            <w:webHidden/>
          </w:rPr>
          <w:tab/>
        </w:r>
        <w:r>
          <w:rPr>
            <w:noProof/>
            <w:webHidden/>
          </w:rPr>
          <w:fldChar w:fldCharType="begin"/>
        </w:r>
        <w:r>
          <w:rPr>
            <w:noProof/>
            <w:webHidden/>
          </w:rPr>
          <w:instrText xml:space="preserve"> PAGEREF _Toc227659710 \h </w:instrText>
        </w:r>
        <w:r>
          <w:rPr>
            <w:noProof/>
            <w:webHidden/>
          </w:rPr>
        </w:r>
        <w:r>
          <w:rPr>
            <w:noProof/>
            <w:webHidden/>
          </w:rPr>
          <w:fldChar w:fldCharType="separate"/>
        </w:r>
        <w:r w:rsidR="0019204C">
          <w:rPr>
            <w:noProof/>
            <w:webHidden/>
          </w:rPr>
          <w:t>50</w:t>
        </w:r>
        <w:r>
          <w:rPr>
            <w:noProof/>
            <w:webHidden/>
          </w:rPr>
          <w:fldChar w:fldCharType="end"/>
        </w:r>
      </w:hyperlink>
    </w:p>
    <w:p w14:paraId="2369DFB3" w14:textId="5CB3D164" w:rsidR="008775A5" w:rsidRDefault="008775A5">
      <w:pPr>
        <w:pStyle w:val="TOC2"/>
        <w:tabs>
          <w:tab w:val="right" w:leader="dot" w:pos="9350"/>
        </w:tabs>
        <w:rPr>
          <w:rFonts w:asciiTheme="minorHAnsi" w:eastAsiaTheme="minorEastAsia" w:hAnsiTheme="minorHAnsi"/>
          <w:noProof/>
        </w:rPr>
      </w:pPr>
      <w:hyperlink w:anchor="_Toc227659711" w:history="1">
        <w:r w:rsidRPr="00D92599">
          <w:rPr>
            <w:rStyle w:val="Hyperlink"/>
            <w:noProof/>
          </w:rPr>
          <w:t>4.11 Capital Rationing Decision (£100 million limit)</w:t>
        </w:r>
        <w:r>
          <w:rPr>
            <w:noProof/>
            <w:webHidden/>
          </w:rPr>
          <w:tab/>
        </w:r>
        <w:r>
          <w:rPr>
            <w:noProof/>
            <w:webHidden/>
          </w:rPr>
          <w:fldChar w:fldCharType="begin"/>
        </w:r>
        <w:r>
          <w:rPr>
            <w:noProof/>
            <w:webHidden/>
          </w:rPr>
          <w:instrText xml:space="preserve"> PAGEREF _Toc227659711 \h </w:instrText>
        </w:r>
        <w:r>
          <w:rPr>
            <w:noProof/>
            <w:webHidden/>
          </w:rPr>
        </w:r>
        <w:r>
          <w:rPr>
            <w:noProof/>
            <w:webHidden/>
          </w:rPr>
          <w:fldChar w:fldCharType="separate"/>
        </w:r>
        <w:r w:rsidR="0019204C">
          <w:rPr>
            <w:noProof/>
            <w:webHidden/>
          </w:rPr>
          <w:t>50</w:t>
        </w:r>
        <w:r>
          <w:rPr>
            <w:noProof/>
            <w:webHidden/>
          </w:rPr>
          <w:fldChar w:fldCharType="end"/>
        </w:r>
      </w:hyperlink>
    </w:p>
    <w:p w14:paraId="2FB7993D" w14:textId="2216C833" w:rsidR="008775A5" w:rsidRDefault="008775A5">
      <w:pPr>
        <w:pStyle w:val="TOC2"/>
        <w:tabs>
          <w:tab w:val="right" w:leader="dot" w:pos="9350"/>
        </w:tabs>
        <w:rPr>
          <w:rFonts w:asciiTheme="minorHAnsi" w:eastAsiaTheme="minorEastAsia" w:hAnsiTheme="minorHAnsi"/>
          <w:noProof/>
        </w:rPr>
      </w:pPr>
      <w:hyperlink w:anchor="_Toc227659712" w:history="1">
        <w:r w:rsidRPr="00D92599">
          <w:rPr>
            <w:rStyle w:val="Hyperlink"/>
            <w:noProof/>
          </w:rPr>
          <w:t>4.11.1 Possible Project Combinations</w:t>
        </w:r>
        <w:r>
          <w:rPr>
            <w:noProof/>
            <w:webHidden/>
          </w:rPr>
          <w:tab/>
        </w:r>
        <w:r>
          <w:rPr>
            <w:noProof/>
            <w:webHidden/>
          </w:rPr>
          <w:fldChar w:fldCharType="begin"/>
        </w:r>
        <w:r>
          <w:rPr>
            <w:noProof/>
            <w:webHidden/>
          </w:rPr>
          <w:instrText xml:space="preserve"> PAGEREF _Toc227659712 \h </w:instrText>
        </w:r>
        <w:r>
          <w:rPr>
            <w:noProof/>
            <w:webHidden/>
          </w:rPr>
        </w:r>
        <w:r>
          <w:rPr>
            <w:noProof/>
            <w:webHidden/>
          </w:rPr>
          <w:fldChar w:fldCharType="separate"/>
        </w:r>
        <w:r w:rsidR="0019204C">
          <w:rPr>
            <w:noProof/>
            <w:webHidden/>
          </w:rPr>
          <w:t>50</w:t>
        </w:r>
        <w:r>
          <w:rPr>
            <w:noProof/>
            <w:webHidden/>
          </w:rPr>
          <w:fldChar w:fldCharType="end"/>
        </w:r>
      </w:hyperlink>
    </w:p>
    <w:p w14:paraId="317E9061" w14:textId="4CF34AEB" w:rsidR="008775A5" w:rsidRDefault="008775A5">
      <w:pPr>
        <w:pStyle w:val="TOC2"/>
        <w:tabs>
          <w:tab w:val="right" w:leader="dot" w:pos="9350"/>
        </w:tabs>
        <w:rPr>
          <w:rFonts w:asciiTheme="minorHAnsi" w:eastAsiaTheme="minorEastAsia" w:hAnsiTheme="minorHAnsi"/>
          <w:noProof/>
        </w:rPr>
      </w:pPr>
      <w:hyperlink w:anchor="_Toc227659713" w:history="1">
        <w:r w:rsidRPr="00D92599">
          <w:rPr>
            <w:rStyle w:val="Hyperlink"/>
            <w:noProof/>
          </w:rPr>
          <w:t>4.11.2 Optimal Combination Selection</w:t>
        </w:r>
        <w:r>
          <w:rPr>
            <w:noProof/>
            <w:webHidden/>
          </w:rPr>
          <w:tab/>
        </w:r>
        <w:r>
          <w:rPr>
            <w:noProof/>
            <w:webHidden/>
          </w:rPr>
          <w:fldChar w:fldCharType="begin"/>
        </w:r>
        <w:r>
          <w:rPr>
            <w:noProof/>
            <w:webHidden/>
          </w:rPr>
          <w:instrText xml:space="preserve"> PAGEREF _Toc227659713 \h </w:instrText>
        </w:r>
        <w:r>
          <w:rPr>
            <w:noProof/>
            <w:webHidden/>
          </w:rPr>
        </w:r>
        <w:r>
          <w:rPr>
            <w:noProof/>
            <w:webHidden/>
          </w:rPr>
          <w:fldChar w:fldCharType="separate"/>
        </w:r>
        <w:r w:rsidR="0019204C">
          <w:rPr>
            <w:noProof/>
            <w:webHidden/>
          </w:rPr>
          <w:t>51</w:t>
        </w:r>
        <w:r>
          <w:rPr>
            <w:noProof/>
            <w:webHidden/>
          </w:rPr>
          <w:fldChar w:fldCharType="end"/>
        </w:r>
      </w:hyperlink>
    </w:p>
    <w:p w14:paraId="5F759D32" w14:textId="428BCDB8" w:rsidR="008775A5" w:rsidRDefault="008775A5">
      <w:pPr>
        <w:pStyle w:val="TOC1"/>
        <w:tabs>
          <w:tab w:val="right" w:leader="dot" w:pos="9350"/>
        </w:tabs>
        <w:rPr>
          <w:rFonts w:asciiTheme="minorHAnsi" w:eastAsiaTheme="minorEastAsia" w:hAnsiTheme="minorHAnsi"/>
          <w:noProof/>
        </w:rPr>
      </w:pPr>
      <w:hyperlink w:anchor="_Toc227659714" w:history="1">
        <w:r w:rsidRPr="00D92599">
          <w:rPr>
            <w:rStyle w:val="Hyperlink"/>
            <w:noProof/>
          </w:rPr>
          <w:t>5. Conclusion</w:t>
        </w:r>
        <w:r>
          <w:rPr>
            <w:noProof/>
            <w:webHidden/>
          </w:rPr>
          <w:tab/>
        </w:r>
        <w:r>
          <w:rPr>
            <w:noProof/>
            <w:webHidden/>
          </w:rPr>
          <w:fldChar w:fldCharType="begin"/>
        </w:r>
        <w:r>
          <w:rPr>
            <w:noProof/>
            <w:webHidden/>
          </w:rPr>
          <w:instrText xml:space="preserve"> PAGEREF _Toc227659714 \h </w:instrText>
        </w:r>
        <w:r>
          <w:rPr>
            <w:noProof/>
            <w:webHidden/>
          </w:rPr>
        </w:r>
        <w:r>
          <w:rPr>
            <w:noProof/>
            <w:webHidden/>
          </w:rPr>
          <w:fldChar w:fldCharType="separate"/>
        </w:r>
        <w:r w:rsidR="0019204C">
          <w:rPr>
            <w:noProof/>
            <w:webHidden/>
          </w:rPr>
          <w:t>51</w:t>
        </w:r>
        <w:r>
          <w:rPr>
            <w:noProof/>
            <w:webHidden/>
          </w:rPr>
          <w:fldChar w:fldCharType="end"/>
        </w:r>
      </w:hyperlink>
    </w:p>
    <w:p w14:paraId="3E1C7DB3" w14:textId="52EC45EB" w:rsidR="008775A5" w:rsidRDefault="008775A5">
      <w:pPr>
        <w:pStyle w:val="TOC1"/>
        <w:tabs>
          <w:tab w:val="right" w:leader="dot" w:pos="9350"/>
        </w:tabs>
        <w:rPr>
          <w:rFonts w:asciiTheme="minorHAnsi" w:eastAsiaTheme="minorEastAsia" w:hAnsiTheme="minorHAnsi"/>
          <w:noProof/>
        </w:rPr>
      </w:pPr>
      <w:hyperlink w:anchor="_Toc227659715" w:history="1">
        <w:r w:rsidRPr="00D92599">
          <w:rPr>
            <w:rStyle w:val="Hyperlink"/>
            <w:noProof/>
          </w:rPr>
          <w:t>References</w:t>
        </w:r>
        <w:r>
          <w:rPr>
            <w:noProof/>
            <w:webHidden/>
          </w:rPr>
          <w:tab/>
        </w:r>
        <w:r>
          <w:rPr>
            <w:noProof/>
            <w:webHidden/>
          </w:rPr>
          <w:fldChar w:fldCharType="begin"/>
        </w:r>
        <w:r>
          <w:rPr>
            <w:noProof/>
            <w:webHidden/>
          </w:rPr>
          <w:instrText xml:space="preserve"> PAGEREF _Toc227659715 \h </w:instrText>
        </w:r>
        <w:r>
          <w:rPr>
            <w:noProof/>
            <w:webHidden/>
          </w:rPr>
        </w:r>
        <w:r>
          <w:rPr>
            <w:noProof/>
            <w:webHidden/>
          </w:rPr>
          <w:fldChar w:fldCharType="separate"/>
        </w:r>
        <w:r w:rsidR="0019204C">
          <w:rPr>
            <w:noProof/>
            <w:webHidden/>
          </w:rPr>
          <w:t>52</w:t>
        </w:r>
        <w:r>
          <w:rPr>
            <w:noProof/>
            <w:webHidden/>
          </w:rPr>
          <w:fldChar w:fldCharType="end"/>
        </w:r>
      </w:hyperlink>
    </w:p>
    <w:p w14:paraId="660F2380" w14:textId="2ACBF975" w:rsidR="008775A5" w:rsidRDefault="008775A5">
      <w:pPr>
        <w:pStyle w:val="TOC1"/>
        <w:tabs>
          <w:tab w:val="right" w:leader="dot" w:pos="9350"/>
        </w:tabs>
        <w:rPr>
          <w:rFonts w:asciiTheme="minorHAnsi" w:eastAsiaTheme="minorEastAsia" w:hAnsiTheme="minorHAnsi"/>
          <w:noProof/>
        </w:rPr>
      </w:pPr>
      <w:hyperlink w:anchor="_Toc227659716" w:history="1">
        <w:r w:rsidRPr="00D92599">
          <w:rPr>
            <w:rStyle w:val="Hyperlink"/>
            <w:noProof/>
          </w:rPr>
          <w:t>Appendices</w:t>
        </w:r>
        <w:r>
          <w:rPr>
            <w:noProof/>
            <w:webHidden/>
          </w:rPr>
          <w:tab/>
        </w:r>
        <w:r>
          <w:rPr>
            <w:noProof/>
            <w:webHidden/>
          </w:rPr>
          <w:fldChar w:fldCharType="begin"/>
        </w:r>
        <w:r>
          <w:rPr>
            <w:noProof/>
            <w:webHidden/>
          </w:rPr>
          <w:instrText xml:space="preserve"> PAGEREF _Toc227659716 \h </w:instrText>
        </w:r>
        <w:r>
          <w:rPr>
            <w:noProof/>
            <w:webHidden/>
          </w:rPr>
        </w:r>
        <w:r>
          <w:rPr>
            <w:noProof/>
            <w:webHidden/>
          </w:rPr>
          <w:fldChar w:fldCharType="separate"/>
        </w:r>
        <w:r w:rsidR="0019204C">
          <w:rPr>
            <w:noProof/>
            <w:webHidden/>
          </w:rPr>
          <w:t>58</w:t>
        </w:r>
        <w:r>
          <w:rPr>
            <w:noProof/>
            <w:webHidden/>
          </w:rPr>
          <w:fldChar w:fldCharType="end"/>
        </w:r>
      </w:hyperlink>
    </w:p>
    <w:p w14:paraId="6DD1DFC8" w14:textId="703520B9" w:rsidR="008775A5" w:rsidRDefault="008775A5">
      <w:pPr>
        <w:pStyle w:val="TOC2"/>
        <w:tabs>
          <w:tab w:val="right" w:leader="dot" w:pos="9350"/>
        </w:tabs>
        <w:rPr>
          <w:rFonts w:asciiTheme="minorHAnsi" w:eastAsiaTheme="minorEastAsia" w:hAnsiTheme="minorHAnsi"/>
          <w:noProof/>
        </w:rPr>
      </w:pPr>
      <w:hyperlink w:anchor="_Toc227659717" w:history="1">
        <w:r w:rsidRPr="00D92599">
          <w:rPr>
            <w:rStyle w:val="Hyperlink"/>
            <w:noProof/>
          </w:rPr>
          <w:t>Ratio Analysis Tables</w:t>
        </w:r>
        <w:r>
          <w:rPr>
            <w:noProof/>
            <w:webHidden/>
          </w:rPr>
          <w:tab/>
        </w:r>
        <w:r>
          <w:rPr>
            <w:noProof/>
            <w:webHidden/>
          </w:rPr>
          <w:fldChar w:fldCharType="begin"/>
        </w:r>
        <w:r>
          <w:rPr>
            <w:noProof/>
            <w:webHidden/>
          </w:rPr>
          <w:instrText xml:space="preserve"> PAGEREF _Toc227659717 \h </w:instrText>
        </w:r>
        <w:r>
          <w:rPr>
            <w:noProof/>
            <w:webHidden/>
          </w:rPr>
        </w:r>
        <w:r>
          <w:rPr>
            <w:noProof/>
            <w:webHidden/>
          </w:rPr>
          <w:fldChar w:fldCharType="separate"/>
        </w:r>
        <w:r w:rsidR="0019204C">
          <w:rPr>
            <w:noProof/>
            <w:webHidden/>
          </w:rPr>
          <w:t>58</w:t>
        </w:r>
        <w:r>
          <w:rPr>
            <w:noProof/>
            <w:webHidden/>
          </w:rPr>
          <w:fldChar w:fldCharType="end"/>
        </w:r>
      </w:hyperlink>
    </w:p>
    <w:p w14:paraId="2782E648" w14:textId="7879DA6E" w:rsidR="008775A5" w:rsidRDefault="008775A5">
      <w:pPr>
        <w:pStyle w:val="TOC2"/>
        <w:tabs>
          <w:tab w:val="right" w:leader="dot" w:pos="9350"/>
        </w:tabs>
        <w:rPr>
          <w:rFonts w:asciiTheme="minorHAnsi" w:eastAsiaTheme="minorEastAsia" w:hAnsiTheme="minorHAnsi"/>
          <w:noProof/>
        </w:rPr>
      </w:pPr>
      <w:hyperlink w:anchor="_Toc227659718" w:history="1">
        <w:r w:rsidRPr="00D92599">
          <w:rPr>
            <w:rStyle w:val="Hyperlink"/>
            <w:noProof/>
          </w:rPr>
          <w:t>Graphs (Trend Analysis)</w:t>
        </w:r>
        <w:r>
          <w:rPr>
            <w:noProof/>
            <w:webHidden/>
          </w:rPr>
          <w:tab/>
        </w:r>
        <w:r>
          <w:rPr>
            <w:noProof/>
            <w:webHidden/>
          </w:rPr>
          <w:fldChar w:fldCharType="begin"/>
        </w:r>
        <w:r>
          <w:rPr>
            <w:noProof/>
            <w:webHidden/>
          </w:rPr>
          <w:instrText xml:space="preserve"> PAGEREF _Toc227659718 \h </w:instrText>
        </w:r>
        <w:r>
          <w:rPr>
            <w:noProof/>
            <w:webHidden/>
          </w:rPr>
        </w:r>
        <w:r>
          <w:rPr>
            <w:noProof/>
            <w:webHidden/>
          </w:rPr>
          <w:fldChar w:fldCharType="separate"/>
        </w:r>
        <w:r w:rsidR="0019204C">
          <w:rPr>
            <w:noProof/>
            <w:webHidden/>
          </w:rPr>
          <w:t>63</w:t>
        </w:r>
        <w:r>
          <w:rPr>
            <w:noProof/>
            <w:webHidden/>
          </w:rPr>
          <w:fldChar w:fldCharType="end"/>
        </w:r>
      </w:hyperlink>
    </w:p>
    <w:p w14:paraId="63C91DEA" w14:textId="054AB5E4" w:rsidR="008775A5" w:rsidRDefault="008775A5">
      <w:pPr>
        <w:pStyle w:val="TOC2"/>
        <w:tabs>
          <w:tab w:val="right" w:leader="dot" w:pos="9350"/>
        </w:tabs>
        <w:rPr>
          <w:rFonts w:asciiTheme="minorHAnsi" w:eastAsiaTheme="minorEastAsia" w:hAnsiTheme="minorHAnsi"/>
          <w:noProof/>
        </w:rPr>
      </w:pPr>
      <w:hyperlink w:anchor="_Toc227659719" w:history="1">
        <w:r w:rsidRPr="00D92599">
          <w:rPr>
            <w:rStyle w:val="Hyperlink"/>
            <w:noProof/>
          </w:rPr>
          <w:t>Cash Conversion Calculations</w:t>
        </w:r>
        <w:r>
          <w:rPr>
            <w:noProof/>
            <w:webHidden/>
          </w:rPr>
          <w:tab/>
        </w:r>
        <w:r>
          <w:rPr>
            <w:noProof/>
            <w:webHidden/>
          </w:rPr>
          <w:fldChar w:fldCharType="begin"/>
        </w:r>
        <w:r>
          <w:rPr>
            <w:noProof/>
            <w:webHidden/>
          </w:rPr>
          <w:instrText xml:space="preserve"> PAGEREF _Toc227659719 \h </w:instrText>
        </w:r>
        <w:r>
          <w:rPr>
            <w:noProof/>
            <w:webHidden/>
          </w:rPr>
        </w:r>
        <w:r>
          <w:rPr>
            <w:noProof/>
            <w:webHidden/>
          </w:rPr>
          <w:fldChar w:fldCharType="separate"/>
        </w:r>
        <w:r w:rsidR="0019204C">
          <w:rPr>
            <w:noProof/>
            <w:webHidden/>
          </w:rPr>
          <w:t>71</w:t>
        </w:r>
        <w:r>
          <w:rPr>
            <w:noProof/>
            <w:webHidden/>
          </w:rPr>
          <w:fldChar w:fldCharType="end"/>
        </w:r>
      </w:hyperlink>
    </w:p>
    <w:p w14:paraId="358D77F8" w14:textId="6C3BC198" w:rsidR="008775A5" w:rsidRDefault="008775A5">
      <w:pPr>
        <w:pStyle w:val="TOC2"/>
        <w:tabs>
          <w:tab w:val="right" w:leader="dot" w:pos="9350"/>
        </w:tabs>
        <w:rPr>
          <w:rFonts w:asciiTheme="minorHAnsi" w:eastAsiaTheme="minorEastAsia" w:hAnsiTheme="minorHAnsi"/>
          <w:noProof/>
        </w:rPr>
      </w:pPr>
      <w:hyperlink w:anchor="_Toc227659720" w:history="1">
        <w:r w:rsidRPr="00D92599">
          <w:rPr>
            <w:rStyle w:val="Hyperlink"/>
            <w:noProof/>
          </w:rPr>
          <w:t>Investment Appraisal Calculations</w:t>
        </w:r>
        <w:r>
          <w:rPr>
            <w:noProof/>
            <w:webHidden/>
          </w:rPr>
          <w:tab/>
        </w:r>
        <w:r>
          <w:rPr>
            <w:noProof/>
            <w:webHidden/>
          </w:rPr>
          <w:fldChar w:fldCharType="begin"/>
        </w:r>
        <w:r>
          <w:rPr>
            <w:noProof/>
            <w:webHidden/>
          </w:rPr>
          <w:instrText xml:space="preserve"> PAGEREF _Toc227659720 \h </w:instrText>
        </w:r>
        <w:r>
          <w:rPr>
            <w:noProof/>
            <w:webHidden/>
          </w:rPr>
        </w:r>
        <w:r>
          <w:rPr>
            <w:noProof/>
            <w:webHidden/>
          </w:rPr>
          <w:fldChar w:fldCharType="separate"/>
        </w:r>
        <w:r w:rsidR="0019204C">
          <w:rPr>
            <w:noProof/>
            <w:webHidden/>
          </w:rPr>
          <w:t>72</w:t>
        </w:r>
        <w:r>
          <w:rPr>
            <w:noProof/>
            <w:webHidden/>
          </w:rPr>
          <w:fldChar w:fldCharType="end"/>
        </w:r>
      </w:hyperlink>
    </w:p>
    <w:p w14:paraId="0F403665" w14:textId="395303B6" w:rsidR="008775A5" w:rsidRDefault="008775A5">
      <w:pPr>
        <w:pStyle w:val="TOC2"/>
        <w:tabs>
          <w:tab w:val="right" w:leader="dot" w:pos="9350"/>
        </w:tabs>
        <w:rPr>
          <w:rFonts w:asciiTheme="minorHAnsi" w:eastAsiaTheme="minorEastAsia" w:hAnsiTheme="minorHAnsi"/>
          <w:noProof/>
        </w:rPr>
      </w:pPr>
      <w:hyperlink w:anchor="_Toc227659721" w:history="1">
        <w:r w:rsidRPr="00D92599">
          <w:rPr>
            <w:rStyle w:val="Hyperlink"/>
            <w:noProof/>
          </w:rPr>
          <w:t>Excel Sheets</w:t>
        </w:r>
        <w:r>
          <w:rPr>
            <w:noProof/>
            <w:webHidden/>
          </w:rPr>
          <w:tab/>
        </w:r>
        <w:r>
          <w:rPr>
            <w:noProof/>
            <w:webHidden/>
          </w:rPr>
          <w:fldChar w:fldCharType="begin"/>
        </w:r>
        <w:r>
          <w:rPr>
            <w:noProof/>
            <w:webHidden/>
          </w:rPr>
          <w:instrText xml:space="preserve"> PAGEREF _Toc227659721 \h </w:instrText>
        </w:r>
        <w:r>
          <w:rPr>
            <w:noProof/>
            <w:webHidden/>
          </w:rPr>
        </w:r>
        <w:r>
          <w:rPr>
            <w:noProof/>
            <w:webHidden/>
          </w:rPr>
          <w:fldChar w:fldCharType="separate"/>
        </w:r>
        <w:r w:rsidR="0019204C">
          <w:rPr>
            <w:noProof/>
            <w:webHidden/>
          </w:rPr>
          <w:t>74</w:t>
        </w:r>
        <w:r>
          <w:rPr>
            <w:noProof/>
            <w:webHidden/>
          </w:rPr>
          <w:fldChar w:fldCharType="end"/>
        </w:r>
      </w:hyperlink>
    </w:p>
    <w:p w14:paraId="2D73773E" w14:textId="6B5E037E" w:rsidR="008775A5" w:rsidRDefault="008775A5">
      <w:pPr>
        <w:pStyle w:val="TOC2"/>
        <w:tabs>
          <w:tab w:val="right" w:leader="dot" w:pos="9350"/>
        </w:tabs>
        <w:rPr>
          <w:rFonts w:asciiTheme="minorHAnsi" w:eastAsiaTheme="minorEastAsia" w:hAnsiTheme="minorHAnsi"/>
          <w:noProof/>
        </w:rPr>
      </w:pPr>
      <w:hyperlink w:anchor="_Toc227659722" w:history="1">
        <w:r w:rsidRPr="00D92599">
          <w:rPr>
            <w:rStyle w:val="Hyperlink"/>
            <w:noProof/>
          </w:rPr>
          <w:t>Supporting Financial Data from Annual Reports</w:t>
        </w:r>
        <w:r>
          <w:rPr>
            <w:noProof/>
            <w:webHidden/>
          </w:rPr>
          <w:tab/>
        </w:r>
        <w:r>
          <w:rPr>
            <w:noProof/>
            <w:webHidden/>
          </w:rPr>
          <w:fldChar w:fldCharType="begin"/>
        </w:r>
        <w:r>
          <w:rPr>
            <w:noProof/>
            <w:webHidden/>
          </w:rPr>
          <w:instrText xml:space="preserve"> PAGEREF _Toc227659722 \h </w:instrText>
        </w:r>
        <w:r>
          <w:rPr>
            <w:noProof/>
            <w:webHidden/>
          </w:rPr>
        </w:r>
        <w:r>
          <w:rPr>
            <w:noProof/>
            <w:webHidden/>
          </w:rPr>
          <w:fldChar w:fldCharType="separate"/>
        </w:r>
        <w:r w:rsidR="0019204C">
          <w:rPr>
            <w:noProof/>
            <w:webHidden/>
          </w:rPr>
          <w:t>75</w:t>
        </w:r>
        <w:r>
          <w:rPr>
            <w:noProof/>
            <w:webHidden/>
          </w:rPr>
          <w:fldChar w:fldCharType="end"/>
        </w:r>
      </w:hyperlink>
    </w:p>
    <w:p w14:paraId="12B083D6" w14:textId="41B241FE" w:rsidR="00416FD6" w:rsidRDefault="008775A5">
      <w:pPr>
        <w:rPr>
          <w:b/>
          <w:bCs/>
          <w:sz w:val="28"/>
          <w:szCs w:val="28"/>
        </w:rPr>
      </w:pPr>
      <w:r>
        <w:rPr>
          <w:b/>
          <w:bCs/>
          <w:sz w:val="28"/>
          <w:szCs w:val="28"/>
        </w:rPr>
        <w:fldChar w:fldCharType="end"/>
      </w:r>
    </w:p>
    <w:p w14:paraId="59C7E34F" w14:textId="77777777" w:rsidR="00416FD6" w:rsidRDefault="00416FD6">
      <w:pPr>
        <w:rPr>
          <w:b/>
          <w:bCs/>
          <w:sz w:val="28"/>
          <w:szCs w:val="28"/>
        </w:rPr>
      </w:pPr>
    </w:p>
    <w:p w14:paraId="0B1DA6AB" w14:textId="77777777" w:rsidR="00416FD6" w:rsidRDefault="00416FD6">
      <w:pPr>
        <w:rPr>
          <w:b/>
          <w:bCs/>
          <w:sz w:val="28"/>
          <w:szCs w:val="28"/>
        </w:rPr>
      </w:pPr>
    </w:p>
    <w:p w14:paraId="2361D7C9" w14:textId="77777777" w:rsidR="00416FD6" w:rsidRDefault="00416FD6">
      <w:pPr>
        <w:rPr>
          <w:b/>
          <w:bCs/>
          <w:sz w:val="28"/>
          <w:szCs w:val="28"/>
        </w:rPr>
      </w:pPr>
    </w:p>
    <w:p w14:paraId="456644C5" w14:textId="77777777" w:rsidR="00416FD6" w:rsidRDefault="00416FD6">
      <w:pPr>
        <w:rPr>
          <w:b/>
          <w:bCs/>
          <w:sz w:val="28"/>
          <w:szCs w:val="28"/>
        </w:rPr>
      </w:pPr>
    </w:p>
    <w:p w14:paraId="7BAA5F01" w14:textId="77777777" w:rsidR="00416FD6" w:rsidRDefault="00416FD6">
      <w:pPr>
        <w:rPr>
          <w:b/>
          <w:bCs/>
          <w:sz w:val="28"/>
          <w:szCs w:val="28"/>
        </w:rPr>
      </w:pPr>
    </w:p>
    <w:p w14:paraId="3738FFA3" w14:textId="77777777" w:rsidR="00416FD6" w:rsidRPr="00416FD6" w:rsidRDefault="00416FD6">
      <w:pPr>
        <w:rPr>
          <w:b/>
          <w:bCs/>
          <w:sz w:val="28"/>
          <w:szCs w:val="28"/>
        </w:rPr>
      </w:pPr>
    </w:p>
    <w:p w14:paraId="703E4322" w14:textId="6F75391D" w:rsidR="00416FD6" w:rsidRDefault="00416FD6">
      <w:pPr>
        <w:rPr>
          <w:b/>
          <w:bCs/>
          <w:sz w:val="28"/>
          <w:szCs w:val="28"/>
        </w:rPr>
      </w:pPr>
      <w:r w:rsidRPr="00416FD6">
        <w:rPr>
          <w:b/>
          <w:bCs/>
          <w:sz w:val="28"/>
          <w:szCs w:val="28"/>
        </w:rPr>
        <w:lastRenderedPageBreak/>
        <w:t>List of Tables</w:t>
      </w:r>
    </w:p>
    <w:p w14:paraId="2679DCF8" w14:textId="79FF87AA" w:rsidR="008775A5" w:rsidRDefault="008775A5">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27659624" w:history="1">
        <w:r w:rsidRPr="0064105C">
          <w:rPr>
            <w:rStyle w:val="Hyperlink"/>
            <w:noProof/>
          </w:rPr>
          <w:t>Table 1: Cash Operating Cycle (CCC)</w:t>
        </w:r>
        <w:r>
          <w:rPr>
            <w:noProof/>
            <w:webHidden/>
          </w:rPr>
          <w:tab/>
        </w:r>
        <w:r>
          <w:rPr>
            <w:noProof/>
            <w:webHidden/>
          </w:rPr>
          <w:fldChar w:fldCharType="begin"/>
        </w:r>
        <w:r>
          <w:rPr>
            <w:noProof/>
            <w:webHidden/>
          </w:rPr>
          <w:instrText xml:space="preserve"> PAGEREF _Toc227659624 \h </w:instrText>
        </w:r>
        <w:r>
          <w:rPr>
            <w:noProof/>
            <w:webHidden/>
          </w:rPr>
        </w:r>
        <w:r>
          <w:rPr>
            <w:noProof/>
            <w:webHidden/>
          </w:rPr>
          <w:fldChar w:fldCharType="separate"/>
        </w:r>
        <w:r w:rsidR="0019204C">
          <w:rPr>
            <w:noProof/>
            <w:webHidden/>
          </w:rPr>
          <w:t>26</w:t>
        </w:r>
        <w:r>
          <w:rPr>
            <w:noProof/>
            <w:webHidden/>
          </w:rPr>
          <w:fldChar w:fldCharType="end"/>
        </w:r>
      </w:hyperlink>
    </w:p>
    <w:p w14:paraId="2C1ED410" w14:textId="1BBADF82" w:rsidR="008775A5" w:rsidRDefault="008775A5">
      <w:pPr>
        <w:pStyle w:val="TableofFigures"/>
        <w:tabs>
          <w:tab w:val="right" w:leader="dot" w:pos="9350"/>
        </w:tabs>
        <w:rPr>
          <w:rFonts w:asciiTheme="minorHAnsi" w:eastAsiaTheme="minorEastAsia" w:hAnsiTheme="minorHAnsi"/>
          <w:noProof/>
        </w:rPr>
      </w:pPr>
      <w:hyperlink w:anchor="_Toc227659625" w:history="1">
        <w:r w:rsidRPr="0064105C">
          <w:rPr>
            <w:rStyle w:val="Hyperlink"/>
            <w:noProof/>
          </w:rPr>
          <w:t>Table 2: Payback Period (PBP)</w:t>
        </w:r>
        <w:r>
          <w:rPr>
            <w:noProof/>
            <w:webHidden/>
          </w:rPr>
          <w:tab/>
        </w:r>
        <w:r>
          <w:rPr>
            <w:noProof/>
            <w:webHidden/>
          </w:rPr>
          <w:fldChar w:fldCharType="begin"/>
        </w:r>
        <w:r>
          <w:rPr>
            <w:noProof/>
            <w:webHidden/>
          </w:rPr>
          <w:instrText xml:space="preserve"> PAGEREF _Toc227659625 \h </w:instrText>
        </w:r>
        <w:r>
          <w:rPr>
            <w:noProof/>
            <w:webHidden/>
          </w:rPr>
        </w:r>
        <w:r>
          <w:rPr>
            <w:noProof/>
            <w:webHidden/>
          </w:rPr>
          <w:fldChar w:fldCharType="separate"/>
        </w:r>
        <w:r w:rsidR="0019204C">
          <w:rPr>
            <w:noProof/>
            <w:webHidden/>
          </w:rPr>
          <w:t>44</w:t>
        </w:r>
        <w:r>
          <w:rPr>
            <w:noProof/>
            <w:webHidden/>
          </w:rPr>
          <w:fldChar w:fldCharType="end"/>
        </w:r>
      </w:hyperlink>
    </w:p>
    <w:p w14:paraId="35BA259B" w14:textId="458E0DEC" w:rsidR="008775A5" w:rsidRDefault="008775A5">
      <w:pPr>
        <w:pStyle w:val="TableofFigures"/>
        <w:tabs>
          <w:tab w:val="right" w:leader="dot" w:pos="9350"/>
        </w:tabs>
        <w:rPr>
          <w:rFonts w:asciiTheme="minorHAnsi" w:eastAsiaTheme="minorEastAsia" w:hAnsiTheme="minorHAnsi"/>
          <w:noProof/>
        </w:rPr>
      </w:pPr>
      <w:hyperlink w:anchor="_Toc227659626" w:history="1">
        <w:r w:rsidRPr="0064105C">
          <w:rPr>
            <w:rStyle w:val="Hyperlink"/>
            <w:noProof/>
          </w:rPr>
          <w:t>Table 3: Accounting Rate of Return (ARR)</w:t>
        </w:r>
        <w:r>
          <w:rPr>
            <w:noProof/>
            <w:webHidden/>
          </w:rPr>
          <w:tab/>
        </w:r>
        <w:r>
          <w:rPr>
            <w:noProof/>
            <w:webHidden/>
          </w:rPr>
          <w:fldChar w:fldCharType="begin"/>
        </w:r>
        <w:r>
          <w:rPr>
            <w:noProof/>
            <w:webHidden/>
          </w:rPr>
          <w:instrText xml:space="preserve"> PAGEREF _Toc227659626 \h </w:instrText>
        </w:r>
        <w:r>
          <w:rPr>
            <w:noProof/>
            <w:webHidden/>
          </w:rPr>
        </w:r>
        <w:r>
          <w:rPr>
            <w:noProof/>
            <w:webHidden/>
          </w:rPr>
          <w:fldChar w:fldCharType="separate"/>
        </w:r>
        <w:r w:rsidR="0019204C">
          <w:rPr>
            <w:noProof/>
            <w:webHidden/>
          </w:rPr>
          <w:t>44</w:t>
        </w:r>
        <w:r>
          <w:rPr>
            <w:noProof/>
            <w:webHidden/>
          </w:rPr>
          <w:fldChar w:fldCharType="end"/>
        </w:r>
      </w:hyperlink>
    </w:p>
    <w:p w14:paraId="41418333" w14:textId="7A12294F" w:rsidR="008775A5" w:rsidRDefault="008775A5">
      <w:pPr>
        <w:pStyle w:val="TableofFigures"/>
        <w:tabs>
          <w:tab w:val="right" w:leader="dot" w:pos="9350"/>
        </w:tabs>
        <w:rPr>
          <w:rFonts w:asciiTheme="minorHAnsi" w:eastAsiaTheme="minorEastAsia" w:hAnsiTheme="minorHAnsi"/>
          <w:noProof/>
        </w:rPr>
      </w:pPr>
      <w:hyperlink w:anchor="_Toc227659627" w:history="1">
        <w:r w:rsidRPr="0064105C">
          <w:rPr>
            <w:rStyle w:val="Hyperlink"/>
            <w:noProof/>
          </w:rPr>
          <w:t>Table 4: Net Present Value (NPV)</w:t>
        </w:r>
        <w:r>
          <w:rPr>
            <w:noProof/>
            <w:webHidden/>
          </w:rPr>
          <w:tab/>
        </w:r>
        <w:r>
          <w:rPr>
            <w:noProof/>
            <w:webHidden/>
          </w:rPr>
          <w:fldChar w:fldCharType="begin"/>
        </w:r>
        <w:r>
          <w:rPr>
            <w:noProof/>
            <w:webHidden/>
          </w:rPr>
          <w:instrText xml:space="preserve"> PAGEREF _Toc227659627 \h </w:instrText>
        </w:r>
        <w:r>
          <w:rPr>
            <w:noProof/>
            <w:webHidden/>
          </w:rPr>
        </w:r>
        <w:r>
          <w:rPr>
            <w:noProof/>
            <w:webHidden/>
          </w:rPr>
          <w:fldChar w:fldCharType="separate"/>
        </w:r>
        <w:r w:rsidR="0019204C">
          <w:rPr>
            <w:noProof/>
            <w:webHidden/>
          </w:rPr>
          <w:t>45</w:t>
        </w:r>
        <w:r>
          <w:rPr>
            <w:noProof/>
            <w:webHidden/>
          </w:rPr>
          <w:fldChar w:fldCharType="end"/>
        </w:r>
      </w:hyperlink>
    </w:p>
    <w:p w14:paraId="095317D8" w14:textId="71FB2547" w:rsidR="008775A5" w:rsidRDefault="008775A5">
      <w:pPr>
        <w:pStyle w:val="TableofFigures"/>
        <w:tabs>
          <w:tab w:val="right" w:leader="dot" w:pos="9350"/>
        </w:tabs>
        <w:rPr>
          <w:rFonts w:asciiTheme="minorHAnsi" w:eastAsiaTheme="minorEastAsia" w:hAnsiTheme="minorHAnsi"/>
          <w:noProof/>
        </w:rPr>
      </w:pPr>
      <w:hyperlink w:anchor="_Toc227659628" w:history="1">
        <w:r w:rsidRPr="0064105C">
          <w:rPr>
            <w:rStyle w:val="Hyperlink"/>
            <w:noProof/>
          </w:rPr>
          <w:t>Table 5: Profitability Index (PI)</w:t>
        </w:r>
        <w:r>
          <w:rPr>
            <w:noProof/>
            <w:webHidden/>
          </w:rPr>
          <w:tab/>
        </w:r>
        <w:r>
          <w:rPr>
            <w:noProof/>
            <w:webHidden/>
          </w:rPr>
          <w:fldChar w:fldCharType="begin"/>
        </w:r>
        <w:r>
          <w:rPr>
            <w:noProof/>
            <w:webHidden/>
          </w:rPr>
          <w:instrText xml:space="preserve"> PAGEREF _Toc227659628 \h </w:instrText>
        </w:r>
        <w:r>
          <w:rPr>
            <w:noProof/>
            <w:webHidden/>
          </w:rPr>
        </w:r>
        <w:r>
          <w:rPr>
            <w:noProof/>
            <w:webHidden/>
          </w:rPr>
          <w:fldChar w:fldCharType="separate"/>
        </w:r>
        <w:r w:rsidR="0019204C">
          <w:rPr>
            <w:noProof/>
            <w:webHidden/>
          </w:rPr>
          <w:t>46</w:t>
        </w:r>
        <w:r>
          <w:rPr>
            <w:noProof/>
            <w:webHidden/>
          </w:rPr>
          <w:fldChar w:fldCharType="end"/>
        </w:r>
      </w:hyperlink>
    </w:p>
    <w:p w14:paraId="53C6648D" w14:textId="71FCD81F" w:rsidR="008775A5" w:rsidRDefault="008775A5">
      <w:pPr>
        <w:pStyle w:val="TableofFigures"/>
        <w:tabs>
          <w:tab w:val="right" w:leader="dot" w:pos="9350"/>
        </w:tabs>
        <w:rPr>
          <w:rFonts w:asciiTheme="minorHAnsi" w:eastAsiaTheme="minorEastAsia" w:hAnsiTheme="minorHAnsi"/>
          <w:noProof/>
        </w:rPr>
      </w:pPr>
      <w:hyperlink w:anchor="_Toc227659629" w:history="1">
        <w:r w:rsidRPr="0064105C">
          <w:rPr>
            <w:rStyle w:val="Hyperlink"/>
            <w:noProof/>
          </w:rPr>
          <w:t>Table 6: Internal Rate of Return (IRR)</w:t>
        </w:r>
        <w:r>
          <w:rPr>
            <w:noProof/>
            <w:webHidden/>
          </w:rPr>
          <w:tab/>
        </w:r>
        <w:r>
          <w:rPr>
            <w:noProof/>
            <w:webHidden/>
          </w:rPr>
          <w:fldChar w:fldCharType="begin"/>
        </w:r>
        <w:r>
          <w:rPr>
            <w:noProof/>
            <w:webHidden/>
          </w:rPr>
          <w:instrText xml:space="preserve"> PAGEREF _Toc227659629 \h </w:instrText>
        </w:r>
        <w:r>
          <w:rPr>
            <w:noProof/>
            <w:webHidden/>
          </w:rPr>
        </w:r>
        <w:r>
          <w:rPr>
            <w:noProof/>
            <w:webHidden/>
          </w:rPr>
          <w:fldChar w:fldCharType="separate"/>
        </w:r>
        <w:r w:rsidR="0019204C">
          <w:rPr>
            <w:noProof/>
            <w:webHidden/>
          </w:rPr>
          <w:t>46</w:t>
        </w:r>
        <w:r>
          <w:rPr>
            <w:noProof/>
            <w:webHidden/>
          </w:rPr>
          <w:fldChar w:fldCharType="end"/>
        </w:r>
      </w:hyperlink>
    </w:p>
    <w:p w14:paraId="7D0C6011" w14:textId="5B42749A" w:rsidR="008775A5" w:rsidRDefault="008775A5">
      <w:pPr>
        <w:pStyle w:val="TableofFigures"/>
        <w:tabs>
          <w:tab w:val="right" w:leader="dot" w:pos="9350"/>
        </w:tabs>
        <w:rPr>
          <w:rFonts w:asciiTheme="minorHAnsi" w:eastAsiaTheme="minorEastAsia" w:hAnsiTheme="minorHAnsi"/>
          <w:noProof/>
        </w:rPr>
      </w:pPr>
      <w:hyperlink w:anchor="_Toc227659630" w:history="1">
        <w:r w:rsidRPr="0064105C">
          <w:rPr>
            <w:rStyle w:val="Hyperlink"/>
            <w:noProof/>
          </w:rPr>
          <w:t>Table 7: Comparative Evaluation of Projects</w:t>
        </w:r>
        <w:r>
          <w:rPr>
            <w:noProof/>
            <w:webHidden/>
          </w:rPr>
          <w:tab/>
        </w:r>
        <w:r>
          <w:rPr>
            <w:noProof/>
            <w:webHidden/>
          </w:rPr>
          <w:fldChar w:fldCharType="begin"/>
        </w:r>
        <w:r>
          <w:rPr>
            <w:noProof/>
            <w:webHidden/>
          </w:rPr>
          <w:instrText xml:space="preserve"> PAGEREF _Toc227659630 \h </w:instrText>
        </w:r>
        <w:r>
          <w:rPr>
            <w:noProof/>
            <w:webHidden/>
          </w:rPr>
        </w:r>
        <w:r>
          <w:rPr>
            <w:noProof/>
            <w:webHidden/>
          </w:rPr>
          <w:fldChar w:fldCharType="separate"/>
        </w:r>
        <w:r w:rsidR="0019204C">
          <w:rPr>
            <w:noProof/>
            <w:webHidden/>
          </w:rPr>
          <w:t>47</w:t>
        </w:r>
        <w:r>
          <w:rPr>
            <w:noProof/>
            <w:webHidden/>
          </w:rPr>
          <w:fldChar w:fldCharType="end"/>
        </w:r>
      </w:hyperlink>
    </w:p>
    <w:p w14:paraId="5ECE6D20" w14:textId="6DB330DB" w:rsidR="008775A5" w:rsidRDefault="008775A5">
      <w:pPr>
        <w:pStyle w:val="TableofFigures"/>
        <w:tabs>
          <w:tab w:val="right" w:leader="dot" w:pos="9350"/>
        </w:tabs>
        <w:rPr>
          <w:rFonts w:asciiTheme="minorHAnsi" w:eastAsiaTheme="minorEastAsia" w:hAnsiTheme="minorHAnsi"/>
          <w:noProof/>
        </w:rPr>
      </w:pPr>
      <w:hyperlink w:anchor="_Toc227659631" w:history="1">
        <w:r w:rsidRPr="0064105C">
          <w:rPr>
            <w:rStyle w:val="Hyperlink"/>
            <w:noProof/>
          </w:rPr>
          <w:t>Table 8: Possible Project Combinations</w:t>
        </w:r>
        <w:r>
          <w:rPr>
            <w:noProof/>
            <w:webHidden/>
          </w:rPr>
          <w:tab/>
        </w:r>
        <w:r>
          <w:rPr>
            <w:noProof/>
            <w:webHidden/>
          </w:rPr>
          <w:fldChar w:fldCharType="begin"/>
        </w:r>
        <w:r>
          <w:rPr>
            <w:noProof/>
            <w:webHidden/>
          </w:rPr>
          <w:instrText xml:space="preserve"> PAGEREF _Toc227659631 \h </w:instrText>
        </w:r>
        <w:r>
          <w:rPr>
            <w:noProof/>
            <w:webHidden/>
          </w:rPr>
        </w:r>
        <w:r>
          <w:rPr>
            <w:noProof/>
            <w:webHidden/>
          </w:rPr>
          <w:fldChar w:fldCharType="separate"/>
        </w:r>
        <w:r w:rsidR="0019204C">
          <w:rPr>
            <w:noProof/>
            <w:webHidden/>
          </w:rPr>
          <w:t>50</w:t>
        </w:r>
        <w:r>
          <w:rPr>
            <w:noProof/>
            <w:webHidden/>
          </w:rPr>
          <w:fldChar w:fldCharType="end"/>
        </w:r>
      </w:hyperlink>
    </w:p>
    <w:p w14:paraId="303D55B1" w14:textId="4BA40713" w:rsidR="008775A5" w:rsidRDefault="008775A5">
      <w:pPr>
        <w:pStyle w:val="TableofFigures"/>
        <w:tabs>
          <w:tab w:val="right" w:leader="dot" w:pos="9350"/>
        </w:tabs>
        <w:rPr>
          <w:rFonts w:asciiTheme="minorHAnsi" w:eastAsiaTheme="minorEastAsia" w:hAnsiTheme="minorHAnsi"/>
          <w:noProof/>
        </w:rPr>
      </w:pPr>
      <w:hyperlink w:anchor="_Toc227659632" w:history="1">
        <w:r w:rsidRPr="0064105C">
          <w:rPr>
            <w:rStyle w:val="Hyperlink"/>
            <w:noProof/>
          </w:rPr>
          <w:t>Table 9: Optimal Combination Selection</w:t>
        </w:r>
        <w:r>
          <w:rPr>
            <w:noProof/>
            <w:webHidden/>
          </w:rPr>
          <w:tab/>
        </w:r>
        <w:r>
          <w:rPr>
            <w:noProof/>
            <w:webHidden/>
          </w:rPr>
          <w:fldChar w:fldCharType="begin"/>
        </w:r>
        <w:r>
          <w:rPr>
            <w:noProof/>
            <w:webHidden/>
          </w:rPr>
          <w:instrText xml:space="preserve"> PAGEREF _Toc227659632 \h </w:instrText>
        </w:r>
        <w:r>
          <w:rPr>
            <w:noProof/>
            <w:webHidden/>
          </w:rPr>
        </w:r>
        <w:r>
          <w:rPr>
            <w:noProof/>
            <w:webHidden/>
          </w:rPr>
          <w:fldChar w:fldCharType="separate"/>
        </w:r>
        <w:r w:rsidR="0019204C">
          <w:rPr>
            <w:noProof/>
            <w:webHidden/>
          </w:rPr>
          <w:t>51</w:t>
        </w:r>
        <w:r>
          <w:rPr>
            <w:noProof/>
            <w:webHidden/>
          </w:rPr>
          <w:fldChar w:fldCharType="end"/>
        </w:r>
      </w:hyperlink>
    </w:p>
    <w:p w14:paraId="1B4AFBED" w14:textId="3C0D44D0" w:rsidR="008775A5" w:rsidRDefault="008775A5">
      <w:pPr>
        <w:rPr>
          <w:b/>
          <w:bCs/>
          <w:sz w:val="28"/>
          <w:szCs w:val="28"/>
        </w:rPr>
      </w:pPr>
      <w:r>
        <w:rPr>
          <w:b/>
          <w:bCs/>
          <w:sz w:val="28"/>
          <w:szCs w:val="28"/>
        </w:rPr>
        <w:fldChar w:fldCharType="end"/>
      </w:r>
    </w:p>
    <w:p w14:paraId="3057F612" w14:textId="77777777" w:rsidR="00416FD6" w:rsidRDefault="00416FD6">
      <w:pPr>
        <w:rPr>
          <w:b/>
          <w:bCs/>
          <w:sz w:val="28"/>
          <w:szCs w:val="28"/>
        </w:rPr>
      </w:pPr>
    </w:p>
    <w:p w14:paraId="2C9F2F47" w14:textId="77777777" w:rsidR="00416FD6" w:rsidRDefault="00416FD6">
      <w:pPr>
        <w:rPr>
          <w:b/>
          <w:bCs/>
          <w:sz w:val="28"/>
          <w:szCs w:val="28"/>
        </w:rPr>
      </w:pPr>
    </w:p>
    <w:p w14:paraId="0A8F1AB5" w14:textId="77777777" w:rsidR="00416FD6" w:rsidRDefault="00416FD6">
      <w:pPr>
        <w:rPr>
          <w:b/>
          <w:bCs/>
          <w:sz w:val="28"/>
          <w:szCs w:val="28"/>
        </w:rPr>
      </w:pPr>
    </w:p>
    <w:p w14:paraId="3689CFD5" w14:textId="77777777" w:rsidR="00416FD6" w:rsidRDefault="00416FD6">
      <w:pPr>
        <w:rPr>
          <w:b/>
          <w:bCs/>
          <w:sz w:val="28"/>
          <w:szCs w:val="28"/>
        </w:rPr>
      </w:pPr>
    </w:p>
    <w:p w14:paraId="20D10BB1" w14:textId="77777777" w:rsidR="00416FD6" w:rsidRDefault="00416FD6">
      <w:pPr>
        <w:rPr>
          <w:b/>
          <w:bCs/>
          <w:sz w:val="28"/>
          <w:szCs w:val="28"/>
        </w:rPr>
      </w:pPr>
    </w:p>
    <w:p w14:paraId="19717859" w14:textId="77777777" w:rsidR="00416FD6" w:rsidRDefault="00416FD6">
      <w:pPr>
        <w:rPr>
          <w:b/>
          <w:bCs/>
          <w:sz w:val="28"/>
          <w:szCs w:val="28"/>
        </w:rPr>
      </w:pPr>
    </w:p>
    <w:p w14:paraId="1889952B" w14:textId="77777777" w:rsidR="00416FD6" w:rsidRDefault="00416FD6">
      <w:pPr>
        <w:rPr>
          <w:b/>
          <w:bCs/>
          <w:sz w:val="28"/>
          <w:szCs w:val="28"/>
        </w:rPr>
      </w:pPr>
    </w:p>
    <w:p w14:paraId="4AE5FA9D" w14:textId="77777777" w:rsidR="00416FD6" w:rsidRDefault="00416FD6">
      <w:pPr>
        <w:rPr>
          <w:b/>
          <w:bCs/>
          <w:sz w:val="28"/>
          <w:szCs w:val="28"/>
        </w:rPr>
      </w:pPr>
    </w:p>
    <w:p w14:paraId="7EF8E851" w14:textId="77777777" w:rsidR="00416FD6" w:rsidRDefault="00416FD6">
      <w:pPr>
        <w:rPr>
          <w:b/>
          <w:bCs/>
          <w:sz w:val="28"/>
          <w:szCs w:val="28"/>
        </w:rPr>
      </w:pPr>
    </w:p>
    <w:p w14:paraId="3837F361" w14:textId="77777777" w:rsidR="00416FD6" w:rsidRDefault="00416FD6">
      <w:pPr>
        <w:rPr>
          <w:b/>
          <w:bCs/>
          <w:sz w:val="28"/>
          <w:szCs w:val="28"/>
        </w:rPr>
      </w:pPr>
    </w:p>
    <w:p w14:paraId="586765F8" w14:textId="77777777" w:rsidR="00416FD6" w:rsidRDefault="00416FD6">
      <w:pPr>
        <w:rPr>
          <w:b/>
          <w:bCs/>
          <w:sz w:val="28"/>
          <w:szCs w:val="28"/>
        </w:rPr>
      </w:pPr>
    </w:p>
    <w:p w14:paraId="0458F1CF" w14:textId="77777777" w:rsidR="00416FD6" w:rsidRPr="00416FD6" w:rsidRDefault="00416FD6">
      <w:pPr>
        <w:rPr>
          <w:b/>
          <w:bCs/>
          <w:sz w:val="28"/>
          <w:szCs w:val="28"/>
        </w:rPr>
      </w:pPr>
    </w:p>
    <w:p w14:paraId="1443CFD9" w14:textId="6551024B" w:rsidR="00416FD6" w:rsidRDefault="00416FD6">
      <w:pPr>
        <w:rPr>
          <w:b/>
          <w:bCs/>
          <w:sz w:val="28"/>
          <w:szCs w:val="28"/>
        </w:rPr>
      </w:pPr>
      <w:r w:rsidRPr="00416FD6">
        <w:rPr>
          <w:b/>
          <w:bCs/>
          <w:sz w:val="28"/>
          <w:szCs w:val="28"/>
        </w:rPr>
        <w:lastRenderedPageBreak/>
        <w:t>List of Figures</w:t>
      </w:r>
    </w:p>
    <w:p w14:paraId="74EFD8D6" w14:textId="04A7390B" w:rsidR="008775A5" w:rsidRDefault="008775A5">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7659579" w:history="1">
        <w:r w:rsidRPr="00AA5B92">
          <w:rPr>
            <w:rStyle w:val="Hyperlink"/>
            <w:noProof/>
          </w:rPr>
          <w:t>Figure 1: Tesla, Inc</w:t>
        </w:r>
        <w:r>
          <w:rPr>
            <w:noProof/>
            <w:webHidden/>
          </w:rPr>
          <w:tab/>
        </w:r>
        <w:r>
          <w:rPr>
            <w:noProof/>
            <w:webHidden/>
          </w:rPr>
          <w:fldChar w:fldCharType="begin"/>
        </w:r>
        <w:r>
          <w:rPr>
            <w:noProof/>
            <w:webHidden/>
          </w:rPr>
          <w:instrText xml:space="preserve"> PAGEREF _Toc227659579 \h </w:instrText>
        </w:r>
        <w:r>
          <w:rPr>
            <w:noProof/>
            <w:webHidden/>
          </w:rPr>
        </w:r>
        <w:r>
          <w:rPr>
            <w:noProof/>
            <w:webHidden/>
          </w:rPr>
          <w:fldChar w:fldCharType="separate"/>
        </w:r>
        <w:r>
          <w:rPr>
            <w:noProof/>
            <w:webHidden/>
          </w:rPr>
          <w:t>9</w:t>
        </w:r>
        <w:r>
          <w:rPr>
            <w:noProof/>
            <w:webHidden/>
          </w:rPr>
          <w:fldChar w:fldCharType="end"/>
        </w:r>
      </w:hyperlink>
    </w:p>
    <w:p w14:paraId="305E8347" w14:textId="3128E972" w:rsidR="008775A5" w:rsidRDefault="008775A5">
      <w:pPr>
        <w:pStyle w:val="TableofFigures"/>
        <w:tabs>
          <w:tab w:val="right" w:leader="dot" w:pos="9350"/>
        </w:tabs>
        <w:rPr>
          <w:rFonts w:asciiTheme="minorHAnsi" w:eastAsiaTheme="minorEastAsia" w:hAnsiTheme="minorHAnsi"/>
          <w:noProof/>
        </w:rPr>
      </w:pPr>
      <w:hyperlink w:anchor="_Toc227659580" w:history="1">
        <w:r w:rsidRPr="00AA5B92">
          <w:rPr>
            <w:rStyle w:val="Hyperlink"/>
            <w:noProof/>
          </w:rPr>
          <w:t>Figure 2: Gross Profit Margin</w:t>
        </w:r>
        <w:r>
          <w:rPr>
            <w:noProof/>
            <w:webHidden/>
          </w:rPr>
          <w:tab/>
        </w:r>
        <w:r>
          <w:rPr>
            <w:noProof/>
            <w:webHidden/>
          </w:rPr>
          <w:fldChar w:fldCharType="begin"/>
        </w:r>
        <w:r>
          <w:rPr>
            <w:noProof/>
            <w:webHidden/>
          </w:rPr>
          <w:instrText xml:space="preserve"> PAGEREF _Toc227659580 \h </w:instrText>
        </w:r>
        <w:r>
          <w:rPr>
            <w:noProof/>
            <w:webHidden/>
          </w:rPr>
        </w:r>
        <w:r>
          <w:rPr>
            <w:noProof/>
            <w:webHidden/>
          </w:rPr>
          <w:fldChar w:fldCharType="separate"/>
        </w:r>
        <w:r>
          <w:rPr>
            <w:noProof/>
            <w:webHidden/>
          </w:rPr>
          <w:t>10</w:t>
        </w:r>
        <w:r>
          <w:rPr>
            <w:noProof/>
            <w:webHidden/>
          </w:rPr>
          <w:fldChar w:fldCharType="end"/>
        </w:r>
      </w:hyperlink>
    </w:p>
    <w:p w14:paraId="34DF063F" w14:textId="0735FA16" w:rsidR="008775A5" w:rsidRDefault="008775A5">
      <w:pPr>
        <w:pStyle w:val="TableofFigures"/>
        <w:tabs>
          <w:tab w:val="right" w:leader="dot" w:pos="9350"/>
        </w:tabs>
        <w:rPr>
          <w:rFonts w:asciiTheme="minorHAnsi" w:eastAsiaTheme="minorEastAsia" w:hAnsiTheme="minorHAnsi"/>
          <w:noProof/>
        </w:rPr>
      </w:pPr>
      <w:hyperlink w:anchor="_Toc227659581" w:history="1">
        <w:r w:rsidRPr="00AA5B92">
          <w:rPr>
            <w:rStyle w:val="Hyperlink"/>
            <w:noProof/>
          </w:rPr>
          <w:t>Figure 3: Operating Profit Margin</w:t>
        </w:r>
        <w:r>
          <w:rPr>
            <w:noProof/>
            <w:webHidden/>
          </w:rPr>
          <w:tab/>
        </w:r>
        <w:r>
          <w:rPr>
            <w:noProof/>
            <w:webHidden/>
          </w:rPr>
          <w:fldChar w:fldCharType="begin"/>
        </w:r>
        <w:r>
          <w:rPr>
            <w:noProof/>
            <w:webHidden/>
          </w:rPr>
          <w:instrText xml:space="preserve"> PAGEREF _Toc227659581 \h </w:instrText>
        </w:r>
        <w:r>
          <w:rPr>
            <w:noProof/>
            <w:webHidden/>
          </w:rPr>
        </w:r>
        <w:r>
          <w:rPr>
            <w:noProof/>
            <w:webHidden/>
          </w:rPr>
          <w:fldChar w:fldCharType="separate"/>
        </w:r>
        <w:r>
          <w:rPr>
            <w:noProof/>
            <w:webHidden/>
          </w:rPr>
          <w:t>11</w:t>
        </w:r>
        <w:r>
          <w:rPr>
            <w:noProof/>
            <w:webHidden/>
          </w:rPr>
          <w:fldChar w:fldCharType="end"/>
        </w:r>
      </w:hyperlink>
    </w:p>
    <w:p w14:paraId="6AFF755A" w14:textId="59F7EC0A" w:rsidR="008775A5" w:rsidRDefault="008775A5">
      <w:pPr>
        <w:pStyle w:val="TableofFigures"/>
        <w:tabs>
          <w:tab w:val="right" w:leader="dot" w:pos="9350"/>
        </w:tabs>
        <w:rPr>
          <w:rFonts w:asciiTheme="minorHAnsi" w:eastAsiaTheme="minorEastAsia" w:hAnsiTheme="minorHAnsi"/>
          <w:noProof/>
        </w:rPr>
      </w:pPr>
      <w:hyperlink w:anchor="_Toc227659582" w:history="1">
        <w:r w:rsidRPr="00AA5B92">
          <w:rPr>
            <w:rStyle w:val="Hyperlink"/>
            <w:noProof/>
          </w:rPr>
          <w:t>Figure 4: Net Profit Margin</w:t>
        </w:r>
        <w:r>
          <w:rPr>
            <w:noProof/>
            <w:webHidden/>
          </w:rPr>
          <w:tab/>
        </w:r>
        <w:r>
          <w:rPr>
            <w:noProof/>
            <w:webHidden/>
          </w:rPr>
          <w:fldChar w:fldCharType="begin"/>
        </w:r>
        <w:r>
          <w:rPr>
            <w:noProof/>
            <w:webHidden/>
          </w:rPr>
          <w:instrText xml:space="preserve"> PAGEREF _Toc227659582 \h </w:instrText>
        </w:r>
        <w:r>
          <w:rPr>
            <w:noProof/>
            <w:webHidden/>
          </w:rPr>
        </w:r>
        <w:r>
          <w:rPr>
            <w:noProof/>
            <w:webHidden/>
          </w:rPr>
          <w:fldChar w:fldCharType="separate"/>
        </w:r>
        <w:r>
          <w:rPr>
            <w:noProof/>
            <w:webHidden/>
          </w:rPr>
          <w:t>12</w:t>
        </w:r>
        <w:r>
          <w:rPr>
            <w:noProof/>
            <w:webHidden/>
          </w:rPr>
          <w:fldChar w:fldCharType="end"/>
        </w:r>
      </w:hyperlink>
    </w:p>
    <w:p w14:paraId="6545EF0F" w14:textId="526C893F" w:rsidR="008775A5" w:rsidRDefault="008775A5">
      <w:pPr>
        <w:pStyle w:val="TableofFigures"/>
        <w:tabs>
          <w:tab w:val="right" w:leader="dot" w:pos="9350"/>
        </w:tabs>
        <w:rPr>
          <w:rFonts w:asciiTheme="minorHAnsi" w:eastAsiaTheme="minorEastAsia" w:hAnsiTheme="minorHAnsi"/>
          <w:noProof/>
        </w:rPr>
      </w:pPr>
      <w:hyperlink w:anchor="_Toc227659583" w:history="1">
        <w:r w:rsidRPr="00AA5B92">
          <w:rPr>
            <w:rStyle w:val="Hyperlink"/>
            <w:noProof/>
          </w:rPr>
          <w:t>Figure 5: Return on Assets (ROA)</w:t>
        </w:r>
        <w:r>
          <w:rPr>
            <w:noProof/>
            <w:webHidden/>
          </w:rPr>
          <w:tab/>
        </w:r>
        <w:r>
          <w:rPr>
            <w:noProof/>
            <w:webHidden/>
          </w:rPr>
          <w:fldChar w:fldCharType="begin"/>
        </w:r>
        <w:r>
          <w:rPr>
            <w:noProof/>
            <w:webHidden/>
          </w:rPr>
          <w:instrText xml:space="preserve"> PAGEREF _Toc227659583 \h </w:instrText>
        </w:r>
        <w:r>
          <w:rPr>
            <w:noProof/>
            <w:webHidden/>
          </w:rPr>
        </w:r>
        <w:r>
          <w:rPr>
            <w:noProof/>
            <w:webHidden/>
          </w:rPr>
          <w:fldChar w:fldCharType="separate"/>
        </w:r>
        <w:r>
          <w:rPr>
            <w:noProof/>
            <w:webHidden/>
          </w:rPr>
          <w:t>13</w:t>
        </w:r>
        <w:r>
          <w:rPr>
            <w:noProof/>
            <w:webHidden/>
          </w:rPr>
          <w:fldChar w:fldCharType="end"/>
        </w:r>
      </w:hyperlink>
    </w:p>
    <w:p w14:paraId="46F10BE8" w14:textId="53ADC0CE" w:rsidR="008775A5" w:rsidRDefault="008775A5">
      <w:pPr>
        <w:pStyle w:val="TableofFigures"/>
        <w:tabs>
          <w:tab w:val="right" w:leader="dot" w:pos="9350"/>
        </w:tabs>
        <w:rPr>
          <w:rFonts w:asciiTheme="minorHAnsi" w:eastAsiaTheme="minorEastAsia" w:hAnsiTheme="minorHAnsi"/>
          <w:noProof/>
        </w:rPr>
      </w:pPr>
      <w:hyperlink w:anchor="_Toc227659584" w:history="1">
        <w:r w:rsidRPr="00AA5B92">
          <w:rPr>
            <w:rStyle w:val="Hyperlink"/>
            <w:noProof/>
          </w:rPr>
          <w:t>Figure 6: Return on Equity (ROE)</w:t>
        </w:r>
        <w:r>
          <w:rPr>
            <w:noProof/>
            <w:webHidden/>
          </w:rPr>
          <w:tab/>
        </w:r>
        <w:r>
          <w:rPr>
            <w:noProof/>
            <w:webHidden/>
          </w:rPr>
          <w:fldChar w:fldCharType="begin"/>
        </w:r>
        <w:r>
          <w:rPr>
            <w:noProof/>
            <w:webHidden/>
          </w:rPr>
          <w:instrText xml:space="preserve"> PAGEREF _Toc227659584 \h </w:instrText>
        </w:r>
        <w:r>
          <w:rPr>
            <w:noProof/>
            <w:webHidden/>
          </w:rPr>
        </w:r>
        <w:r>
          <w:rPr>
            <w:noProof/>
            <w:webHidden/>
          </w:rPr>
          <w:fldChar w:fldCharType="separate"/>
        </w:r>
        <w:r>
          <w:rPr>
            <w:noProof/>
            <w:webHidden/>
          </w:rPr>
          <w:t>13</w:t>
        </w:r>
        <w:r>
          <w:rPr>
            <w:noProof/>
            <w:webHidden/>
          </w:rPr>
          <w:fldChar w:fldCharType="end"/>
        </w:r>
      </w:hyperlink>
    </w:p>
    <w:p w14:paraId="2862ADFB" w14:textId="34B4B1CB" w:rsidR="008775A5" w:rsidRDefault="008775A5">
      <w:pPr>
        <w:pStyle w:val="TableofFigures"/>
        <w:tabs>
          <w:tab w:val="right" w:leader="dot" w:pos="9350"/>
        </w:tabs>
        <w:rPr>
          <w:rFonts w:asciiTheme="minorHAnsi" w:eastAsiaTheme="minorEastAsia" w:hAnsiTheme="minorHAnsi"/>
          <w:noProof/>
        </w:rPr>
      </w:pPr>
      <w:hyperlink w:anchor="_Toc227659585" w:history="1">
        <w:r w:rsidRPr="00AA5B92">
          <w:rPr>
            <w:rStyle w:val="Hyperlink"/>
            <w:noProof/>
          </w:rPr>
          <w:t>Figure 7: Current Ratio</w:t>
        </w:r>
        <w:r>
          <w:rPr>
            <w:noProof/>
            <w:webHidden/>
          </w:rPr>
          <w:tab/>
        </w:r>
        <w:r>
          <w:rPr>
            <w:noProof/>
            <w:webHidden/>
          </w:rPr>
          <w:fldChar w:fldCharType="begin"/>
        </w:r>
        <w:r>
          <w:rPr>
            <w:noProof/>
            <w:webHidden/>
          </w:rPr>
          <w:instrText xml:space="preserve"> PAGEREF _Toc227659585 \h </w:instrText>
        </w:r>
        <w:r>
          <w:rPr>
            <w:noProof/>
            <w:webHidden/>
          </w:rPr>
        </w:r>
        <w:r>
          <w:rPr>
            <w:noProof/>
            <w:webHidden/>
          </w:rPr>
          <w:fldChar w:fldCharType="separate"/>
        </w:r>
        <w:r>
          <w:rPr>
            <w:noProof/>
            <w:webHidden/>
          </w:rPr>
          <w:t>14</w:t>
        </w:r>
        <w:r>
          <w:rPr>
            <w:noProof/>
            <w:webHidden/>
          </w:rPr>
          <w:fldChar w:fldCharType="end"/>
        </w:r>
      </w:hyperlink>
    </w:p>
    <w:p w14:paraId="6CB942D5" w14:textId="3AA8B891" w:rsidR="008775A5" w:rsidRDefault="008775A5">
      <w:pPr>
        <w:pStyle w:val="TableofFigures"/>
        <w:tabs>
          <w:tab w:val="right" w:leader="dot" w:pos="9350"/>
        </w:tabs>
        <w:rPr>
          <w:rFonts w:asciiTheme="minorHAnsi" w:eastAsiaTheme="minorEastAsia" w:hAnsiTheme="minorHAnsi"/>
          <w:noProof/>
        </w:rPr>
      </w:pPr>
      <w:hyperlink w:anchor="_Toc227659586" w:history="1">
        <w:r w:rsidRPr="00AA5B92">
          <w:rPr>
            <w:rStyle w:val="Hyperlink"/>
            <w:noProof/>
          </w:rPr>
          <w:t>Figure 8: Quick Ratio</w:t>
        </w:r>
        <w:r>
          <w:rPr>
            <w:noProof/>
            <w:webHidden/>
          </w:rPr>
          <w:tab/>
        </w:r>
        <w:r>
          <w:rPr>
            <w:noProof/>
            <w:webHidden/>
          </w:rPr>
          <w:fldChar w:fldCharType="begin"/>
        </w:r>
        <w:r>
          <w:rPr>
            <w:noProof/>
            <w:webHidden/>
          </w:rPr>
          <w:instrText xml:space="preserve"> PAGEREF _Toc227659586 \h </w:instrText>
        </w:r>
        <w:r>
          <w:rPr>
            <w:noProof/>
            <w:webHidden/>
          </w:rPr>
        </w:r>
        <w:r>
          <w:rPr>
            <w:noProof/>
            <w:webHidden/>
          </w:rPr>
          <w:fldChar w:fldCharType="separate"/>
        </w:r>
        <w:r>
          <w:rPr>
            <w:noProof/>
            <w:webHidden/>
          </w:rPr>
          <w:t>15</w:t>
        </w:r>
        <w:r>
          <w:rPr>
            <w:noProof/>
            <w:webHidden/>
          </w:rPr>
          <w:fldChar w:fldCharType="end"/>
        </w:r>
      </w:hyperlink>
    </w:p>
    <w:p w14:paraId="1A45DE9E" w14:textId="7C74F297" w:rsidR="008775A5" w:rsidRDefault="008775A5">
      <w:pPr>
        <w:pStyle w:val="TableofFigures"/>
        <w:tabs>
          <w:tab w:val="right" w:leader="dot" w:pos="9350"/>
        </w:tabs>
        <w:rPr>
          <w:rFonts w:asciiTheme="minorHAnsi" w:eastAsiaTheme="minorEastAsia" w:hAnsiTheme="minorHAnsi"/>
          <w:noProof/>
        </w:rPr>
      </w:pPr>
      <w:hyperlink w:anchor="_Toc227659587" w:history="1">
        <w:r w:rsidRPr="00AA5B92">
          <w:rPr>
            <w:rStyle w:val="Hyperlink"/>
            <w:noProof/>
          </w:rPr>
          <w:t>Figure 9: Inventory Turnover</w:t>
        </w:r>
        <w:r>
          <w:rPr>
            <w:noProof/>
            <w:webHidden/>
          </w:rPr>
          <w:tab/>
        </w:r>
        <w:r>
          <w:rPr>
            <w:noProof/>
            <w:webHidden/>
          </w:rPr>
          <w:fldChar w:fldCharType="begin"/>
        </w:r>
        <w:r>
          <w:rPr>
            <w:noProof/>
            <w:webHidden/>
          </w:rPr>
          <w:instrText xml:space="preserve"> PAGEREF _Toc227659587 \h </w:instrText>
        </w:r>
        <w:r>
          <w:rPr>
            <w:noProof/>
            <w:webHidden/>
          </w:rPr>
        </w:r>
        <w:r>
          <w:rPr>
            <w:noProof/>
            <w:webHidden/>
          </w:rPr>
          <w:fldChar w:fldCharType="separate"/>
        </w:r>
        <w:r>
          <w:rPr>
            <w:noProof/>
            <w:webHidden/>
          </w:rPr>
          <w:t>15</w:t>
        </w:r>
        <w:r>
          <w:rPr>
            <w:noProof/>
            <w:webHidden/>
          </w:rPr>
          <w:fldChar w:fldCharType="end"/>
        </w:r>
      </w:hyperlink>
    </w:p>
    <w:p w14:paraId="057A02FB" w14:textId="5DB30C93" w:rsidR="008775A5" w:rsidRDefault="008775A5">
      <w:pPr>
        <w:pStyle w:val="TableofFigures"/>
        <w:tabs>
          <w:tab w:val="right" w:leader="dot" w:pos="9350"/>
        </w:tabs>
        <w:rPr>
          <w:rFonts w:asciiTheme="minorHAnsi" w:eastAsiaTheme="minorEastAsia" w:hAnsiTheme="minorHAnsi"/>
          <w:noProof/>
        </w:rPr>
      </w:pPr>
      <w:hyperlink w:anchor="_Toc227659588" w:history="1">
        <w:r w:rsidRPr="00AA5B92">
          <w:rPr>
            <w:rStyle w:val="Hyperlink"/>
            <w:noProof/>
          </w:rPr>
          <w:t>Figure 10: Receivables Collection Period</w:t>
        </w:r>
        <w:r>
          <w:rPr>
            <w:noProof/>
            <w:webHidden/>
          </w:rPr>
          <w:tab/>
        </w:r>
        <w:r>
          <w:rPr>
            <w:noProof/>
            <w:webHidden/>
          </w:rPr>
          <w:fldChar w:fldCharType="begin"/>
        </w:r>
        <w:r>
          <w:rPr>
            <w:noProof/>
            <w:webHidden/>
          </w:rPr>
          <w:instrText xml:space="preserve"> PAGEREF _Toc227659588 \h </w:instrText>
        </w:r>
        <w:r>
          <w:rPr>
            <w:noProof/>
            <w:webHidden/>
          </w:rPr>
        </w:r>
        <w:r>
          <w:rPr>
            <w:noProof/>
            <w:webHidden/>
          </w:rPr>
          <w:fldChar w:fldCharType="separate"/>
        </w:r>
        <w:r>
          <w:rPr>
            <w:noProof/>
            <w:webHidden/>
          </w:rPr>
          <w:t>16</w:t>
        </w:r>
        <w:r>
          <w:rPr>
            <w:noProof/>
            <w:webHidden/>
          </w:rPr>
          <w:fldChar w:fldCharType="end"/>
        </w:r>
      </w:hyperlink>
    </w:p>
    <w:p w14:paraId="34D117C6" w14:textId="5A86DA76" w:rsidR="008775A5" w:rsidRDefault="008775A5">
      <w:pPr>
        <w:pStyle w:val="TableofFigures"/>
        <w:tabs>
          <w:tab w:val="right" w:leader="dot" w:pos="9350"/>
        </w:tabs>
        <w:rPr>
          <w:rFonts w:asciiTheme="minorHAnsi" w:eastAsiaTheme="minorEastAsia" w:hAnsiTheme="minorHAnsi"/>
          <w:noProof/>
        </w:rPr>
      </w:pPr>
      <w:hyperlink w:anchor="_Toc227659589" w:history="1">
        <w:r w:rsidRPr="00AA5B92">
          <w:rPr>
            <w:rStyle w:val="Hyperlink"/>
            <w:noProof/>
          </w:rPr>
          <w:t>Figure 11: Payables Payment Period</w:t>
        </w:r>
        <w:r>
          <w:rPr>
            <w:noProof/>
            <w:webHidden/>
          </w:rPr>
          <w:tab/>
        </w:r>
        <w:r>
          <w:rPr>
            <w:noProof/>
            <w:webHidden/>
          </w:rPr>
          <w:fldChar w:fldCharType="begin"/>
        </w:r>
        <w:r>
          <w:rPr>
            <w:noProof/>
            <w:webHidden/>
          </w:rPr>
          <w:instrText xml:space="preserve"> PAGEREF _Toc227659589 \h </w:instrText>
        </w:r>
        <w:r>
          <w:rPr>
            <w:noProof/>
            <w:webHidden/>
          </w:rPr>
        </w:r>
        <w:r>
          <w:rPr>
            <w:noProof/>
            <w:webHidden/>
          </w:rPr>
          <w:fldChar w:fldCharType="separate"/>
        </w:r>
        <w:r>
          <w:rPr>
            <w:noProof/>
            <w:webHidden/>
          </w:rPr>
          <w:t>17</w:t>
        </w:r>
        <w:r>
          <w:rPr>
            <w:noProof/>
            <w:webHidden/>
          </w:rPr>
          <w:fldChar w:fldCharType="end"/>
        </w:r>
      </w:hyperlink>
    </w:p>
    <w:p w14:paraId="5489D06F" w14:textId="46ACDEA4" w:rsidR="008775A5" w:rsidRDefault="008775A5">
      <w:pPr>
        <w:pStyle w:val="TableofFigures"/>
        <w:tabs>
          <w:tab w:val="right" w:leader="dot" w:pos="9350"/>
        </w:tabs>
        <w:rPr>
          <w:rFonts w:asciiTheme="minorHAnsi" w:eastAsiaTheme="minorEastAsia" w:hAnsiTheme="minorHAnsi"/>
          <w:noProof/>
        </w:rPr>
      </w:pPr>
      <w:hyperlink w:anchor="_Toc227659590" w:history="1">
        <w:r w:rsidRPr="00AA5B92">
          <w:rPr>
            <w:rStyle w:val="Hyperlink"/>
            <w:noProof/>
          </w:rPr>
          <w:t>Figure 12: Total Asset Turnover</w:t>
        </w:r>
        <w:r>
          <w:rPr>
            <w:noProof/>
            <w:webHidden/>
          </w:rPr>
          <w:tab/>
        </w:r>
        <w:r>
          <w:rPr>
            <w:noProof/>
            <w:webHidden/>
          </w:rPr>
          <w:fldChar w:fldCharType="begin"/>
        </w:r>
        <w:r>
          <w:rPr>
            <w:noProof/>
            <w:webHidden/>
          </w:rPr>
          <w:instrText xml:space="preserve"> PAGEREF _Toc227659590 \h </w:instrText>
        </w:r>
        <w:r>
          <w:rPr>
            <w:noProof/>
            <w:webHidden/>
          </w:rPr>
        </w:r>
        <w:r>
          <w:rPr>
            <w:noProof/>
            <w:webHidden/>
          </w:rPr>
          <w:fldChar w:fldCharType="separate"/>
        </w:r>
        <w:r>
          <w:rPr>
            <w:noProof/>
            <w:webHidden/>
          </w:rPr>
          <w:t>17</w:t>
        </w:r>
        <w:r>
          <w:rPr>
            <w:noProof/>
            <w:webHidden/>
          </w:rPr>
          <w:fldChar w:fldCharType="end"/>
        </w:r>
      </w:hyperlink>
    </w:p>
    <w:p w14:paraId="460E136E" w14:textId="4597F7A4" w:rsidR="008775A5" w:rsidRDefault="008775A5">
      <w:pPr>
        <w:pStyle w:val="TableofFigures"/>
        <w:tabs>
          <w:tab w:val="right" w:leader="dot" w:pos="9350"/>
        </w:tabs>
        <w:rPr>
          <w:rFonts w:asciiTheme="minorHAnsi" w:eastAsiaTheme="minorEastAsia" w:hAnsiTheme="minorHAnsi"/>
          <w:noProof/>
        </w:rPr>
      </w:pPr>
      <w:hyperlink w:anchor="_Toc227659591" w:history="1">
        <w:r w:rsidRPr="00AA5B92">
          <w:rPr>
            <w:rStyle w:val="Hyperlink"/>
            <w:noProof/>
          </w:rPr>
          <w:t>Figure 13: Debt to Equity Ratio</w:t>
        </w:r>
        <w:r>
          <w:rPr>
            <w:noProof/>
            <w:webHidden/>
          </w:rPr>
          <w:tab/>
        </w:r>
        <w:r>
          <w:rPr>
            <w:noProof/>
            <w:webHidden/>
          </w:rPr>
          <w:fldChar w:fldCharType="begin"/>
        </w:r>
        <w:r>
          <w:rPr>
            <w:noProof/>
            <w:webHidden/>
          </w:rPr>
          <w:instrText xml:space="preserve"> PAGEREF _Toc227659591 \h </w:instrText>
        </w:r>
        <w:r>
          <w:rPr>
            <w:noProof/>
            <w:webHidden/>
          </w:rPr>
        </w:r>
        <w:r>
          <w:rPr>
            <w:noProof/>
            <w:webHidden/>
          </w:rPr>
          <w:fldChar w:fldCharType="separate"/>
        </w:r>
        <w:r>
          <w:rPr>
            <w:noProof/>
            <w:webHidden/>
          </w:rPr>
          <w:t>18</w:t>
        </w:r>
        <w:r>
          <w:rPr>
            <w:noProof/>
            <w:webHidden/>
          </w:rPr>
          <w:fldChar w:fldCharType="end"/>
        </w:r>
      </w:hyperlink>
    </w:p>
    <w:p w14:paraId="250C4C63" w14:textId="248F628C" w:rsidR="008775A5" w:rsidRDefault="008775A5">
      <w:pPr>
        <w:pStyle w:val="TableofFigures"/>
        <w:tabs>
          <w:tab w:val="right" w:leader="dot" w:pos="9350"/>
        </w:tabs>
        <w:rPr>
          <w:rFonts w:asciiTheme="minorHAnsi" w:eastAsiaTheme="minorEastAsia" w:hAnsiTheme="minorHAnsi"/>
          <w:noProof/>
        </w:rPr>
      </w:pPr>
      <w:hyperlink w:anchor="_Toc227659592" w:history="1">
        <w:r w:rsidRPr="00AA5B92">
          <w:rPr>
            <w:rStyle w:val="Hyperlink"/>
            <w:noProof/>
          </w:rPr>
          <w:t>Figure 14: Interest Coverage Ratio</w:t>
        </w:r>
        <w:r>
          <w:rPr>
            <w:noProof/>
            <w:webHidden/>
          </w:rPr>
          <w:tab/>
        </w:r>
        <w:r>
          <w:rPr>
            <w:noProof/>
            <w:webHidden/>
          </w:rPr>
          <w:fldChar w:fldCharType="begin"/>
        </w:r>
        <w:r>
          <w:rPr>
            <w:noProof/>
            <w:webHidden/>
          </w:rPr>
          <w:instrText xml:space="preserve"> PAGEREF _Toc227659592 \h </w:instrText>
        </w:r>
        <w:r>
          <w:rPr>
            <w:noProof/>
            <w:webHidden/>
          </w:rPr>
        </w:r>
        <w:r>
          <w:rPr>
            <w:noProof/>
            <w:webHidden/>
          </w:rPr>
          <w:fldChar w:fldCharType="separate"/>
        </w:r>
        <w:r>
          <w:rPr>
            <w:noProof/>
            <w:webHidden/>
          </w:rPr>
          <w:t>19</w:t>
        </w:r>
        <w:r>
          <w:rPr>
            <w:noProof/>
            <w:webHidden/>
          </w:rPr>
          <w:fldChar w:fldCharType="end"/>
        </w:r>
      </w:hyperlink>
    </w:p>
    <w:p w14:paraId="63DB3B3E" w14:textId="240C5D6F" w:rsidR="008775A5" w:rsidRDefault="008775A5">
      <w:pPr>
        <w:pStyle w:val="TableofFigures"/>
        <w:tabs>
          <w:tab w:val="right" w:leader="dot" w:pos="9350"/>
        </w:tabs>
        <w:rPr>
          <w:rFonts w:asciiTheme="minorHAnsi" w:eastAsiaTheme="minorEastAsia" w:hAnsiTheme="minorHAnsi"/>
          <w:noProof/>
        </w:rPr>
      </w:pPr>
      <w:hyperlink w:anchor="_Toc227659593" w:history="1">
        <w:r w:rsidRPr="00AA5B92">
          <w:rPr>
            <w:rStyle w:val="Hyperlink"/>
            <w:noProof/>
          </w:rPr>
          <w:t>Figure 15: Earnings per Share (EPS)</w:t>
        </w:r>
        <w:r>
          <w:rPr>
            <w:noProof/>
            <w:webHidden/>
          </w:rPr>
          <w:tab/>
        </w:r>
        <w:r>
          <w:rPr>
            <w:noProof/>
            <w:webHidden/>
          </w:rPr>
          <w:fldChar w:fldCharType="begin"/>
        </w:r>
        <w:r>
          <w:rPr>
            <w:noProof/>
            <w:webHidden/>
          </w:rPr>
          <w:instrText xml:space="preserve"> PAGEREF _Toc227659593 \h </w:instrText>
        </w:r>
        <w:r>
          <w:rPr>
            <w:noProof/>
            <w:webHidden/>
          </w:rPr>
        </w:r>
        <w:r>
          <w:rPr>
            <w:noProof/>
            <w:webHidden/>
          </w:rPr>
          <w:fldChar w:fldCharType="separate"/>
        </w:r>
        <w:r>
          <w:rPr>
            <w:noProof/>
            <w:webHidden/>
          </w:rPr>
          <w:t>19</w:t>
        </w:r>
        <w:r>
          <w:rPr>
            <w:noProof/>
            <w:webHidden/>
          </w:rPr>
          <w:fldChar w:fldCharType="end"/>
        </w:r>
      </w:hyperlink>
    </w:p>
    <w:p w14:paraId="6C7CAC16" w14:textId="23369479" w:rsidR="008775A5" w:rsidRDefault="008775A5">
      <w:pPr>
        <w:pStyle w:val="TableofFigures"/>
        <w:tabs>
          <w:tab w:val="right" w:leader="dot" w:pos="9350"/>
        </w:tabs>
        <w:rPr>
          <w:rFonts w:asciiTheme="minorHAnsi" w:eastAsiaTheme="minorEastAsia" w:hAnsiTheme="minorHAnsi"/>
          <w:noProof/>
        </w:rPr>
      </w:pPr>
      <w:hyperlink w:anchor="_Toc227659594" w:history="1">
        <w:r w:rsidRPr="00AA5B92">
          <w:rPr>
            <w:rStyle w:val="Hyperlink"/>
            <w:noProof/>
          </w:rPr>
          <w:t>Figure 16: Price/Earnings Ratio (P/E)</w:t>
        </w:r>
        <w:r>
          <w:rPr>
            <w:noProof/>
            <w:webHidden/>
          </w:rPr>
          <w:tab/>
        </w:r>
        <w:r>
          <w:rPr>
            <w:noProof/>
            <w:webHidden/>
          </w:rPr>
          <w:fldChar w:fldCharType="begin"/>
        </w:r>
        <w:r>
          <w:rPr>
            <w:noProof/>
            <w:webHidden/>
          </w:rPr>
          <w:instrText xml:space="preserve"> PAGEREF _Toc227659594 \h </w:instrText>
        </w:r>
        <w:r>
          <w:rPr>
            <w:noProof/>
            <w:webHidden/>
          </w:rPr>
        </w:r>
        <w:r>
          <w:rPr>
            <w:noProof/>
            <w:webHidden/>
          </w:rPr>
          <w:fldChar w:fldCharType="separate"/>
        </w:r>
        <w:r>
          <w:rPr>
            <w:noProof/>
            <w:webHidden/>
          </w:rPr>
          <w:t>20</w:t>
        </w:r>
        <w:r>
          <w:rPr>
            <w:noProof/>
            <w:webHidden/>
          </w:rPr>
          <w:fldChar w:fldCharType="end"/>
        </w:r>
      </w:hyperlink>
    </w:p>
    <w:p w14:paraId="05E2BDC9" w14:textId="660D08FE" w:rsidR="008775A5" w:rsidRDefault="008775A5">
      <w:pPr>
        <w:pStyle w:val="TableofFigures"/>
        <w:tabs>
          <w:tab w:val="right" w:leader="dot" w:pos="9350"/>
        </w:tabs>
        <w:rPr>
          <w:rFonts w:asciiTheme="minorHAnsi" w:eastAsiaTheme="minorEastAsia" w:hAnsiTheme="minorHAnsi"/>
          <w:noProof/>
        </w:rPr>
      </w:pPr>
      <w:hyperlink w:anchor="_Toc227659595" w:history="1">
        <w:r w:rsidRPr="00AA5B92">
          <w:rPr>
            <w:rStyle w:val="Hyperlink"/>
            <w:noProof/>
          </w:rPr>
          <w:t>Figure 17: Operating Cash Flow</w:t>
        </w:r>
        <w:r>
          <w:rPr>
            <w:noProof/>
            <w:webHidden/>
          </w:rPr>
          <w:tab/>
        </w:r>
        <w:r>
          <w:rPr>
            <w:noProof/>
            <w:webHidden/>
          </w:rPr>
          <w:fldChar w:fldCharType="begin"/>
        </w:r>
        <w:r>
          <w:rPr>
            <w:noProof/>
            <w:webHidden/>
          </w:rPr>
          <w:instrText xml:space="preserve"> PAGEREF _Toc227659595 \h </w:instrText>
        </w:r>
        <w:r>
          <w:rPr>
            <w:noProof/>
            <w:webHidden/>
          </w:rPr>
        </w:r>
        <w:r>
          <w:rPr>
            <w:noProof/>
            <w:webHidden/>
          </w:rPr>
          <w:fldChar w:fldCharType="separate"/>
        </w:r>
        <w:r>
          <w:rPr>
            <w:noProof/>
            <w:webHidden/>
          </w:rPr>
          <w:t>21</w:t>
        </w:r>
        <w:r>
          <w:rPr>
            <w:noProof/>
            <w:webHidden/>
          </w:rPr>
          <w:fldChar w:fldCharType="end"/>
        </w:r>
      </w:hyperlink>
    </w:p>
    <w:p w14:paraId="669769CF" w14:textId="4823B282" w:rsidR="008775A5" w:rsidRDefault="008775A5">
      <w:pPr>
        <w:pStyle w:val="TableofFigures"/>
        <w:tabs>
          <w:tab w:val="right" w:leader="dot" w:pos="9350"/>
        </w:tabs>
        <w:rPr>
          <w:rFonts w:asciiTheme="minorHAnsi" w:eastAsiaTheme="minorEastAsia" w:hAnsiTheme="minorHAnsi"/>
          <w:noProof/>
        </w:rPr>
      </w:pPr>
      <w:hyperlink w:anchor="_Toc227659596" w:history="1">
        <w:r w:rsidRPr="00AA5B92">
          <w:rPr>
            <w:rStyle w:val="Hyperlink"/>
            <w:noProof/>
          </w:rPr>
          <w:t>Figure 18: Free Cash Flow</w:t>
        </w:r>
        <w:r>
          <w:rPr>
            <w:noProof/>
            <w:webHidden/>
          </w:rPr>
          <w:tab/>
        </w:r>
        <w:r>
          <w:rPr>
            <w:noProof/>
            <w:webHidden/>
          </w:rPr>
          <w:fldChar w:fldCharType="begin"/>
        </w:r>
        <w:r>
          <w:rPr>
            <w:noProof/>
            <w:webHidden/>
          </w:rPr>
          <w:instrText xml:space="preserve"> PAGEREF _Toc227659596 \h </w:instrText>
        </w:r>
        <w:r>
          <w:rPr>
            <w:noProof/>
            <w:webHidden/>
          </w:rPr>
        </w:r>
        <w:r>
          <w:rPr>
            <w:noProof/>
            <w:webHidden/>
          </w:rPr>
          <w:fldChar w:fldCharType="separate"/>
        </w:r>
        <w:r>
          <w:rPr>
            <w:noProof/>
            <w:webHidden/>
          </w:rPr>
          <w:t>21</w:t>
        </w:r>
        <w:r>
          <w:rPr>
            <w:noProof/>
            <w:webHidden/>
          </w:rPr>
          <w:fldChar w:fldCharType="end"/>
        </w:r>
      </w:hyperlink>
    </w:p>
    <w:p w14:paraId="59C32754" w14:textId="1144252D" w:rsidR="008775A5" w:rsidRDefault="008775A5">
      <w:pPr>
        <w:pStyle w:val="TableofFigures"/>
        <w:tabs>
          <w:tab w:val="right" w:leader="dot" w:pos="9350"/>
        </w:tabs>
        <w:rPr>
          <w:rFonts w:asciiTheme="minorHAnsi" w:eastAsiaTheme="minorEastAsia" w:hAnsiTheme="minorHAnsi"/>
          <w:noProof/>
        </w:rPr>
      </w:pPr>
      <w:hyperlink w:anchor="_Toc227659597" w:history="1">
        <w:r w:rsidRPr="00AA5B92">
          <w:rPr>
            <w:rStyle w:val="Hyperlink"/>
            <w:noProof/>
          </w:rPr>
          <w:t>Figure 19: Cash Flow Adequacy</w:t>
        </w:r>
        <w:r>
          <w:rPr>
            <w:noProof/>
            <w:webHidden/>
          </w:rPr>
          <w:tab/>
        </w:r>
        <w:r>
          <w:rPr>
            <w:noProof/>
            <w:webHidden/>
          </w:rPr>
          <w:fldChar w:fldCharType="begin"/>
        </w:r>
        <w:r>
          <w:rPr>
            <w:noProof/>
            <w:webHidden/>
          </w:rPr>
          <w:instrText xml:space="preserve"> PAGEREF _Toc227659597 \h </w:instrText>
        </w:r>
        <w:r>
          <w:rPr>
            <w:noProof/>
            <w:webHidden/>
          </w:rPr>
        </w:r>
        <w:r>
          <w:rPr>
            <w:noProof/>
            <w:webHidden/>
          </w:rPr>
          <w:fldChar w:fldCharType="separate"/>
        </w:r>
        <w:r>
          <w:rPr>
            <w:noProof/>
            <w:webHidden/>
          </w:rPr>
          <w:t>22</w:t>
        </w:r>
        <w:r>
          <w:rPr>
            <w:noProof/>
            <w:webHidden/>
          </w:rPr>
          <w:fldChar w:fldCharType="end"/>
        </w:r>
      </w:hyperlink>
    </w:p>
    <w:p w14:paraId="2EC8A865" w14:textId="4CD48A53" w:rsidR="008775A5" w:rsidRDefault="008775A5">
      <w:pPr>
        <w:pStyle w:val="TableofFigures"/>
        <w:tabs>
          <w:tab w:val="right" w:leader="dot" w:pos="9350"/>
        </w:tabs>
        <w:rPr>
          <w:rFonts w:asciiTheme="minorHAnsi" w:eastAsiaTheme="minorEastAsia" w:hAnsiTheme="minorHAnsi"/>
          <w:noProof/>
        </w:rPr>
      </w:pPr>
      <w:hyperlink w:anchor="_Toc227659598" w:history="1">
        <w:r w:rsidRPr="00AA5B92">
          <w:rPr>
            <w:rStyle w:val="Hyperlink"/>
            <w:noProof/>
          </w:rPr>
          <w:t>Figure 20: Trend Analysis (5-year comparison)</w:t>
        </w:r>
        <w:r>
          <w:rPr>
            <w:noProof/>
            <w:webHidden/>
          </w:rPr>
          <w:tab/>
        </w:r>
        <w:r>
          <w:rPr>
            <w:noProof/>
            <w:webHidden/>
          </w:rPr>
          <w:fldChar w:fldCharType="begin"/>
        </w:r>
        <w:r>
          <w:rPr>
            <w:noProof/>
            <w:webHidden/>
          </w:rPr>
          <w:instrText xml:space="preserve"> PAGEREF _Toc227659598 \h </w:instrText>
        </w:r>
        <w:r>
          <w:rPr>
            <w:noProof/>
            <w:webHidden/>
          </w:rPr>
        </w:r>
        <w:r>
          <w:rPr>
            <w:noProof/>
            <w:webHidden/>
          </w:rPr>
          <w:fldChar w:fldCharType="separate"/>
        </w:r>
        <w:r>
          <w:rPr>
            <w:noProof/>
            <w:webHidden/>
          </w:rPr>
          <w:t>23</w:t>
        </w:r>
        <w:r>
          <w:rPr>
            <w:noProof/>
            <w:webHidden/>
          </w:rPr>
          <w:fldChar w:fldCharType="end"/>
        </w:r>
      </w:hyperlink>
    </w:p>
    <w:p w14:paraId="62F0ED3A" w14:textId="66EF4176" w:rsidR="008775A5" w:rsidRDefault="008775A5">
      <w:pPr>
        <w:pStyle w:val="TableofFigures"/>
        <w:tabs>
          <w:tab w:val="right" w:leader="dot" w:pos="9350"/>
        </w:tabs>
        <w:rPr>
          <w:rFonts w:asciiTheme="minorHAnsi" w:eastAsiaTheme="minorEastAsia" w:hAnsiTheme="minorHAnsi"/>
          <w:noProof/>
        </w:rPr>
      </w:pPr>
      <w:hyperlink w:anchor="_Toc227659599" w:history="1">
        <w:r w:rsidRPr="00AA5B92">
          <w:rPr>
            <w:rStyle w:val="Hyperlink"/>
            <w:noProof/>
          </w:rPr>
          <w:t>Figure 21: Strengths Identified</w:t>
        </w:r>
        <w:r>
          <w:rPr>
            <w:noProof/>
            <w:webHidden/>
          </w:rPr>
          <w:tab/>
        </w:r>
        <w:r>
          <w:rPr>
            <w:noProof/>
            <w:webHidden/>
          </w:rPr>
          <w:fldChar w:fldCharType="begin"/>
        </w:r>
        <w:r>
          <w:rPr>
            <w:noProof/>
            <w:webHidden/>
          </w:rPr>
          <w:instrText xml:space="preserve"> PAGEREF _Toc227659599 \h </w:instrText>
        </w:r>
        <w:r>
          <w:rPr>
            <w:noProof/>
            <w:webHidden/>
          </w:rPr>
        </w:r>
        <w:r>
          <w:rPr>
            <w:noProof/>
            <w:webHidden/>
          </w:rPr>
          <w:fldChar w:fldCharType="separate"/>
        </w:r>
        <w:r>
          <w:rPr>
            <w:noProof/>
            <w:webHidden/>
          </w:rPr>
          <w:t>23</w:t>
        </w:r>
        <w:r>
          <w:rPr>
            <w:noProof/>
            <w:webHidden/>
          </w:rPr>
          <w:fldChar w:fldCharType="end"/>
        </w:r>
      </w:hyperlink>
    </w:p>
    <w:p w14:paraId="4FC9AF4C" w14:textId="73AD86BF" w:rsidR="008775A5" w:rsidRDefault="008775A5">
      <w:pPr>
        <w:pStyle w:val="TableofFigures"/>
        <w:tabs>
          <w:tab w:val="right" w:leader="dot" w:pos="9350"/>
        </w:tabs>
        <w:rPr>
          <w:rFonts w:asciiTheme="minorHAnsi" w:eastAsiaTheme="minorEastAsia" w:hAnsiTheme="minorHAnsi"/>
          <w:noProof/>
        </w:rPr>
      </w:pPr>
      <w:hyperlink w:anchor="_Toc227659600" w:history="1">
        <w:r w:rsidRPr="00AA5B92">
          <w:rPr>
            <w:rStyle w:val="Hyperlink"/>
            <w:noProof/>
          </w:rPr>
          <w:t>Figure 22: Weaknesses / Threats Identified</w:t>
        </w:r>
        <w:r>
          <w:rPr>
            <w:noProof/>
            <w:webHidden/>
          </w:rPr>
          <w:tab/>
        </w:r>
        <w:r>
          <w:rPr>
            <w:noProof/>
            <w:webHidden/>
          </w:rPr>
          <w:fldChar w:fldCharType="begin"/>
        </w:r>
        <w:r>
          <w:rPr>
            <w:noProof/>
            <w:webHidden/>
          </w:rPr>
          <w:instrText xml:space="preserve"> PAGEREF _Toc227659600 \h </w:instrText>
        </w:r>
        <w:r>
          <w:rPr>
            <w:noProof/>
            <w:webHidden/>
          </w:rPr>
        </w:r>
        <w:r>
          <w:rPr>
            <w:noProof/>
            <w:webHidden/>
          </w:rPr>
          <w:fldChar w:fldCharType="separate"/>
        </w:r>
        <w:r>
          <w:rPr>
            <w:noProof/>
            <w:webHidden/>
          </w:rPr>
          <w:t>24</w:t>
        </w:r>
        <w:r>
          <w:rPr>
            <w:noProof/>
            <w:webHidden/>
          </w:rPr>
          <w:fldChar w:fldCharType="end"/>
        </w:r>
      </w:hyperlink>
    </w:p>
    <w:p w14:paraId="0756DFAA" w14:textId="10086B9B" w:rsidR="008775A5" w:rsidRDefault="008775A5">
      <w:pPr>
        <w:pStyle w:val="TableofFigures"/>
        <w:tabs>
          <w:tab w:val="right" w:leader="dot" w:pos="9350"/>
        </w:tabs>
        <w:rPr>
          <w:rFonts w:asciiTheme="minorHAnsi" w:eastAsiaTheme="minorEastAsia" w:hAnsiTheme="minorHAnsi"/>
          <w:noProof/>
        </w:rPr>
      </w:pPr>
      <w:hyperlink w:anchor="_Toc227659601" w:history="1">
        <w:r w:rsidRPr="00AA5B92">
          <w:rPr>
            <w:rStyle w:val="Hyperlink"/>
            <w:noProof/>
          </w:rPr>
          <w:t>Figure 23: Working Capital Management Importance</w:t>
        </w:r>
        <w:r>
          <w:rPr>
            <w:noProof/>
            <w:webHidden/>
          </w:rPr>
          <w:tab/>
        </w:r>
        <w:r>
          <w:rPr>
            <w:noProof/>
            <w:webHidden/>
          </w:rPr>
          <w:fldChar w:fldCharType="begin"/>
        </w:r>
        <w:r>
          <w:rPr>
            <w:noProof/>
            <w:webHidden/>
          </w:rPr>
          <w:instrText xml:space="preserve"> PAGEREF _Toc227659601 \h </w:instrText>
        </w:r>
        <w:r>
          <w:rPr>
            <w:noProof/>
            <w:webHidden/>
          </w:rPr>
        </w:r>
        <w:r>
          <w:rPr>
            <w:noProof/>
            <w:webHidden/>
          </w:rPr>
          <w:fldChar w:fldCharType="separate"/>
        </w:r>
        <w:r>
          <w:rPr>
            <w:noProof/>
            <w:webHidden/>
          </w:rPr>
          <w:t>25</w:t>
        </w:r>
        <w:r>
          <w:rPr>
            <w:noProof/>
            <w:webHidden/>
          </w:rPr>
          <w:fldChar w:fldCharType="end"/>
        </w:r>
      </w:hyperlink>
    </w:p>
    <w:p w14:paraId="2ACF2333" w14:textId="6FFB2170" w:rsidR="008775A5" w:rsidRDefault="008775A5">
      <w:pPr>
        <w:pStyle w:val="TableofFigures"/>
        <w:tabs>
          <w:tab w:val="right" w:leader="dot" w:pos="9350"/>
        </w:tabs>
        <w:rPr>
          <w:rFonts w:asciiTheme="minorHAnsi" w:eastAsiaTheme="minorEastAsia" w:hAnsiTheme="minorHAnsi"/>
          <w:noProof/>
        </w:rPr>
      </w:pPr>
      <w:hyperlink w:anchor="_Toc227659602" w:history="1">
        <w:r w:rsidRPr="00AA5B92">
          <w:rPr>
            <w:rStyle w:val="Hyperlink"/>
            <w:noProof/>
          </w:rPr>
          <w:t>Figure 24: Components of Working Capital</w:t>
        </w:r>
        <w:r>
          <w:rPr>
            <w:noProof/>
            <w:webHidden/>
          </w:rPr>
          <w:tab/>
        </w:r>
        <w:r>
          <w:rPr>
            <w:noProof/>
            <w:webHidden/>
          </w:rPr>
          <w:fldChar w:fldCharType="begin"/>
        </w:r>
        <w:r>
          <w:rPr>
            <w:noProof/>
            <w:webHidden/>
          </w:rPr>
          <w:instrText xml:space="preserve"> PAGEREF _Toc227659602 \h </w:instrText>
        </w:r>
        <w:r>
          <w:rPr>
            <w:noProof/>
            <w:webHidden/>
          </w:rPr>
        </w:r>
        <w:r>
          <w:rPr>
            <w:noProof/>
            <w:webHidden/>
          </w:rPr>
          <w:fldChar w:fldCharType="separate"/>
        </w:r>
        <w:r>
          <w:rPr>
            <w:noProof/>
            <w:webHidden/>
          </w:rPr>
          <w:t>25</w:t>
        </w:r>
        <w:r>
          <w:rPr>
            <w:noProof/>
            <w:webHidden/>
          </w:rPr>
          <w:fldChar w:fldCharType="end"/>
        </w:r>
      </w:hyperlink>
    </w:p>
    <w:p w14:paraId="678615F8" w14:textId="512C852A" w:rsidR="008775A5" w:rsidRDefault="008775A5">
      <w:pPr>
        <w:pStyle w:val="TableofFigures"/>
        <w:tabs>
          <w:tab w:val="right" w:leader="dot" w:pos="9350"/>
        </w:tabs>
        <w:rPr>
          <w:rFonts w:asciiTheme="minorHAnsi" w:eastAsiaTheme="minorEastAsia" w:hAnsiTheme="minorHAnsi"/>
          <w:noProof/>
        </w:rPr>
      </w:pPr>
      <w:hyperlink w:anchor="_Toc227659603" w:history="1">
        <w:r w:rsidRPr="00AA5B92">
          <w:rPr>
            <w:rStyle w:val="Hyperlink"/>
            <w:noProof/>
          </w:rPr>
          <w:t>Figure 25: Cash Operating Cycle (CCC)</w:t>
        </w:r>
        <w:r>
          <w:rPr>
            <w:noProof/>
            <w:webHidden/>
          </w:rPr>
          <w:tab/>
        </w:r>
        <w:r>
          <w:rPr>
            <w:noProof/>
            <w:webHidden/>
          </w:rPr>
          <w:fldChar w:fldCharType="begin"/>
        </w:r>
        <w:r>
          <w:rPr>
            <w:noProof/>
            <w:webHidden/>
          </w:rPr>
          <w:instrText xml:space="preserve"> PAGEREF _Toc227659603 \h </w:instrText>
        </w:r>
        <w:r>
          <w:rPr>
            <w:noProof/>
            <w:webHidden/>
          </w:rPr>
        </w:r>
        <w:r>
          <w:rPr>
            <w:noProof/>
            <w:webHidden/>
          </w:rPr>
          <w:fldChar w:fldCharType="separate"/>
        </w:r>
        <w:r>
          <w:rPr>
            <w:noProof/>
            <w:webHidden/>
          </w:rPr>
          <w:t>27</w:t>
        </w:r>
        <w:r>
          <w:rPr>
            <w:noProof/>
            <w:webHidden/>
          </w:rPr>
          <w:fldChar w:fldCharType="end"/>
        </w:r>
      </w:hyperlink>
    </w:p>
    <w:p w14:paraId="1E05BF03" w14:textId="215FE3F3" w:rsidR="008775A5" w:rsidRDefault="008775A5">
      <w:pPr>
        <w:pStyle w:val="TableofFigures"/>
        <w:tabs>
          <w:tab w:val="right" w:leader="dot" w:pos="9350"/>
        </w:tabs>
        <w:rPr>
          <w:rFonts w:asciiTheme="minorHAnsi" w:eastAsiaTheme="minorEastAsia" w:hAnsiTheme="minorHAnsi"/>
          <w:noProof/>
        </w:rPr>
      </w:pPr>
      <w:hyperlink w:anchor="_Toc227659604" w:history="1">
        <w:r w:rsidRPr="00AA5B92">
          <w:rPr>
            <w:rStyle w:val="Hyperlink"/>
            <w:noProof/>
          </w:rPr>
          <w:t>Figure 26: Ways to Improve Liquidity</w:t>
        </w:r>
        <w:r>
          <w:rPr>
            <w:noProof/>
            <w:webHidden/>
          </w:rPr>
          <w:tab/>
        </w:r>
        <w:r>
          <w:rPr>
            <w:noProof/>
            <w:webHidden/>
          </w:rPr>
          <w:fldChar w:fldCharType="begin"/>
        </w:r>
        <w:r>
          <w:rPr>
            <w:noProof/>
            <w:webHidden/>
          </w:rPr>
          <w:instrText xml:space="preserve"> PAGEREF _Toc227659604 \h </w:instrText>
        </w:r>
        <w:r>
          <w:rPr>
            <w:noProof/>
            <w:webHidden/>
          </w:rPr>
        </w:r>
        <w:r>
          <w:rPr>
            <w:noProof/>
            <w:webHidden/>
          </w:rPr>
          <w:fldChar w:fldCharType="separate"/>
        </w:r>
        <w:r>
          <w:rPr>
            <w:noProof/>
            <w:webHidden/>
          </w:rPr>
          <w:t>28</w:t>
        </w:r>
        <w:r>
          <w:rPr>
            <w:noProof/>
            <w:webHidden/>
          </w:rPr>
          <w:fldChar w:fldCharType="end"/>
        </w:r>
      </w:hyperlink>
    </w:p>
    <w:p w14:paraId="5D7D897D" w14:textId="24AAC535" w:rsidR="008775A5" w:rsidRDefault="008775A5">
      <w:pPr>
        <w:pStyle w:val="TableofFigures"/>
        <w:tabs>
          <w:tab w:val="right" w:leader="dot" w:pos="9350"/>
        </w:tabs>
        <w:rPr>
          <w:rFonts w:asciiTheme="minorHAnsi" w:eastAsiaTheme="minorEastAsia" w:hAnsiTheme="minorHAnsi"/>
          <w:noProof/>
        </w:rPr>
      </w:pPr>
      <w:hyperlink w:anchor="_Toc227659605" w:history="1">
        <w:r w:rsidRPr="00AA5B92">
          <w:rPr>
            <w:rStyle w:val="Hyperlink"/>
            <w:noProof/>
          </w:rPr>
          <w:t>Figure 27: Issues in Current Working Capital Management</w:t>
        </w:r>
        <w:r>
          <w:rPr>
            <w:noProof/>
            <w:webHidden/>
          </w:rPr>
          <w:tab/>
        </w:r>
        <w:r>
          <w:rPr>
            <w:noProof/>
            <w:webHidden/>
          </w:rPr>
          <w:fldChar w:fldCharType="begin"/>
        </w:r>
        <w:r>
          <w:rPr>
            <w:noProof/>
            <w:webHidden/>
          </w:rPr>
          <w:instrText xml:space="preserve"> PAGEREF _Toc227659605 \h </w:instrText>
        </w:r>
        <w:r>
          <w:rPr>
            <w:noProof/>
            <w:webHidden/>
          </w:rPr>
        </w:r>
        <w:r>
          <w:rPr>
            <w:noProof/>
            <w:webHidden/>
          </w:rPr>
          <w:fldChar w:fldCharType="separate"/>
        </w:r>
        <w:r>
          <w:rPr>
            <w:noProof/>
            <w:webHidden/>
          </w:rPr>
          <w:t>29</w:t>
        </w:r>
        <w:r>
          <w:rPr>
            <w:noProof/>
            <w:webHidden/>
          </w:rPr>
          <w:fldChar w:fldCharType="end"/>
        </w:r>
      </w:hyperlink>
    </w:p>
    <w:p w14:paraId="3410717A" w14:textId="5BF6080D" w:rsidR="008775A5" w:rsidRDefault="008775A5">
      <w:pPr>
        <w:pStyle w:val="TableofFigures"/>
        <w:tabs>
          <w:tab w:val="right" w:leader="dot" w:pos="9350"/>
        </w:tabs>
        <w:rPr>
          <w:rFonts w:asciiTheme="minorHAnsi" w:eastAsiaTheme="minorEastAsia" w:hAnsiTheme="minorHAnsi"/>
          <w:noProof/>
        </w:rPr>
      </w:pPr>
      <w:hyperlink w:anchor="_Toc227659606" w:history="1">
        <w:r w:rsidRPr="00AA5B92">
          <w:rPr>
            <w:rStyle w:val="Hyperlink"/>
            <w:noProof/>
          </w:rPr>
          <w:t>Figure 28: Ways to Improve Inventory Control</w:t>
        </w:r>
        <w:r>
          <w:rPr>
            <w:noProof/>
            <w:webHidden/>
          </w:rPr>
          <w:tab/>
        </w:r>
        <w:r>
          <w:rPr>
            <w:noProof/>
            <w:webHidden/>
          </w:rPr>
          <w:fldChar w:fldCharType="begin"/>
        </w:r>
        <w:r>
          <w:rPr>
            <w:noProof/>
            <w:webHidden/>
          </w:rPr>
          <w:instrText xml:space="preserve"> PAGEREF _Toc227659606 \h </w:instrText>
        </w:r>
        <w:r>
          <w:rPr>
            <w:noProof/>
            <w:webHidden/>
          </w:rPr>
        </w:r>
        <w:r>
          <w:rPr>
            <w:noProof/>
            <w:webHidden/>
          </w:rPr>
          <w:fldChar w:fldCharType="separate"/>
        </w:r>
        <w:r>
          <w:rPr>
            <w:noProof/>
            <w:webHidden/>
          </w:rPr>
          <w:t>29</w:t>
        </w:r>
        <w:r>
          <w:rPr>
            <w:noProof/>
            <w:webHidden/>
          </w:rPr>
          <w:fldChar w:fldCharType="end"/>
        </w:r>
      </w:hyperlink>
    </w:p>
    <w:p w14:paraId="75DE32D4" w14:textId="733D7A34" w:rsidR="008775A5" w:rsidRDefault="008775A5">
      <w:pPr>
        <w:pStyle w:val="TableofFigures"/>
        <w:tabs>
          <w:tab w:val="right" w:leader="dot" w:pos="9350"/>
        </w:tabs>
        <w:rPr>
          <w:rFonts w:asciiTheme="minorHAnsi" w:eastAsiaTheme="minorEastAsia" w:hAnsiTheme="minorHAnsi"/>
          <w:noProof/>
        </w:rPr>
      </w:pPr>
      <w:hyperlink w:anchor="_Toc227659607" w:history="1">
        <w:r w:rsidRPr="00AA5B92">
          <w:rPr>
            <w:rStyle w:val="Hyperlink"/>
            <w:noProof/>
          </w:rPr>
          <w:t>Figure 29: Strategies to Improve Accounts Receivable Management</w:t>
        </w:r>
        <w:r>
          <w:rPr>
            <w:noProof/>
            <w:webHidden/>
          </w:rPr>
          <w:tab/>
        </w:r>
        <w:r>
          <w:rPr>
            <w:noProof/>
            <w:webHidden/>
          </w:rPr>
          <w:fldChar w:fldCharType="begin"/>
        </w:r>
        <w:r>
          <w:rPr>
            <w:noProof/>
            <w:webHidden/>
          </w:rPr>
          <w:instrText xml:space="preserve"> PAGEREF _Toc227659607 \h </w:instrText>
        </w:r>
        <w:r>
          <w:rPr>
            <w:noProof/>
            <w:webHidden/>
          </w:rPr>
        </w:r>
        <w:r>
          <w:rPr>
            <w:noProof/>
            <w:webHidden/>
          </w:rPr>
          <w:fldChar w:fldCharType="separate"/>
        </w:r>
        <w:r>
          <w:rPr>
            <w:noProof/>
            <w:webHidden/>
          </w:rPr>
          <w:t>30</w:t>
        </w:r>
        <w:r>
          <w:rPr>
            <w:noProof/>
            <w:webHidden/>
          </w:rPr>
          <w:fldChar w:fldCharType="end"/>
        </w:r>
      </w:hyperlink>
    </w:p>
    <w:p w14:paraId="6850E33A" w14:textId="6B6A7B39" w:rsidR="008775A5" w:rsidRDefault="008775A5">
      <w:pPr>
        <w:pStyle w:val="TableofFigures"/>
        <w:tabs>
          <w:tab w:val="right" w:leader="dot" w:pos="9350"/>
        </w:tabs>
        <w:rPr>
          <w:rFonts w:asciiTheme="minorHAnsi" w:eastAsiaTheme="minorEastAsia" w:hAnsiTheme="minorHAnsi"/>
          <w:noProof/>
        </w:rPr>
      </w:pPr>
      <w:hyperlink w:anchor="_Toc227659608" w:history="1">
        <w:r w:rsidRPr="00AA5B92">
          <w:rPr>
            <w:rStyle w:val="Hyperlink"/>
            <w:noProof/>
          </w:rPr>
          <w:t>Figure 30: Accounts Payable Best Practices</w:t>
        </w:r>
        <w:r>
          <w:rPr>
            <w:noProof/>
            <w:webHidden/>
          </w:rPr>
          <w:tab/>
        </w:r>
        <w:r>
          <w:rPr>
            <w:noProof/>
            <w:webHidden/>
          </w:rPr>
          <w:fldChar w:fldCharType="begin"/>
        </w:r>
        <w:r>
          <w:rPr>
            <w:noProof/>
            <w:webHidden/>
          </w:rPr>
          <w:instrText xml:space="preserve"> PAGEREF _Toc227659608 \h </w:instrText>
        </w:r>
        <w:r>
          <w:rPr>
            <w:noProof/>
            <w:webHidden/>
          </w:rPr>
        </w:r>
        <w:r>
          <w:rPr>
            <w:noProof/>
            <w:webHidden/>
          </w:rPr>
          <w:fldChar w:fldCharType="separate"/>
        </w:r>
        <w:r>
          <w:rPr>
            <w:noProof/>
            <w:webHidden/>
          </w:rPr>
          <w:t>30</w:t>
        </w:r>
        <w:r>
          <w:rPr>
            <w:noProof/>
            <w:webHidden/>
          </w:rPr>
          <w:fldChar w:fldCharType="end"/>
        </w:r>
      </w:hyperlink>
    </w:p>
    <w:p w14:paraId="022A1DC9" w14:textId="5AB22AF1" w:rsidR="008775A5" w:rsidRDefault="008775A5">
      <w:pPr>
        <w:pStyle w:val="TableofFigures"/>
        <w:tabs>
          <w:tab w:val="right" w:leader="dot" w:pos="9350"/>
        </w:tabs>
        <w:rPr>
          <w:rFonts w:asciiTheme="minorHAnsi" w:eastAsiaTheme="minorEastAsia" w:hAnsiTheme="minorHAnsi"/>
          <w:noProof/>
        </w:rPr>
      </w:pPr>
      <w:hyperlink w:anchor="_Toc227659609" w:history="1">
        <w:r w:rsidRPr="00AA5B92">
          <w:rPr>
            <w:rStyle w:val="Hyperlink"/>
            <w:noProof/>
          </w:rPr>
          <w:t>Figure 31: Cash Flow Management Strategies</w:t>
        </w:r>
        <w:r>
          <w:rPr>
            <w:noProof/>
            <w:webHidden/>
          </w:rPr>
          <w:tab/>
        </w:r>
        <w:r>
          <w:rPr>
            <w:noProof/>
            <w:webHidden/>
          </w:rPr>
          <w:fldChar w:fldCharType="begin"/>
        </w:r>
        <w:r>
          <w:rPr>
            <w:noProof/>
            <w:webHidden/>
          </w:rPr>
          <w:instrText xml:space="preserve"> PAGEREF _Toc227659609 \h </w:instrText>
        </w:r>
        <w:r>
          <w:rPr>
            <w:noProof/>
            <w:webHidden/>
          </w:rPr>
        </w:r>
        <w:r>
          <w:rPr>
            <w:noProof/>
            <w:webHidden/>
          </w:rPr>
          <w:fldChar w:fldCharType="separate"/>
        </w:r>
        <w:r>
          <w:rPr>
            <w:noProof/>
            <w:webHidden/>
          </w:rPr>
          <w:t>31</w:t>
        </w:r>
        <w:r>
          <w:rPr>
            <w:noProof/>
            <w:webHidden/>
          </w:rPr>
          <w:fldChar w:fldCharType="end"/>
        </w:r>
      </w:hyperlink>
    </w:p>
    <w:p w14:paraId="24C56936" w14:textId="586B60DB" w:rsidR="008775A5" w:rsidRDefault="008775A5">
      <w:pPr>
        <w:pStyle w:val="TableofFigures"/>
        <w:tabs>
          <w:tab w:val="right" w:leader="dot" w:pos="9350"/>
        </w:tabs>
        <w:rPr>
          <w:rFonts w:asciiTheme="minorHAnsi" w:eastAsiaTheme="minorEastAsia" w:hAnsiTheme="minorHAnsi"/>
          <w:noProof/>
        </w:rPr>
      </w:pPr>
      <w:hyperlink w:anchor="_Toc227659610" w:history="1">
        <w:r w:rsidRPr="00AA5B92">
          <w:rPr>
            <w:rStyle w:val="Hyperlink"/>
            <w:noProof/>
          </w:rPr>
          <w:t>Figure 32: Recommended Working Capital Strategy</w:t>
        </w:r>
        <w:r>
          <w:rPr>
            <w:noProof/>
            <w:webHidden/>
          </w:rPr>
          <w:tab/>
        </w:r>
        <w:r>
          <w:rPr>
            <w:noProof/>
            <w:webHidden/>
          </w:rPr>
          <w:fldChar w:fldCharType="begin"/>
        </w:r>
        <w:r>
          <w:rPr>
            <w:noProof/>
            <w:webHidden/>
          </w:rPr>
          <w:instrText xml:space="preserve"> PAGEREF _Toc227659610 \h </w:instrText>
        </w:r>
        <w:r>
          <w:rPr>
            <w:noProof/>
            <w:webHidden/>
          </w:rPr>
        </w:r>
        <w:r>
          <w:rPr>
            <w:noProof/>
            <w:webHidden/>
          </w:rPr>
          <w:fldChar w:fldCharType="separate"/>
        </w:r>
        <w:r>
          <w:rPr>
            <w:noProof/>
            <w:webHidden/>
          </w:rPr>
          <w:t>32</w:t>
        </w:r>
        <w:r>
          <w:rPr>
            <w:noProof/>
            <w:webHidden/>
          </w:rPr>
          <w:fldChar w:fldCharType="end"/>
        </w:r>
      </w:hyperlink>
    </w:p>
    <w:p w14:paraId="4461F125" w14:textId="17E13E79" w:rsidR="008775A5" w:rsidRDefault="008775A5">
      <w:pPr>
        <w:pStyle w:val="TableofFigures"/>
        <w:tabs>
          <w:tab w:val="right" w:leader="dot" w:pos="9350"/>
        </w:tabs>
        <w:rPr>
          <w:rFonts w:asciiTheme="minorHAnsi" w:eastAsiaTheme="minorEastAsia" w:hAnsiTheme="minorHAnsi"/>
          <w:noProof/>
        </w:rPr>
      </w:pPr>
      <w:hyperlink w:anchor="_Toc227659611" w:history="1">
        <w:r w:rsidRPr="00AA5B92">
          <w:rPr>
            <w:rStyle w:val="Hyperlink"/>
            <w:noProof/>
          </w:rPr>
          <w:t>Figure 33: Need for Financial Restructuring</w:t>
        </w:r>
        <w:r>
          <w:rPr>
            <w:noProof/>
            <w:webHidden/>
          </w:rPr>
          <w:tab/>
        </w:r>
        <w:r>
          <w:rPr>
            <w:noProof/>
            <w:webHidden/>
          </w:rPr>
          <w:fldChar w:fldCharType="begin"/>
        </w:r>
        <w:r>
          <w:rPr>
            <w:noProof/>
            <w:webHidden/>
          </w:rPr>
          <w:instrText xml:space="preserve"> PAGEREF _Toc227659611 \h </w:instrText>
        </w:r>
        <w:r>
          <w:rPr>
            <w:noProof/>
            <w:webHidden/>
          </w:rPr>
        </w:r>
        <w:r>
          <w:rPr>
            <w:noProof/>
            <w:webHidden/>
          </w:rPr>
          <w:fldChar w:fldCharType="separate"/>
        </w:r>
        <w:r>
          <w:rPr>
            <w:noProof/>
            <w:webHidden/>
          </w:rPr>
          <w:t>33</w:t>
        </w:r>
        <w:r>
          <w:rPr>
            <w:noProof/>
            <w:webHidden/>
          </w:rPr>
          <w:fldChar w:fldCharType="end"/>
        </w:r>
      </w:hyperlink>
    </w:p>
    <w:p w14:paraId="7C6CEF94" w14:textId="5720F0E4" w:rsidR="008775A5" w:rsidRDefault="008775A5">
      <w:pPr>
        <w:pStyle w:val="TableofFigures"/>
        <w:tabs>
          <w:tab w:val="right" w:leader="dot" w:pos="9350"/>
        </w:tabs>
        <w:rPr>
          <w:rFonts w:asciiTheme="minorHAnsi" w:eastAsiaTheme="minorEastAsia" w:hAnsiTheme="minorHAnsi"/>
          <w:noProof/>
        </w:rPr>
      </w:pPr>
      <w:hyperlink w:anchor="_Toc227659612" w:history="1">
        <w:r w:rsidRPr="00AA5B92">
          <w:rPr>
            <w:rStyle w:val="Hyperlink"/>
            <w:noProof/>
          </w:rPr>
          <w:t>Figure 34: Divestiture Strategy</w:t>
        </w:r>
        <w:r>
          <w:rPr>
            <w:noProof/>
            <w:webHidden/>
          </w:rPr>
          <w:tab/>
        </w:r>
        <w:r>
          <w:rPr>
            <w:noProof/>
            <w:webHidden/>
          </w:rPr>
          <w:fldChar w:fldCharType="begin"/>
        </w:r>
        <w:r>
          <w:rPr>
            <w:noProof/>
            <w:webHidden/>
          </w:rPr>
          <w:instrText xml:space="preserve"> PAGEREF _Toc227659612 \h </w:instrText>
        </w:r>
        <w:r>
          <w:rPr>
            <w:noProof/>
            <w:webHidden/>
          </w:rPr>
        </w:r>
        <w:r>
          <w:rPr>
            <w:noProof/>
            <w:webHidden/>
          </w:rPr>
          <w:fldChar w:fldCharType="separate"/>
        </w:r>
        <w:r>
          <w:rPr>
            <w:noProof/>
            <w:webHidden/>
          </w:rPr>
          <w:t>34</w:t>
        </w:r>
        <w:r>
          <w:rPr>
            <w:noProof/>
            <w:webHidden/>
          </w:rPr>
          <w:fldChar w:fldCharType="end"/>
        </w:r>
      </w:hyperlink>
    </w:p>
    <w:p w14:paraId="7A300A7B" w14:textId="3F949928" w:rsidR="008775A5" w:rsidRDefault="008775A5">
      <w:pPr>
        <w:pStyle w:val="TableofFigures"/>
        <w:tabs>
          <w:tab w:val="right" w:leader="dot" w:pos="9350"/>
        </w:tabs>
        <w:rPr>
          <w:rFonts w:asciiTheme="minorHAnsi" w:eastAsiaTheme="minorEastAsia" w:hAnsiTheme="minorHAnsi"/>
          <w:noProof/>
        </w:rPr>
      </w:pPr>
      <w:hyperlink w:anchor="_Toc227659613" w:history="1">
        <w:r w:rsidRPr="00AA5B92">
          <w:rPr>
            <w:rStyle w:val="Hyperlink"/>
            <w:noProof/>
          </w:rPr>
          <w:t>Figure 35: Merger / Acquisition Strategy</w:t>
        </w:r>
        <w:r>
          <w:rPr>
            <w:noProof/>
            <w:webHidden/>
          </w:rPr>
          <w:tab/>
        </w:r>
        <w:r>
          <w:rPr>
            <w:noProof/>
            <w:webHidden/>
          </w:rPr>
          <w:fldChar w:fldCharType="begin"/>
        </w:r>
        <w:r>
          <w:rPr>
            <w:noProof/>
            <w:webHidden/>
          </w:rPr>
          <w:instrText xml:space="preserve"> PAGEREF _Toc227659613 \h </w:instrText>
        </w:r>
        <w:r>
          <w:rPr>
            <w:noProof/>
            <w:webHidden/>
          </w:rPr>
        </w:r>
        <w:r>
          <w:rPr>
            <w:noProof/>
            <w:webHidden/>
          </w:rPr>
          <w:fldChar w:fldCharType="separate"/>
        </w:r>
        <w:r>
          <w:rPr>
            <w:noProof/>
            <w:webHidden/>
          </w:rPr>
          <w:t>35</w:t>
        </w:r>
        <w:r>
          <w:rPr>
            <w:noProof/>
            <w:webHidden/>
          </w:rPr>
          <w:fldChar w:fldCharType="end"/>
        </w:r>
      </w:hyperlink>
    </w:p>
    <w:p w14:paraId="200F0B7E" w14:textId="0362B5AC" w:rsidR="008775A5" w:rsidRDefault="008775A5">
      <w:pPr>
        <w:pStyle w:val="TableofFigures"/>
        <w:tabs>
          <w:tab w:val="right" w:leader="dot" w:pos="9350"/>
        </w:tabs>
        <w:rPr>
          <w:rFonts w:asciiTheme="minorHAnsi" w:eastAsiaTheme="minorEastAsia" w:hAnsiTheme="minorHAnsi"/>
          <w:noProof/>
        </w:rPr>
      </w:pPr>
      <w:hyperlink w:anchor="_Toc227659614" w:history="1">
        <w:r w:rsidRPr="00AA5B92">
          <w:rPr>
            <w:rStyle w:val="Hyperlink"/>
            <w:noProof/>
          </w:rPr>
          <w:t>Figure 36: Equity Injection</w:t>
        </w:r>
        <w:r>
          <w:rPr>
            <w:noProof/>
            <w:webHidden/>
          </w:rPr>
          <w:tab/>
        </w:r>
        <w:r>
          <w:rPr>
            <w:noProof/>
            <w:webHidden/>
          </w:rPr>
          <w:fldChar w:fldCharType="begin"/>
        </w:r>
        <w:r>
          <w:rPr>
            <w:noProof/>
            <w:webHidden/>
          </w:rPr>
          <w:instrText xml:space="preserve"> PAGEREF _Toc227659614 \h </w:instrText>
        </w:r>
        <w:r>
          <w:rPr>
            <w:noProof/>
            <w:webHidden/>
          </w:rPr>
        </w:r>
        <w:r>
          <w:rPr>
            <w:noProof/>
            <w:webHidden/>
          </w:rPr>
          <w:fldChar w:fldCharType="separate"/>
        </w:r>
        <w:r>
          <w:rPr>
            <w:noProof/>
            <w:webHidden/>
          </w:rPr>
          <w:t>36</w:t>
        </w:r>
        <w:r>
          <w:rPr>
            <w:noProof/>
            <w:webHidden/>
          </w:rPr>
          <w:fldChar w:fldCharType="end"/>
        </w:r>
      </w:hyperlink>
    </w:p>
    <w:p w14:paraId="7C38AF85" w14:textId="415F7FBF" w:rsidR="008775A5" w:rsidRDefault="008775A5">
      <w:pPr>
        <w:pStyle w:val="TableofFigures"/>
        <w:tabs>
          <w:tab w:val="right" w:leader="dot" w:pos="9350"/>
        </w:tabs>
        <w:rPr>
          <w:rFonts w:asciiTheme="minorHAnsi" w:eastAsiaTheme="minorEastAsia" w:hAnsiTheme="minorHAnsi"/>
          <w:noProof/>
        </w:rPr>
      </w:pPr>
      <w:hyperlink w:anchor="_Toc227659615" w:history="1">
        <w:r w:rsidRPr="00AA5B92">
          <w:rPr>
            <w:rStyle w:val="Hyperlink"/>
            <w:noProof/>
          </w:rPr>
          <w:t>Figure 37: Debt Restructuring</w:t>
        </w:r>
        <w:r>
          <w:rPr>
            <w:noProof/>
            <w:webHidden/>
          </w:rPr>
          <w:tab/>
        </w:r>
        <w:r>
          <w:rPr>
            <w:noProof/>
            <w:webHidden/>
          </w:rPr>
          <w:fldChar w:fldCharType="begin"/>
        </w:r>
        <w:r>
          <w:rPr>
            <w:noProof/>
            <w:webHidden/>
          </w:rPr>
          <w:instrText xml:space="preserve"> PAGEREF _Toc227659615 \h </w:instrText>
        </w:r>
        <w:r>
          <w:rPr>
            <w:noProof/>
            <w:webHidden/>
          </w:rPr>
        </w:r>
        <w:r>
          <w:rPr>
            <w:noProof/>
            <w:webHidden/>
          </w:rPr>
          <w:fldChar w:fldCharType="separate"/>
        </w:r>
        <w:r>
          <w:rPr>
            <w:noProof/>
            <w:webHidden/>
          </w:rPr>
          <w:t>37</w:t>
        </w:r>
        <w:r>
          <w:rPr>
            <w:noProof/>
            <w:webHidden/>
          </w:rPr>
          <w:fldChar w:fldCharType="end"/>
        </w:r>
      </w:hyperlink>
    </w:p>
    <w:p w14:paraId="25B27DD9" w14:textId="365BB46F" w:rsidR="008775A5" w:rsidRDefault="008775A5">
      <w:pPr>
        <w:pStyle w:val="TableofFigures"/>
        <w:tabs>
          <w:tab w:val="right" w:leader="dot" w:pos="9350"/>
        </w:tabs>
        <w:rPr>
          <w:rFonts w:asciiTheme="minorHAnsi" w:eastAsiaTheme="minorEastAsia" w:hAnsiTheme="minorHAnsi"/>
          <w:noProof/>
        </w:rPr>
      </w:pPr>
      <w:hyperlink w:anchor="_Toc227659616" w:history="1">
        <w:r w:rsidRPr="00AA5B92">
          <w:rPr>
            <w:rStyle w:val="Hyperlink"/>
            <w:noProof/>
          </w:rPr>
          <w:t>Figure 38: Impact on Capital Structure (Debt vs Equity)</w:t>
        </w:r>
        <w:r>
          <w:rPr>
            <w:noProof/>
            <w:webHidden/>
          </w:rPr>
          <w:tab/>
        </w:r>
        <w:r>
          <w:rPr>
            <w:noProof/>
            <w:webHidden/>
          </w:rPr>
          <w:fldChar w:fldCharType="begin"/>
        </w:r>
        <w:r>
          <w:rPr>
            <w:noProof/>
            <w:webHidden/>
          </w:rPr>
          <w:instrText xml:space="preserve"> PAGEREF _Toc227659616 \h </w:instrText>
        </w:r>
        <w:r>
          <w:rPr>
            <w:noProof/>
            <w:webHidden/>
          </w:rPr>
        </w:r>
        <w:r>
          <w:rPr>
            <w:noProof/>
            <w:webHidden/>
          </w:rPr>
          <w:fldChar w:fldCharType="separate"/>
        </w:r>
        <w:r>
          <w:rPr>
            <w:noProof/>
            <w:webHidden/>
          </w:rPr>
          <w:t>38</w:t>
        </w:r>
        <w:r>
          <w:rPr>
            <w:noProof/>
            <w:webHidden/>
          </w:rPr>
          <w:fldChar w:fldCharType="end"/>
        </w:r>
      </w:hyperlink>
    </w:p>
    <w:p w14:paraId="4B92C37A" w14:textId="0171CFD1" w:rsidR="008775A5" w:rsidRDefault="008775A5">
      <w:pPr>
        <w:pStyle w:val="TableofFigures"/>
        <w:tabs>
          <w:tab w:val="right" w:leader="dot" w:pos="9350"/>
        </w:tabs>
        <w:rPr>
          <w:rFonts w:asciiTheme="minorHAnsi" w:eastAsiaTheme="minorEastAsia" w:hAnsiTheme="minorHAnsi"/>
          <w:noProof/>
        </w:rPr>
      </w:pPr>
      <w:hyperlink w:anchor="_Toc227659617" w:history="1">
        <w:r w:rsidRPr="00AA5B92">
          <w:rPr>
            <w:rStyle w:val="Hyperlink"/>
            <w:noProof/>
          </w:rPr>
          <w:t>Figure 39: Taxation Implications</w:t>
        </w:r>
        <w:r>
          <w:rPr>
            <w:noProof/>
            <w:webHidden/>
          </w:rPr>
          <w:tab/>
        </w:r>
        <w:r>
          <w:rPr>
            <w:noProof/>
            <w:webHidden/>
          </w:rPr>
          <w:fldChar w:fldCharType="begin"/>
        </w:r>
        <w:r>
          <w:rPr>
            <w:noProof/>
            <w:webHidden/>
          </w:rPr>
          <w:instrText xml:space="preserve"> PAGEREF _Toc227659617 \h </w:instrText>
        </w:r>
        <w:r>
          <w:rPr>
            <w:noProof/>
            <w:webHidden/>
          </w:rPr>
        </w:r>
        <w:r>
          <w:rPr>
            <w:noProof/>
            <w:webHidden/>
          </w:rPr>
          <w:fldChar w:fldCharType="separate"/>
        </w:r>
        <w:r>
          <w:rPr>
            <w:noProof/>
            <w:webHidden/>
          </w:rPr>
          <w:t>39</w:t>
        </w:r>
        <w:r>
          <w:rPr>
            <w:noProof/>
            <w:webHidden/>
          </w:rPr>
          <w:fldChar w:fldCharType="end"/>
        </w:r>
      </w:hyperlink>
    </w:p>
    <w:p w14:paraId="5861EA66" w14:textId="1A23AED2" w:rsidR="008775A5" w:rsidRDefault="008775A5">
      <w:pPr>
        <w:pStyle w:val="TableofFigures"/>
        <w:tabs>
          <w:tab w:val="right" w:leader="dot" w:pos="9350"/>
        </w:tabs>
        <w:rPr>
          <w:rFonts w:asciiTheme="minorHAnsi" w:eastAsiaTheme="minorEastAsia" w:hAnsiTheme="minorHAnsi"/>
          <w:noProof/>
        </w:rPr>
      </w:pPr>
      <w:hyperlink w:anchor="_Toc227659618" w:history="1">
        <w:r w:rsidRPr="00AA5B92">
          <w:rPr>
            <w:rStyle w:val="Hyperlink"/>
            <w:noProof/>
          </w:rPr>
          <w:t>Figure 40: Currency Risk</w:t>
        </w:r>
        <w:r>
          <w:rPr>
            <w:noProof/>
            <w:webHidden/>
          </w:rPr>
          <w:tab/>
        </w:r>
        <w:r>
          <w:rPr>
            <w:noProof/>
            <w:webHidden/>
          </w:rPr>
          <w:fldChar w:fldCharType="begin"/>
        </w:r>
        <w:r>
          <w:rPr>
            <w:noProof/>
            <w:webHidden/>
          </w:rPr>
          <w:instrText xml:space="preserve"> PAGEREF _Toc227659618 \h </w:instrText>
        </w:r>
        <w:r>
          <w:rPr>
            <w:noProof/>
            <w:webHidden/>
          </w:rPr>
        </w:r>
        <w:r>
          <w:rPr>
            <w:noProof/>
            <w:webHidden/>
          </w:rPr>
          <w:fldChar w:fldCharType="separate"/>
        </w:r>
        <w:r>
          <w:rPr>
            <w:noProof/>
            <w:webHidden/>
          </w:rPr>
          <w:t>40</w:t>
        </w:r>
        <w:r>
          <w:rPr>
            <w:noProof/>
            <w:webHidden/>
          </w:rPr>
          <w:fldChar w:fldCharType="end"/>
        </w:r>
      </w:hyperlink>
    </w:p>
    <w:p w14:paraId="3F6A250B" w14:textId="39FE39B6" w:rsidR="008775A5" w:rsidRDefault="008775A5">
      <w:pPr>
        <w:pStyle w:val="TableofFigures"/>
        <w:tabs>
          <w:tab w:val="right" w:leader="dot" w:pos="9350"/>
        </w:tabs>
        <w:rPr>
          <w:rFonts w:asciiTheme="minorHAnsi" w:eastAsiaTheme="minorEastAsia" w:hAnsiTheme="minorHAnsi"/>
          <w:noProof/>
        </w:rPr>
      </w:pPr>
      <w:hyperlink w:anchor="_Toc227659619" w:history="1">
        <w:r w:rsidRPr="00AA5B92">
          <w:rPr>
            <w:rStyle w:val="Hyperlink"/>
            <w:noProof/>
          </w:rPr>
          <w:t>Figure 41: Inflation Effects</w:t>
        </w:r>
        <w:r>
          <w:rPr>
            <w:noProof/>
            <w:webHidden/>
          </w:rPr>
          <w:tab/>
        </w:r>
        <w:r>
          <w:rPr>
            <w:noProof/>
            <w:webHidden/>
          </w:rPr>
          <w:fldChar w:fldCharType="begin"/>
        </w:r>
        <w:r>
          <w:rPr>
            <w:noProof/>
            <w:webHidden/>
          </w:rPr>
          <w:instrText xml:space="preserve"> PAGEREF _Toc227659619 \h </w:instrText>
        </w:r>
        <w:r>
          <w:rPr>
            <w:noProof/>
            <w:webHidden/>
          </w:rPr>
        </w:r>
        <w:r>
          <w:rPr>
            <w:noProof/>
            <w:webHidden/>
          </w:rPr>
          <w:fldChar w:fldCharType="separate"/>
        </w:r>
        <w:r>
          <w:rPr>
            <w:noProof/>
            <w:webHidden/>
          </w:rPr>
          <w:t>41</w:t>
        </w:r>
        <w:r>
          <w:rPr>
            <w:noProof/>
            <w:webHidden/>
          </w:rPr>
          <w:fldChar w:fldCharType="end"/>
        </w:r>
      </w:hyperlink>
    </w:p>
    <w:p w14:paraId="661BF69A" w14:textId="293A58C7" w:rsidR="008775A5" w:rsidRDefault="008775A5">
      <w:pPr>
        <w:pStyle w:val="TableofFigures"/>
        <w:tabs>
          <w:tab w:val="right" w:leader="dot" w:pos="9350"/>
        </w:tabs>
        <w:rPr>
          <w:rFonts w:asciiTheme="minorHAnsi" w:eastAsiaTheme="minorEastAsia" w:hAnsiTheme="minorHAnsi"/>
          <w:noProof/>
        </w:rPr>
      </w:pPr>
      <w:hyperlink w:anchor="_Toc227659620" w:history="1">
        <w:r w:rsidRPr="00AA5B92">
          <w:rPr>
            <w:rStyle w:val="Hyperlink"/>
            <w:noProof/>
          </w:rPr>
          <w:t>Figure 42: Corporate Social Responsibility (CSR)</w:t>
        </w:r>
        <w:r>
          <w:rPr>
            <w:noProof/>
            <w:webHidden/>
          </w:rPr>
          <w:tab/>
        </w:r>
        <w:r>
          <w:rPr>
            <w:noProof/>
            <w:webHidden/>
          </w:rPr>
          <w:fldChar w:fldCharType="begin"/>
        </w:r>
        <w:r>
          <w:rPr>
            <w:noProof/>
            <w:webHidden/>
          </w:rPr>
          <w:instrText xml:space="preserve"> PAGEREF _Toc227659620 \h </w:instrText>
        </w:r>
        <w:r>
          <w:rPr>
            <w:noProof/>
            <w:webHidden/>
          </w:rPr>
        </w:r>
        <w:r>
          <w:rPr>
            <w:noProof/>
            <w:webHidden/>
          </w:rPr>
          <w:fldChar w:fldCharType="separate"/>
        </w:r>
        <w:r>
          <w:rPr>
            <w:noProof/>
            <w:webHidden/>
          </w:rPr>
          <w:t>42</w:t>
        </w:r>
        <w:r>
          <w:rPr>
            <w:noProof/>
            <w:webHidden/>
          </w:rPr>
          <w:fldChar w:fldCharType="end"/>
        </w:r>
      </w:hyperlink>
    </w:p>
    <w:p w14:paraId="59D06974" w14:textId="66B0F73D" w:rsidR="008775A5" w:rsidRDefault="008775A5">
      <w:pPr>
        <w:pStyle w:val="TableofFigures"/>
        <w:tabs>
          <w:tab w:val="right" w:leader="dot" w:pos="9350"/>
        </w:tabs>
        <w:rPr>
          <w:rFonts w:asciiTheme="minorHAnsi" w:eastAsiaTheme="minorEastAsia" w:hAnsiTheme="minorHAnsi"/>
          <w:noProof/>
        </w:rPr>
      </w:pPr>
      <w:hyperlink w:anchor="_Toc227659621" w:history="1">
        <w:r w:rsidRPr="00AA5B92">
          <w:rPr>
            <w:rStyle w:val="Hyperlink"/>
            <w:noProof/>
          </w:rPr>
          <w:t>Figure 43: ESG</w:t>
        </w:r>
        <w:r>
          <w:rPr>
            <w:noProof/>
            <w:webHidden/>
          </w:rPr>
          <w:tab/>
        </w:r>
        <w:r>
          <w:rPr>
            <w:noProof/>
            <w:webHidden/>
          </w:rPr>
          <w:fldChar w:fldCharType="begin"/>
        </w:r>
        <w:r>
          <w:rPr>
            <w:noProof/>
            <w:webHidden/>
          </w:rPr>
          <w:instrText xml:space="preserve"> PAGEREF _Toc227659621 \h </w:instrText>
        </w:r>
        <w:r>
          <w:rPr>
            <w:noProof/>
            <w:webHidden/>
          </w:rPr>
        </w:r>
        <w:r>
          <w:rPr>
            <w:noProof/>
            <w:webHidden/>
          </w:rPr>
          <w:fldChar w:fldCharType="separate"/>
        </w:r>
        <w:r>
          <w:rPr>
            <w:noProof/>
            <w:webHidden/>
          </w:rPr>
          <w:t>42</w:t>
        </w:r>
        <w:r>
          <w:rPr>
            <w:noProof/>
            <w:webHidden/>
          </w:rPr>
          <w:fldChar w:fldCharType="end"/>
        </w:r>
      </w:hyperlink>
    </w:p>
    <w:p w14:paraId="2B6A7C7B" w14:textId="4B6BE8B9" w:rsidR="008775A5" w:rsidRDefault="008775A5">
      <w:pPr>
        <w:pStyle w:val="TableofFigures"/>
        <w:tabs>
          <w:tab w:val="right" w:leader="dot" w:pos="9350"/>
        </w:tabs>
        <w:rPr>
          <w:rFonts w:asciiTheme="minorHAnsi" w:eastAsiaTheme="minorEastAsia" w:hAnsiTheme="minorHAnsi"/>
          <w:noProof/>
        </w:rPr>
      </w:pPr>
      <w:hyperlink w:anchor="_Toc227659622" w:history="1">
        <w:r w:rsidRPr="00AA5B92">
          <w:rPr>
            <w:rStyle w:val="Hyperlink"/>
            <w:noProof/>
          </w:rPr>
          <w:t>Figure 44: Profitability Considerations</w:t>
        </w:r>
        <w:r>
          <w:rPr>
            <w:noProof/>
            <w:webHidden/>
          </w:rPr>
          <w:tab/>
        </w:r>
        <w:r>
          <w:rPr>
            <w:noProof/>
            <w:webHidden/>
          </w:rPr>
          <w:fldChar w:fldCharType="begin"/>
        </w:r>
        <w:r>
          <w:rPr>
            <w:noProof/>
            <w:webHidden/>
          </w:rPr>
          <w:instrText xml:space="preserve"> PAGEREF _Toc227659622 \h </w:instrText>
        </w:r>
        <w:r>
          <w:rPr>
            <w:noProof/>
            <w:webHidden/>
          </w:rPr>
        </w:r>
        <w:r>
          <w:rPr>
            <w:noProof/>
            <w:webHidden/>
          </w:rPr>
          <w:fldChar w:fldCharType="separate"/>
        </w:r>
        <w:r>
          <w:rPr>
            <w:noProof/>
            <w:webHidden/>
          </w:rPr>
          <w:t>48</w:t>
        </w:r>
        <w:r>
          <w:rPr>
            <w:noProof/>
            <w:webHidden/>
          </w:rPr>
          <w:fldChar w:fldCharType="end"/>
        </w:r>
      </w:hyperlink>
    </w:p>
    <w:p w14:paraId="2F363F65" w14:textId="7BAFE9B9" w:rsidR="008775A5" w:rsidRDefault="008775A5">
      <w:pPr>
        <w:pStyle w:val="TableofFigures"/>
        <w:tabs>
          <w:tab w:val="right" w:leader="dot" w:pos="9350"/>
        </w:tabs>
        <w:rPr>
          <w:rFonts w:asciiTheme="minorHAnsi" w:eastAsiaTheme="minorEastAsia" w:hAnsiTheme="minorHAnsi"/>
          <w:noProof/>
        </w:rPr>
      </w:pPr>
      <w:hyperlink w:anchor="_Toc227659623" w:history="1">
        <w:r w:rsidRPr="00AA5B92">
          <w:rPr>
            <w:rStyle w:val="Hyperlink"/>
            <w:noProof/>
          </w:rPr>
          <w:t>Figure 45: Liquidity Management</w:t>
        </w:r>
        <w:r>
          <w:rPr>
            <w:noProof/>
            <w:webHidden/>
          </w:rPr>
          <w:tab/>
        </w:r>
        <w:r>
          <w:rPr>
            <w:noProof/>
            <w:webHidden/>
          </w:rPr>
          <w:fldChar w:fldCharType="begin"/>
        </w:r>
        <w:r>
          <w:rPr>
            <w:noProof/>
            <w:webHidden/>
          </w:rPr>
          <w:instrText xml:space="preserve"> PAGEREF _Toc227659623 \h </w:instrText>
        </w:r>
        <w:r>
          <w:rPr>
            <w:noProof/>
            <w:webHidden/>
          </w:rPr>
        </w:r>
        <w:r>
          <w:rPr>
            <w:noProof/>
            <w:webHidden/>
          </w:rPr>
          <w:fldChar w:fldCharType="separate"/>
        </w:r>
        <w:r>
          <w:rPr>
            <w:noProof/>
            <w:webHidden/>
          </w:rPr>
          <w:t>49</w:t>
        </w:r>
        <w:r>
          <w:rPr>
            <w:noProof/>
            <w:webHidden/>
          </w:rPr>
          <w:fldChar w:fldCharType="end"/>
        </w:r>
      </w:hyperlink>
    </w:p>
    <w:p w14:paraId="58F59CB6" w14:textId="4F2ACED2" w:rsidR="00416FD6" w:rsidRDefault="008775A5">
      <w:pPr>
        <w:rPr>
          <w:b/>
          <w:bCs/>
          <w:sz w:val="28"/>
          <w:szCs w:val="28"/>
        </w:rPr>
      </w:pPr>
      <w:r>
        <w:rPr>
          <w:b/>
          <w:bCs/>
          <w:sz w:val="28"/>
          <w:szCs w:val="28"/>
        </w:rPr>
        <w:fldChar w:fldCharType="end"/>
      </w:r>
    </w:p>
    <w:p w14:paraId="7E11CB4B" w14:textId="77777777" w:rsidR="00416FD6" w:rsidRDefault="00416FD6">
      <w:pPr>
        <w:rPr>
          <w:b/>
          <w:bCs/>
          <w:sz w:val="28"/>
          <w:szCs w:val="28"/>
        </w:rPr>
      </w:pPr>
    </w:p>
    <w:p w14:paraId="1FCBD9C9" w14:textId="77777777" w:rsidR="00416FD6" w:rsidRDefault="00416FD6">
      <w:pPr>
        <w:rPr>
          <w:b/>
          <w:bCs/>
          <w:sz w:val="28"/>
          <w:szCs w:val="28"/>
        </w:rPr>
      </w:pPr>
    </w:p>
    <w:p w14:paraId="3452CB55" w14:textId="77777777" w:rsidR="00416FD6" w:rsidRDefault="00416FD6">
      <w:pPr>
        <w:rPr>
          <w:b/>
          <w:bCs/>
          <w:sz w:val="28"/>
          <w:szCs w:val="28"/>
        </w:rPr>
      </w:pPr>
    </w:p>
    <w:p w14:paraId="68987106" w14:textId="77777777" w:rsidR="00416FD6" w:rsidRDefault="00416FD6">
      <w:pPr>
        <w:rPr>
          <w:b/>
          <w:bCs/>
          <w:sz w:val="28"/>
          <w:szCs w:val="28"/>
        </w:rPr>
      </w:pPr>
    </w:p>
    <w:p w14:paraId="76D1C625" w14:textId="77777777" w:rsidR="00416FD6" w:rsidRDefault="00416FD6">
      <w:pPr>
        <w:rPr>
          <w:b/>
          <w:bCs/>
          <w:sz w:val="28"/>
          <w:szCs w:val="28"/>
        </w:rPr>
      </w:pPr>
    </w:p>
    <w:p w14:paraId="14442DD4" w14:textId="77777777" w:rsidR="00416FD6" w:rsidRDefault="00416FD6">
      <w:pPr>
        <w:rPr>
          <w:b/>
          <w:bCs/>
          <w:sz w:val="28"/>
          <w:szCs w:val="28"/>
        </w:rPr>
      </w:pPr>
    </w:p>
    <w:p w14:paraId="66FFB31F" w14:textId="77777777" w:rsidR="00416FD6" w:rsidRDefault="00416FD6">
      <w:pPr>
        <w:rPr>
          <w:b/>
          <w:bCs/>
          <w:sz w:val="28"/>
          <w:szCs w:val="28"/>
        </w:rPr>
      </w:pPr>
    </w:p>
    <w:p w14:paraId="418007F2" w14:textId="77777777" w:rsidR="00416FD6" w:rsidRDefault="00416FD6">
      <w:pPr>
        <w:rPr>
          <w:b/>
          <w:bCs/>
          <w:sz w:val="28"/>
          <w:szCs w:val="28"/>
        </w:rPr>
      </w:pPr>
    </w:p>
    <w:p w14:paraId="42506C8A" w14:textId="77777777" w:rsidR="00416FD6" w:rsidRDefault="00416FD6">
      <w:pPr>
        <w:rPr>
          <w:b/>
          <w:bCs/>
          <w:sz w:val="28"/>
          <w:szCs w:val="28"/>
        </w:rPr>
      </w:pPr>
    </w:p>
    <w:p w14:paraId="44451CF9" w14:textId="2F1B05F9" w:rsidR="00416FD6" w:rsidRDefault="00416FD6" w:rsidP="00416FD6">
      <w:pPr>
        <w:pStyle w:val="Heading1"/>
      </w:pPr>
      <w:bookmarkStart w:id="0" w:name="_Toc227659633"/>
      <w:r>
        <w:lastRenderedPageBreak/>
        <w:t>1. Financial Health Check</w:t>
      </w:r>
      <w:bookmarkEnd w:id="0"/>
    </w:p>
    <w:p w14:paraId="2A756668" w14:textId="77777777" w:rsidR="00416FD6" w:rsidRDefault="00416FD6" w:rsidP="00416FD6">
      <w:pPr>
        <w:pStyle w:val="Heading2"/>
      </w:pPr>
      <w:bookmarkStart w:id="1" w:name="_Toc227659634"/>
      <w:r>
        <w:t>1.1 Introduction to the Company</w:t>
      </w:r>
      <w:bookmarkEnd w:id="1"/>
    </w:p>
    <w:p w14:paraId="6E44ECD0" w14:textId="296CF501" w:rsidR="004B2A68" w:rsidRDefault="00072C6A" w:rsidP="004B2A68">
      <w:r w:rsidRPr="00072C6A">
        <w:t>Tesla, Inc. is an international company that specializes in electric vehicles, energy storage, and renewable energy solutions and has an innovative-based business approach and vertical structure.</w:t>
      </w:r>
      <w:r w:rsidR="004B2A68" w:rsidRPr="004B2A68">
        <w:t xml:space="preserve"> </w:t>
      </w:r>
      <w:r w:rsidR="00DA477C" w:rsidRPr="00DA477C">
        <w:t xml:space="preserve">The rising global need </w:t>
      </w:r>
      <w:proofErr w:type="gramStart"/>
      <w:r w:rsidR="00DA477C" w:rsidRPr="00DA477C">
        <w:t>of</w:t>
      </w:r>
      <w:proofErr w:type="gramEnd"/>
      <w:r w:rsidR="00DA477C" w:rsidRPr="00DA477C">
        <w:t xml:space="preserve"> sustainable transportation and favorable environmental regulations has enabled the company to grow rapidly within the last decade (Schreiber et al., 2026; Tesla, Inc., 2026).</w:t>
      </w:r>
      <w:r w:rsidR="004B2A68" w:rsidRPr="004B2A68">
        <w:t xml:space="preserve"> </w:t>
      </w:r>
      <w:r w:rsidR="001E30D9" w:rsidRPr="001E30D9">
        <w:t>Nevertheless, Tesla being a capital-intensive company, its financial performance should be evaluated with keen interest using the ratio analysis to comprehend its profitability, liquidity, efficiency, and risk position over time (</w:t>
      </w:r>
      <w:proofErr w:type="spellStart"/>
      <w:r w:rsidR="001E30D9" w:rsidRPr="001E30D9">
        <w:t>Alinezhadjahromi</w:t>
      </w:r>
      <w:proofErr w:type="spellEnd"/>
      <w:r w:rsidR="001E30D9" w:rsidRPr="001E30D9">
        <w:t xml:space="preserve"> et al., 2026).</w:t>
      </w:r>
    </w:p>
    <w:p w14:paraId="3385BC68" w14:textId="1C368D69" w:rsidR="004B2A68" w:rsidRDefault="004B2A68" w:rsidP="004B2A68">
      <w:r>
        <w:rPr>
          <w:noProof/>
        </w:rPr>
        <w:drawing>
          <wp:inline distT="0" distB="0" distL="0" distR="0" wp14:anchorId="24EDE82F" wp14:editId="307E3627">
            <wp:extent cx="5943600" cy="3939540"/>
            <wp:effectExtent l="0" t="0" r="0" b="3810"/>
            <wp:docPr id="293467951" name="Picture 1" descr="Tesla: A Look at Recent Performance and Future Pot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sla: A Look at Recent Performance and Future Potenti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39540"/>
                    </a:xfrm>
                    <a:prstGeom prst="rect">
                      <a:avLst/>
                    </a:prstGeom>
                    <a:noFill/>
                    <a:ln>
                      <a:noFill/>
                    </a:ln>
                  </pic:spPr>
                </pic:pic>
              </a:graphicData>
            </a:graphic>
          </wp:inline>
        </w:drawing>
      </w:r>
    </w:p>
    <w:p w14:paraId="42F2261F" w14:textId="726694EA" w:rsidR="004B2A68" w:rsidRDefault="004B2A68" w:rsidP="004B2A68">
      <w:pPr>
        <w:pStyle w:val="Caption"/>
      </w:pPr>
      <w:bookmarkStart w:id="2" w:name="_Toc227659579"/>
      <w:r>
        <w:t xml:space="preserve">Figure </w:t>
      </w:r>
      <w:fldSimple w:instr=" SEQ Figure \* ARABIC ">
        <w:r w:rsidR="00757BBB">
          <w:rPr>
            <w:noProof/>
          </w:rPr>
          <w:t>1</w:t>
        </w:r>
      </w:fldSimple>
      <w:r>
        <w:t xml:space="preserve">: </w:t>
      </w:r>
      <w:r w:rsidRPr="00C7420E">
        <w:t>Tesla, Inc</w:t>
      </w:r>
      <w:bookmarkEnd w:id="2"/>
    </w:p>
    <w:p w14:paraId="289B8C72" w14:textId="77777777" w:rsidR="00812C51" w:rsidRPr="00812C51" w:rsidRDefault="00812C51" w:rsidP="00812C51"/>
    <w:p w14:paraId="74E67779" w14:textId="77777777" w:rsidR="00416FD6" w:rsidRDefault="00416FD6" w:rsidP="00416FD6">
      <w:pPr>
        <w:pStyle w:val="Heading2"/>
      </w:pPr>
      <w:bookmarkStart w:id="3" w:name="_Toc227659635"/>
      <w:r>
        <w:lastRenderedPageBreak/>
        <w:t>1.2 Overview of Financial Statements (5-year period)</w:t>
      </w:r>
      <w:bookmarkEnd w:id="3"/>
    </w:p>
    <w:p w14:paraId="1CB4C2FE" w14:textId="17582E88" w:rsidR="004B2A68" w:rsidRDefault="008E4E0E" w:rsidP="004B2A68">
      <w:r w:rsidRPr="008E4E0E">
        <w:t xml:space="preserve">Financial statements of the five years between 2020 and 2024 indicate a year of massive growth and then a </w:t>
      </w:r>
      <w:proofErr w:type="spellStart"/>
      <w:r w:rsidRPr="008E4E0E">
        <w:t>stabilisation</w:t>
      </w:r>
      <w:proofErr w:type="spellEnd"/>
      <w:r w:rsidRPr="008E4E0E">
        <w:t xml:space="preserve"> period. The growth experienced a higher between 2020 and 2022 because of the pandemic following higher vehicle deliveries and scaled production capacity but diminished a bit later due to </w:t>
      </w:r>
      <w:proofErr w:type="spellStart"/>
      <w:r w:rsidRPr="008E4E0E">
        <w:t>normalisation</w:t>
      </w:r>
      <w:proofErr w:type="spellEnd"/>
      <w:r w:rsidRPr="008E4E0E">
        <w:t xml:space="preserve"> of market conditions (Tesla, Inc., 2023; Tesla, Inc., 2025).</w:t>
      </w:r>
      <w:r>
        <w:t xml:space="preserve"> </w:t>
      </w:r>
      <w:r w:rsidRPr="008E4E0E">
        <w:t>Economies of scale and operational efficiency resulted in an improved profitability until 2022 after which it started to decline in 2023-2024 because of the pricing strategies, cost pressures, and competition (Zheng, 2024).</w:t>
      </w:r>
      <w:r w:rsidR="004B2A68" w:rsidRPr="004B2A68">
        <w:t xml:space="preserve"> </w:t>
      </w:r>
      <w:r w:rsidR="00922714" w:rsidRPr="00922714">
        <w:t>These trends demonstrate that it is essential to study ratios to evaluate the background of financial performance instead of basing on absolute values (Berthilde et al., 2020).</w:t>
      </w:r>
    </w:p>
    <w:p w14:paraId="12F8CDC5" w14:textId="77777777" w:rsidR="00812C51" w:rsidRPr="004B2A68" w:rsidRDefault="00812C51" w:rsidP="004B2A68"/>
    <w:p w14:paraId="4882590A" w14:textId="77777777" w:rsidR="00416FD6" w:rsidRDefault="00416FD6" w:rsidP="00416FD6">
      <w:pPr>
        <w:pStyle w:val="Heading2"/>
      </w:pPr>
      <w:bookmarkStart w:id="4" w:name="_Toc227659636"/>
      <w:r>
        <w:t>1.3 Profitability Ratios</w:t>
      </w:r>
      <w:bookmarkEnd w:id="4"/>
    </w:p>
    <w:p w14:paraId="4B9EA6AE" w14:textId="53F4DAAA" w:rsidR="00416FD6" w:rsidRDefault="00416FD6" w:rsidP="00416FD6">
      <w:pPr>
        <w:pStyle w:val="Heading3"/>
      </w:pPr>
      <w:bookmarkStart w:id="5" w:name="_Toc227659637"/>
      <w:r>
        <w:t>1.3.1 Gross Profit Margin</w:t>
      </w:r>
      <w:bookmarkEnd w:id="5"/>
    </w:p>
    <w:p w14:paraId="144EA3B2" w14:textId="675464C4" w:rsidR="00734BE0" w:rsidRDefault="00734BE0" w:rsidP="00734BE0">
      <w:pPr>
        <w:jc w:val="center"/>
      </w:pPr>
      <w:r>
        <w:rPr>
          <w:noProof/>
        </w:rPr>
        <w:drawing>
          <wp:inline distT="0" distB="0" distL="0" distR="0" wp14:anchorId="2BAA8FF7" wp14:editId="5DBCECDF">
            <wp:extent cx="4743450" cy="3219450"/>
            <wp:effectExtent l="0" t="0" r="0" b="0"/>
            <wp:docPr id="893028908" name="Chart 1">
              <a:extLst xmlns:a="http://schemas.openxmlformats.org/drawingml/2006/main">
                <a:ext uri="{FF2B5EF4-FFF2-40B4-BE49-F238E27FC236}">
                  <a16:creationId xmlns:a16="http://schemas.microsoft.com/office/drawing/2014/main" id="{B8565FB7-F0A9-EF00-70E8-240888AAE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01C47F4" w14:textId="716802C9" w:rsidR="00812C51" w:rsidRDefault="00812C51" w:rsidP="00812C51">
      <w:pPr>
        <w:pStyle w:val="Caption"/>
      </w:pPr>
      <w:bookmarkStart w:id="6" w:name="_Toc227659580"/>
      <w:r>
        <w:t xml:space="preserve">Figure </w:t>
      </w:r>
      <w:fldSimple w:instr=" SEQ Figure \* ARABIC ">
        <w:r w:rsidR="00757BBB">
          <w:rPr>
            <w:noProof/>
          </w:rPr>
          <w:t>2</w:t>
        </w:r>
      </w:fldSimple>
      <w:r>
        <w:t xml:space="preserve">: </w:t>
      </w:r>
      <w:r w:rsidRPr="00470761">
        <w:t>Gross Profit Margin</w:t>
      </w:r>
      <w:bookmarkEnd w:id="6"/>
    </w:p>
    <w:p w14:paraId="21B7CC85" w14:textId="6C68A774" w:rsidR="00812C51" w:rsidRDefault="00047703" w:rsidP="00812C51">
      <w:r w:rsidRPr="00047703">
        <w:t xml:space="preserve">The gross profit margin shows an improving trend from 21.02% in 2020 to 25.60% in 2022, followed by a decline to 17.86% in 2024. This shows that Tesla was first cost </w:t>
      </w:r>
      <w:r w:rsidRPr="00047703">
        <w:lastRenderedPageBreak/>
        <w:t>effective and enjoyed economies of scale in its frenzied growth.</w:t>
      </w:r>
      <w:r w:rsidR="00925DCA" w:rsidRPr="00925DCA">
        <w:t xml:space="preserve"> </w:t>
      </w:r>
      <w:r w:rsidR="005B2D97" w:rsidRPr="005B2D97">
        <w:t xml:space="preserve">But the follow-up decrease indicated the rising production expense as well as vigorous pricing methods, which diluted margins. This conforms to the </w:t>
      </w:r>
      <w:proofErr w:type="gramStart"/>
      <w:r w:rsidR="005B2D97" w:rsidRPr="005B2D97">
        <w:t>facts</w:t>
      </w:r>
      <w:proofErr w:type="gramEnd"/>
      <w:r w:rsidR="005B2D97" w:rsidRPr="005B2D97">
        <w:t xml:space="preserve"> that cost structures and competitive pressures in terms of price sensitivity affect profitability margins (Ramdhan et al., 2025; Tesla, Inc., 2025).</w:t>
      </w:r>
    </w:p>
    <w:p w14:paraId="3B11F23C" w14:textId="77777777" w:rsidR="00925DCA" w:rsidRPr="00812C51" w:rsidRDefault="00925DCA" w:rsidP="00812C51"/>
    <w:p w14:paraId="206D3715" w14:textId="7375975A" w:rsidR="00416FD6" w:rsidRDefault="00416FD6" w:rsidP="00416FD6">
      <w:pPr>
        <w:pStyle w:val="Heading3"/>
      </w:pPr>
      <w:bookmarkStart w:id="7" w:name="_Toc227659638"/>
      <w:r>
        <w:t>1.3.2 Operating Profit Margin</w:t>
      </w:r>
      <w:bookmarkEnd w:id="7"/>
    </w:p>
    <w:p w14:paraId="6F8F5C69" w14:textId="023BBF80" w:rsidR="00734BE0" w:rsidRDefault="00734BE0" w:rsidP="00734BE0">
      <w:pPr>
        <w:jc w:val="center"/>
      </w:pPr>
      <w:r>
        <w:rPr>
          <w:noProof/>
        </w:rPr>
        <w:drawing>
          <wp:inline distT="0" distB="0" distL="0" distR="0" wp14:anchorId="492E4B0B" wp14:editId="6F8C670E">
            <wp:extent cx="5124450" cy="3581400"/>
            <wp:effectExtent l="0" t="0" r="0" b="0"/>
            <wp:docPr id="310170307" name="Chart 1">
              <a:extLst xmlns:a="http://schemas.openxmlformats.org/drawingml/2006/main">
                <a:ext uri="{FF2B5EF4-FFF2-40B4-BE49-F238E27FC236}">
                  <a16:creationId xmlns:a16="http://schemas.microsoft.com/office/drawing/2014/main" id="{46F9A1C2-F715-4D16-D777-F450B0028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BA375DC" w14:textId="4AA3E3C2" w:rsidR="00237C14" w:rsidRDefault="00237C14" w:rsidP="00237C14">
      <w:pPr>
        <w:pStyle w:val="Caption"/>
      </w:pPr>
      <w:bookmarkStart w:id="8" w:name="_Toc227659581"/>
      <w:r>
        <w:t xml:space="preserve">Figure </w:t>
      </w:r>
      <w:fldSimple w:instr=" SEQ Figure \* ARABIC ">
        <w:r w:rsidR="00757BBB">
          <w:rPr>
            <w:noProof/>
          </w:rPr>
          <w:t>3</w:t>
        </w:r>
      </w:fldSimple>
      <w:r>
        <w:t xml:space="preserve">: </w:t>
      </w:r>
      <w:r w:rsidRPr="000B372F">
        <w:t>Operating Profit Margin</w:t>
      </w:r>
      <w:bookmarkEnd w:id="8"/>
    </w:p>
    <w:p w14:paraId="629BC9D7" w14:textId="15B798F0" w:rsidR="00237C14" w:rsidRPr="00237C14" w:rsidRDefault="00EA4062" w:rsidP="00237C14">
      <w:r w:rsidRPr="00EA4062">
        <w:t>The operating profit margin grew considerably as it was 6.32% in 2020 and 16.76% in 2022, which results in enhanced operational efficiency and improved cost management.</w:t>
      </w:r>
      <w:r w:rsidR="00261607" w:rsidRPr="00261607">
        <w:t xml:space="preserve"> </w:t>
      </w:r>
      <w:r w:rsidRPr="00EA4062">
        <w:t>Nevertheless, the significant change to 7.24% in 2024 shows that the operating expenses are on the increase, and it may be because of expansion costs, research and development, and marketing strategies.</w:t>
      </w:r>
      <w:r>
        <w:t xml:space="preserve"> </w:t>
      </w:r>
      <w:r w:rsidR="00ED3080" w:rsidRPr="00ED3080">
        <w:t>This indicates that the gains of operational efficiency might not be sustainable unless there is ongoing management of costs (Kanna et al., 2023).</w:t>
      </w:r>
    </w:p>
    <w:p w14:paraId="18E6DA40" w14:textId="013C519C" w:rsidR="00416FD6" w:rsidRDefault="00416FD6" w:rsidP="00416FD6">
      <w:pPr>
        <w:pStyle w:val="Heading3"/>
      </w:pPr>
      <w:bookmarkStart w:id="9" w:name="_Toc227659639"/>
      <w:r>
        <w:lastRenderedPageBreak/>
        <w:t>1.3.3 Net Profit Margin</w:t>
      </w:r>
      <w:bookmarkEnd w:id="9"/>
    </w:p>
    <w:p w14:paraId="46B200E9" w14:textId="3B927E5E" w:rsidR="00734BE0" w:rsidRDefault="00734BE0" w:rsidP="00734BE0">
      <w:pPr>
        <w:jc w:val="center"/>
      </w:pPr>
      <w:r>
        <w:rPr>
          <w:noProof/>
        </w:rPr>
        <w:drawing>
          <wp:inline distT="0" distB="0" distL="0" distR="0" wp14:anchorId="7E06A533" wp14:editId="057D069A">
            <wp:extent cx="4352925" cy="2524125"/>
            <wp:effectExtent l="0" t="0" r="9525" b="9525"/>
            <wp:docPr id="1244926195" name="Chart 1">
              <a:extLst xmlns:a="http://schemas.openxmlformats.org/drawingml/2006/main">
                <a:ext uri="{FF2B5EF4-FFF2-40B4-BE49-F238E27FC236}">
                  <a16:creationId xmlns:a16="http://schemas.microsoft.com/office/drawing/2014/main" id="{74BB3CBA-918D-98B4-3E97-F69D08A5F4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4C91FE" w14:textId="7F28B43C" w:rsidR="008C02A6" w:rsidRDefault="008C02A6" w:rsidP="008C02A6">
      <w:pPr>
        <w:pStyle w:val="Caption"/>
      </w:pPr>
      <w:bookmarkStart w:id="10" w:name="_Toc227659582"/>
      <w:r>
        <w:t xml:space="preserve">Figure </w:t>
      </w:r>
      <w:fldSimple w:instr=" SEQ Figure \* ARABIC ">
        <w:r w:rsidR="00757BBB">
          <w:rPr>
            <w:noProof/>
          </w:rPr>
          <w:t>4</w:t>
        </w:r>
      </w:fldSimple>
      <w:r>
        <w:t xml:space="preserve">: </w:t>
      </w:r>
      <w:r w:rsidRPr="005C2D98">
        <w:t>Net Profit Margin</w:t>
      </w:r>
      <w:bookmarkEnd w:id="10"/>
    </w:p>
    <w:p w14:paraId="68ED7E2A" w14:textId="0DBE1584" w:rsidR="008C02A6" w:rsidRDefault="0067710B" w:rsidP="008C02A6">
      <w:r w:rsidRPr="0067710B">
        <w:t>The net profit margin followed a similar upward trend, rising from 2.73% in 2020 to 15.47% in 2023 before falling to 7.32% in 2024. It insinuates that Tesla had been able to increase the overall profitability but had problems retaining net earnings because of increasing costs or diminished pricing power.</w:t>
      </w:r>
      <w:r w:rsidR="00914138" w:rsidRPr="00914138">
        <w:t xml:space="preserve"> </w:t>
      </w:r>
      <w:r w:rsidR="00B16B5D" w:rsidRPr="00B16B5D">
        <w:t>The net profitability shows the operational as well as financial efficiency and its decreasing trend means that the overall financial performance is put under pressure (Berthilde et al., 2020).</w:t>
      </w:r>
    </w:p>
    <w:p w14:paraId="545E0373" w14:textId="77777777" w:rsidR="00ED3080" w:rsidRPr="008C02A6" w:rsidRDefault="00ED3080" w:rsidP="008C02A6"/>
    <w:p w14:paraId="57F49604" w14:textId="77777777" w:rsidR="00416FD6" w:rsidRDefault="00416FD6" w:rsidP="00416FD6">
      <w:pPr>
        <w:pStyle w:val="Heading3"/>
      </w:pPr>
      <w:bookmarkStart w:id="11" w:name="_Toc227659640"/>
      <w:r>
        <w:t>1.3.4 Return on Assets (ROA)</w:t>
      </w:r>
      <w:bookmarkEnd w:id="11"/>
    </w:p>
    <w:p w14:paraId="7D7644AC" w14:textId="6D70D7B6" w:rsidR="00734BE0" w:rsidRDefault="00734BE0" w:rsidP="00734BE0">
      <w:pPr>
        <w:jc w:val="center"/>
      </w:pPr>
      <w:r>
        <w:rPr>
          <w:noProof/>
        </w:rPr>
        <w:drawing>
          <wp:inline distT="0" distB="0" distL="0" distR="0" wp14:anchorId="1D10429A" wp14:editId="40A4ED8B">
            <wp:extent cx="4324350" cy="2562225"/>
            <wp:effectExtent l="0" t="0" r="0" b="9525"/>
            <wp:docPr id="1776402112" name="Chart 1">
              <a:extLst xmlns:a="http://schemas.openxmlformats.org/drawingml/2006/main">
                <a:ext uri="{FF2B5EF4-FFF2-40B4-BE49-F238E27FC236}">
                  <a16:creationId xmlns:a16="http://schemas.microsoft.com/office/drawing/2014/main" id="{71AB12A5-D0A1-6DC8-7004-6442655600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1D8A39" w14:textId="46EA68D3" w:rsidR="00713552" w:rsidRDefault="00713552" w:rsidP="00713552">
      <w:pPr>
        <w:pStyle w:val="Caption"/>
      </w:pPr>
      <w:bookmarkStart w:id="12" w:name="_Toc227659583"/>
      <w:r>
        <w:lastRenderedPageBreak/>
        <w:t xml:space="preserve">Figure </w:t>
      </w:r>
      <w:fldSimple w:instr=" SEQ Figure \* ARABIC ">
        <w:r w:rsidR="00757BBB">
          <w:rPr>
            <w:noProof/>
          </w:rPr>
          <w:t>5</w:t>
        </w:r>
      </w:fldSimple>
      <w:r>
        <w:t xml:space="preserve">: </w:t>
      </w:r>
      <w:r w:rsidRPr="003339F1">
        <w:t>Return on Assets (ROA)</w:t>
      </w:r>
      <w:bookmarkEnd w:id="12"/>
    </w:p>
    <w:p w14:paraId="1372D9EF" w14:textId="14E07E84" w:rsidR="00713552" w:rsidRDefault="00E26A41" w:rsidP="00713552">
      <w:r w:rsidRPr="00E26A41">
        <w:t>Return on Assets (ROA) increased from 1.65% in 2020 to 15.29% in 2022, then declined to 5.86% in 2024. This implies that Tesla has first been successful in its capacity to make a profit out of their asset base, but it became inefficient when the asset base was on the rise at a faster rate compared to the earnings.</w:t>
      </w:r>
      <w:r w:rsidR="006939B5" w:rsidRPr="006939B5">
        <w:t xml:space="preserve"> </w:t>
      </w:r>
      <w:r w:rsidR="00F07D53" w:rsidRPr="00F07D53">
        <w:t>It is a trend that shows the difficulties in managing capital-intensive industries that have intense operation based on asset requirements (</w:t>
      </w:r>
      <w:proofErr w:type="spellStart"/>
      <w:r w:rsidR="00F07D53" w:rsidRPr="00F07D53">
        <w:t>Alinezhadjahromi</w:t>
      </w:r>
      <w:proofErr w:type="spellEnd"/>
      <w:r w:rsidR="00F07D53" w:rsidRPr="00F07D53">
        <w:t xml:space="preserve"> et al., 2026).</w:t>
      </w:r>
    </w:p>
    <w:p w14:paraId="3894EF85" w14:textId="77777777" w:rsidR="006939B5" w:rsidRPr="00713552" w:rsidRDefault="006939B5" w:rsidP="00713552"/>
    <w:p w14:paraId="675BF01B" w14:textId="41F465DD" w:rsidR="00416FD6" w:rsidRDefault="00416FD6" w:rsidP="00416FD6">
      <w:pPr>
        <w:pStyle w:val="Heading3"/>
      </w:pPr>
      <w:bookmarkStart w:id="13" w:name="_Toc227659641"/>
      <w:r>
        <w:t>1.3.5 Return on Equity (ROE)</w:t>
      </w:r>
      <w:bookmarkEnd w:id="13"/>
    </w:p>
    <w:p w14:paraId="4D1728D4" w14:textId="46B7C3D7" w:rsidR="00416FD6" w:rsidRDefault="00734BE0" w:rsidP="00734BE0">
      <w:pPr>
        <w:jc w:val="center"/>
      </w:pPr>
      <w:r>
        <w:rPr>
          <w:noProof/>
        </w:rPr>
        <w:drawing>
          <wp:inline distT="0" distB="0" distL="0" distR="0" wp14:anchorId="12E0E31A" wp14:editId="587527AC">
            <wp:extent cx="4572000" cy="2743200"/>
            <wp:effectExtent l="0" t="0" r="0" b="0"/>
            <wp:docPr id="838668237" name="Chart 1">
              <a:extLst xmlns:a="http://schemas.openxmlformats.org/drawingml/2006/main">
                <a:ext uri="{FF2B5EF4-FFF2-40B4-BE49-F238E27FC236}">
                  <a16:creationId xmlns:a16="http://schemas.microsoft.com/office/drawing/2014/main" id="{5AE9C86F-D700-8086-08C0-3F2FEE3946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2D75C3" w14:textId="47BDA966" w:rsidR="00734BE0" w:rsidRDefault="006939B5" w:rsidP="006939B5">
      <w:pPr>
        <w:pStyle w:val="Caption"/>
      </w:pPr>
      <w:bookmarkStart w:id="14" w:name="_Toc227659584"/>
      <w:r>
        <w:t xml:space="preserve">Figure </w:t>
      </w:r>
      <w:fldSimple w:instr=" SEQ Figure \* ARABIC ">
        <w:r w:rsidR="00757BBB">
          <w:rPr>
            <w:noProof/>
          </w:rPr>
          <w:t>6</w:t>
        </w:r>
      </w:fldSimple>
      <w:r>
        <w:t xml:space="preserve">: </w:t>
      </w:r>
      <w:r w:rsidRPr="00BC2B7E">
        <w:t>Return on Equity (ROE)</w:t>
      </w:r>
      <w:bookmarkEnd w:id="14"/>
    </w:p>
    <w:p w14:paraId="7499E377" w14:textId="1F8113DD" w:rsidR="006939B5" w:rsidRPr="006939B5" w:rsidRDefault="00F074AD" w:rsidP="006939B5">
      <w:r w:rsidRPr="00F074AD">
        <w:t>The Return on Equity (ROE) improved greatly and had an increase of 3.88% in 2020 to 28.16% in 2022 indicating good returns to shareholders throughout the growth phase. The decrease to 9.81% in 2024, however, indicates that the profitability is low as compared to that of equity and therefore, those shareholders returns are affected by a decrease in margins and potential rise in equity financing.</w:t>
      </w:r>
      <w:r w:rsidR="001B3E36" w:rsidRPr="001B3E36">
        <w:t xml:space="preserve"> </w:t>
      </w:r>
      <w:r w:rsidRPr="00F074AD">
        <w:t xml:space="preserve">This proves the fact that profitability and capital structure have a combined impact on the </w:t>
      </w:r>
      <w:proofErr w:type="gramStart"/>
      <w:r w:rsidRPr="00F074AD">
        <w:t>shareholders</w:t>
      </w:r>
      <w:proofErr w:type="gramEnd"/>
      <w:r w:rsidRPr="00F074AD">
        <w:t xml:space="preserve"> returns (Manao et al., 2025).</w:t>
      </w:r>
    </w:p>
    <w:p w14:paraId="0C8631DF" w14:textId="77777777" w:rsidR="00416FD6" w:rsidRDefault="00416FD6" w:rsidP="00416FD6">
      <w:pPr>
        <w:pStyle w:val="Heading2"/>
      </w:pPr>
      <w:bookmarkStart w:id="15" w:name="_Toc227659642"/>
      <w:r>
        <w:lastRenderedPageBreak/>
        <w:t>1.4 Liquidity Ratios</w:t>
      </w:r>
      <w:bookmarkEnd w:id="15"/>
    </w:p>
    <w:p w14:paraId="1333FE39" w14:textId="550B7EB8" w:rsidR="00416FD6" w:rsidRDefault="00416FD6" w:rsidP="00416FD6">
      <w:pPr>
        <w:pStyle w:val="Heading3"/>
      </w:pPr>
      <w:bookmarkStart w:id="16" w:name="_Toc227659643"/>
      <w:r>
        <w:t>1.4.1 Current Ratio</w:t>
      </w:r>
      <w:bookmarkEnd w:id="16"/>
    </w:p>
    <w:p w14:paraId="4089B741" w14:textId="1D37D1EC" w:rsidR="00350067" w:rsidRDefault="00350067" w:rsidP="00350067">
      <w:pPr>
        <w:jc w:val="center"/>
      </w:pPr>
      <w:r>
        <w:rPr>
          <w:noProof/>
        </w:rPr>
        <w:drawing>
          <wp:inline distT="0" distB="0" distL="0" distR="0" wp14:anchorId="017D02EF" wp14:editId="39D506F8">
            <wp:extent cx="4086225" cy="2381250"/>
            <wp:effectExtent l="0" t="0" r="9525" b="0"/>
            <wp:docPr id="966903497" name="Chart 1">
              <a:extLst xmlns:a="http://schemas.openxmlformats.org/drawingml/2006/main">
                <a:ext uri="{FF2B5EF4-FFF2-40B4-BE49-F238E27FC236}">
                  <a16:creationId xmlns:a16="http://schemas.microsoft.com/office/drawing/2014/main" id="{1F08228A-E158-8C30-6F2B-C11C1CD18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F47784" w14:textId="453CE91A" w:rsidR="00DF07BE" w:rsidRDefault="00DF07BE" w:rsidP="00DF07BE">
      <w:pPr>
        <w:pStyle w:val="Caption"/>
      </w:pPr>
      <w:bookmarkStart w:id="17" w:name="_Toc227659585"/>
      <w:r>
        <w:t xml:space="preserve">Figure </w:t>
      </w:r>
      <w:fldSimple w:instr=" SEQ Figure \* ARABIC ">
        <w:r w:rsidR="00757BBB">
          <w:rPr>
            <w:noProof/>
          </w:rPr>
          <w:t>7</w:t>
        </w:r>
      </w:fldSimple>
      <w:r>
        <w:t xml:space="preserve">: </w:t>
      </w:r>
      <w:r w:rsidRPr="00E223F2">
        <w:t>Current Ratio</w:t>
      </w:r>
      <w:bookmarkEnd w:id="17"/>
    </w:p>
    <w:p w14:paraId="7741DD00" w14:textId="68094EF4" w:rsidR="00DF07BE" w:rsidRDefault="0030158D" w:rsidP="00DF07BE">
      <w:r w:rsidRPr="0030158D">
        <w:t>The current ratio improved steadily within the years 2020 to 2024, with 1.36 having been recorded to be transformed to 2.02 in the year 2020 and 2024 respectively, which implies that Tesla has improved its capacity of dealing with short-term liabilities. When ratio is greater than 1, it indicates comfortable liquidity position and an increasing trend indicates better management of working capital. Good liquidity minimizes financial risk and increases stability in operations (</w:t>
      </w:r>
      <w:proofErr w:type="spellStart"/>
      <w:r w:rsidRPr="0030158D">
        <w:t>Arisandi</w:t>
      </w:r>
      <w:proofErr w:type="spellEnd"/>
      <w:r w:rsidRPr="0030158D">
        <w:t>, 2025).</w:t>
      </w:r>
    </w:p>
    <w:p w14:paraId="7D13F7EE" w14:textId="77777777" w:rsidR="00F074AD" w:rsidRPr="00DF07BE" w:rsidRDefault="00F074AD" w:rsidP="00DF07BE"/>
    <w:p w14:paraId="4CAC8BC0" w14:textId="28F32979" w:rsidR="00416FD6" w:rsidRDefault="00416FD6" w:rsidP="00416FD6">
      <w:pPr>
        <w:pStyle w:val="Heading3"/>
      </w:pPr>
      <w:bookmarkStart w:id="18" w:name="_Toc227659644"/>
      <w:r>
        <w:t>1.4.2 Quick Ratio</w:t>
      </w:r>
      <w:bookmarkEnd w:id="18"/>
    </w:p>
    <w:p w14:paraId="127A23B0" w14:textId="0E1E063B" w:rsidR="00416FD6" w:rsidRDefault="00350067" w:rsidP="00350067">
      <w:pPr>
        <w:jc w:val="center"/>
      </w:pPr>
      <w:r>
        <w:rPr>
          <w:noProof/>
        </w:rPr>
        <w:drawing>
          <wp:inline distT="0" distB="0" distL="0" distR="0" wp14:anchorId="30E1C4F9" wp14:editId="208C36B4">
            <wp:extent cx="3914775" cy="2305050"/>
            <wp:effectExtent l="0" t="0" r="9525" b="0"/>
            <wp:docPr id="736471443" name="Chart 1">
              <a:extLst xmlns:a="http://schemas.openxmlformats.org/drawingml/2006/main">
                <a:ext uri="{FF2B5EF4-FFF2-40B4-BE49-F238E27FC236}">
                  <a16:creationId xmlns:a16="http://schemas.microsoft.com/office/drawing/2014/main" id="{C60619EA-64AA-5B36-5FE5-04E775084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709F02" w14:textId="564953BC" w:rsidR="00350067" w:rsidRDefault="00815BEE" w:rsidP="00815BEE">
      <w:pPr>
        <w:pStyle w:val="Caption"/>
      </w:pPr>
      <w:bookmarkStart w:id="19" w:name="_Toc227659586"/>
      <w:r>
        <w:lastRenderedPageBreak/>
        <w:t xml:space="preserve">Figure </w:t>
      </w:r>
      <w:fldSimple w:instr=" SEQ Figure \* ARABIC ">
        <w:r w:rsidR="00757BBB">
          <w:rPr>
            <w:noProof/>
          </w:rPr>
          <w:t>8</w:t>
        </w:r>
      </w:fldSimple>
      <w:r>
        <w:t xml:space="preserve">: </w:t>
      </w:r>
      <w:r w:rsidRPr="008B6B21">
        <w:t>Quick Ratio</w:t>
      </w:r>
      <w:bookmarkEnd w:id="19"/>
    </w:p>
    <w:p w14:paraId="1E8646A3" w14:textId="52D8D71E" w:rsidR="00815BEE" w:rsidRDefault="00F90371" w:rsidP="00815BEE">
      <w:r w:rsidRPr="00F90371">
        <w:t>The quick ratio shows a slight decline from 1.15 in 2020 to 1.05 in 2022, followed by an increase to 1.61 in 2024. This implies that Tesla depended more on inventory to settle liabilities but subsequently enhanced its liquid assets status. The growth indicates the improvement of cash and receivables control, which is essential in ensuring financial flexibility (</w:t>
      </w:r>
      <w:proofErr w:type="spellStart"/>
      <w:r w:rsidRPr="00F90371">
        <w:t>Wuryanti</w:t>
      </w:r>
      <w:proofErr w:type="spellEnd"/>
      <w:r w:rsidRPr="00F90371">
        <w:t xml:space="preserve"> et al., 2025).</w:t>
      </w:r>
    </w:p>
    <w:p w14:paraId="39B1E5B3" w14:textId="77777777" w:rsidR="00E30C35" w:rsidRPr="00815BEE" w:rsidRDefault="00E30C35" w:rsidP="00815BEE"/>
    <w:p w14:paraId="72B7CFBB" w14:textId="77777777" w:rsidR="00416FD6" w:rsidRDefault="00416FD6" w:rsidP="00416FD6">
      <w:pPr>
        <w:pStyle w:val="Heading2"/>
      </w:pPr>
      <w:bookmarkStart w:id="20" w:name="_Toc227659645"/>
      <w:r>
        <w:t>1.5 Efficiency Ratios</w:t>
      </w:r>
      <w:bookmarkEnd w:id="20"/>
    </w:p>
    <w:p w14:paraId="10A92D00" w14:textId="138AE0E0" w:rsidR="00416FD6" w:rsidRDefault="00416FD6" w:rsidP="00416FD6">
      <w:pPr>
        <w:pStyle w:val="Heading3"/>
      </w:pPr>
      <w:bookmarkStart w:id="21" w:name="_Toc227659646"/>
      <w:r>
        <w:t>1.5.1 Inventory Turnover</w:t>
      </w:r>
      <w:bookmarkEnd w:id="21"/>
    </w:p>
    <w:p w14:paraId="0E268B94" w14:textId="35F6ACDA" w:rsidR="00503700" w:rsidRDefault="00503700" w:rsidP="00503700">
      <w:pPr>
        <w:jc w:val="center"/>
      </w:pPr>
      <w:r>
        <w:rPr>
          <w:noProof/>
        </w:rPr>
        <w:drawing>
          <wp:inline distT="0" distB="0" distL="0" distR="0" wp14:anchorId="5352017C" wp14:editId="0C0FC72B">
            <wp:extent cx="4572000" cy="2743200"/>
            <wp:effectExtent l="0" t="0" r="0" b="0"/>
            <wp:docPr id="281103270" name="Chart 1">
              <a:extLst xmlns:a="http://schemas.openxmlformats.org/drawingml/2006/main">
                <a:ext uri="{FF2B5EF4-FFF2-40B4-BE49-F238E27FC236}">
                  <a16:creationId xmlns:a16="http://schemas.microsoft.com/office/drawing/2014/main" id="{EE9A42F6-F9F0-AED5-72AB-90C71D632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F7017D" w14:textId="3A500178" w:rsidR="009335AF" w:rsidRDefault="009335AF" w:rsidP="009335AF">
      <w:pPr>
        <w:pStyle w:val="Caption"/>
      </w:pPr>
      <w:bookmarkStart w:id="22" w:name="_Toc227659587"/>
      <w:r>
        <w:t xml:space="preserve">Figure </w:t>
      </w:r>
      <w:fldSimple w:instr=" SEQ Figure \* ARABIC ">
        <w:r w:rsidR="00757BBB">
          <w:rPr>
            <w:noProof/>
          </w:rPr>
          <w:t>9</w:t>
        </w:r>
      </w:fldSimple>
      <w:r>
        <w:t xml:space="preserve">: </w:t>
      </w:r>
      <w:r w:rsidRPr="00697672">
        <w:t>Inventory Turnover</w:t>
      </w:r>
      <w:bookmarkEnd w:id="22"/>
    </w:p>
    <w:p w14:paraId="3F33FDFC" w14:textId="5A5E9B82" w:rsidR="009335AF" w:rsidRPr="009335AF" w:rsidRDefault="00495F57" w:rsidP="009335AF">
      <w:r w:rsidRPr="00495F57">
        <w:t xml:space="preserve">The inventory turnover was also high in 2021, as it was only 8.16, having been 6.51 in 2020, indicating effective management of inventory and excellent sales performance. The next decrease to 6.26 in 2024, however, indicates decreased inventory turnover, which could be because of demand </w:t>
      </w:r>
      <w:proofErr w:type="spellStart"/>
      <w:r w:rsidRPr="00495F57">
        <w:t>stabilisation</w:t>
      </w:r>
      <w:proofErr w:type="spellEnd"/>
      <w:r w:rsidRPr="00495F57">
        <w:t xml:space="preserve"> or changes in production. Effective inventory operations are very important to lower the holding cost and enhance profitability (</w:t>
      </w:r>
      <w:proofErr w:type="spellStart"/>
      <w:r w:rsidRPr="00495F57">
        <w:t>Rezaeinavaei</w:t>
      </w:r>
      <w:proofErr w:type="spellEnd"/>
      <w:r w:rsidRPr="00495F57">
        <w:t xml:space="preserve"> et al., 2025).</w:t>
      </w:r>
    </w:p>
    <w:p w14:paraId="45301A6A" w14:textId="51E1A3A7" w:rsidR="00416FD6" w:rsidRDefault="00416FD6" w:rsidP="00416FD6">
      <w:pPr>
        <w:pStyle w:val="Heading3"/>
      </w:pPr>
      <w:bookmarkStart w:id="23" w:name="_Toc227659647"/>
      <w:r>
        <w:lastRenderedPageBreak/>
        <w:t>1.5.2 Receivables Collection Period</w:t>
      </w:r>
      <w:bookmarkEnd w:id="23"/>
    </w:p>
    <w:p w14:paraId="380FF8EC" w14:textId="0C5AD286" w:rsidR="00503700" w:rsidRDefault="00503700" w:rsidP="00503700">
      <w:pPr>
        <w:jc w:val="center"/>
      </w:pPr>
      <w:r>
        <w:rPr>
          <w:noProof/>
        </w:rPr>
        <w:drawing>
          <wp:inline distT="0" distB="0" distL="0" distR="0" wp14:anchorId="134B10A9" wp14:editId="56038031">
            <wp:extent cx="4410075" cy="2628900"/>
            <wp:effectExtent l="0" t="0" r="9525" b="0"/>
            <wp:docPr id="54922945" name="Chart 1">
              <a:extLst xmlns:a="http://schemas.openxmlformats.org/drawingml/2006/main">
                <a:ext uri="{FF2B5EF4-FFF2-40B4-BE49-F238E27FC236}">
                  <a16:creationId xmlns:a16="http://schemas.microsoft.com/office/drawing/2014/main" id="{8DF3994D-F5F1-2B62-69FD-3047ADF011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1A55789" w14:textId="2BA6E2CB" w:rsidR="003C359E" w:rsidRDefault="003C359E" w:rsidP="003C359E">
      <w:pPr>
        <w:pStyle w:val="Caption"/>
      </w:pPr>
      <w:bookmarkStart w:id="24" w:name="_Toc227659588"/>
      <w:r>
        <w:t xml:space="preserve">Figure </w:t>
      </w:r>
      <w:fldSimple w:instr=" SEQ Figure \* ARABIC ">
        <w:r w:rsidR="00757BBB">
          <w:rPr>
            <w:noProof/>
          </w:rPr>
          <w:t>10</w:t>
        </w:r>
      </w:fldSimple>
      <w:r>
        <w:t xml:space="preserve">: </w:t>
      </w:r>
      <w:r w:rsidRPr="00AC4B2B">
        <w:t>Receivables Collection Period</w:t>
      </w:r>
      <w:bookmarkEnd w:id="24"/>
    </w:p>
    <w:p w14:paraId="39CEA0C2" w14:textId="3113BC6A" w:rsidR="003C359E" w:rsidRDefault="00CB7F23" w:rsidP="003C359E">
      <w:r w:rsidRPr="00CB7F23">
        <w:t>Receivables collection period has also declined substantially to about 13 days in 2021</w:t>
      </w:r>
      <w:r w:rsidR="00174E51">
        <w:t>-</w:t>
      </w:r>
      <w:r w:rsidRPr="00CB7F23">
        <w:t xml:space="preserve">2023 compared to 22 days in 2020, which implies better control over credit and expedited cash collection. But the trend toward 17 days in 2024 indicates that there is a slight deterioration in the receivables management. Efficiency in the receivables management is vital to sustaining the liquidity and </w:t>
      </w:r>
      <w:proofErr w:type="gramStart"/>
      <w:r w:rsidRPr="00CB7F23">
        <w:t>reduce</w:t>
      </w:r>
      <w:proofErr w:type="gramEnd"/>
      <w:r w:rsidRPr="00CB7F23">
        <w:t xml:space="preserve"> credit risk (Gao, 2025).</w:t>
      </w:r>
    </w:p>
    <w:p w14:paraId="7A52702C" w14:textId="77777777" w:rsidR="00661B65" w:rsidRPr="003C359E" w:rsidRDefault="00661B65" w:rsidP="003C359E"/>
    <w:p w14:paraId="40197C52" w14:textId="77777777" w:rsidR="00416FD6" w:rsidRDefault="00416FD6" w:rsidP="00416FD6">
      <w:pPr>
        <w:pStyle w:val="Heading3"/>
      </w:pPr>
      <w:bookmarkStart w:id="25" w:name="_Toc227659648"/>
      <w:r>
        <w:t>1.5.3 Payables Payment Period</w:t>
      </w:r>
      <w:bookmarkEnd w:id="25"/>
    </w:p>
    <w:p w14:paraId="33BAD012" w14:textId="545D598A" w:rsidR="00503700" w:rsidRDefault="00503700" w:rsidP="00503700">
      <w:pPr>
        <w:jc w:val="center"/>
      </w:pPr>
      <w:r>
        <w:rPr>
          <w:noProof/>
        </w:rPr>
        <w:drawing>
          <wp:inline distT="0" distB="0" distL="0" distR="0" wp14:anchorId="1C40E045" wp14:editId="7FE8886F">
            <wp:extent cx="4572000" cy="2743200"/>
            <wp:effectExtent l="0" t="0" r="0" b="0"/>
            <wp:docPr id="1646332806" name="Chart 1">
              <a:extLst xmlns:a="http://schemas.openxmlformats.org/drawingml/2006/main">
                <a:ext uri="{FF2B5EF4-FFF2-40B4-BE49-F238E27FC236}">
                  <a16:creationId xmlns:a16="http://schemas.microsoft.com/office/drawing/2014/main" id="{55F6AE90-B68C-6059-C12A-95042D6F57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AACD750" w14:textId="58125682" w:rsidR="00661B65" w:rsidRDefault="00661B65" w:rsidP="00661B65">
      <w:pPr>
        <w:pStyle w:val="Caption"/>
      </w:pPr>
      <w:bookmarkStart w:id="26" w:name="_Toc227659589"/>
      <w:r>
        <w:lastRenderedPageBreak/>
        <w:t xml:space="preserve">Figure </w:t>
      </w:r>
      <w:fldSimple w:instr=" SEQ Figure \* ARABIC ">
        <w:r w:rsidR="00757BBB">
          <w:rPr>
            <w:noProof/>
          </w:rPr>
          <w:t>11</w:t>
        </w:r>
      </w:fldSimple>
      <w:r>
        <w:t xml:space="preserve">: </w:t>
      </w:r>
      <w:r w:rsidRPr="00CE60F3">
        <w:t>Payables Payment Period</w:t>
      </w:r>
      <w:bookmarkEnd w:id="26"/>
    </w:p>
    <w:p w14:paraId="4BD49F62" w14:textId="50426BAC" w:rsidR="00661B65" w:rsidRPr="00661B65" w:rsidRDefault="003D7D9D" w:rsidP="00661B65">
      <w:r w:rsidRPr="003D7D9D">
        <w:t>The payables payment period declined from 89–92 days in 2020–2022 to 57 days in 2024, indicating that Tesla is paying suppliers more quickly. Although this can enhance relationships with their suppliers, it impairs the advantageous aspect of trade credit and can affect liquidity. A balance of payables and receivables is essential to effectively manage the working capital (Ali et al., 2025).</w:t>
      </w:r>
    </w:p>
    <w:p w14:paraId="28D9CB43" w14:textId="77777777" w:rsidR="00503700" w:rsidRPr="00503700" w:rsidRDefault="00503700" w:rsidP="00503700">
      <w:pPr>
        <w:jc w:val="center"/>
      </w:pPr>
    </w:p>
    <w:p w14:paraId="71F35A53" w14:textId="511224C5" w:rsidR="00416FD6" w:rsidRDefault="00416FD6" w:rsidP="00416FD6">
      <w:pPr>
        <w:pStyle w:val="Heading3"/>
      </w:pPr>
      <w:bookmarkStart w:id="27" w:name="_Toc227659649"/>
      <w:r>
        <w:t>1.5.4 Total Asset Turnover</w:t>
      </w:r>
      <w:bookmarkEnd w:id="27"/>
    </w:p>
    <w:p w14:paraId="2AD4109E" w14:textId="4AA877D5" w:rsidR="00503700" w:rsidRPr="00503700" w:rsidRDefault="00503700" w:rsidP="00503700">
      <w:pPr>
        <w:jc w:val="center"/>
      </w:pPr>
      <w:r>
        <w:rPr>
          <w:noProof/>
        </w:rPr>
        <w:drawing>
          <wp:inline distT="0" distB="0" distL="0" distR="0" wp14:anchorId="3C09FE58" wp14:editId="7949FF69">
            <wp:extent cx="4914900" cy="3657600"/>
            <wp:effectExtent l="0" t="0" r="0" b="0"/>
            <wp:docPr id="1683269715" name="Chart 1">
              <a:extLst xmlns:a="http://schemas.openxmlformats.org/drawingml/2006/main">
                <a:ext uri="{FF2B5EF4-FFF2-40B4-BE49-F238E27FC236}">
                  <a16:creationId xmlns:a16="http://schemas.microsoft.com/office/drawing/2014/main" id="{DBB50AE5-071D-F285-05D0-956910CA7C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FDD0FB3" w14:textId="37CCED75" w:rsidR="00416FD6" w:rsidRDefault="00DF3EC4" w:rsidP="00DF3EC4">
      <w:pPr>
        <w:pStyle w:val="Caption"/>
      </w:pPr>
      <w:bookmarkStart w:id="28" w:name="_Toc227659590"/>
      <w:r>
        <w:t xml:space="preserve">Figure </w:t>
      </w:r>
      <w:fldSimple w:instr=" SEQ Figure \* ARABIC ">
        <w:r w:rsidR="00757BBB">
          <w:rPr>
            <w:noProof/>
          </w:rPr>
          <w:t>12</w:t>
        </w:r>
      </w:fldSimple>
      <w:r>
        <w:t xml:space="preserve">: </w:t>
      </w:r>
      <w:r w:rsidRPr="00867EF9">
        <w:t>Total Asset Turnover</w:t>
      </w:r>
      <w:bookmarkEnd w:id="28"/>
    </w:p>
    <w:p w14:paraId="28F23051" w14:textId="17DF0B97" w:rsidR="00DF3EC4" w:rsidRDefault="008024C7" w:rsidP="00DF3EC4">
      <w:r w:rsidRPr="008024C7">
        <w:t xml:space="preserve">The asset turnover was at 0.60 in 2020 and at 0.99 in 2022, showing that the company is becoming efficient in utilizing its assets to earn revenues. But its drop to 0.80 in 2024 indicates that the growth in assets is gaining on the increase in revenue. This leaves a possible weakness in the </w:t>
      </w:r>
      <w:proofErr w:type="spellStart"/>
      <w:r w:rsidRPr="008024C7">
        <w:t>utilisation</w:t>
      </w:r>
      <w:proofErr w:type="spellEnd"/>
      <w:r w:rsidRPr="008024C7">
        <w:t xml:space="preserve"> of assets in the later period (</w:t>
      </w:r>
      <w:proofErr w:type="spellStart"/>
      <w:r w:rsidRPr="008024C7">
        <w:t>Eldomiaty</w:t>
      </w:r>
      <w:proofErr w:type="spellEnd"/>
      <w:r w:rsidRPr="008024C7">
        <w:t xml:space="preserve"> et al., 2023).</w:t>
      </w:r>
    </w:p>
    <w:p w14:paraId="679B9268" w14:textId="77777777" w:rsidR="008F7A42" w:rsidRPr="00DF3EC4" w:rsidRDefault="008F7A42" w:rsidP="00DF3EC4"/>
    <w:p w14:paraId="7EB00F14" w14:textId="77777777" w:rsidR="00416FD6" w:rsidRDefault="00416FD6" w:rsidP="00416FD6">
      <w:pPr>
        <w:pStyle w:val="Heading2"/>
      </w:pPr>
      <w:bookmarkStart w:id="29" w:name="_Toc227659650"/>
      <w:r>
        <w:lastRenderedPageBreak/>
        <w:t>1.6 Gearing (Leverage) Ratios</w:t>
      </w:r>
      <w:bookmarkEnd w:id="29"/>
    </w:p>
    <w:p w14:paraId="433F764A" w14:textId="2CC33F11" w:rsidR="00416FD6" w:rsidRDefault="00416FD6" w:rsidP="00416FD6">
      <w:pPr>
        <w:pStyle w:val="Heading3"/>
      </w:pPr>
      <w:bookmarkStart w:id="30" w:name="_Toc227659651"/>
      <w:r>
        <w:t>1.6.1 Debt to Equity Ratio</w:t>
      </w:r>
      <w:bookmarkEnd w:id="30"/>
    </w:p>
    <w:p w14:paraId="1312B823" w14:textId="6E238438" w:rsidR="00503700" w:rsidRDefault="00503700" w:rsidP="00503700">
      <w:pPr>
        <w:jc w:val="center"/>
      </w:pPr>
      <w:r>
        <w:rPr>
          <w:noProof/>
        </w:rPr>
        <w:drawing>
          <wp:inline distT="0" distB="0" distL="0" distR="0" wp14:anchorId="63944E5B" wp14:editId="28723BBA">
            <wp:extent cx="4105275" cy="2457450"/>
            <wp:effectExtent l="0" t="0" r="9525" b="0"/>
            <wp:docPr id="1701263571" name="Chart 1">
              <a:extLst xmlns:a="http://schemas.openxmlformats.org/drawingml/2006/main">
                <a:ext uri="{FF2B5EF4-FFF2-40B4-BE49-F238E27FC236}">
                  <a16:creationId xmlns:a16="http://schemas.microsoft.com/office/drawing/2014/main" id="{3FFA4D90-DDC4-1A99-4691-DD8DD9EDCE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666260" w14:textId="26C83FE1" w:rsidR="008F7A42" w:rsidRDefault="008F7A42" w:rsidP="008F7A42">
      <w:pPr>
        <w:pStyle w:val="Caption"/>
      </w:pPr>
      <w:bookmarkStart w:id="31" w:name="_Toc227659591"/>
      <w:r>
        <w:t xml:space="preserve">Figure </w:t>
      </w:r>
      <w:fldSimple w:instr=" SEQ Figure \* ARABIC ">
        <w:r w:rsidR="00757BBB">
          <w:rPr>
            <w:noProof/>
          </w:rPr>
          <w:t>13</w:t>
        </w:r>
      </w:fldSimple>
      <w:r>
        <w:t xml:space="preserve">: </w:t>
      </w:r>
      <w:r w:rsidRPr="002C0046">
        <w:t>Debt to Equity Ratio</w:t>
      </w:r>
      <w:bookmarkEnd w:id="31"/>
    </w:p>
    <w:p w14:paraId="7809B5D3" w14:textId="00F47586" w:rsidR="008F7A42" w:rsidRDefault="00B248CB" w:rsidP="008F7A42">
      <w:r w:rsidRPr="00B248CB">
        <w:t>The debt/equity discount decreased considerably between 1.28 in 2020 and 0.66 in 2024, which shows a decrease in the dependence on debt financing and increasing equity base. This implies greater financial stability and reduced financial risk, which is especially pertinent to high capital-intensive companies such as Tesla (</w:t>
      </w:r>
      <w:proofErr w:type="spellStart"/>
      <w:r w:rsidRPr="00B248CB">
        <w:t>Alinezhadjahromi</w:t>
      </w:r>
      <w:proofErr w:type="spellEnd"/>
      <w:r w:rsidRPr="00B248CB">
        <w:t xml:space="preserve"> et al., 2026).</w:t>
      </w:r>
    </w:p>
    <w:p w14:paraId="7BEB2B9F" w14:textId="77777777" w:rsidR="00EA01D5" w:rsidRPr="008F7A42" w:rsidRDefault="00EA01D5" w:rsidP="008F7A42"/>
    <w:p w14:paraId="74A9D0D1" w14:textId="59572A85" w:rsidR="00416FD6" w:rsidRDefault="00416FD6" w:rsidP="00416FD6">
      <w:pPr>
        <w:pStyle w:val="Heading3"/>
      </w:pPr>
      <w:bookmarkStart w:id="32" w:name="_Toc227659652"/>
      <w:r>
        <w:t>1.6.2 Interest Coverage Ratio</w:t>
      </w:r>
      <w:bookmarkEnd w:id="32"/>
    </w:p>
    <w:p w14:paraId="50BCF62D" w14:textId="4C49FDB7" w:rsidR="00503700" w:rsidRDefault="00503700" w:rsidP="00503700">
      <w:pPr>
        <w:jc w:val="center"/>
      </w:pPr>
      <w:r>
        <w:rPr>
          <w:noProof/>
        </w:rPr>
        <w:drawing>
          <wp:inline distT="0" distB="0" distL="0" distR="0" wp14:anchorId="4D972BCC" wp14:editId="719475D0">
            <wp:extent cx="4229100" cy="2343150"/>
            <wp:effectExtent l="0" t="0" r="0" b="0"/>
            <wp:docPr id="391263880" name="Chart 1">
              <a:extLst xmlns:a="http://schemas.openxmlformats.org/drawingml/2006/main">
                <a:ext uri="{FF2B5EF4-FFF2-40B4-BE49-F238E27FC236}">
                  <a16:creationId xmlns:a16="http://schemas.microsoft.com/office/drawing/2014/main" id="{90508744-6903-09F7-7C6D-1593E9569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81C0027" w14:textId="5320D41C" w:rsidR="00EA01D5" w:rsidRDefault="00EA01D5" w:rsidP="00EA01D5">
      <w:pPr>
        <w:pStyle w:val="Caption"/>
      </w:pPr>
      <w:bookmarkStart w:id="33" w:name="_Toc227659592"/>
      <w:r>
        <w:lastRenderedPageBreak/>
        <w:t xml:space="preserve">Figure </w:t>
      </w:r>
      <w:fldSimple w:instr=" SEQ Figure \* ARABIC ">
        <w:r w:rsidR="00757BBB">
          <w:rPr>
            <w:noProof/>
          </w:rPr>
          <w:t>14</w:t>
        </w:r>
      </w:fldSimple>
      <w:r>
        <w:t xml:space="preserve">: </w:t>
      </w:r>
      <w:r w:rsidRPr="00C96D2C">
        <w:t>Interest Coverage Ratio</w:t>
      </w:r>
      <w:bookmarkEnd w:id="33"/>
    </w:p>
    <w:p w14:paraId="0373020D" w14:textId="0101C327" w:rsidR="00A47AD6" w:rsidRPr="00A47AD6" w:rsidRDefault="00C8768A" w:rsidP="00A47AD6">
      <w:r w:rsidRPr="00C8768A">
        <w:t xml:space="preserve">Interest coverage ratio rose strongly; in 2020, it was 2.67 whereas it rose to 71.50 in 2022 hence depicting a good capacity </w:t>
      </w:r>
      <w:proofErr w:type="gramStart"/>
      <w:r w:rsidRPr="00C8768A">
        <w:t>of</w:t>
      </w:r>
      <w:proofErr w:type="gramEnd"/>
      <w:r w:rsidRPr="00C8768A">
        <w:t xml:space="preserve"> covering the interest. Even though it dropped to 20.22 in 2024, it is at a healthy level which means that Tesla has enough earnings to meet its </w:t>
      </w:r>
      <w:proofErr w:type="gramStart"/>
      <w:r w:rsidRPr="00C8768A">
        <w:t>interests</w:t>
      </w:r>
      <w:proofErr w:type="gramEnd"/>
      <w:r w:rsidRPr="00C8768A">
        <w:t xml:space="preserve"> payments. Superiority in the interest coverage is an indicator of financial soundness (Aldo, 2022).</w:t>
      </w:r>
    </w:p>
    <w:p w14:paraId="31BCDD42" w14:textId="77777777" w:rsidR="00416FD6" w:rsidRDefault="00416FD6" w:rsidP="00416FD6"/>
    <w:p w14:paraId="35810638" w14:textId="77777777" w:rsidR="00416FD6" w:rsidRDefault="00416FD6" w:rsidP="00416FD6">
      <w:pPr>
        <w:pStyle w:val="Heading2"/>
      </w:pPr>
      <w:bookmarkStart w:id="34" w:name="_Toc227659653"/>
      <w:r>
        <w:t>1.7 Investment Ratios</w:t>
      </w:r>
      <w:bookmarkEnd w:id="34"/>
    </w:p>
    <w:p w14:paraId="31D852A2" w14:textId="000704C4" w:rsidR="00416FD6" w:rsidRDefault="00416FD6" w:rsidP="00416FD6">
      <w:pPr>
        <w:pStyle w:val="Heading3"/>
      </w:pPr>
      <w:bookmarkStart w:id="35" w:name="_Toc227659654"/>
      <w:r>
        <w:t>1.7.1 Earnings per Share (EPS)</w:t>
      </w:r>
      <w:bookmarkEnd w:id="35"/>
    </w:p>
    <w:p w14:paraId="07B7753F" w14:textId="6BB6F278" w:rsidR="00503700" w:rsidRDefault="00434A3B" w:rsidP="00434A3B">
      <w:pPr>
        <w:jc w:val="center"/>
      </w:pPr>
      <w:r>
        <w:rPr>
          <w:noProof/>
        </w:rPr>
        <w:drawing>
          <wp:inline distT="0" distB="0" distL="0" distR="0" wp14:anchorId="6480D5C2" wp14:editId="1BD277A3">
            <wp:extent cx="4572000" cy="3133725"/>
            <wp:effectExtent l="0" t="0" r="0" b="9525"/>
            <wp:docPr id="798329221" name="Chart 1">
              <a:extLst xmlns:a="http://schemas.openxmlformats.org/drawingml/2006/main">
                <a:ext uri="{FF2B5EF4-FFF2-40B4-BE49-F238E27FC236}">
                  <a16:creationId xmlns:a16="http://schemas.microsoft.com/office/drawing/2014/main" id="{932F901B-593B-B429-FE29-915B314791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340FBA6" w14:textId="7CF8ED76" w:rsidR="007F7C16" w:rsidRDefault="007F7C16" w:rsidP="007F7C16">
      <w:pPr>
        <w:pStyle w:val="Caption"/>
      </w:pPr>
      <w:bookmarkStart w:id="36" w:name="_Toc227659593"/>
      <w:r>
        <w:t xml:space="preserve">Figure </w:t>
      </w:r>
      <w:fldSimple w:instr=" SEQ Figure \* ARABIC ">
        <w:r w:rsidR="00757BBB">
          <w:rPr>
            <w:noProof/>
          </w:rPr>
          <w:t>15</w:t>
        </w:r>
      </w:fldSimple>
      <w:r>
        <w:t xml:space="preserve">: </w:t>
      </w:r>
      <w:r w:rsidRPr="00EB3F98">
        <w:t>Earnings per Share (EPS)</w:t>
      </w:r>
      <w:bookmarkEnd w:id="36"/>
    </w:p>
    <w:p w14:paraId="68D2E1D8" w14:textId="5E222053" w:rsidR="007F7C16" w:rsidRDefault="006F216B" w:rsidP="007F7C16">
      <w:r w:rsidRPr="006F216B">
        <w:t xml:space="preserve">The earnings per share (EPS) ratio </w:t>
      </w:r>
      <w:proofErr w:type="gramStart"/>
      <w:r w:rsidRPr="006F216B">
        <w:t>has</w:t>
      </w:r>
      <w:proofErr w:type="gramEnd"/>
      <w:r w:rsidRPr="006F216B">
        <w:t xml:space="preserve"> a high growth of 4.73 in 2023 compared to the 2020 rate of $0.25, indicating a good growth of earnings and profitability. Nevertheless, the drop to 2.23 in 2024 shows a low earnings performance, which will impact on investor confidence. EPS is an important measure of shareholder returns and company performance (Li, 2025).</w:t>
      </w:r>
    </w:p>
    <w:p w14:paraId="269E16FC" w14:textId="77777777" w:rsidR="0002768F" w:rsidRPr="007F7C16" w:rsidRDefault="0002768F" w:rsidP="007F7C16"/>
    <w:p w14:paraId="52E6E4D8" w14:textId="284E7B84" w:rsidR="00416FD6" w:rsidRDefault="00416FD6" w:rsidP="00416FD6">
      <w:pPr>
        <w:pStyle w:val="Heading3"/>
      </w:pPr>
      <w:bookmarkStart w:id="37" w:name="_Toc227659655"/>
      <w:r>
        <w:lastRenderedPageBreak/>
        <w:t>1.7.2 Price/Earnings Ratio (P/E)</w:t>
      </w:r>
      <w:bookmarkEnd w:id="37"/>
    </w:p>
    <w:p w14:paraId="7EE6240E" w14:textId="21B7C858" w:rsidR="00416FD6" w:rsidRDefault="007705C2" w:rsidP="007705C2">
      <w:pPr>
        <w:jc w:val="center"/>
      </w:pPr>
      <w:r>
        <w:rPr>
          <w:noProof/>
        </w:rPr>
        <w:drawing>
          <wp:inline distT="0" distB="0" distL="0" distR="0" wp14:anchorId="228D9F14" wp14:editId="55F48AF0">
            <wp:extent cx="4324350" cy="2400300"/>
            <wp:effectExtent l="0" t="0" r="0" b="0"/>
            <wp:docPr id="444719284" name="Chart 1">
              <a:extLst xmlns:a="http://schemas.openxmlformats.org/drawingml/2006/main">
                <a:ext uri="{FF2B5EF4-FFF2-40B4-BE49-F238E27FC236}">
                  <a16:creationId xmlns:a16="http://schemas.microsoft.com/office/drawing/2014/main" id="{CA611992-85AC-5233-8CF5-E70CB0D186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0605FE6" w14:textId="28A3946D" w:rsidR="007705C2" w:rsidRDefault="0002768F" w:rsidP="0002768F">
      <w:pPr>
        <w:pStyle w:val="Caption"/>
      </w:pPr>
      <w:bookmarkStart w:id="38" w:name="_Toc227659594"/>
      <w:r>
        <w:t xml:space="preserve">Figure </w:t>
      </w:r>
      <w:fldSimple w:instr=" SEQ Figure \* ARABIC ">
        <w:r w:rsidR="00757BBB">
          <w:rPr>
            <w:noProof/>
          </w:rPr>
          <w:t>16</w:t>
        </w:r>
      </w:fldSimple>
      <w:r>
        <w:t xml:space="preserve">: </w:t>
      </w:r>
      <w:r w:rsidRPr="00F86E24">
        <w:t>Price/Earnings Ratio (P/E)</w:t>
      </w:r>
      <w:bookmarkEnd w:id="38"/>
    </w:p>
    <w:p w14:paraId="4A92572A" w14:textId="6349DF16" w:rsidR="0002768F" w:rsidRDefault="009E5071" w:rsidP="0002768F">
      <w:r w:rsidRPr="009E5071">
        <w:t>Price to earnings (P/E) ratio is hyper volatile as it has fallen tremendously in 2020 with extremely high values but then the same has dropped to more reasonable levels in later years. This implies that there were very high expectations in the market at the beginning, but they were later revised as growth leveled off. P/E ratios indicate the attitude of investors and the potential to grow (Gibran et al., 2025).</w:t>
      </w:r>
    </w:p>
    <w:p w14:paraId="60EA8FBA" w14:textId="77777777" w:rsidR="00C76271" w:rsidRPr="0002768F" w:rsidRDefault="00C76271" w:rsidP="0002768F"/>
    <w:p w14:paraId="5E023B60" w14:textId="77777777" w:rsidR="00416FD6" w:rsidRDefault="00416FD6" w:rsidP="00416FD6">
      <w:pPr>
        <w:pStyle w:val="Heading2"/>
      </w:pPr>
      <w:bookmarkStart w:id="39" w:name="_Toc227659656"/>
      <w:r>
        <w:t>1.8 Cash Flow Analysis</w:t>
      </w:r>
      <w:bookmarkEnd w:id="39"/>
    </w:p>
    <w:p w14:paraId="16ACA952" w14:textId="65E54627" w:rsidR="00416FD6" w:rsidRDefault="00416FD6" w:rsidP="00416FD6">
      <w:pPr>
        <w:pStyle w:val="Heading3"/>
      </w:pPr>
      <w:bookmarkStart w:id="40" w:name="_Toc227659657"/>
      <w:r>
        <w:t>1.8.1 Operating Cash Flow</w:t>
      </w:r>
      <w:bookmarkEnd w:id="40"/>
    </w:p>
    <w:p w14:paraId="466E200C" w14:textId="43ACD373" w:rsidR="00EE73C5" w:rsidRDefault="00EE73C5" w:rsidP="00EE73C5">
      <w:pPr>
        <w:jc w:val="center"/>
      </w:pPr>
      <w:r>
        <w:rPr>
          <w:noProof/>
        </w:rPr>
        <w:drawing>
          <wp:inline distT="0" distB="0" distL="0" distR="0" wp14:anchorId="5838AD2E" wp14:editId="2D2F1A90">
            <wp:extent cx="4086225" cy="2543175"/>
            <wp:effectExtent l="0" t="0" r="9525" b="9525"/>
            <wp:docPr id="1657374039" name="Chart 1">
              <a:extLst xmlns:a="http://schemas.openxmlformats.org/drawingml/2006/main">
                <a:ext uri="{FF2B5EF4-FFF2-40B4-BE49-F238E27FC236}">
                  <a16:creationId xmlns:a16="http://schemas.microsoft.com/office/drawing/2014/main" id="{5947B4DB-2FC1-2F50-324A-FC476A62FE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19D611F" w14:textId="1656CF55" w:rsidR="00E86853" w:rsidRDefault="00E86853" w:rsidP="00E86853">
      <w:pPr>
        <w:pStyle w:val="Caption"/>
      </w:pPr>
      <w:bookmarkStart w:id="41" w:name="_Toc227659595"/>
      <w:r>
        <w:lastRenderedPageBreak/>
        <w:t xml:space="preserve">Figure </w:t>
      </w:r>
      <w:fldSimple w:instr=" SEQ Figure \* ARABIC ">
        <w:r w:rsidR="00757BBB">
          <w:rPr>
            <w:noProof/>
          </w:rPr>
          <w:t>17</w:t>
        </w:r>
      </w:fldSimple>
      <w:r>
        <w:t xml:space="preserve">: </w:t>
      </w:r>
      <w:r w:rsidRPr="006D242B">
        <w:t>Operating Cash Flow</w:t>
      </w:r>
      <w:bookmarkEnd w:id="41"/>
    </w:p>
    <w:p w14:paraId="16C0D38C" w14:textId="192DB2FA" w:rsidR="00E86853" w:rsidRDefault="00605BB5" w:rsidP="00E86853">
      <w:r w:rsidRPr="00605BB5">
        <w:t>The cash flow rose considerably, as operating cash flow turned out to be 5,943 million in 2020 and 14,724 million in 2022, which means that the company operate effectively and generates money. The 2023</w:t>
      </w:r>
      <w:r>
        <w:t>-</w:t>
      </w:r>
      <w:r w:rsidRPr="00605BB5">
        <w:t xml:space="preserve">2024 </w:t>
      </w:r>
      <w:proofErr w:type="spellStart"/>
      <w:r w:rsidRPr="00605BB5">
        <w:t>stabilisation</w:t>
      </w:r>
      <w:proofErr w:type="spellEnd"/>
      <w:r w:rsidRPr="00605BB5">
        <w:t xml:space="preserve"> indicates stable operation efficiency amid decreasing profitability rates. A cash flow operating strongly is critical in keeping a business running (Campos et al., 2026).</w:t>
      </w:r>
    </w:p>
    <w:p w14:paraId="343961D7" w14:textId="77777777" w:rsidR="009E5071" w:rsidRPr="00E86853" w:rsidRDefault="009E5071" w:rsidP="00E86853"/>
    <w:p w14:paraId="78E8614A" w14:textId="27C12D6C" w:rsidR="00416FD6" w:rsidRDefault="00416FD6" w:rsidP="00416FD6">
      <w:pPr>
        <w:pStyle w:val="Heading3"/>
      </w:pPr>
      <w:bookmarkStart w:id="42" w:name="_Toc227659658"/>
      <w:r>
        <w:t>1.8.2 Free Cash Flow</w:t>
      </w:r>
      <w:bookmarkEnd w:id="42"/>
    </w:p>
    <w:p w14:paraId="563BB3E3" w14:textId="386F1F8A" w:rsidR="00EE73C5" w:rsidRDefault="00EE73C5" w:rsidP="00EE73C5">
      <w:pPr>
        <w:jc w:val="center"/>
      </w:pPr>
      <w:r>
        <w:rPr>
          <w:noProof/>
        </w:rPr>
        <w:drawing>
          <wp:inline distT="0" distB="0" distL="0" distR="0" wp14:anchorId="1A19C069" wp14:editId="22B3804C">
            <wp:extent cx="4572000" cy="3505200"/>
            <wp:effectExtent l="0" t="0" r="0" b="0"/>
            <wp:docPr id="962003420" name="Chart 1">
              <a:extLst xmlns:a="http://schemas.openxmlformats.org/drawingml/2006/main">
                <a:ext uri="{FF2B5EF4-FFF2-40B4-BE49-F238E27FC236}">
                  <a16:creationId xmlns:a16="http://schemas.microsoft.com/office/drawing/2014/main" id="{22CF2E93-84E9-D625-A7EE-7C7FCFDFE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C31A429" w14:textId="4354ACF8" w:rsidR="002F58B7" w:rsidRDefault="002F58B7" w:rsidP="002F58B7">
      <w:pPr>
        <w:pStyle w:val="Caption"/>
      </w:pPr>
      <w:bookmarkStart w:id="43" w:name="_Toc227659596"/>
      <w:r>
        <w:t xml:space="preserve">Figure </w:t>
      </w:r>
      <w:fldSimple w:instr=" SEQ Figure \* ARABIC ">
        <w:r w:rsidR="00757BBB">
          <w:rPr>
            <w:noProof/>
          </w:rPr>
          <w:t>18</w:t>
        </w:r>
      </w:fldSimple>
      <w:r>
        <w:t xml:space="preserve">: </w:t>
      </w:r>
      <w:r w:rsidRPr="004747D5">
        <w:t>Free Cash Flow</w:t>
      </w:r>
      <w:bookmarkEnd w:id="43"/>
    </w:p>
    <w:p w14:paraId="3512784D" w14:textId="2ABE1481" w:rsidR="002F58B7" w:rsidRDefault="00350584" w:rsidP="002F58B7">
      <w:r w:rsidRPr="00350584">
        <w:t xml:space="preserve">There was an upsurge in free cash flow to a peak in 2022 and a subsequent drop and </w:t>
      </w:r>
      <w:proofErr w:type="spellStart"/>
      <w:r w:rsidRPr="00350584">
        <w:t>stabilisation</w:t>
      </w:r>
      <w:proofErr w:type="spellEnd"/>
      <w:r w:rsidRPr="00350584">
        <w:t xml:space="preserve"> of the cash flow </w:t>
      </w:r>
      <w:proofErr w:type="gramStart"/>
      <w:r w:rsidRPr="00350584">
        <w:t>as a result of</w:t>
      </w:r>
      <w:proofErr w:type="gramEnd"/>
      <w:r w:rsidRPr="00350584">
        <w:t xml:space="preserve"> high investment activities and capital expenditure. This shows that Tesla has a continued investment </w:t>
      </w:r>
      <w:proofErr w:type="gramStart"/>
      <w:r w:rsidRPr="00350584">
        <w:t>on</w:t>
      </w:r>
      <w:proofErr w:type="gramEnd"/>
      <w:r w:rsidRPr="00350584">
        <w:t xml:space="preserve"> growth and positive cash </w:t>
      </w:r>
      <w:proofErr w:type="gramStart"/>
      <w:r w:rsidRPr="00350584">
        <w:t>flows</w:t>
      </w:r>
      <w:proofErr w:type="gramEnd"/>
      <w:r w:rsidRPr="00350584">
        <w:t>. Cash management is a strong aspect that facilitates sustainability in the long run (</w:t>
      </w:r>
      <w:proofErr w:type="spellStart"/>
      <w:r w:rsidRPr="00350584">
        <w:t>Faque</w:t>
      </w:r>
      <w:proofErr w:type="spellEnd"/>
      <w:r w:rsidRPr="00350584">
        <w:t>, 2022).</w:t>
      </w:r>
    </w:p>
    <w:p w14:paraId="42478E59" w14:textId="77777777" w:rsidR="008356C9" w:rsidRPr="002F58B7" w:rsidRDefault="008356C9" w:rsidP="002F58B7"/>
    <w:p w14:paraId="05E93E0F" w14:textId="38F84740" w:rsidR="00416FD6" w:rsidRDefault="00416FD6" w:rsidP="00416FD6">
      <w:pPr>
        <w:pStyle w:val="Heading3"/>
      </w:pPr>
      <w:bookmarkStart w:id="44" w:name="_Toc227659659"/>
      <w:r>
        <w:lastRenderedPageBreak/>
        <w:t>1.8.3 Cash Flow Adequacy</w:t>
      </w:r>
      <w:bookmarkEnd w:id="44"/>
    </w:p>
    <w:p w14:paraId="5FFE87C2" w14:textId="5695AA65" w:rsidR="00416FD6" w:rsidRDefault="00EE73C5" w:rsidP="00EE73C5">
      <w:pPr>
        <w:jc w:val="center"/>
      </w:pPr>
      <w:r>
        <w:rPr>
          <w:noProof/>
        </w:rPr>
        <w:drawing>
          <wp:inline distT="0" distB="0" distL="0" distR="0" wp14:anchorId="46B6C280" wp14:editId="4A42ACA8">
            <wp:extent cx="3657600" cy="1933575"/>
            <wp:effectExtent l="0" t="0" r="0" b="9525"/>
            <wp:docPr id="1724397533" name="Chart 1">
              <a:extLst xmlns:a="http://schemas.openxmlformats.org/drawingml/2006/main">
                <a:ext uri="{FF2B5EF4-FFF2-40B4-BE49-F238E27FC236}">
                  <a16:creationId xmlns:a16="http://schemas.microsoft.com/office/drawing/2014/main" id="{180DE5DF-5F44-A37E-9F81-75E5A544C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9B96156" w14:textId="675E7B57" w:rsidR="008356C9" w:rsidRDefault="008356C9" w:rsidP="008356C9">
      <w:pPr>
        <w:pStyle w:val="Caption"/>
      </w:pPr>
      <w:bookmarkStart w:id="45" w:name="_Toc227659597"/>
      <w:r>
        <w:t xml:space="preserve">Figure </w:t>
      </w:r>
      <w:fldSimple w:instr=" SEQ Figure \* ARABIC ">
        <w:r w:rsidR="00757BBB">
          <w:rPr>
            <w:noProof/>
          </w:rPr>
          <w:t>19</w:t>
        </w:r>
      </w:fldSimple>
      <w:r>
        <w:t xml:space="preserve">: </w:t>
      </w:r>
      <w:r w:rsidRPr="006C0502">
        <w:t>Cash Flow Adequacy</w:t>
      </w:r>
      <w:bookmarkEnd w:id="45"/>
    </w:p>
    <w:p w14:paraId="14855DA5" w14:textId="2CBE7E48" w:rsidR="008356C9" w:rsidRPr="008356C9" w:rsidRDefault="007F1C7B" w:rsidP="008356C9">
      <w:r w:rsidRPr="007F1C7B">
        <w:t xml:space="preserve">The cash flow adequacy ratio was significant and had exceeded 1 in its entire period meaning that Tesla can generate adequate cash to cater to its financial obligations. The ratio decreased slightly after 2022 and yet, it is indicative of a good cash position. </w:t>
      </w:r>
      <w:r w:rsidR="00732418" w:rsidRPr="007F1C7B">
        <w:t>Sufficient</w:t>
      </w:r>
      <w:r w:rsidRPr="007F1C7B">
        <w:t xml:space="preserve"> cash flow is essential to the sustainability of finances and the future investment (Yanney, 2023).</w:t>
      </w:r>
    </w:p>
    <w:p w14:paraId="76FFD275" w14:textId="77777777" w:rsidR="00EE73C5" w:rsidRDefault="00EE73C5" w:rsidP="00EE73C5">
      <w:pPr>
        <w:jc w:val="center"/>
      </w:pPr>
    </w:p>
    <w:p w14:paraId="7408825F" w14:textId="31F0B3D0" w:rsidR="009E5B93" w:rsidRPr="009E5B93" w:rsidRDefault="00416FD6" w:rsidP="0063205C">
      <w:pPr>
        <w:pStyle w:val="Heading2"/>
      </w:pPr>
      <w:bookmarkStart w:id="46" w:name="_Toc227659660"/>
      <w:r>
        <w:t>1.9 Trend Analysis (5-year comparison)</w:t>
      </w:r>
      <w:bookmarkEnd w:id="46"/>
    </w:p>
    <w:p w14:paraId="75757BA4" w14:textId="3FD9CB9A" w:rsidR="009E5B93" w:rsidRDefault="00732418" w:rsidP="009E5B93">
      <w:r>
        <w:rPr>
          <w:noProof/>
        </w:rPr>
        <w:drawing>
          <wp:inline distT="0" distB="0" distL="0" distR="0" wp14:anchorId="21116E40" wp14:editId="24CF4D6B">
            <wp:extent cx="5901690" cy="3213100"/>
            <wp:effectExtent l="0" t="0" r="3810" b="6350"/>
            <wp:docPr id="910388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01690" cy="3213100"/>
                    </a:xfrm>
                    <a:prstGeom prst="rect">
                      <a:avLst/>
                    </a:prstGeom>
                    <a:noFill/>
                  </pic:spPr>
                </pic:pic>
              </a:graphicData>
            </a:graphic>
          </wp:inline>
        </w:drawing>
      </w:r>
    </w:p>
    <w:p w14:paraId="37EDC39A" w14:textId="3EE7B829" w:rsidR="00454D7A" w:rsidRDefault="00454D7A" w:rsidP="00454D7A">
      <w:pPr>
        <w:pStyle w:val="Caption"/>
      </w:pPr>
      <w:bookmarkStart w:id="47" w:name="_Toc227659598"/>
      <w:r>
        <w:lastRenderedPageBreak/>
        <w:t xml:space="preserve">Figure </w:t>
      </w:r>
      <w:fldSimple w:instr=" SEQ Figure \* ARABIC ">
        <w:r w:rsidR="00757BBB">
          <w:rPr>
            <w:noProof/>
          </w:rPr>
          <w:t>20</w:t>
        </w:r>
      </w:fldSimple>
      <w:r>
        <w:t xml:space="preserve">: </w:t>
      </w:r>
      <w:r w:rsidRPr="00540879">
        <w:t>Trend Analysis (5-year comparison)</w:t>
      </w:r>
      <w:bookmarkEnd w:id="47"/>
    </w:p>
    <w:p w14:paraId="63AC4BD3" w14:textId="449BE9B5" w:rsidR="00454D7A" w:rsidRDefault="00722225" w:rsidP="00454D7A">
      <w:r w:rsidRPr="00722225">
        <w:t xml:space="preserve">This means the shift of </w:t>
      </w:r>
      <w:proofErr w:type="gramStart"/>
      <w:r w:rsidRPr="00722225">
        <w:t>high speed</w:t>
      </w:r>
      <w:proofErr w:type="gramEnd"/>
      <w:r w:rsidRPr="00722225">
        <w:t xml:space="preserve"> growth towards more advanced growth (Tesla, Inc., 2023; Tesla, Inc., 2025; Zheng, 2024).</w:t>
      </w:r>
    </w:p>
    <w:p w14:paraId="394207F3" w14:textId="77777777" w:rsidR="00732418" w:rsidRPr="00454D7A" w:rsidRDefault="00732418" w:rsidP="00454D7A"/>
    <w:p w14:paraId="38315E4F" w14:textId="77777777" w:rsidR="00416FD6" w:rsidRDefault="00416FD6" w:rsidP="00416FD6">
      <w:pPr>
        <w:pStyle w:val="Heading2"/>
      </w:pPr>
      <w:bookmarkStart w:id="48" w:name="_Toc227659661"/>
      <w:r>
        <w:t>1.10 Strengths Identified</w:t>
      </w:r>
      <w:bookmarkEnd w:id="48"/>
    </w:p>
    <w:p w14:paraId="078BEEF0" w14:textId="0F14A3DE" w:rsidR="009E5B93" w:rsidRDefault="00722225" w:rsidP="009E5B93">
      <w:r>
        <w:rPr>
          <w:noProof/>
        </w:rPr>
        <w:drawing>
          <wp:inline distT="0" distB="0" distL="0" distR="0" wp14:anchorId="47DAE699" wp14:editId="3C010B20">
            <wp:extent cx="5974715" cy="5639435"/>
            <wp:effectExtent l="0" t="0" r="6985" b="0"/>
            <wp:docPr id="772636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74715" cy="5639435"/>
                    </a:xfrm>
                    <a:prstGeom prst="rect">
                      <a:avLst/>
                    </a:prstGeom>
                    <a:noFill/>
                  </pic:spPr>
                </pic:pic>
              </a:graphicData>
            </a:graphic>
          </wp:inline>
        </w:drawing>
      </w:r>
    </w:p>
    <w:p w14:paraId="4805AB26" w14:textId="57A6F9D3" w:rsidR="00A62909" w:rsidRDefault="00A62909" w:rsidP="00A62909">
      <w:pPr>
        <w:pStyle w:val="Caption"/>
      </w:pPr>
      <w:bookmarkStart w:id="49" w:name="_Toc227659599"/>
      <w:r>
        <w:t xml:space="preserve">Figure </w:t>
      </w:r>
      <w:fldSimple w:instr=" SEQ Figure \* ARABIC ">
        <w:r w:rsidR="00757BBB">
          <w:rPr>
            <w:noProof/>
          </w:rPr>
          <w:t>21</w:t>
        </w:r>
      </w:fldSimple>
      <w:r>
        <w:t xml:space="preserve">: </w:t>
      </w:r>
      <w:r w:rsidRPr="00B150FA">
        <w:t>Strengths Identified</w:t>
      </w:r>
      <w:bookmarkEnd w:id="49"/>
    </w:p>
    <w:p w14:paraId="41F6B258" w14:textId="77777777" w:rsidR="00A62909" w:rsidRPr="00A62909" w:rsidRDefault="00A62909" w:rsidP="00A62909"/>
    <w:p w14:paraId="732BB192" w14:textId="58FBC860" w:rsidR="00416FD6" w:rsidRPr="00416FD6" w:rsidRDefault="00416FD6" w:rsidP="00416FD6">
      <w:pPr>
        <w:pStyle w:val="Heading2"/>
      </w:pPr>
      <w:bookmarkStart w:id="50" w:name="_Toc227659662"/>
      <w:r>
        <w:lastRenderedPageBreak/>
        <w:t>1.11 Weaknesses / Threats Identified</w:t>
      </w:r>
      <w:bookmarkEnd w:id="50"/>
    </w:p>
    <w:p w14:paraId="3F2EA819" w14:textId="57FDCBDE" w:rsidR="009E5B93" w:rsidRDefault="00722225">
      <w:r>
        <w:rPr>
          <w:noProof/>
        </w:rPr>
        <w:drawing>
          <wp:inline distT="0" distB="0" distL="0" distR="0" wp14:anchorId="6CAAA1B4" wp14:editId="346313DD">
            <wp:extent cx="6017260" cy="3200400"/>
            <wp:effectExtent l="0" t="0" r="0" b="0"/>
            <wp:docPr id="15492542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17260" cy="3200400"/>
                    </a:xfrm>
                    <a:prstGeom prst="rect">
                      <a:avLst/>
                    </a:prstGeom>
                    <a:noFill/>
                  </pic:spPr>
                </pic:pic>
              </a:graphicData>
            </a:graphic>
          </wp:inline>
        </w:drawing>
      </w:r>
    </w:p>
    <w:p w14:paraId="659AD4B7" w14:textId="773FE2A3" w:rsidR="00837333" w:rsidRDefault="00837333" w:rsidP="00837333">
      <w:pPr>
        <w:pStyle w:val="Caption"/>
      </w:pPr>
      <w:bookmarkStart w:id="51" w:name="_Toc227659600"/>
      <w:r>
        <w:t xml:space="preserve">Figure </w:t>
      </w:r>
      <w:fldSimple w:instr=" SEQ Figure \* ARABIC ">
        <w:r w:rsidR="00757BBB">
          <w:rPr>
            <w:noProof/>
          </w:rPr>
          <w:t>22</w:t>
        </w:r>
      </w:fldSimple>
      <w:r>
        <w:t xml:space="preserve">: </w:t>
      </w:r>
      <w:r w:rsidRPr="00F7257B">
        <w:t>Weaknesses / Threats Identified</w:t>
      </w:r>
      <w:bookmarkEnd w:id="51"/>
    </w:p>
    <w:p w14:paraId="53918C65" w14:textId="77777777" w:rsidR="00837333" w:rsidRPr="00837333" w:rsidRDefault="00837333" w:rsidP="00837333"/>
    <w:p w14:paraId="22087062" w14:textId="5EC31912" w:rsidR="00D1378E" w:rsidRDefault="00D1378E" w:rsidP="00D1378E">
      <w:pPr>
        <w:pStyle w:val="Heading1"/>
      </w:pPr>
      <w:bookmarkStart w:id="52" w:name="_Toc227659663"/>
      <w:r>
        <w:t>2. Working Capital Management Analysis</w:t>
      </w:r>
      <w:bookmarkEnd w:id="52"/>
      <w:r>
        <w:t xml:space="preserve"> </w:t>
      </w:r>
    </w:p>
    <w:p w14:paraId="38CC19AC" w14:textId="77777777" w:rsidR="00D1378E" w:rsidRDefault="00D1378E" w:rsidP="00D1378E">
      <w:pPr>
        <w:pStyle w:val="Heading2"/>
      </w:pPr>
      <w:bookmarkStart w:id="53" w:name="_Toc227659664"/>
      <w:r>
        <w:t>2.1 Overview of Working Capital Position</w:t>
      </w:r>
      <w:bookmarkEnd w:id="53"/>
    </w:p>
    <w:p w14:paraId="0C3C82FF" w14:textId="3CE904FA" w:rsidR="0011338A" w:rsidRDefault="004E6D29" w:rsidP="0011338A">
      <w:r w:rsidRPr="004E6D29">
        <w:t xml:space="preserve">Managing the working capital is important to guarantee that the business processes are efficient and liquidity-rich, as it is a capital-intensive sector, like the production of </w:t>
      </w:r>
      <w:proofErr w:type="gramStart"/>
      <w:r w:rsidRPr="004E6D29">
        <w:t>the electric</w:t>
      </w:r>
      <w:proofErr w:type="gramEnd"/>
      <w:r w:rsidRPr="004E6D29">
        <w:t xml:space="preserve"> vehicles (Ali et al., 2025). As its financial statements show, the position of the working capital is strengthening during the five-year terms as the current ratios increase, and the cash-generating power improves (Tesla, Inc., 2023; Tesla, Inc., 2025).</w:t>
      </w:r>
    </w:p>
    <w:p w14:paraId="1D125319" w14:textId="325887AC" w:rsidR="00E77818" w:rsidRDefault="00E77818" w:rsidP="00E77818">
      <w:pPr>
        <w:jc w:val="center"/>
      </w:pPr>
      <w:r>
        <w:rPr>
          <w:noProof/>
        </w:rPr>
        <w:lastRenderedPageBreak/>
        <w:drawing>
          <wp:inline distT="0" distB="0" distL="0" distR="0" wp14:anchorId="210DF3A9" wp14:editId="64530830">
            <wp:extent cx="5715000" cy="2562225"/>
            <wp:effectExtent l="0" t="0" r="0" b="9525"/>
            <wp:docPr id="2033817077" name="Picture 5" descr="Working Capital Management Importance - What Is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orking Capital Management Importance - What Is I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923" t="3461" r="1923" b="18942"/>
                    <a:stretch>
                      <a:fillRect/>
                    </a:stretch>
                  </pic:blipFill>
                  <pic:spPr bwMode="auto">
                    <a:xfrm>
                      <a:off x="0" y="0"/>
                      <a:ext cx="5715000" cy="2562225"/>
                    </a:xfrm>
                    <a:prstGeom prst="rect">
                      <a:avLst/>
                    </a:prstGeom>
                    <a:noFill/>
                    <a:ln>
                      <a:noFill/>
                    </a:ln>
                    <a:extLst>
                      <a:ext uri="{53640926-AAD7-44D8-BBD7-CCE9431645EC}">
                        <a14:shadowObscured xmlns:a14="http://schemas.microsoft.com/office/drawing/2010/main"/>
                      </a:ext>
                    </a:extLst>
                  </pic:spPr>
                </pic:pic>
              </a:graphicData>
            </a:graphic>
          </wp:inline>
        </w:drawing>
      </w:r>
    </w:p>
    <w:p w14:paraId="72A1BD36" w14:textId="2A9AC883" w:rsidR="00E77818" w:rsidRPr="0011338A" w:rsidRDefault="00E77818" w:rsidP="00E77818">
      <w:pPr>
        <w:pStyle w:val="Caption"/>
      </w:pPr>
      <w:bookmarkStart w:id="54" w:name="_Toc227659601"/>
      <w:r>
        <w:t xml:space="preserve">Figure </w:t>
      </w:r>
      <w:fldSimple w:instr=" SEQ Figure \* ARABIC ">
        <w:r w:rsidR="00757BBB">
          <w:rPr>
            <w:noProof/>
          </w:rPr>
          <w:t>23</w:t>
        </w:r>
      </w:fldSimple>
      <w:r>
        <w:t xml:space="preserve">: </w:t>
      </w:r>
      <w:r w:rsidRPr="008C0835">
        <w:t>Working Capital Management Importance</w:t>
      </w:r>
      <w:bookmarkEnd w:id="54"/>
    </w:p>
    <w:p w14:paraId="087A3619" w14:textId="39C36309" w:rsidR="0011338A" w:rsidRPr="0011338A" w:rsidRDefault="00376AAF" w:rsidP="0011338A">
      <w:r w:rsidRPr="00376AAF">
        <w:t xml:space="preserve">Proper financial planning and control of the company are reflected in the capability to stay sufficiently current with the finances in comparison to the liabilities, and the company </w:t>
      </w:r>
      <w:proofErr w:type="gramStart"/>
      <w:r w:rsidRPr="00376AAF">
        <w:t>is able to</w:t>
      </w:r>
      <w:proofErr w:type="gramEnd"/>
      <w:r w:rsidRPr="00376AAF">
        <w:t xml:space="preserve"> continue growing (Manao et al., 2025). Nevertheless, variations of efficiency ratios indicate that the management of working capital must be constantly </w:t>
      </w:r>
      <w:proofErr w:type="spellStart"/>
      <w:r w:rsidRPr="00376AAF">
        <w:t>optimised</w:t>
      </w:r>
      <w:proofErr w:type="spellEnd"/>
      <w:r w:rsidRPr="00376AAF">
        <w:t xml:space="preserve"> to ensure that the balance between working capital and profit is not broken (</w:t>
      </w:r>
      <w:proofErr w:type="spellStart"/>
      <w:r w:rsidRPr="00376AAF">
        <w:t>Eldomiaty</w:t>
      </w:r>
      <w:proofErr w:type="spellEnd"/>
      <w:r w:rsidRPr="00376AAF">
        <w:t xml:space="preserve"> et al., 2023).</w:t>
      </w:r>
    </w:p>
    <w:p w14:paraId="73249DB5" w14:textId="7EB9356F" w:rsidR="0011338A" w:rsidRDefault="00E82940" w:rsidP="00E82940">
      <w:pPr>
        <w:jc w:val="center"/>
      </w:pPr>
      <w:r>
        <w:rPr>
          <w:noProof/>
        </w:rPr>
        <w:drawing>
          <wp:inline distT="0" distB="0" distL="0" distR="0" wp14:anchorId="2FDC50F8" wp14:editId="4509087B">
            <wp:extent cx="5543550" cy="2562225"/>
            <wp:effectExtent l="0" t="0" r="0" b="9525"/>
            <wp:docPr id="480227653" name="Picture 6" descr="Components of Working Capital (Top 4) | Detailed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mponents of Working Capital (Top 4) | Detailed Explained"/>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3206" t="4038" r="3525" b="18366"/>
                    <a:stretch>
                      <a:fillRect/>
                    </a:stretch>
                  </pic:blipFill>
                  <pic:spPr bwMode="auto">
                    <a:xfrm>
                      <a:off x="0" y="0"/>
                      <a:ext cx="5543550" cy="2562225"/>
                    </a:xfrm>
                    <a:prstGeom prst="rect">
                      <a:avLst/>
                    </a:prstGeom>
                    <a:noFill/>
                    <a:ln>
                      <a:noFill/>
                    </a:ln>
                    <a:extLst>
                      <a:ext uri="{53640926-AAD7-44D8-BBD7-CCE9431645EC}">
                        <a14:shadowObscured xmlns:a14="http://schemas.microsoft.com/office/drawing/2010/main"/>
                      </a:ext>
                    </a:extLst>
                  </pic:spPr>
                </pic:pic>
              </a:graphicData>
            </a:graphic>
          </wp:inline>
        </w:drawing>
      </w:r>
    </w:p>
    <w:p w14:paraId="6F980895" w14:textId="19D1E3FF" w:rsidR="00E82940" w:rsidRDefault="00E82940" w:rsidP="00E82940">
      <w:pPr>
        <w:pStyle w:val="Caption"/>
      </w:pPr>
      <w:bookmarkStart w:id="55" w:name="_Toc227659602"/>
      <w:r>
        <w:t xml:space="preserve">Figure </w:t>
      </w:r>
      <w:fldSimple w:instr=" SEQ Figure \* ARABIC ">
        <w:r w:rsidR="00757BBB">
          <w:rPr>
            <w:noProof/>
          </w:rPr>
          <w:t>24</w:t>
        </w:r>
      </w:fldSimple>
      <w:r>
        <w:t xml:space="preserve">: </w:t>
      </w:r>
      <w:r w:rsidRPr="00721FB7">
        <w:t>Components of Working Capital</w:t>
      </w:r>
      <w:bookmarkEnd w:id="55"/>
    </w:p>
    <w:p w14:paraId="561E143A" w14:textId="77777777" w:rsidR="00E82940" w:rsidRPr="00E82940" w:rsidRDefault="00E82940" w:rsidP="00E82940"/>
    <w:p w14:paraId="0901AC8F" w14:textId="77777777" w:rsidR="00D1378E" w:rsidRDefault="00D1378E" w:rsidP="00D1378E">
      <w:pPr>
        <w:pStyle w:val="Heading2"/>
      </w:pPr>
      <w:bookmarkStart w:id="56" w:name="_Toc227659665"/>
      <w:r>
        <w:lastRenderedPageBreak/>
        <w:t>2.2 Cash Operating Cycle (CCC)</w:t>
      </w:r>
      <w:bookmarkEnd w:id="56"/>
    </w:p>
    <w:tbl>
      <w:tblPr>
        <w:tblStyle w:val="TableGrid"/>
        <w:tblW w:w="0" w:type="auto"/>
        <w:tblLook w:val="04A0" w:firstRow="1" w:lastRow="0" w:firstColumn="1" w:lastColumn="0" w:noHBand="0" w:noVBand="1"/>
      </w:tblPr>
      <w:tblGrid>
        <w:gridCol w:w="2422"/>
        <w:gridCol w:w="1367"/>
        <w:gridCol w:w="1233"/>
        <w:gridCol w:w="1361"/>
        <w:gridCol w:w="1442"/>
        <w:gridCol w:w="1525"/>
      </w:tblGrid>
      <w:tr w:rsidR="00D1378E" w:rsidRPr="00D1378E" w14:paraId="5FE64326" w14:textId="77777777" w:rsidTr="00D1378E">
        <w:trPr>
          <w:trHeight w:val="300"/>
        </w:trPr>
        <w:tc>
          <w:tcPr>
            <w:tcW w:w="2422" w:type="dxa"/>
            <w:noWrap/>
            <w:hideMark/>
          </w:tcPr>
          <w:p w14:paraId="118E4320" w14:textId="77777777" w:rsidR="00D1378E" w:rsidRPr="00D1378E" w:rsidRDefault="00D1378E" w:rsidP="00376AAF">
            <w:pPr>
              <w:spacing w:line="480" w:lineRule="auto"/>
              <w:rPr>
                <w:b/>
                <w:bCs/>
              </w:rPr>
            </w:pPr>
            <w:r w:rsidRPr="00D1378E">
              <w:rPr>
                <w:b/>
                <w:bCs/>
              </w:rPr>
              <w:t> </w:t>
            </w:r>
          </w:p>
        </w:tc>
        <w:tc>
          <w:tcPr>
            <w:tcW w:w="1367" w:type="dxa"/>
            <w:noWrap/>
            <w:hideMark/>
          </w:tcPr>
          <w:p w14:paraId="19B1D61A" w14:textId="77777777" w:rsidR="00D1378E" w:rsidRPr="00D1378E" w:rsidRDefault="00D1378E" w:rsidP="00376AAF">
            <w:pPr>
              <w:spacing w:line="480" w:lineRule="auto"/>
              <w:rPr>
                <w:b/>
                <w:bCs/>
              </w:rPr>
            </w:pPr>
            <w:r w:rsidRPr="00D1378E">
              <w:rPr>
                <w:b/>
                <w:bCs/>
              </w:rPr>
              <w:t>2020</w:t>
            </w:r>
          </w:p>
        </w:tc>
        <w:tc>
          <w:tcPr>
            <w:tcW w:w="1233" w:type="dxa"/>
            <w:noWrap/>
            <w:hideMark/>
          </w:tcPr>
          <w:p w14:paraId="566F751E" w14:textId="77777777" w:rsidR="00D1378E" w:rsidRPr="00D1378E" w:rsidRDefault="00D1378E" w:rsidP="00376AAF">
            <w:pPr>
              <w:spacing w:line="480" w:lineRule="auto"/>
              <w:rPr>
                <w:b/>
                <w:bCs/>
              </w:rPr>
            </w:pPr>
            <w:r w:rsidRPr="00D1378E">
              <w:rPr>
                <w:b/>
                <w:bCs/>
              </w:rPr>
              <w:t>2021</w:t>
            </w:r>
          </w:p>
        </w:tc>
        <w:tc>
          <w:tcPr>
            <w:tcW w:w="1361" w:type="dxa"/>
            <w:noWrap/>
            <w:hideMark/>
          </w:tcPr>
          <w:p w14:paraId="0CECD94B" w14:textId="77777777" w:rsidR="00D1378E" w:rsidRPr="00D1378E" w:rsidRDefault="00D1378E" w:rsidP="00376AAF">
            <w:pPr>
              <w:spacing w:line="480" w:lineRule="auto"/>
              <w:rPr>
                <w:b/>
                <w:bCs/>
              </w:rPr>
            </w:pPr>
            <w:r w:rsidRPr="00D1378E">
              <w:rPr>
                <w:b/>
                <w:bCs/>
              </w:rPr>
              <w:t>2022</w:t>
            </w:r>
          </w:p>
        </w:tc>
        <w:tc>
          <w:tcPr>
            <w:tcW w:w="1442" w:type="dxa"/>
            <w:noWrap/>
            <w:hideMark/>
          </w:tcPr>
          <w:p w14:paraId="7558BA1B" w14:textId="77777777" w:rsidR="00D1378E" w:rsidRPr="00D1378E" w:rsidRDefault="00D1378E" w:rsidP="00376AAF">
            <w:pPr>
              <w:spacing w:line="480" w:lineRule="auto"/>
              <w:rPr>
                <w:b/>
                <w:bCs/>
              </w:rPr>
            </w:pPr>
            <w:r w:rsidRPr="00D1378E">
              <w:rPr>
                <w:b/>
                <w:bCs/>
              </w:rPr>
              <w:t>2023</w:t>
            </w:r>
          </w:p>
        </w:tc>
        <w:tc>
          <w:tcPr>
            <w:tcW w:w="1525" w:type="dxa"/>
            <w:noWrap/>
            <w:hideMark/>
          </w:tcPr>
          <w:p w14:paraId="67E88FEC" w14:textId="77777777" w:rsidR="00D1378E" w:rsidRPr="00D1378E" w:rsidRDefault="00D1378E" w:rsidP="00376AAF">
            <w:pPr>
              <w:spacing w:line="480" w:lineRule="auto"/>
              <w:rPr>
                <w:b/>
                <w:bCs/>
              </w:rPr>
            </w:pPr>
            <w:r w:rsidRPr="00D1378E">
              <w:rPr>
                <w:b/>
                <w:bCs/>
              </w:rPr>
              <w:t>2024</w:t>
            </w:r>
          </w:p>
        </w:tc>
      </w:tr>
      <w:tr w:rsidR="00D1378E" w:rsidRPr="00D1378E" w14:paraId="3F8A973E" w14:textId="77777777" w:rsidTr="00D1378E">
        <w:trPr>
          <w:trHeight w:val="300"/>
        </w:trPr>
        <w:tc>
          <w:tcPr>
            <w:tcW w:w="2422" w:type="dxa"/>
            <w:noWrap/>
            <w:hideMark/>
          </w:tcPr>
          <w:p w14:paraId="1FAAF0A8" w14:textId="77777777" w:rsidR="00D1378E" w:rsidRPr="00D1378E" w:rsidRDefault="00D1378E" w:rsidP="00376AAF">
            <w:pPr>
              <w:spacing w:line="480" w:lineRule="auto"/>
              <w:rPr>
                <w:b/>
                <w:bCs/>
              </w:rPr>
            </w:pPr>
            <w:r w:rsidRPr="00D1378E">
              <w:rPr>
                <w:b/>
                <w:bCs/>
              </w:rPr>
              <w:t>Inventory Turnover (Times)</w:t>
            </w:r>
          </w:p>
        </w:tc>
        <w:tc>
          <w:tcPr>
            <w:tcW w:w="1367" w:type="dxa"/>
            <w:noWrap/>
            <w:hideMark/>
          </w:tcPr>
          <w:p w14:paraId="7BDF2D6D" w14:textId="77777777" w:rsidR="00D1378E" w:rsidRPr="00D1378E" w:rsidRDefault="00D1378E" w:rsidP="00376AAF">
            <w:pPr>
              <w:spacing w:line="480" w:lineRule="auto"/>
            </w:pPr>
            <w:r w:rsidRPr="00D1378E">
              <w:t>6.51</w:t>
            </w:r>
          </w:p>
        </w:tc>
        <w:tc>
          <w:tcPr>
            <w:tcW w:w="1233" w:type="dxa"/>
            <w:noWrap/>
            <w:hideMark/>
          </w:tcPr>
          <w:p w14:paraId="3BDEAAFB" w14:textId="77777777" w:rsidR="00D1378E" w:rsidRPr="00D1378E" w:rsidRDefault="00D1378E" w:rsidP="00376AAF">
            <w:pPr>
              <w:spacing w:line="480" w:lineRule="auto"/>
            </w:pPr>
            <w:r w:rsidRPr="00D1378E">
              <w:t>8.16</w:t>
            </w:r>
          </w:p>
        </w:tc>
        <w:tc>
          <w:tcPr>
            <w:tcW w:w="1361" w:type="dxa"/>
            <w:noWrap/>
            <w:hideMark/>
          </w:tcPr>
          <w:p w14:paraId="685226BD" w14:textId="77777777" w:rsidR="00D1378E" w:rsidRPr="00D1378E" w:rsidRDefault="00D1378E" w:rsidP="00376AAF">
            <w:pPr>
              <w:spacing w:line="480" w:lineRule="auto"/>
            </w:pPr>
            <w:r w:rsidRPr="00D1378E">
              <w:t>6.52</w:t>
            </w:r>
          </w:p>
        </w:tc>
        <w:tc>
          <w:tcPr>
            <w:tcW w:w="1442" w:type="dxa"/>
            <w:noWrap/>
            <w:hideMark/>
          </w:tcPr>
          <w:p w14:paraId="32A50C68" w14:textId="77777777" w:rsidR="00D1378E" w:rsidRPr="00D1378E" w:rsidRDefault="00D1378E" w:rsidP="00376AAF">
            <w:pPr>
              <w:spacing w:line="480" w:lineRule="auto"/>
            </w:pPr>
            <w:r w:rsidRPr="00D1378E">
              <w:t>5.98</w:t>
            </w:r>
          </w:p>
        </w:tc>
        <w:tc>
          <w:tcPr>
            <w:tcW w:w="1525" w:type="dxa"/>
            <w:noWrap/>
            <w:hideMark/>
          </w:tcPr>
          <w:p w14:paraId="00D9D344" w14:textId="77777777" w:rsidR="00D1378E" w:rsidRPr="00D1378E" w:rsidRDefault="00D1378E" w:rsidP="00376AAF">
            <w:pPr>
              <w:spacing w:line="480" w:lineRule="auto"/>
            </w:pPr>
            <w:r w:rsidRPr="00D1378E">
              <w:t>6.26</w:t>
            </w:r>
          </w:p>
        </w:tc>
      </w:tr>
      <w:tr w:rsidR="00D1378E" w:rsidRPr="00D1378E" w14:paraId="403A877C" w14:textId="77777777" w:rsidTr="00D1378E">
        <w:trPr>
          <w:trHeight w:val="300"/>
        </w:trPr>
        <w:tc>
          <w:tcPr>
            <w:tcW w:w="2422" w:type="dxa"/>
            <w:noWrap/>
            <w:hideMark/>
          </w:tcPr>
          <w:p w14:paraId="42D90090" w14:textId="77777777" w:rsidR="00D1378E" w:rsidRPr="00D1378E" w:rsidRDefault="00D1378E" w:rsidP="00376AAF">
            <w:pPr>
              <w:spacing w:line="480" w:lineRule="auto"/>
              <w:rPr>
                <w:b/>
                <w:bCs/>
              </w:rPr>
            </w:pPr>
            <w:r w:rsidRPr="00D1378E">
              <w:rPr>
                <w:b/>
                <w:bCs/>
              </w:rPr>
              <w:t>Inventory Days (365 ÷ Turnover)</w:t>
            </w:r>
          </w:p>
        </w:tc>
        <w:tc>
          <w:tcPr>
            <w:tcW w:w="1367" w:type="dxa"/>
            <w:noWrap/>
            <w:hideMark/>
          </w:tcPr>
          <w:p w14:paraId="19F76DDB" w14:textId="77777777" w:rsidR="00D1378E" w:rsidRPr="00D1378E" w:rsidRDefault="00D1378E" w:rsidP="00376AAF">
            <w:pPr>
              <w:spacing w:line="480" w:lineRule="auto"/>
            </w:pPr>
            <w:r w:rsidRPr="00D1378E">
              <w:t>56</w:t>
            </w:r>
          </w:p>
        </w:tc>
        <w:tc>
          <w:tcPr>
            <w:tcW w:w="1233" w:type="dxa"/>
            <w:noWrap/>
            <w:hideMark/>
          </w:tcPr>
          <w:p w14:paraId="443E205B" w14:textId="77777777" w:rsidR="00D1378E" w:rsidRPr="00D1378E" w:rsidRDefault="00D1378E" w:rsidP="00376AAF">
            <w:pPr>
              <w:spacing w:line="480" w:lineRule="auto"/>
            </w:pPr>
            <w:r w:rsidRPr="00D1378E">
              <w:t>45</w:t>
            </w:r>
          </w:p>
        </w:tc>
        <w:tc>
          <w:tcPr>
            <w:tcW w:w="1361" w:type="dxa"/>
            <w:noWrap/>
            <w:hideMark/>
          </w:tcPr>
          <w:p w14:paraId="1E6C2CEF" w14:textId="77777777" w:rsidR="00D1378E" w:rsidRPr="00D1378E" w:rsidRDefault="00D1378E" w:rsidP="00376AAF">
            <w:pPr>
              <w:spacing w:line="480" w:lineRule="auto"/>
            </w:pPr>
            <w:r w:rsidRPr="00D1378E">
              <w:t>56</w:t>
            </w:r>
          </w:p>
        </w:tc>
        <w:tc>
          <w:tcPr>
            <w:tcW w:w="1442" w:type="dxa"/>
            <w:noWrap/>
            <w:hideMark/>
          </w:tcPr>
          <w:p w14:paraId="3704998D" w14:textId="77777777" w:rsidR="00D1378E" w:rsidRPr="00D1378E" w:rsidRDefault="00D1378E" w:rsidP="00376AAF">
            <w:pPr>
              <w:spacing w:line="480" w:lineRule="auto"/>
            </w:pPr>
            <w:r w:rsidRPr="00D1378E">
              <w:t>61</w:t>
            </w:r>
          </w:p>
        </w:tc>
        <w:tc>
          <w:tcPr>
            <w:tcW w:w="1525" w:type="dxa"/>
            <w:noWrap/>
            <w:hideMark/>
          </w:tcPr>
          <w:p w14:paraId="46839010" w14:textId="77777777" w:rsidR="00D1378E" w:rsidRPr="00D1378E" w:rsidRDefault="00D1378E" w:rsidP="00376AAF">
            <w:pPr>
              <w:spacing w:line="480" w:lineRule="auto"/>
            </w:pPr>
            <w:r w:rsidRPr="00D1378E">
              <w:t>58</w:t>
            </w:r>
          </w:p>
        </w:tc>
      </w:tr>
      <w:tr w:rsidR="00D1378E" w:rsidRPr="00D1378E" w14:paraId="51322EB0" w14:textId="77777777" w:rsidTr="00D1378E">
        <w:trPr>
          <w:trHeight w:val="300"/>
        </w:trPr>
        <w:tc>
          <w:tcPr>
            <w:tcW w:w="2422" w:type="dxa"/>
            <w:noWrap/>
            <w:hideMark/>
          </w:tcPr>
          <w:p w14:paraId="206C7970" w14:textId="77777777" w:rsidR="00D1378E" w:rsidRPr="00D1378E" w:rsidRDefault="00D1378E" w:rsidP="00376AAF">
            <w:pPr>
              <w:spacing w:line="480" w:lineRule="auto"/>
              <w:rPr>
                <w:b/>
                <w:bCs/>
              </w:rPr>
            </w:pPr>
            <w:r w:rsidRPr="00D1378E">
              <w:rPr>
                <w:b/>
                <w:bCs/>
              </w:rPr>
              <w:t>Receivables Days</w:t>
            </w:r>
          </w:p>
        </w:tc>
        <w:tc>
          <w:tcPr>
            <w:tcW w:w="1367" w:type="dxa"/>
            <w:noWrap/>
            <w:hideMark/>
          </w:tcPr>
          <w:p w14:paraId="7C7B8BE9" w14:textId="77777777" w:rsidR="00D1378E" w:rsidRPr="00D1378E" w:rsidRDefault="00D1378E" w:rsidP="00376AAF">
            <w:pPr>
              <w:spacing w:line="480" w:lineRule="auto"/>
            </w:pPr>
            <w:r w:rsidRPr="00D1378E">
              <w:t>22</w:t>
            </w:r>
          </w:p>
        </w:tc>
        <w:tc>
          <w:tcPr>
            <w:tcW w:w="1233" w:type="dxa"/>
            <w:noWrap/>
            <w:hideMark/>
          </w:tcPr>
          <w:p w14:paraId="2AB35BC3" w14:textId="77777777" w:rsidR="00D1378E" w:rsidRPr="00D1378E" w:rsidRDefault="00D1378E" w:rsidP="00376AAF">
            <w:pPr>
              <w:spacing w:line="480" w:lineRule="auto"/>
            </w:pPr>
            <w:r w:rsidRPr="00D1378E">
              <w:t>13</w:t>
            </w:r>
          </w:p>
        </w:tc>
        <w:tc>
          <w:tcPr>
            <w:tcW w:w="1361" w:type="dxa"/>
            <w:noWrap/>
            <w:hideMark/>
          </w:tcPr>
          <w:p w14:paraId="3DD413E4" w14:textId="77777777" w:rsidR="00D1378E" w:rsidRPr="00D1378E" w:rsidRDefault="00D1378E" w:rsidP="00376AAF">
            <w:pPr>
              <w:spacing w:line="480" w:lineRule="auto"/>
            </w:pPr>
            <w:r w:rsidRPr="00D1378E">
              <w:t>13</w:t>
            </w:r>
          </w:p>
        </w:tc>
        <w:tc>
          <w:tcPr>
            <w:tcW w:w="1442" w:type="dxa"/>
            <w:noWrap/>
            <w:hideMark/>
          </w:tcPr>
          <w:p w14:paraId="0C0BF9AF" w14:textId="77777777" w:rsidR="00D1378E" w:rsidRPr="00D1378E" w:rsidRDefault="00D1378E" w:rsidP="00376AAF">
            <w:pPr>
              <w:spacing w:line="480" w:lineRule="auto"/>
            </w:pPr>
            <w:r w:rsidRPr="00D1378E">
              <w:t>13</w:t>
            </w:r>
          </w:p>
        </w:tc>
        <w:tc>
          <w:tcPr>
            <w:tcW w:w="1525" w:type="dxa"/>
            <w:noWrap/>
            <w:hideMark/>
          </w:tcPr>
          <w:p w14:paraId="4276589C" w14:textId="77777777" w:rsidR="00D1378E" w:rsidRPr="00D1378E" w:rsidRDefault="00D1378E" w:rsidP="00376AAF">
            <w:pPr>
              <w:spacing w:line="480" w:lineRule="auto"/>
            </w:pPr>
            <w:r w:rsidRPr="00D1378E">
              <w:t>17</w:t>
            </w:r>
          </w:p>
        </w:tc>
      </w:tr>
      <w:tr w:rsidR="00D1378E" w:rsidRPr="00D1378E" w14:paraId="4C519C47" w14:textId="77777777" w:rsidTr="00D1378E">
        <w:trPr>
          <w:trHeight w:val="300"/>
        </w:trPr>
        <w:tc>
          <w:tcPr>
            <w:tcW w:w="2422" w:type="dxa"/>
            <w:noWrap/>
            <w:hideMark/>
          </w:tcPr>
          <w:p w14:paraId="0D3603DC" w14:textId="77777777" w:rsidR="00D1378E" w:rsidRPr="00D1378E" w:rsidRDefault="00D1378E" w:rsidP="00376AAF">
            <w:pPr>
              <w:spacing w:line="480" w:lineRule="auto"/>
              <w:rPr>
                <w:b/>
                <w:bCs/>
              </w:rPr>
            </w:pPr>
            <w:r w:rsidRPr="00D1378E">
              <w:rPr>
                <w:b/>
                <w:bCs/>
              </w:rPr>
              <w:t>Payables Days</w:t>
            </w:r>
          </w:p>
        </w:tc>
        <w:tc>
          <w:tcPr>
            <w:tcW w:w="1367" w:type="dxa"/>
            <w:noWrap/>
            <w:hideMark/>
          </w:tcPr>
          <w:p w14:paraId="6C3ED44E" w14:textId="77777777" w:rsidR="00D1378E" w:rsidRPr="00D1378E" w:rsidRDefault="00D1378E" w:rsidP="00376AAF">
            <w:pPr>
              <w:spacing w:line="480" w:lineRule="auto"/>
            </w:pPr>
            <w:r w:rsidRPr="00D1378E">
              <w:t>89</w:t>
            </w:r>
          </w:p>
        </w:tc>
        <w:tc>
          <w:tcPr>
            <w:tcW w:w="1233" w:type="dxa"/>
            <w:noWrap/>
            <w:hideMark/>
          </w:tcPr>
          <w:p w14:paraId="416395D1" w14:textId="77777777" w:rsidR="00D1378E" w:rsidRPr="00D1378E" w:rsidRDefault="00D1378E" w:rsidP="00376AAF">
            <w:pPr>
              <w:spacing w:line="480" w:lineRule="auto"/>
            </w:pPr>
            <w:r w:rsidRPr="00D1378E">
              <w:t>91</w:t>
            </w:r>
          </w:p>
        </w:tc>
        <w:tc>
          <w:tcPr>
            <w:tcW w:w="1361" w:type="dxa"/>
            <w:noWrap/>
            <w:hideMark/>
          </w:tcPr>
          <w:p w14:paraId="247758E8" w14:textId="77777777" w:rsidR="00D1378E" w:rsidRPr="00D1378E" w:rsidRDefault="00D1378E" w:rsidP="00376AAF">
            <w:pPr>
              <w:spacing w:line="480" w:lineRule="auto"/>
            </w:pPr>
            <w:r w:rsidRPr="00D1378E">
              <w:t>92</w:t>
            </w:r>
          </w:p>
        </w:tc>
        <w:tc>
          <w:tcPr>
            <w:tcW w:w="1442" w:type="dxa"/>
            <w:noWrap/>
            <w:hideMark/>
          </w:tcPr>
          <w:p w14:paraId="119A77ED" w14:textId="77777777" w:rsidR="00D1378E" w:rsidRPr="00D1378E" w:rsidRDefault="00D1378E" w:rsidP="00376AAF">
            <w:pPr>
              <w:spacing w:line="480" w:lineRule="auto"/>
            </w:pPr>
            <w:r w:rsidRPr="00D1378E">
              <w:t>67</w:t>
            </w:r>
          </w:p>
        </w:tc>
        <w:tc>
          <w:tcPr>
            <w:tcW w:w="1525" w:type="dxa"/>
            <w:noWrap/>
            <w:hideMark/>
          </w:tcPr>
          <w:p w14:paraId="6DF7890D" w14:textId="77777777" w:rsidR="00D1378E" w:rsidRPr="00D1378E" w:rsidRDefault="00D1378E" w:rsidP="00376AAF">
            <w:pPr>
              <w:spacing w:line="480" w:lineRule="auto"/>
            </w:pPr>
            <w:r w:rsidRPr="00D1378E">
              <w:t>57</w:t>
            </w:r>
          </w:p>
        </w:tc>
      </w:tr>
      <w:tr w:rsidR="00D1378E" w:rsidRPr="00D1378E" w14:paraId="034EEF3D" w14:textId="77777777" w:rsidTr="00D1378E">
        <w:trPr>
          <w:trHeight w:val="300"/>
        </w:trPr>
        <w:tc>
          <w:tcPr>
            <w:tcW w:w="2422" w:type="dxa"/>
            <w:noWrap/>
            <w:hideMark/>
          </w:tcPr>
          <w:p w14:paraId="71E520A3" w14:textId="77777777" w:rsidR="00D1378E" w:rsidRPr="00D1378E" w:rsidRDefault="00D1378E" w:rsidP="00376AAF">
            <w:pPr>
              <w:spacing w:line="480" w:lineRule="auto"/>
              <w:rPr>
                <w:b/>
                <w:bCs/>
              </w:rPr>
            </w:pPr>
            <w:r w:rsidRPr="00D1378E">
              <w:rPr>
                <w:b/>
                <w:bCs/>
              </w:rPr>
              <w:t>Cash Conversion Cycle (CCC) = Inventory Days + Receivables Days − Payables Days</w:t>
            </w:r>
          </w:p>
        </w:tc>
        <w:tc>
          <w:tcPr>
            <w:tcW w:w="1367" w:type="dxa"/>
            <w:noWrap/>
            <w:hideMark/>
          </w:tcPr>
          <w:p w14:paraId="7E220D0A" w14:textId="77777777" w:rsidR="00D1378E" w:rsidRPr="00D1378E" w:rsidRDefault="00D1378E" w:rsidP="00376AAF">
            <w:pPr>
              <w:spacing w:line="480" w:lineRule="auto"/>
            </w:pPr>
            <w:r w:rsidRPr="00D1378E">
              <w:t>-10.77</w:t>
            </w:r>
          </w:p>
        </w:tc>
        <w:tc>
          <w:tcPr>
            <w:tcW w:w="1233" w:type="dxa"/>
            <w:noWrap/>
            <w:hideMark/>
          </w:tcPr>
          <w:p w14:paraId="7B5B3456" w14:textId="77777777" w:rsidR="00D1378E" w:rsidRPr="00D1378E" w:rsidRDefault="00D1378E" w:rsidP="00376AAF">
            <w:pPr>
              <w:spacing w:line="480" w:lineRule="auto"/>
            </w:pPr>
            <w:r w:rsidRPr="00D1378E">
              <w:t>-33.28</w:t>
            </w:r>
          </w:p>
        </w:tc>
        <w:tc>
          <w:tcPr>
            <w:tcW w:w="1361" w:type="dxa"/>
            <w:noWrap/>
            <w:hideMark/>
          </w:tcPr>
          <w:p w14:paraId="74F3C33F" w14:textId="77777777" w:rsidR="00D1378E" w:rsidRPr="00D1378E" w:rsidRDefault="00D1378E" w:rsidP="00376AAF">
            <w:pPr>
              <w:spacing w:line="480" w:lineRule="auto"/>
            </w:pPr>
            <w:r w:rsidRPr="00D1378E">
              <w:t>-22.65</w:t>
            </w:r>
          </w:p>
        </w:tc>
        <w:tc>
          <w:tcPr>
            <w:tcW w:w="1442" w:type="dxa"/>
            <w:noWrap/>
            <w:hideMark/>
          </w:tcPr>
          <w:p w14:paraId="46963967" w14:textId="77777777" w:rsidR="00D1378E" w:rsidRPr="00D1378E" w:rsidRDefault="00D1378E" w:rsidP="00376AAF">
            <w:pPr>
              <w:spacing w:line="480" w:lineRule="auto"/>
            </w:pPr>
            <w:r w:rsidRPr="00D1378E">
              <w:t>7.70</w:t>
            </w:r>
          </w:p>
        </w:tc>
        <w:tc>
          <w:tcPr>
            <w:tcW w:w="1525" w:type="dxa"/>
            <w:noWrap/>
            <w:hideMark/>
          </w:tcPr>
          <w:p w14:paraId="0C250574" w14:textId="77777777" w:rsidR="00D1378E" w:rsidRPr="00D1378E" w:rsidRDefault="00D1378E" w:rsidP="00376AAF">
            <w:pPr>
              <w:spacing w:line="480" w:lineRule="auto"/>
            </w:pPr>
            <w:r w:rsidRPr="00D1378E">
              <w:t>18.09</w:t>
            </w:r>
          </w:p>
        </w:tc>
      </w:tr>
    </w:tbl>
    <w:p w14:paraId="3D453099" w14:textId="0A8F78AF" w:rsidR="00D1378E" w:rsidRDefault="00D1378E" w:rsidP="00D1378E">
      <w:pPr>
        <w:pStyle w:val="Caption"/>
      </w:pPr>
      <w:bookmarkStart w:id="57" w:name="_Toc227659624"/>
      <w:r>
        <w:t xml:space="preserve">Table </w:t>
      </w:r>
      <w:fldSimple w:instr=" SEQ Table \* ARABIC ">
        <w:r w:rsidR="00AC714F">
          <w:rPr>
            <w:noProof/>
          </w:rPr>
          <w:t>1</w:t>
        </w:r>
      </w:fldSimple>
      <w:r>
        <w:t xml:space="preserve">: </w:t>
      </w:r>
      <w:r w:rsidRPr="00D605BC">
        <w:t>Cash Operating Cycle (CCC)</w:t>
      </w:r>
      <w:bookmarkEnd w:id="57"/>
    </w:p>
    <w:p w14:paraId="22C9445B" w14:textId="47C7FA41" w:rsidR="00B96F06" w:rsidRPr="00B96F06" w:rsidRDefault="00291191" w:rsidP="00B96F06">
      <w:r w:rsidRPr="00291191">
        <w:t>The cash conversion cycle (CCC) is a metric that lives to gauge how long it takes to transform investments in inventory and other resources into sales-related cash flows (Yanney, 2023). According to the CCC of Tesla, the company in 2020 (-10.77), 2021 (-33.28), and 2022 (-22.65) had negative values, which means that the organization was free to generate cash through the customers and then deliver products to the suppliers, which is a very efficient use of working capital (Tesla, Inc., 2023</w:t>
      </w:r>
    </w:p>
    <w:p w14:paraId="1E5015ED" w14:textId="511C26AA" w:rsidR="00B96F06" w:rsidRPr="00B96F06" w:rsidRDefault="00B302D3" w:rsidP="00B96F06">
      <w:r w:rsidRPr="00B302D3">
        <w:t xml:space="preserve">The </w:t>
      </w:r>
      <w:proofErr w:type="gramStart"/>
      <w:r w:rsidRPr="00B302D3">
        <w:t>CCC however</w:t>
      </w:r>
      <w:proofErr w:type="gramEnd"/>
      <w:r w:rsidRPr="00B302D3">
        <w:t xml:space="preserve"> became positive in 2023 (7.70) and went up in 2024 (18.09)</w:t>
      </w:r>
      <w:proofErr w:type="gramStart"/>
      <w:r w:rsidRPr="00B302D3">
        <w:t xml:space="preserve"> indicating</w:t>
      </w:r>
      <w:proofErr w:type="gramEnd"/>
      <w:r w:rsidRPr="00B302D3">
        <w:t xml:space="preserve"> that Tesla has now become slower to turn its investments into cash. This turnover represents the worsening of efficiency by working capital, which could be explained by a decrease in inventory turnover, an increase of receivables, and a decrease in supplier credit terms (Tesla, Inc., 2025; </w:t>
      </w:r>
      <w:proofErr w:type="spellStart"/>
      <w:r w:rsidRPr="00B302D3">
        <w:t>Eldomiaty</w:t>
      </w:r>
      <w:proofErr w:type="spellEnd"/>
      <w:r w:rsidRPr="00B302D3">
        <w:t xml:space="preserve"> et al., 2023).</w:t>
      </w:r>
    </w:p>
    <w:p w14:paraId="2FC732CB" w14:textId="1D68C739" w:rsidR="00D1378E" w:rsidRDefault="00D1378E" w:rsidP="00D1378E">
      <w:pPr>
        <w:jc w:val="center"/>
      </w:pPr>
      <w:r>
        <w:rPr>
          <w:noProof/>
        </w:rPr>
        <w:lastRenderedPageBreak/>
        <w:drawing>
          <wp:inline distT="0" distB="0" distL="0" distR="0" wp14:anchorId="57AFA607" wp14:editId="08814FF6">
            <wp:extent cx="4572000" cy="2743200"/>
            <wp:effectExtent l="0" t="0" r="0" b="0"/>
            <wp:docPr id="995117319" name="Chart 1">
              <a:extLst xmlns:a="http://schemas.openxmlformats.org/drawingml/2006/main">
                <a:ext uri="{FF2B5EF4-FFF2-40B4-BE49-F238E27FC236}">
                  <a16:creationId xmlns:a16="http://schemas.microsoft.com/office/drawing/2014/main" id="{BCC0B05E-D904-C399-CF21-314FAAE01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DD39426" w14:textId="6B7A41E2" w:rsidR="00A92DD8" w:rsidRDefault="00A92DD8" w:rsidP="00A92DD8">
      <w:pPr>
        <w:pStyle w:val="Caption"/>
      </w:pPr>
      <w:bookmarkStart w:id="58" w:name="_Toc227659603"/>
      <w:r>
        <w:t xml:space="preserve">Figure </w:t>
      </w:r>
      <w:fldSimple w:instr=" SEQ Figure \* ARABIC ">
        <w:r w:rsidR="00757BBB">
          <w:rPr>
            <w:noProof/>
          </w:rPr>
          <w:t>25</w:t>
        </w:r>
      </w:fldSimple>
      <w:r>
        <w:t xml:space="preserve">: </w:t>
      </w:r>
      <w:r w:rsidRPr="00AE4700">
        <w:t>Cash Operating Cycle (CCC)</w:t>
      </w:r>
      <w:bookmarkEnd w:id="58"/>
    </w:p>
    <w:p w14:paraId="6FD6DC7F" w14:textId="7E80A49A" w:rsidR="00B96F06" w:rsidRPr="00B96F06" w:rsidRDefault="00491557" w:rsidP="00B96F06">
      <w:r w:rsidRPr="00491557">
        <w:t xml:space="preserve">This observation is further supported by the rise of inventory days, which stood at 45 and 61 in 2021 and 2023, respectively, which means slower movement of inventory. On the same note, the rise in receivables days to 17 in 2024 implies that the customers are slower to make their payments, and the decrease in payables days to 57 implies that Tesla is paying its suppliers more quickly, reducing its liquidity position (Gao, 2025; </w:t>
      </w:r>
      <w:proofErr w:type="spellStart"/>
      <w:r w:rsidRPr="00491557">
        <w:t>Rezaeinavaei</w:t>
      </w:r>
      <w:proofErr w:type="spellEnd"/>
      <w:r w:rsidRPr="00491557">
        <w:t xml:space="preserve"> et al., 2025).</w:t>
      </w:r>
    </w:p>
    <w:p w14:paraId="3B420C19" w14:textId="77777777" w:rsidR="00B96F06" w:rsidRPr="00B96F06" w:rsidRDefault="00B96F06" w:rsidP="00B96F06"/>
    <w:p w14:paraId="07F45B49" w14:textId="77777777" w:rsidR="00D1378E" w:rsidRDefault="00D1378E" w:rsidP="00D1378E">
      <w:pPr>
        <w:pStyle w:val="Heading2"/>
      </w:pPr>
      <w:bookmarkStart w:id="59" w:name="_Toc227659666"/>
      <w:r>
        <w:t>2.3 Analysis of Liquidity Position</w:t>
      </w:r>
      <w:bookmarkEnd w:id="59"/>
    </w:p>
    <w:p w14:paraId="0D773A53" w14:textId="74650A61" w:rsidR="000E3EE5" w:rsidRPr="000E3EE5" w:rsidRDefault="000A0C21" w:rsidP="000E3EE5">
      <w:r w:rsidRPr="000A0C21">
        <w:t>The liquidity position has been on the rise in the last five years with current and quick ratios on the rise (Tesla, Inc., 2025). High liquidity is one that would guarantee the company fulfills the short-term obligations without being financially strained, and this proves to be crucial in such eventful and competitive markets (</w:t>
      </w:r>
      <w:proofErr w:type="spellStart"/>
      <w:r w:rsidRPr="000A0C21">
        <w:t>Arisandi</w:t>
      </w:r>
      <w:proofErr w:type="spellEnd"/>
      <w:r w:rsidRPr="000A0C21">
        <w:t>, 2025).</w:t>
      </w:r>
    </w:p>
    <w:p w14:paraId="320541EB" w14:textId="1BB3B55E" w:rsidR="000E3EE5" w:rsidRDefault="004F19AA" w:rsidP="000E3EE5">
      <w:r w:rsidRPr="004F19AA">
        <w:t xml:space="preserve">Strong operating cash </w:t>
      </w:r>
      <w:proofErr w:type="gramStart"/>
      <w:r w:rsidRPr="004F19AA">
        <w:t>flows</w:t>
      </w:r>
      <w:proofErr w:type="gramEnd"/>
      <w:r w:rsidRPr="004F19AA">
        <w:t xml:space="preserve"> which give a stable source of internal </w:t>
      </w:r>
      <w:proofErr w:type="gramStart"/>
      <w:r w:rsidRPr="004F19AA">
        <w:t>financing</w:t>
      </w:r>
      <w:proofErr w:type="gramEnd"/>
      <w:r w:rsidRPr="004F19AA">
        <w:t xml:space="preserve"> </w:t>
      </w:r>
      <w:proofErr w:type="gramStart"/>
      <w:r w:rsidRPr="004F19AA">
        <w:t>supports</w:t>
      </w:r>
      <w:proofErr w:type="gramEnd"/>
      <w:r w:rsidRPr="004F19AA">
        <w:t xml:space="preserve"> the improvement in liquidity. Nevertheless, the CCC has turned negative to positive, which means that liquidity might also be pressurized unless the working capital is effectively handled (Campos et al., 2026; </w:t>
      </w:r>
      <w:proofErr w:type="spellStart"/>
      <w:r w:rsidRPr="004F19AA">
        <w:t>Faque</w:t>
      </w:r>
      <w:proofErr w:type="spellEnd"/>
      <w:r w:rsidRPr="004F19AA">
        <w:t>, 2022).</w:t>
      </w:r>
    </w:p>
    <w:p w14:paraId="35873459" w14:textId="4C0E7FB5" w:rsidR="00B16AEB" w:rsidRDefault="00B16AEB" w:rsidP="00DB64DE">
      <w:pPr>
        <w:jc w:val="center"/>
      </w:pPr>
      <w:r>
        <w:rPr>
          <w:noProof/>
        </w:rPr>
        <w:lastRenderedPageBreak/>
        <w:drawing>
          <wp:inline distT="0" distB="0" distL="0" distR="0" wp14:anchorId="63D2CF94" wp14:editId="76E9B468">
            <wp:extent cx="5038725" cy="2398239"/>
            <wp:effectExtent l="0" t="0" r="0" b="2540"/>
            <wp:docPr id="483255556" name="Picture 7" descr="Liquidity - IGCSE Business Revision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Liquidity - IGCSE Business Revision Notes"/>
                    <pic:cNvPicPr>
                      <a:picLocks noChangeAspect="1" noChangeArrowheads="1"/>
                    </pic:cNvPicPr>
                  </pic:nvPicPr>
                  <pic:blipFill rotWithShape="1">
                    <a:blip r:embed="rId33">
                      <a:extLst>
                        <a:ext uri="{28A0092B-C50C-407E-A947-70E740481C1C}">
                          <a14:useLocalDpi xmlns:a14="http://schemas.microsoft.com/office/drawing/2010/main" val="0"/>
                        </a:ext>
                      </a:extLst>
                    </a:blip>
                    <a:srcRect b="3404"/>
                    <a:stretch>
                      <a:fillRect/>
                    </a:stretch>
                  </pic:blipFill>
                  <pic:spPr bwMode="auto">
                    <a:xfrm>
                      <a:off x="0" y="0"/>
                      <a:ext cx="5045632" cy="2401527"/>
                    </a:xfrm>
                    <a:prstGeom prst="rect">
                      <a:avLst/>
                    </a:prstGeom>
                    <a:noFill/>
                    <a:ln>
                      <a:noFill/>
                    </a:ln>
                    <a:extLst>
                      <a:ext uri="{53640926-AAD7-44D8-BBD7-CCE9431645EC}">
                        <a14:shadowObscured xmlns:a14="http://schemas.microsoft.com/office/drawing/2010/main"/>
                      </a:ext>
                    </a:extLst>
                  </pic:spPr>
                </pic:pic>
              </a:graphicData>
            </a:graphic>
          </wp:inline>
        </w:drawing>
      </w:r>
    </w:p>
    <w:p w14:paraId="323CBB36" w14:textId="3692F743" w:rsidR="00B16AEB" w:rsidRPr="000E3EE5" w:rsidRDefault="00C47B62" w:rsidP="00C47B62">
      <w:pPr>
        <w:pStyle w:val="Caption"/>
      </w:pPr>
      <w:bookmarkStart w:id="60" w:name="_Toc227659604"/>
      <w:r>
        <w:t xml:space="preserve">Figure </w:t>
      </w:r>
      <w:fldSimple w:instr=" SEQ Figure \* ARABIC ">
        <w:r w:rsidR="00757BBB">
          <w:rPr>
            <w:noProof/>
          </w:rPr>
          <w:t>26</w:t>
        </w:r>
      </w:fldSimple>
      <w:r>
        <w:t>: Ways to Improve Liquidity</w:t>
      </w:r>
      <w:bookmarkEnd w:id="60"/>
    </w:p>
    <w:p w14:paraId="3A4E83F9" w14:textId="77777777" w:rsidR="000E3EE5" w:rsidRPr="000E3EE5" w:rsidRDefault="000E3EE5" w:rsidP="000E3EE5"/>
    <w:p w14:paraId="445EA236" w14:textId="77777777" w:rsidR="00D1378E" w:rsidRDefault="00D1378E" w:rsidP="00D1378E">
      <w:pPr>
        <w:pStyle w:val="Heading2"/>
      </w:pPr>
      <w:bookmarkStart w:id="61" w:name="_Toc227659667"/>
      <w:r>
        <w:t>2.4 Issues in Current Working Capital Management</w:t>
      </w:r>
      <w:bookmarkEnd w:id="61"/>
    </w:p>
    <w:p w14:paraId="40F6F4CC" w14:textId="2321F4EF" w:rsidR="00E72381" w:rsidRPr="00E72381" w:rsidRDefault="0030276D" w:rsidP="00E72381">
      <w:r w:rsidRPr="0030276D">
        <w:t xml:space="preserve">The working capital management of Tesla has </w:t>
      </w:r>
      <w:proofErr w:type="gramStart"/>
      <w:r w:rsidRPr="0030276D">
        <w:t>a number of</w:t>
      </w:r>
      <w:proofErr w:type="gramEnd"/>
      <w:r w:rsidRPr="0030276D">
        <w:t xml:space="preserve"> challenges even though this has improved, especially in its liquidity. The rising CCC shows that efficiency is deteriorating and can increase the need to finance its operations and decrease the cash supply (</w:t>
      </w:r>
      <w:proofErr w:type="spellStart"/>
      <w:r w:rsidRPr="0030276D">
        <w:t>Eldomiaty</w:t>
      </w:r>
      <w:proofErr w:type="spellEnd"/>
      <w:r w:rsidRPr="0030276D">
        <w:t xml:space="preserve"> et al., 2023).</w:t>
      </w:r>
    </w:p>
    <w:p w14:paraId="5D1A133E" w14:textId="3AD84144" w:rsidR="00E72381" w:rsidRPr="00E72381" w:rsidRDefault="00DB64DE" w:rsidP="00E72381">
      <w:r w:rsidRPr="00DB64DE">
        <w:t xml:space="preserve">The decrease in days payable out indicates that Tesla is not </w:t>
      </w:r>
      <w:proofErr w:type="spellStart"/>
      <w:r w:rsidRPr="00DB64DE">
        <w:t>maximising</w:t>
      </w:r>
      <w:proofErr w:type="spellEnd"/>
      <w:r w:rsidRPr="00DB64DE">
        <w:t xml:space="preserve"> the use of supplier credit, which may have an adverse effect on cash flow. Also, the rising inventory and receivables days are indicators of possible inefficiencies in inventory management and credit policies that may have an impact on the total financial performance (Gao, 2025; Yanney, 2023).</w:t>
      </w:r>
    </w:p>
    <w:p w14:paraId="7D81CF46" w14:textId="28356CC9" w:rsidR="00D1378E" w:rsidRDefault="00DB64DE" w:rsidP="00D1378E">
      <w:r>
        <w:rPr>
          <w:noProof/>
        </w:rPr>
        <w:drawing>
          <wp:inline distT="0" distB="0" distL="0" distR="0" wp14:anchorId="72CE4603" wp14:editId="31B5D83D">
            <wp:extent cx="5907405" cy="2036445"/>
            <wp:effectExtent l="0" t="0" r="0" b="1905"/>
            <wp:docPr id="9039955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07405" cy="2036445"/>
                    </a:xfrm>
                    <a:prstGeom prst="rect">
                      <a:avLst/>
                    </a:prstGeom>
                    <a:noFill/>
                  </pic:spPr>
                </pic:pic>
              </a:graphicData>
            </a:graphic>
          </wp:inline>
        </w:drawing>
      </w:r>
    </w:p>
    <w:p w14:paraId="4DD5C725" w14:textId="4CB76CC5" w:rsidR="00CC527D" w:rsidRDefault="00CC527D" w:rsidP="00CC527D">
      <w:pPr>
        <w:pStyle w:val="Caption"/>
      </w:pPr>
      <w:bookmarkStart w:id="62" w:name="_Toc227659605"/>
      <w:r>
        <w:lastRenderedPageBreak/>
        <w:t xml:space="preserve">Figure </w:t>
      </w:r>
      <w:fldSimple w:instr=" SEQ Figure \* ARABIC ">
        <w:r w:rsidR="00757BBB">
          <w:rPr>
            <w:noProof/>
          </w:rPr>
          <w:t>27</w:t>
        </w:r>
      </w:fldSimple>
      <w:r>
        <w:t xml:space="preserve">: </w:t>
      </w:r>
      <w:r w:rsidRPr="00B73CDF">
        <w:t>Issues in Current Working Capital Management</w:t>
      </w:r>
      <w:bookmarkEnd w:id="62"/>
    </w:p>
    <w:p w14:paraId="32C28B89" w14:textId="77777777" w:rsidR="00CC527D" w:rsidRPr="00CC527D" w:rsidRDefault="00CC527D" w:rsidP="00CC527D"/>
    <w:p w14:paraId="77F9B294" w14:textId="1E955850" w:rsidR="00D1378E" w:rsidRDefault="00D1378E" w:rsidP="00D1378E">
      <w:pPr>
        <w:pStyle w:val="Heading2"/>
      </w:pPr>
      <w:bookmarkStart w:id="63" w:name="_Toc227659668"/>
      <w:r>
        <w:t xml:space="preserve">2.5 </w:t>
      </w:r>
      <w:r w:rsidRPr="00D1378E">
        <w:t xml:space="preserve">Recommend </w:t>
      </w:r>
      <w:r>
        <w:t>Working Capital Improvement Strategies</w:t>
      </w:r>
      <w:bookmarkEnd w:id="63"/>
    </w:p>
    <w:p w14:paraId="4144C53C" w14:textId="0C2DADA7" w:rsidR="00D1378E" w:rsidRDefault="00D1378E" w:rsidP="00D1378E">
      <w:pPr>
        <w:pStyle w:val="Heading3"/>
      </w:pPr>
      <w:bookmarkStart w:id="64" w:name="_Toc227659669"/>
      <w:r>
        <w:t>2.5.1 Inventory Management Improvements</w:t>
      </w:r>
      <w:bookmarkEnd w:id="64"/>
    </w:p>
    <w:p w14:paraId="24C8CBA7" w14:textId="53C4C7F7" w:rsidR="00E72381" w:rsidRDefault="00B62D76" w:rsidP="00E72381">
      <w:r w:rsidRPr="00B62D76">
        <w:t xml:space="preserve">In Tesla, there should be a progressive inventory management approach which needs to be </w:t>
      </w:r>
      <w:proofErr w:type="gramStart"/>
      <w:r w:rsidRPr="00B62D76">
        <w:t>integrated</w:t>
      </w:r>
      <w:proofErr w:type="gramEnd"/>
      <w:r w:rsidRPr="00B62D76">
        <w:t xml:space="preserve"> like demand forecast and just-in-time to decrease inventory holding times. </w:t>
      </w:r>
      <w:r w:rsidR="009B71A4" w:rsidRPr="00B62D76">
        <w:t>Efficiency</w:t>
      </w:r>
      <w:r w:rsidRPr="00B62D76">
        <w:t xml:space="preserve"> can be enhanced by using digitalization and automation that help to track inventory levels and implement excess stock reduction (</w:t>
      </w:r>
      <w:proofErr w:type="spellStart"/>
      <w:r w:rsidRPr="00B62D76">
        <w:t>Rezaeinavaei</w:t>
      </w:r>
      <w:proofErr w:type="spellEnd"/>
      <w:r w:rsidRPr="00B62D76">
        <w:t xml:space="preserve"> et al., 2025).</w:t>
      </w:r>
    </w:p>
    <w:p w14:paraId="6D0A0B14" w14:textId="179D7F19" w:rsidR="00E72381" w:rsidRDefault="00893CB5" w:rsidP="00893CB5">
      <w:pPr>
        <w:jc w:val="center"/>
      </w:pPr>
      <w:r>
        <w:rPr>
          <w:noProof/>
        </w:rPr>
        <w:drawing>
          <wp:inline distT="0" distB="0" distL="0" distR="0" wp14:anchorId="14231F09" wp14:editId="5BF6308F">
            <wp:extent cx="5864369" cy="3000375"/>
            <wp:effectExtent l="0" t="0" r="3175" b="0"/>
            <wp:docPr id="266238487" name="Picture 9" descr="7 Ways to Improve Inventory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7 Ways to Improve Inventory Control"/>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70588" cy="3003557"/>
                    </a:xfrm>
                    <a:prstGeom prst="rect">
                      <a:avLst/>
                    </a:prstGeom>
                    <a:noFill/>
                    <a:ln>
                      <a:noFill/>
                    </a:ln>
                  </pic:spPr>
                </pic:pic>
              </a:graphicData>
            </a:graphic>
          </wp:inline>
        </w:drawing>
      </w:r>
    </w:p>
    <w:p w14:paraId="72372ED8" w14:textId="48EF61D9" w:rsidR="00893CB5" w:rsidRDefault="00893CB5" w:rsidP="00893CB5">
      <w:pPr>
        <w:pStyle w:val="Caption"/>
      </w:pPr>
      <w:bookmarkStart w:id="65" w:name="_Toc227659606"/>
      <w:r>
        <w:t xml:space="preserve">Figure </w:t>
      </w:r>
      <w:fldSimple w:instr=" SEQ Figure \* ARABIC ">
        <w:r w:rsidR="00757BBB">
          <w:rPr>
            <w:noProof/>
          </w:rPr>
          <w:t>28</w:t>
        </w:r>
      </w:fldSimple>
      <w:r>
        <w:t xml:space="preserve">: </w:t>
      </w:r>
      <w:r w:rsidRPr="00313ECF">
        <w:t>Ways to Improve Inventory Control</w:t>
      </w:r>
      <w:bookmarkEnd w:id="65"/>
    </w:p>
    <w:p w14:paraId="28CC508D" w14:textId="77777777" w:rsidR="00893CB5" w:rsidRPr="00893CB5" w:rsidRDefault="00893CB5" w:rsidP="00893CB5"/>
    <w:p w14:paraId="064F772D" w14:textId="4F6B9098" w:rsidR="00D1378E" w:rsidRDefault="00D1378E" w:rsidP="00D1378E">
      <w:pPr>
        <w:pStyle w:val="Heading3"/>
      </w:pPr>
      <w:bookmarkStart w:id="66" w:name="_Toc227659670"/>
      <w:r>
        <w:t>2.5.2 Receivables Management Strategies</w:t>
      </w:r>
      <w:bookmarkEnd w:id="66"/>
    </w:p>
    <w:p w14:paraId="12678E74" w14:textId="363179DA" w:rsidR="00470ECE" w:rsidRDefault="009B71A4" w:rsidP="00470ECE">
      <w:r w:rsidRPr="009B71A4">
        <w:t xml:space="preserve">Receivables days can be decreased by improving credit policies and </w:t>
      </w:r>
      <w:proofErr w:type="gramStart"/>
      <w:r w:rsidRPr="009B71A4">
        <w:t>use</w:t>
      </w:r>
      <w:proofErr w:type="gramEnd"/>
      <w:r w:rsidRPr="009B71A4">
        <w:t xml:space="preserve"> more stringent collection procedures. To speed up cash receipts and enhance liquidity, it is possible to offer early payment discounts and implement digital payment systems (Gao, 2025).</w:t>
      </w:r>
    </w:p>
    <w:p w14:paraId="4D987E11" w14:textId="2802C230" w:rsidR="00470ECE" w:rsidRDefault="00F7469F" w:rsidP="009F2B1E">
      <w:pPr>
        <w:jc w:val="center"/>
      </w:pPr>
      <w:r>
        <w:rPr>
          <w:noProof/>
        </w:rPr>
        <w:lastRenderedPageBreak/>
        <w:drawing>
          <wp:inline distT="0" distB="0" distL="0" distR="0" wp14:anchorId="4E82914A" wp14:editId="6C40B556">
            <wp:extent cx="3657600" cy="2133600"/>
            <wp:effectExtent l="0" t="0" r="0" b="0"/>
            <wp:docPr id="1233563669" name="Picture 10" descr="5 Strategies to Improve Accounts Receivabl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5 Strategies to Improve Accounts Receivable Management"/>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25321" b="16346"/>
                    <a:stretch>
                      <a:fillRect/>
                    </a:stretch>
                  </pic:blipFill>
                  <pic:spPr bwMode="auto">
                    <a:xfrm>
                      <a:off x="0" y="0"/>
                      <a:ext cx="3661942" cy="2136133"/>
                    </a:xfrm>
                    <a:prstGeom prst="rect">
                      <a:avLst/>
                    </a:prstGeom>
                    <a:noFill/>
                    <a:ln>
                      <a:noFill/>
                    </a:ln>
                    <a:extLst>
                      <a:ext uri="{53640926-AAD7-44D8-BBD7-CCE9431645EC}">
                        <a14:shadowObscured xmlns:a14="http://schemas.microsoft.com/office/drawing/2010/main"/>
                      </a:ext>
                    </a:extLst>
                  </pic:spPr>
                </pic:pic>
              </a:graphicData>
            </a:graphic>
          </wp:inline>
        </w:drawing>
      </w:r>
    </w:p>
    <w:p w14:paraId="401D3CB2" w14:textId="781C88F7" w:rsidR="00F7469F" w:rsidRDefault="00F7469F" w:rsidP="00F7469F">
      <w:pPr>
        <w:pStyle w:val="Caption"/>
      </w:pPr>
      <w:bookmarkStart w:id="67" w:name="_Toc227659607"/>
      <w:r>
        <w:t xml:space="preserve">Figure </w:t>
      </w:r>
      <w:fldSimple w:instr=" SEQ Figure \* ARABIC ">
        <w:r w:rsidR="00757BBB">
          <w:rPr>
            <w:noProof/>
          </w:rPr>
          <w:t>29</w:t>
        </w:r>
      </w:fldSimple>
      <w:r>
        <w:t xml:space="preserve">: </w:t>
      </w:r>
      <w:r w:rsidRPr="009F6F13">
        <w:t>Strategies to Improve Accounts Receivable Management</w:t>
      </w:r>
      <w:bookmarkEnd w:id="67"/>
    </w:p>
    <w:p w14:paraId="6D4E2E91" w14:textId="77777777" w:rsidR="00F7469F" w:rsidRPr="00F7469F" w:rsidRDefault="00F7469F" w:rsidP="00F7469F"/>
    <w:p w14:paraId="319BADCC" w14:textId="6C970882" w:rsidR="00D1378E" w:rsidRDefault="00D1378E" w:rsidP="00D1378E">
      <w:pPr>
        <w:pStyle w:val="Heading3"/>
      </w:pPr>
      <w:bookmarkStart w:id="68" w:name="_Toc227659671"/>
      <w:r>
        <w:t>2.5.3 Payables Optimization</w:t>
      </w:r>
      <w:bookmarkEnd w:id="68"/>
    </w:p>
    <w:p w14:paraId="3D6D7CE9" w14:textId="0EEBBCB1" w:rsidR="00470ECE" w:rsidRDefault="001837E5" w:rsidP="00470ECE">
      <w:r w:rsidRPr="001837E5">
        <w:t xml:space="preserve">To negotiate improved credit terms with suppliers, Tesla needs to negotiate lengthening of payment time without risk of loss of relationship. Improving the payables </w:t>
      </w:r>
      <w:proofErr w:type="gramStart"/>
      <w:r w:rsidRPr="001837E5">
        <w:t>is able to</w:t>
      </w:r>
      <w:proofErr w:type="gramEnd"/>
      <w:r w:rsidRPr="001837E5">
        <w:t xml:space="preserve"> </w:t>
      </w:r>
      <w:proofErr w:type="spellStart"/>
      <w:r w:rsidRPr="001837E5">
        <w:t>optimise</w:t>
      </w:r>
      <w:proofErr w:type="spellEnd"/>
      <w:r w:rsidRPr="001837E5">
        <w:t xml:space="preserve"> cash flows and </w:t>
      </w:r>
      <w:proofErr w:type="spellStart"/>
      <w:r w:rsidRPr="001837E5">
        <w:t>minimise</w:t>
      </w:r>
      <w:proofErr w:type="spellEnd"/>
      <w:r w:rsidRPr="001837E5">
        <w:t xml:space="preserve"> the use of external funding (Ali et al., 2025).</w:t>
      </w:r>
    </w:p>
    <w:p w14:paraId="1AE935F3" w14:textId="335E8ED9" w:rsidR="00753BA0" w:rsidRDefault="009F2B1E" w:rsidP="00470ECE">
      <w:r>
        <w:rPr>
          <w:noProof/>
        </w:rPr>
        <w:drawing>
          <wp:inline distT="0" distB="0" distL="0" distR="0" wp14:anchorId="5C8156FD" wp14:editId="5223D289">
            <wp:extent cx="5943600" cy="3448050"/>
            <wp:effectExtent l="0" t="0" r="0" b="0"/>
            <wp:docPr id="499577326" name="Picture 11" descr="Accounts Payable Best Practices: 9 Tips to Optimize 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ccounts Payable Best Practices: 9 Tips to Optimize AP"/>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b="10337"/>
                    <a:stretch>
                      <a:fillRect/>
                    </a:stretch>
                  </pic:blipFill>
                  <pic:spPr bwMode="auto">
                    <a:xfrm>
                      <a:off x="0" y="0"/>
                      <a:ext cx="5943600" cy="3448050"/>
                    </a:xfrm>
                    <a:prstGeom prst="rect">
                      <a:avLst/>
                    </a:prstGeom>
                    <a:noFill/>
                    <a:ln>
                      <a:noFill/>
                    </a:ln>
                    <a:extLst>
                      <a:ext uri="{53640926-AAD7-44D8-BBD7-CCE9431645EC}">
                        <a14:shadowObscured xmlns:a14="http://schemas.microsoft.com/office/drawing/2010/main"/>
                      </a:ext>
                    </a:extLst>
                  </pic:spPr>
                </pic:pic>
              </a:graphicData>
            </a:graphic>
          </wp:inline>
        </w:drawing>
      </w:r>
    </w:p>
    <w:p w14:paraId="5FD735FB" w14:textId="5796D0EB" w:rsidR="009F2B1E" w:rsidRPr="00470ECE" w:rsidRDefault="009F2B1E" w:rsidP="009F2B1E">
      <w:pPr>
        <w:pStyle w:val="Caption"/>
      </w:pPr>
      <w:bookmarkStart w:id="69" w:name="_Toc227659608"/>
      <w:r>
        <w:t xml:space="preserve">Figure </w:t>
      </w:r>
      <w:fldSimple w:instr=" SEQ Figure \* ARABIC ">
        <w:r w:rsidR="00757BBB">
          <w:rPr>
            <w:noProof/>
          </w:rPr>
          <w:t>30</w:t>
        </w:r>
      </w:fldSimple>
      <w:r>
        <w:t xml:space="preserve">: </w:t>
      </w:r>
      <w:r w:rsidRPr="00BA6B79">
        <w:t>Accounts Payable Best Practices</w:t>
      </w:r>
      <w:bookmarkEnd w:id="69"/>
    </w:p>
    <w:p w14:paraId="3C674AA5" w14:textId="792E55A4" w:rsidR="00D1378E" w:rsidRDefault="00D1378E" w:rsidP="00D1378E">
      <w:pPr>
        <w:pStyle w:val="Heading3"/>
      </w:pPr>
      <w:bookmarkStart w:id="70" w:name="_Toc227659672"/>
      <w:r>
        <w:lastRenderedPageBreak/>
        <w:t>2.5.4 Cash Management Techniques</w:t>
      </w:r>
      <w:bookmarkEnd w:id="70"/>
    </w:p>
    <w:p w14:paraId="61A7661E" w14:textId="19B5A6A2" w:rsidR="00D1378E" w:rsidRDefault="00473CB1" w:rsidP="00D1378E">
      <w:r w:rsidRPr="00473CB1">
        <w:t>Financial stability can be improved by effective cash management strategies such as cash flow forecasting and keeping optimum cash reserves. Effective cash management encourages flexibility in operations and investment ability (</w:t>
      </w:r>
      <w:proofErr w:type="spellStart"/>
      <w:r w:rsidRPr="00473CB1">
        <w:t>Faque</w:t>
      </w:r>
      <w:proofErr w:type="spellEnd"/>
      <w:r w:rsidRPr="00473CB1">
        <w:t>, 2022).</w:t>
      </w:r>
    </w:p>
    <w:p w14:paraId="4020D588" w14:textId="01F6CDFB" w:rsidR="009B2A8C" w:rsidRDefault="00D662E9" w:rsidP="00D1378E">
      <w:r>
        <w:rPr>
          <w:noProof/>
        </w:rPr>
        <w:drawing>
          <wp:inline distT="0" distB="0" distL="0" distR="0" wp14:anchorId="30FFA148" wp14:editId="1EDD3426">
            <wp:extent cx="5943600" cy="2446655"/>
            <wp:effectExtent l="0" t="0" r="0" b="0"/>
            <wp:docPr id="1764301838" name="Picture 12" descr="4 Effective Cash Flow Management Strategies for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4 Effective Cash Flow Management Strategies for Your Busines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2446655"/>
                    </a:xfrm>
                    <a:prstGeom prst="rect">
                      <a:avLst/>
                    </a:prstGeom>
                    <a:noFill/>
                    <a:ln>
                      <a:noFill/>
                    </a:ln>
                  </pic:spPr>
                </pic:pic>
              </a:graphicData>
            </a:graphic>
          </wp:inline>
        </w:drawing>
      </w:r>
    </w:p>
    <w:p w14:paraId="04574F81" w14:textId="307AC739" w:rsidR="00D662E9" w:rsidRDefault="00D662E9" w:rsidP="00D662E9">
      <w:pPr>
        <w:pStyle w:val="Caption"/>
      </w:pPr>
      <w:bookmarkStart w:id="71" w:name="_Toc227659609"/>
      <w:r>
        <w:t xml:space="preserve">Figure </w:t>
      </w:r>
      <w:fldSimple w:instr=" SEQ Figure \* ARABIC ">
        <w:r w:rsidR="00757BBB">
          <w:rPr>
            <w:noProof/>
          </w:rPr>
          <w:t>31</w:t>
        </w:r>
      </w:fldSimple>
      <w:r>
        <w:t xml:space="preserve">: </w:t>
      </w:r>
      <w:r w:rsidRPr="00423615">
        <w:t>Cash Flow Management Strategies</w:t>
      </w:r>
      <w:bookmarkEnd w:id="71"/>
    </w:p>
    <w:p w14:paraId="41D1FDFD" w14:textId="77777777" w:rsidR="00D662E9" w:rsidRPr="00D662E9" w:rsidRDefault="00D662E9" w:rsidP="00D662E9"/>
    <w:p w14:paraId="6E05865B" w14:textId="5B736364" w:rsidR="00D1378E" w:rsidRDefault="00D1378E" w:rsidP="00D1378E">
      <w:pPr>
        <w:pStyle w:val="Heading2"/>
      </w:pPr>
      <w:bookmarkStart w:id="72" w:name="_Toc227659673"/>
      <w:r>
        <w:t xml:space="preserve">2.6 </w:t>
      </w:r>
      <w:r w:rsidRPr="00D1378E">
        <w:t>Compare short-term vs long-term financing options</w:t>
      </w:r>
      <w:bookmarkEnd w:id="72"/>
    </w:p>
    <w:p w14:paraId="65003BC1" w14:textId="03080131" w:rsidR="00D1378E" w:rsidRDefault="00D1378E" w:rsidP="00D1378E">
      <w:pPr>
        <w:pStyle w:val="Heading3"/>
      </w:pPr>
      <w:bookmarkStart w:id="73" w:name="_Toc227659674"/>
      <w:r>
        <w:t>2.6.1 Short-Term Financing Options</w:t>
      </w:r>
      <w:bookmarkEnd w:id="73"/>
    </w:p>
    <w:p w14:paraId="6A33159D" w14:textId="5EDD43E5" w:rsidR="00BC1842" w:rsidRDefault="00247D3A" w:rsidP="00BC1842">
      <w:r w:rsidRPr="00247D3A">
        <w:t xml:space="preserve">Short term finance- </w:t>
      </w:r>
      <w:proofErr w:type="gramStart"/>
      <w:r w:rsidRPr="00247D3A">
        <w:t>Short</w:t>
      </w:r>
      <w:proofErr w:type="gramEnd"/>
      <w:r w:rsidRPr="00247D3A">
        <w:t xml:space="preserve"> term financing can be in form of bank overdraft and trade credit which offers instant liquidity and working capital flexibility. They are appropriate in case of short-term cash needs though might come at a higher interest rate and can also come along with the risk of refinancing (Rotimi-Ojo et al., 2025).</w:t>
      </w:r>
    </w:p>
    <w:p w14:paraId="01744032" w14:textId="77777777" w:rsidR="00BC1842" w:rsidRPr="00BC1842" w:rsidRDefault="00BC1842" w:rsidP="00BC1842"/>
    <w:p w14:paraId="55014E21" w14:textId="65226C65" w:rsidR="00D1378E" w:rsidRDefault="00D1378E" w:rsidP="00D1378E">
      <w:pPr>
        <w:pStyle w:val="Heading3"/>
      </w:pPr>
      <w:bookmarkStart w:id="74" w:name="_Toc227659675"/>
      <w:r>
        <w:t>2.6.2 Long-Term Financing Options</w:t>
      </w:r>
      <w:bookmarkEnd w:id="74"/>
    </w:p>
    <w:p w14:paraId="66B28816" w14:textId="3F256D5B" w:rsidR="00513845" w:rsidRPr="00513845" w:rsidRDefault="001C152B" w:rsidP="00513845">
      <w:r w:rsidRPr="001C152B">
        <w:t>Equity and long-term debt form long-term funding to achieve stable expenditure on strategic investments and minimize the risk associated with refinancing. Nevertheless, it can lead to an increase in financial commitment and influence the capital structure (</w:t>
      </w:r>
      <w:proofErr w:type="spellStart"/>
      <w:r w:rsidRPr="001C152B">
        <w:t>Miswanto</w:t>
      </w:r>
      <w:proofErr w:type="spellEnd"/>
      <w:r w:rsidRPr="001C152B">
        <w:t>, 2018).</w:t>
      </w:r>
    </w:p>
    <w:p w14:paraId="6A1B9326" w14:textId="3CA65701" w:rsidR="00513845" w:rsidRPr="00513845" w:rsidRDefault="00821017" w:rsidP="00513845">
      <w:r w:rsidRPr="00821017">
        <w:lastRenderedPageBreak/>
        <w:t>Relatively, short-term finance has more flexibility, yet it is risky whereas long-term insulates and sacrifices the flexibility of finance. To manage finances successfully, a balanced approach is critical (</w:t>
      </w:r>
      <w:proofErr w:type="spellStart"/>
      <w:r w:rsidRPr="00821017">
        <w:t>Alinezhadjahromi</w:t>
      </w:r>
      <w:proofErr w:type="spellEnd"/>
      <w:r w:rsidRPr="00821017">
        <w:t xml:space="preserve"> et al., 2026).</w:t>
      </w:r>
    </w:p>
    <w:p w14:paraId="5F6DB9F0" w14:textId="77777777" w:rsidR="00E920F1" w:rsidRDefault="00E920F1" w:rsidP="00D1378E"/>
    <w:p w14:paraId="2E1F1ADC" w14:textId="341D2317" w:rsidR="00D1378E" w:rsidRDefault="00E920F1" w:rsidP="00E920F1">
      <w:pPr>
        <w:pStyle w:val="Heading2"/>
      </w:pPr>
      <w:bookmarkStart w:id="75" w:name="_Toc227659676"/>
      <w:r w:rsidRPr="00E920F1">
        <w:t>2.</w:t>
      </w:r>
      <w:r>
        <w:t>7</w:t>
      </w:r>
      <w:r w:rsidRPr="00E920F1">
        <w:t xml:space="preserve"> Recommended Working Capital Strategy</w:t>
      </w:r>
      <w:bookmarkEnd w:id="75"/>
    </w:p>
    <w:p w14:paraId="6D6DFBA7" w14:textId="4A018CAD" w:rsidR="00CA649F" w:rsidRDefault="00821017" w:rsidP="00CA649F">
      <w:r>
        <w:rPr>
          <w:noProof/>
        </w:rPr>
        <w:drawing>
          <wp:inline distT="0" distB="0" distL="0" distR="0" wp14:anchorId="2EE5C7BA" wp14:editId="4FCB6C2B">
            <wp:extent cx="5864860" cy="2981325"/>
            <wp:effectExtent l="0" t="0" r="2540" b="0"/>
            <wp:docPr id="1337706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64860" cy="2981325"/>
                    </a:xfrm>
                    <a:prstGeom prst="rect">
                      <a:avLst/>
                    </a:prstGeom>
                    <a:noFill/>
                  </pic:spPr>
                </pic:pic>
              </a:graphicData>
            </a:graphic>
          </wp:inline>
        </w:drawing>
      </w:r>
    </w:p>
    <w:p w14:paraId="66B1EADD" w14:textId="6BAB61EC" w:rsidR="00CA649F" w:rsidRPr="00CA649F" w:rsidRDefault="00506B9C" w:rsidP="00506B9C">
      <w:pPr>
        <w:pStyle w:val="Caption"/>
      </w:pPr>
      <w:bookmarkStart w:id="76" w:name="_Toc227659610"/>
      <w:r>
        <w:t xml:space="preserve">Figure </w:t>
      </w:r>
      <w:fldSimple w:instr=" SEQ Figure \* ARABIC ">
        <w:r w:rsidR="00757BBB">
          <w:rPr>
            <w:noProof/>
          </w:rPr>
          <w:t>32</w:t>
        </w:r>
      </w:fldSimple>
      <w:r>
        <w:t xml:space="preserve">: </w:t>
      </w:r>
      <w:r w:rsidRPr="00CE7CA6">
        <w:t>Recommended Working Capital Strategy</w:t>
      </w:r>
      <w:bookmarkEnd w:id="76"/>
    </w:p>
    <w:p w14:paraId="2A3F7A29" w14:textId="550C5F3A" w:rsidR="00513845" w:rsidRPr="00513845" w:rsidRDefault="00D95381" w:rsidP="00513845">
      <w:r w:rsidRPr="00D95381">
        <w:t xml:space="preserve">According to the analysis, Tesla ought to take a balanced working capital approach, which aims at maximizing efficiency without losing liquidity. Minimizing inventory days and receivable days and </w:t>
      </w:r>
      <w:proofErr w:type="gramStart"/>
      <w:r w:rsidR="002A7121" w:rsidRPr="00D95381">
        <w:t>optimize</w:t>
      </w:r>
      <w:proofErr w:type="gramEnd"/>
      <w:r w:rsidRPr="00D95381">
        <w:t xml:space="preserve"> payables can assist in restoring a negative CCC and improve cash flow.</w:t>
      </w:r>
    </w:p>
    <w:p w14:paraId="603E2EDD" w14:textId="052967CB" w:rsidR="00513845" w:rsidRPr="00513845" w:rsidRDefault="002A7121" w:rsidP="00513845">
      <w:r w:rsidRPr="002A7121">
        <w:t xml:space="preserve">Also, long-term financing of strategic investments along with short-term financing of operations needs should be considered as a way of increasing flexibility and stability of financial resources. The given strategy corresponds to the best practice in working capital management and facilitates the development of a profitable company in the competitive environment (Ali et al., 2025; </w:t>
      </w:r>
      <w:proofErr w:type="spellStart"/>
      <w:r w:rsidRPr="002A7121">
        <w:t>Eldomiaty</w:t>
      </w:r>
      <w:proofErr w:type="spellEnd"/>
      <w:r w:rsidRPr="002A7121">
        <w:t xml:space="preserve"> et al., 2023).</w:t>
      </w:r>
    </w:p>
    <w:p w14:paraId="5D3AECC4" w14:textId="77777777" w:rsidR="00E920F1" w:rsidRDefault="00E920F1" w:rsidP="00D1378E"/>
    <w:p w14:paraId="78482FA3" w14:textId="77777777" w:rsidR="00E920F1" w:rsidRDefault="00E920F1" w:rsidP="00D1378E"/>
    <w:p w14:paraId="17BCD40A" w14:textId="67287934" w:rsidR="00E920F1" w:rsidRDefault="00E920F1" w:rsidP="00E920F1">
      <w:pPr>
        <w:pStyle w:val="Heading1"/>
      </w:pPr>
      <w:bookmarkStart w:id="77" w:name="_Toc227659677"/>
      <w:r>
        <w:lastRenderedPageBreak/>
        <w:t>3. Strategic Financial Restructuring Plan</w:t>
      </w:r>
      <w:bookmarkEnd w:id="77"/>
    </w:p>
    <w:p w14:paraId="421F3D8D" w14:textId="77777777" w:rsidR="00E920F1" w:rsidRDefault="00E920F1" w:rsidP="00E920F1">
      <w:pPr>
        <w:pStyle w:val="Heading2"/>
      </w:pPr>
      <w:bookmarkStart w:id="78" w:name="_Toc227659678"/>
      <w:r>
        <w:t>3.1 Need for Financial Restructuring</w:t>
      </w:r>
      <w:bookmarkEnd w:id="78"/>
    </w:p>
    <w:p w14:paraId="2A14A548" w14:textId="22E75575" w:rsidR="00893578" w:rsidRDefault="002A7121" w:rsidP="00893578">
      <w:r>
        <w:rPr>
          <w:noProof/>
        </w:rPr>
        <w:drawing>
          <wp:inline distT="0" distB="0" distL="0" distR="0" wp14:anchorId="412CFEF4" wp14:editId="7CCB6B7B">
            <wp:extent cx="5974715" cy="4584700"/>
            <wp:effectExtent l="0" t="0" r="0" b="6350"/>
            <wp:docPr id="1256607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74715" cy="4584700"/>
                    </a:xfrm>
                    <a:prstGeom prst="rect">
                      <a:avLst/>
                    </a:prstGeom>
                    <a:noFill/>
                  </pic:spPr>
                </pic:pic>
              </a:graphicData>
            </a:graphic>
          </wp:inline>
        </w:drawing>
      </w:r>
    </w:p>
    <w:p w14:paraId="2B0881B8" w14:textId="75268061" w:rsidR="00893578" w:rsidRPr="00893578" w:rsidRDefault="00893578" w:rsidP="00893578">
      <w:pPr>
        <w:pStyle w:val="Caption"/>
      </w:pPr>
      <w:bookmarkStart w:id="79" w:name="_Toc227659611"/>
      <w:r>
        <w:t xml:space="preserve">Figure </w:t>
      </w:r>
      <w:fldSimple w:instr=" SEQ Figure \* ARABIC ">
        <w:r w:rsidR="00757BBB">
          <w:rPr>
            <w:noProof/>
          </w:rPr>
          <w:t>33</w:t>
        </w:r>
      </w:fldSimple>
      <w:r>
        <w:t xml:space="preserve">: </w:t>
      </w:r>
      <w:r w:rsidRPr="0076275F">
        <w:t>Need for Financial Restructuring</w:t>
      </w:r>
      <w:bookmarkEnd w:id="79"/>
    </w:p>
    <w:p w14:paraId="59A73E47" w14:textId="666EE398" w:rsidR="00207A23" w:rsidRPr="00207A23" w:rsidRDefault="002F24FD" w:rsidP="00207A23">
      <w:r w:rsidRPr="002F24FD">
        <w:t>As financial statistics over the last few years show, Tesla is moving off the growth daunting path to a more stable yet strained position, to which it needs to reorganize financial processes to remain competitive.</w:t>
      </w:r>
      <w:r w:rsidR="00207A23" w:rsidRPr="00207A23">
        <w:t xml:space="preserve"> </w:t>
      </w:r>
      <w:r w:rsidR="00535EE1" w:rsidRPr="00535EE1">
        <w:t xml:space="preserve">Despite its </w:t>
      </w:r>
      <w:proofErr w:type="gramStart"/>
      <w:r w:rsidR="00535EE1" w:rsidRPr="00535EE1">
        <w:t>positive growth</w:t>
      </w:r>
      <w:proofErr w:type="gramEnd"/>
      <w:r w:rsidR="00535EE1" w:rsidRPr="00535EE1">
        <w:t xml:space="preserve"> of revenues and its ability to innovate, deteriorating margins and efficiency ratios show that it is necessary to </w:t>
      </w:r>
      <w:proofErr w:type="spellStart"/>
      <w:r w:rsidR="00535EE1" w:rsidRPr="00535EE1">
        <w:t>optimise</w:t>
      </w:r>
      <w:proofErr w:type="spellEnd"/>
      <w:r w:rsidR="00535EE1" w:rsidRPr="00535EE1">
        <w:t xml:space="preserve"> financial resources and cost structures (Tesla, Inc., 2025; Zheng, 2024).</w:t>
      </w:r>
    </w:p>
    <w:p w14:paraId="1F8671E1" w14:textId="28E2C5BA" w:rsidR="00207A23" w:rsidRDefault="009B6C85" w:rsidP="00207A23">
      <w:r w:rsidRPr="009B6C85">
        <w:t>Essential financial restructuring is required of capital-intensive companies such as Tesla since an ever-present investment in technologies, manufacturing power, and international growth requires effective capital distribution.</w:t>
      </w:r>
      <w:r w:rsidR="00207A23" w:rsidRPr="00207A23">
        <w:t xml:space="preserve"> </w:t>
      </w:r>
      <w:r w:rsidR="00227B7E" w:rsidRPr="00227B7E">
        <w:t xml:space="preserve">Additionally, </w:t>
      </w:r>
      <w:proofErr w:type="gramStart"/>
      <w:r w:rsidR="00227B7E" w:rsidRPr="00227B7E">
        <w:t>the restructuring</w:t>
      </w:r>
      <w:proofErr w:type="gramEnd"/>
      <w:r w:rsidR="00227B7E" w:rsidRPr="00227B7E">
        <w:t xml:space="preserve"> helps firms to </w:t>
      </w:r>
      <w:r w:rsidR="00227B7E" w:rsidRPr="00227B7E">
        <w:lastRenderedPageBreak/>
        <w:t>maximize profitability, decrease the risk of financial exposure and positively impact sustainable shareholder wealth (</w:t>
      </w:r>
      <w:proofErr w:type="spellStart"/>
      <w:r w:rsidR="00227B7E" w:rsidRPr="00227B7E">
        <w:t>Alinezhadjahromi</w:t>
      </w:r>
      <w:proofErr w:type="spellEnd"/>
      <w:r w:rsidR="00227B7E" w:rsidRPr="00227B7E">
        <w:t xml:space="preserve"> et al., 2026; Berthilde et al., 2020).</w:t>
      </w:r>
    </w:p>
    <w:p w14:paraId="1A952938" w14:textId="77777777" w:rsidR="00893578" w:rsidRPr="00207A23" w:rsidRDefault="00893578" w:rsidP="00207A23"/>
    <w:p w14:paraId="438933B9" w14:textId="77777777" w:rsidR="00E920F1" w:rsidRDefault="00E920F1" w:rsidP="00E920F1">
      <w:pPr>
        <w:pStyle w:val="Heading2"/>
      </w:pPr>
      <w:bookmarkStart w:id="80" w:name="_Toc227659679"/>
      <w:r>
        <w:t>3.2 Identified Financial Issues</w:t>
      </w:r>
      <w:bookmarkEnd w:id="80"/>
    </w:p>
    <w:p w14:paraId="6E6FF850" w14:textId="10FD267B" w:rsidR="00000F87" w:rsidRPr="00000F87" w:rsidRDefault="00C133D1" w:rsidP="00000F87">
      <w:r w:rsidRPr="00C133D1">
        <w:t>One of the key financial issues is the decline in profitability margins despite increasing revenues, suggesting rising production and operational costs. It testifies to the ineffective cost management and pricing policies within a competitive market of electric cars (Tesla, Inc., 2024; Ramdhan et al., 2025).</w:t>
      </w:r>
    </w:p>
    <w:p w14:paraId="5895FD5D" w14:textId="76449CE7" w:rsidR="00000F87" w:rsidRPr="00000F87" w:rsidRDefault="00D46EE8" w:rsidP="00000F87">
      <w:r w:rsidRPr="00D46EE8">
        <w:t xml:space="preserve">Also, Tesla efficiency ratios, such as asset turnover have slowed down indicating difficulty in making good use of assets. The liquidity pressures and operation constraints are also indicated by working capital inefficiencies and a raised cash conversion cycle (Yanney, 2023; </w:t>
      </w:r>
      <w:proofErr w:type="spellStart"/>
      <w:r w:rsidRPr="00D46EE8">
        <w:t>Eldomiaty</w:t>
      </w:r>
      <w:proofErr w:type="spellEnd"/>
      <w:r w:rsidRPr="00D46EE8">
        <w:t xml:space="preserve"> et al., 2023).</w:t>
      </w:r>
    </w:p>
    <w:p w14:paraId="01921076" w14:textId="77777777" w:rsidR="00E920F1" w:rsidRDefault="00E920F1" w:rsidP="00E920F1"/>
    <w:p w14:paraId="5B8E2095" w14:textId="77777777" w:rsidR="00E920F1" w:rsidRDefault="00E920F1" w:rsidP="00E920F1">
      <w:pPr>
        <w:pStyle w:val="Heading2"/>
      </w:pPr>
      <w:bookmarkStart w:id="81" w:name="_Toc227659680"/>
      <w:r>
        <w:t>3.3 Restructuring Options</w:t>
      </w:r>
      <w:bookmarkEnd w:id="81"/>
    </w:p>
    <w:p w14:paraId="7684EA4A" w14:textId="0DFB078F" w:rsidR="00E920F1" w:rsidRDefault="00E920F1" w:rsidP="00E920F1">
      <w:pPr>
        <w:pStyle w:val="Heading3"/>
      </w:pPr>
      <w:bookmarkStart w:id="82" w:name="_Toc227659681"/>
      <w:r>
        <w:t>3.3.1 Divestiture Strategy</w:t>
      </w:r>
      <w:bookmarkEnd w:id="82"/>
    </w:p>
    <w:p w14:paraId="678069AE" w14:textId="5620DA55" w:rsidR="00A31060" w:rsidRDefault="00A31060" w:rsidP="00A31060">
      <w:pPr>
        <w:jc w:val="center"/>
      </w:pPr>
      <w:r>
        <w:rPr>
          <w:noProof/>
        </w:rPr>
        <w:drawing>
          <wp:inline distT="0" distB="0" distL="0" distR="0" wp14:anchorId="60D4E23F" wp14:editId="7FD731B4">
            <wp:extent cx="3733800" cy="2843911"/>
            <wp:effectExtent l="0" t="0" r="0" b="0"/>
            <wp:docPr id="2106104200" name="Picture 16" descr="What is Divestiture? Strategy, Example and Types - The Investor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What is Divestiture? Strategy, Example and Types - The Investors Book"/>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739310" cy="2848108"/>
                    </a:xfrm>
                    <a:prstGeom prst="rect">
                      <a:avLst/>
                    </a:prstGeom>
                    <a:noFill/>
                    <a:ln>
                      <a:noFill/>
                    </a:ln>
                  </pic:spPr>
                </pic:pic>
              </a:graphicData>
            </a:graphic>
          </wp:inline>
        </w:drawing>
      </w:r>
    </w:p>
    <w:p w14:paraId="56035A5B" w14:textId="195FCC03" w:rsidR="00A31060" w:rsidRPr="00A31060" w:rsidRDefault="00A31060" w:rsidP="00A31060">
      <w:pPr>
        <w:pStyle w:val="Caption"/>
      </w:pPr>
      <w:bookmarkStart w:id="83" w:name="_Toc227659612"/>
      <w:r>
        <w:t xml:space="preserve">Figure </w:t>
      </w:r>
      <w:fldSimple w:instr=" SEQ Figure \* ARABIC ">
        <w:r w:rsidR="00757BBB">
          <w:rPr>
            <w:noProof/>
          </w:rPr>
          <w:t>34</w:t>
        </w:r>
      </w:fldSimple>
      <w:r>
        <w:t xml:space="preserve">: </w:t>
      </w:r>
      <w:r w:rsidRPr="006B71C9">
        <w:t>Divestiture Strategy</w:t>
      </w:r>
      <w:bookmarkEnd w:id="83"/>
    </w:p>
    <w:p w14:paraId="21340683" w14:textId="47F1EA32" w:rsidR="00000F87" w:rsidRPr="00000F87" w:rsidRDefault="00D46EE8" w:rsidP="00000F87">
      <w:r w:rsidRPr="00D46EE8">
        <w:lastRenderedPageBreak/>
        <w:t xml:space="preserve">Divestiture refers to the selling of non-core or non-performing assets </w:t>
      </w:r>
      <w:proofErr w:type="gramStart"/>
      <w:r w:rsidRPr="00D46EE8">
        <w:t>in an attempt to</w:t>
      </w:r>
      <w:proofErr w:type="gramEnd"/>
      <w:r w:rsidRPr="00D46EE8">
        <w:t xml:space="preserve"> enhance financial efficiency and concentration on core competencies. In the case of Tesla, the sale of non-strategic operations would allow allocation to innovation and extended growth opportunities in areas of high growth like battery technology and AI-guided mobility (Lee et al., 2020; Li, 2025).</w:t>
      </w:r>
    </w:p>
    <w:p w14:paraId="63EA8D8E" w14:textId="016285CC" w:rsidR="00000F87" w:rsidRPr="00000F87" w:rsidRDefault="00AB7F57" w:rsidP="00000F87">
      <w:r w:rsidRPr="00AB7F57">
        <w:t>Such a policy can enhance profitability through lessening the complexity of operations and investing in more lucrative ventures. It also boosts financial flexibility by creating cash inflows (Rotimi-Ojo et al., 2025).</w:t>
      </w:r>
    </w:p>
    <w:p w14:paraId="15D435D1" w14:textId="77777777" w:rsidR="00000F87" w:rsidRPr="00000F87" w:rsidRDefault="00000F87" w:rsidP="00000F87"/>
    <w:p w14:paraId="641D0F58" w14:textId="725DBF27" w:rsidR="00E920F1" w:rsidRDefault="00E920F1" w:rsidP="00E920F1">
      <w:pPr>
        <w:pStyle w:val="Heading3"/>
      </w:pPr>
      <w:bookmarkStart w:id="84" w:name="_Toc227659682"/>
      <w:r>
        <w:t>3.3.2 Merger / Acquisition Strategy</w:t>
      </w:r>
      <w:bookmarkEnd w:id="84"/>
    </w:p>
    <w:p w14:paraId="56DD2CF4" w14:textId="6637283A" w:rsidR="00492308" w:rsidRDefault="00492308" w:rsidP="00492308">
      <w:r>
        <w:rPr>
          <w:noProof/>
        </w:rPr>
        <w:drawing>
          <wp:inline distT="0" distB="0" distL="0" distR="0" wp14:anchorId="0D72520F" wp14:editId="6CC40674">
            <wp:extent cx="5943600" cy="3200400"/>
            <wp:effectExtent l="0" t="0" r="0" b="0"/>
            <wp:docPr id="949245413" name="Picture 17" descr="Merger and Acquisition Strategy - What 's It, Example, Type, Bene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erger and Acquisition Strategy - What 's It, Example, Type, Benefit"/>
                    <pic:cNvPicPr>
                      <a:picLocks noChangeAspect="1" noChangeArrowheads="1"/>
                    </pic:cNvPicPr>
                  </pic:nvPicPr>
                  <pic:blipFill rotWithShape="1">
                    <a:blip r:embed="rId42">
                      <a:extLst>
                        <a:ext uri="{28A0092B-C50C-407E-A947-70E740481C1C}">
                          <a14:useLocalDpi xmlns:a14="http://schemas.microsoft.com/office/drawing/2010/main" val="0"/>
                        </a:ext>
                      </a:extLst>
                    </a:blip>
                    <a:srcRect b="8097"/>
                    <a:stretch>
                      <a:fillRect/>
                    </a:stretch>
                  </pic:blipFill>
                  <pic:spPr bwMode="auto">
                    <a:xfrm>
                      <a:off x="0" y="0"/>
                      <a:ext cx="5943600" cy="3200400"/>
                    </a:xfrm>
                    <a:prstGeom prst="rect">
                      <a:avLst/>
                    </a:prstGeom>
                    <a:noFill/>
                    <a:ln>
                      <a:noFill/>
                    </a:ln>
                    <a:extLst>
                      <a:ext uri="{53640926-AAD7-44D8-BBD7-CCE9431645EC}">
                        <a14:shadowObscured xmlns:a14="http://schemas.microsoft.com/office/drawing/2010/main"/>
                      </a:ext>
                    </a:extLst>
                  </pic:spPr>
                </pic:pic>
              </a:graphicData>
            </a:graphic>
          </wp:inline>
        </w:drawing>
      </w:r>
    </w:p>
    <w:p w14:paraId="0B380912" w14:textId="24FC7341" w:rsidR="00492308" w:rsidRPr="00492308" w:rsidRDefault="00492308" w:rsidP="00492308">
      <w:pPr>
        <w:pStyle w:val="Caption"/>
      </w:pPr>
      <w:bookmarkStart w:id="85" w:name="_Toc227659613"/>
      <w:r>
        <w:t xml:space="preserve">Figure </w:t>
      </w:r>
      <w:fldSimple w:instr=" SEQ Figure \* ARABIC ">
        <w:r w:rsidR="00757BBB">
          <w:rPr>
            <w:noProof/>
          </w:rPr>
          <w:t>35</w:t>
        </w:r>
      </w:fldSimple>
      <w:r>
        <w:t xml:space="preserve">: </w:t>
      </w:r>
      <w:r w:rsidRPr="00531A4A">
        <w:t>Merger / Acquisition Strategy</w:t>
      </w:r>
      <w:bookmarkEnd w:id="85"/>
    </w:p>
    <w:p w14:paraId="25F51A70" w14:textId="6DD19E33" w:rsidR="00000F87" w:rsidRPr="00000F87" w:rsidRDefault="00306D31" w:rsidP="00000F87">
      <w:proofErr w:type="gramStart"/>
      <w:r w:rsidRPr="00306D31">
        <w:t>The merger</w:t>
      </w:r>
      <w:proofErr w:type="gramEnd"/>
      <w:r w:rsidRPr="00306D31">
        <w:t xml:space="preserve"> and </w:t>
      </w:r>
      <w:proofErr w:type="gramStart"/>
      <w:r w:rsidRPr="00306D31">
        <w:t>acquisition</w:t>
      </w:r>
      <w:proofErr w:type="gramEnd"/>
      <w:r w:rsidRPr="00306D31">
        <w:t xml:space="preserve"> (M&amp;A) can facilitate the expansion of Tesla by providing it with the possibility to access new markets, technologies and efficacies in the supply chain. Well-thought acquisitions in battery production or software development may support Tesla in a competitive edge (Brixius et al., 2025; </w:t>
      </w:r>
      <w:proofErr w:type="spellStart"/>
      <w:r w:rsidRPr="00306D31">
        <w:t>Sujatmiko</w:t>
      </w:r>
      <w:proofErr w:type="spellEnd"/>
      <w:r w:rsidRPr="00306D31">
        <w:t xml:space="preserve"> et al., 2025).</w:t>
      </w:r>
    </w:p>
    <w:p w14:paraId="21A411B9" w14:textId="0BBD330F" w:rsidR="00000F87" w:rsidRDefault="00194639" w:rsidP="00000F87">
      <w:r w:rsidRPr="00194639">
        <w:lastRenderedPageBreak/>
        <w:t xml:space="preserve">Nevertheless, overvaluation, difficulty in integrating, and raising the financial leverage are risks associated with M&amp;A processes. Thus, it is essential to carefully consider the objects of acquisition to achieve value creation (Brixius et al., 2025; </w:t>
      </w:r>
      <w:proofErr w:type="spellStart"/>
      <w:r w:rsidRPr="00194639">
        <w:t>Darmansyah</w:t>
      </w:r>
      <w:proofErr w:type="spellEnd"/>
      <w:r w:rsidRPr="00194639">
        <w:t xml:space="preserve"> et al., 2025).</w:t>
      </w:r>
    </w:p>
    <w:p w14:paraId="5E2A65E4" w14:textId="77777777" w:rsidR="00306D31" w:rsidRPr="00000F87" w:rsidRDefault="00306D31" w:rsidP="00000F87"/>
    <w:p w14:paraId="49E2838D" w14:textId="117B42F1" w:rsidR="00E920F1" w:rsidRDefault="00E920F1" w:rsidP="00E920F1">
      <w:pPr>
        <w:pStyle w:val="Heading3"/>
      </w:pPr>
      <w:bookmarkStart w:id="86" w:name="_Toc227659683"/>
      <w:r>
        <w:t>3.3.3 Equity Injection</w:t>
      </w:r>
      <w:bookmarkEnd w:id="86"/>
    </w:p>
    <w:p w14:paraId="45AD697E" w14:textId="490EB648" w:rsidR="00F071CF" w:rsidRDefault="00F071CF" w:rsidP="00A8319E">
      <w:pPr>
        <w:jc w:val="center"/>
      </w:pPr>
      <w:r>
        <w:rPr>
          <w:noProof/>
        </w:rPr>
        <w:drawing>
          <wp:inline distT="0" distB="0" distL="0" distR="0" wp14:anchorId="69A90B97" wp14:editId="56191286">
            <wp:extent cx="5713095" cy="3876675"/>
            <wp:effectExtent l="0" t="0" r="1905" b="9525"/>
            <wp:docPr id="1369719457" name="Picture 18" descr="Capital Injection - Definition, Explained, Examples,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apital Injection - Definition, Explained, Examples, How it Works?"/>
                    <pic:cNvPicPr>
                      <a:picLocks noChangeAspect="1" noChangeArrowheads="1"/>
                    </pic:cNvPicPr>
                  </pic:nvPicPr>
                  <pic:blipFill rotWithShape="1">
                    <a:blip r:embed="rId43">
                      <a:extLst>
                        <a:ext uri="{28A0092B-C50C-407E-A947-70E740481C1C}">
                          <a14:useLocalDpi xmlns:a14="http://schemas.microsoft.com/office/drawing/2010/main" val="0"/>
                        </a:ext>
                      </a:extLst>
                    </a:blip>
                    <a:srcRect b="14596"/>
                    <a:stretch>
                      <a:fillRect/>
                    </a:stretch>
                  </pic:blipFill>
                  <pic:spPr bwMode="auto">
                    <a:xfrm>
                      <a:off x="0" y="0"/>
                      <a:ext cx="5723664" cy="3883847"/>
                    </a:xfrm>
                    <a:prstGeom prst="rect">
                      <a:avLst/>
                    </a:prstGeom>
                    <a:noFill/>
                    <a:ln>
                      <a:noFill/>
                    </a:ln>
                    <a:extLst>
                      <a:ext uri="{53640926-AAD7-44D8-BBD7-CCE9431645EC}">
                        <a14:shadowObscured xmlns:a14="http://schemas.microsoft.com/office/drawing/2010/main"/>
                      </a:ext>
                    </a:extLst>
                  </pic:spPr>
                </pic:pic>
              </a:graphicData>
            </a:graphic>
          </wp:inline>
        </w:drawing>
      </w:r>
    </w:p>
    <w:p w14:paraId="5B960237" w14:textId="48CF7A4D" w:rsidR="00F071CF" w:rsidRPr="00F071CF" w:rsidRDefault="00F071CF" w:rsidP="00F071CF">
      <w:pPr>
        <w:pStyle w:val="Caption"/>
      </w:pPr>
      <w:bookmarkStart w:id="87" w:name="_Toc227659614"/>
      <w:r>
        <w:t xml:space="preserve">Figure </w:t>
      </w:r>
      <w:fldSimple w:instr=" SEQ Figure \* ARABIC ">
        <w:r w:rsidR="00757BBB">
          <w:rPr>
            <w:noProof/>
          </w:rPr>
          <w:t>36</w:t>
        </w:r>
      </w:fldSimple>
      <w:r>
        <w:t xml:space="preserve">: </w:t>
      </w:r>
      <w:r w:rsidRPr="007C15F4">
        <w:t>Equity Injection</w:t>
      </w:r>
      <w:bookmarkEnd w:id="87"/>
    </w:p>
    <w:p w14:paraId="4A9EE1FE" w14:textId="099BB075" w:rsidR="00000F87" w:rsidRPr="00000F87" w:rsidRDefault="00CA31CD" w:rsidP="00000F87">
      <w:r w:rsidRPr="00CA31CD">
        <w:t>Equity financing gives Tesla more capital without raising debts and therefore enhances its capital structure. New issues could facilitate massive investments in research and development and international growth (</w:t>
      </w:r>
      <w:proofErr w:type="spellStart"/>
      <w:r w:rsidRPr="00CA31CD">
        <w:t>Miswanto</w:t>
      </w:r>
      <w:proofErr w:type="spellEnd"/>
      <w:r w:rsidRPr="00CA31CD">
        <w:t>, 2018; Tesla, Inc., 2026).</w:t>
      </w:r>
    </w:p>
    <w:p w14:paraId="4C50AE02" w14:textId="393AE37B" w:rsidR="00000F87" w:rsidRPr="00000F87" w:rsidRDefault="005D7C4A" w:rsidP="00000F87">
      <w:r w:rsidRPr="005D7C4A">
        <w:t>Equity injection however may water down the shareholders’ existing ownership and shareholder earnings. Thus, it should be thoroughly balanced to keep investors confident (Aldo, 2022; Li, 2025).</w:t>
      </w:r>
    </w:p>
    <w:p w14:paraId="69DE40CF" w14:textId="77777777" w:rsidR="00000F87" w:rsidRPr="00000F87" w:rsidRDefault="00000F87" w:rsidP="00000F87"/>
    <w:p w14:paraId="11DD973C" w14:textId="40C3D01F" w:rsidR="00E920F1" w:rsidRDefault="00E920F1" w:rsidP="00E920F1">
      <w:pPr>
        <w:pStyle w:val="Heading3"/>
      </w:pPr>
      <w:bookmarkStart w:id="88" w:name="_Toc227659684"/>
      <w:r>
        <w:lastRenderedPageBreak/>
        <w:t>3.3.4 Debt Restructuring</w:t>
      </w:r>
      <w:bookmarkEnd w:id="88"/>
    </w:p>
    <w:p w14:paraId="7CB84417" w14:textId="0B79E889" w:rsidR="00A8319E" w:rsidRDefault="00A8319E" w:rsidP="00A8319E">
      <w:r>
        <w:rPr>
          <w:noProof/>
        </w:rPr>
        <w:drawing>
          <wp:inline distT="0" distB="0" distL="0" distR="0" wp14:anchorId="1A83D295" wp14:editId="58133579">
            <wp:extent cx="5943600" cy="2457450"/>
            <wp:effectExtent l="0" t="0" r="0" b="0"/>
            <wp:docPr id="249782671" name="Picture 19" descr="Debt Restructuring PowerPoint and Google Slides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ebt Restructuring PowerPoint and Google Slides Template - PPT Slides"/>
                    <pic:cNvPicPr>
                      <a:picLocks noChangeAspect="1" noChangeArrowheads="1"/>
                    </pic:cNvPicPr>
                  </pic:nvPicPr>
                  <pic:blipFill rotWithShape="1">
                    <a:blip r:embed="rId44">
                      <a:extLst>
                        <a:ext uri="{28A0092B-C50C-407E-A947-70E740481C1C}">
                          <a14:useLocalDpi xmlns:a14="http://schemas.microsoft.com/office/drawing/2010/main" val="0"/>
                        </a:ext>
                      </a:extLst>
                    </a:blip>
                    <a:srcRect b="26496"/>
                    <a:stretch>
                      <a:fillRect/>
                    </a:stretch>
                  </pic:blipFill>
                  <pic:spPr bwMode="auto">
                    <a:xfrm>
                      <a:off x="0" y="0"/>
                      <a:ext cx="5943600" cy="2457450"/>
                    </a:xfrm>
                    <a:prstGeom prst="rect">
                      <a:avLst/>
                    </a:prstGeom>
                    <a:noFill/>
                    <a:ln>
                      <a:noFill/>
                    </a:ln>
                    <a:extLst>
                      <a:ext uri="{53640926-AAD7-44D8-BBD7-CCE9431645EC}">
                        <a14:shadowObscured xmlns:a14="http://schemas.microsoft.com/office/drawing/2010/main"/>
                      </a:ext>
                    </a:extLst>
                  </pic:spPr>
                </pic:pic>
              </a:graphicData>
            </a:graphic>
          </wp:inline>
        </w:drawing>
      </w:r>
    </w:p>
    <w:p w14:paraId="57375F5A" w14:textId="714A6E02" w:rsidR="00A8319E" w:rsidRPr="00A8319E" w:rsidRDefault="00A8319E" w:rsidP="00A8319E">
      <w:pPr>
        <w:pStyle w:val="Caption"/>
      </w:pPr>
      <w:bookmarkStart w:id="89" w:name="_Toc227659615"/>
      <w:r>
        <w:t xml:space="preserve">Figure </w:t>
      </w:r>
      <w:fldSimple w:instr=" SEQ Figure \* ARABIC ">
        <w:r w:rsidR="00757BBB">
          <w:rPr>
            <w:noProof/>
          </w:rPr>
          <w:t>37</w:t>
        </w:r>
      </w:fldSimple>
      <w:r>
        <w:t xml:space="preserve">: </w:t>
      </w:r>
      <w:r w:rsidRPr="0046173E">
        <w:t>Debt Restructuring</w:t>
      </w:r>
      <w:bookmarkEnd w:id="89"/>
    </w:p>
    <w:p w14:paraId="0A9BA631" w14:textId="193AB246" w:rsidR="00174281" w:rsidRPr="00174281" w:rsidRDefault="0055669E" w:rsidP="00174281">
      <w:r w:rsidRPr="0055669E">
        <w:t>Debt restructuring refers to the process of renegotiating the current debt conditions to help in cutting down interest rates and enhancing the ability to repay debt. Young Tesla can manage its debt structure through refinancing big-cost debt or extending maturities (</w:t>
      </w:r>
      <w:proofErr w:type="spellStart"/>
      <w:r w:rsidRPr="0055669E">
        <w:t>Alinezhadjahromi</w:t>
      </w:r>
      <w:proofErr w:type="spellEnd"/>
      <w:r w:rsidRPr="0055669E">
        <w:t xml:space="preserve"> et al., 2026; </w:t>
      </w:r>
      <w:proofErr w:type="spellStart"/>
      <w:r w:rsidRPr="0055669E">
        <w:t>Arisandi</w:t>
      </w:r>
      <w:proofErr w:type="spellEnd"/>
      <w:r w:rsidRPr="0055669E">
        <w:t>, 2025).</w:t>
      </w:r>
    </w:p>
    <w:p w14:paraId="10435B01" w14:textId="3F4D5862" w:rsidR="00174281" w:rsidRPr="00174281" w:rsidRDefault="0088303D" w:rsidP="00174281">
      <w:r w:rsidRPr="0088303D">
        <w:t>This policy improves liquidity and minimizes financial risk, although leveraging on debt to the extent of augmenting the leverage and financial susceptibility is possible. Thus, it is important to uphold the best debt-to-equity ratio (</w:t>
      </w:r>
      <w:proofErr w:type="spellStart"/>
      <w:r w:rsidRPr="0088303D">
        <w:t>Wuryanti</w:t>
      </w:r>
      <w:proofErr w:type="spellEnd"/>
      <w:r w:rsidRPr="0088303D">
        <w:t xml:space="preserve"> et al., 2025; Aldo, 2022).</w:t>
      </w:r>
    </w:p>
    <w:p w14:paraId="7CFF988F" w14:textId="77777777" w:rsidR="00E920F1" w:rsidRDefault="00E920F1" w:rsidP="00E920F1"/>
    <w:p w14:paraId="748C95E4" w14:textId="77777777" w:rsidR="00E920F1" w:rsidRDefault="00E920F1" w:rsidP="00E920F1">
      <w:pPr>
        <w:pStyle w:val="Heading2"/>
      </w:pPr>
      <w:bookmarkStart w:id="90" w:name="_Toc227659685"/>
      <w:r>
        <w:t>3.4 Impact on Shareholder Value</w:t>
      </w:r>
      <w:bookmarkEnd w:id="90"/>
    </w:p>
    <w:p w14:paraId="5BF5D4B2" w14:textId="518F8D02" w:rsidR="007530D8" w:rsidRPr="007530D8" w:rsidRDefault="00C05A74" w:rsidP="007530D8">
      <w:r w:rsidRPr="00C05A74">
        <w:t xml:space="preserve">Effective financial restructuring can significantly enhance shareholder value by improving profitability, reducing risk, and increasing future cash </w:t>
      </w:r>
      <w:proofErr w:type="gramStart"/>
      <w:r w:rsidRPr="00C05A74">
        <w:t>flows</w:t>
      </w:r>
      <w:proofErr w:type="gramEnd"/>
      <w:r w:rsidRPr="00C05A74">
        <w:t xml:space="preserve">. The improvement of returns on equity and market value can be achieved through such strategies as divestiture and operational efficiency (Magni et al., 2012; </w:t>
      </w:r>
      <w:proofErr w:type="spellStart"/>
      <w:r w:rsidRPr="00C05A74">
        <w:t>Alrikabi</w:t>
      </w:r>
      <w:proofErr w:type="spellEnd"/>
      <w:r w:rsidRPr="00C05A74">
        <w:t>, 2022).</w:t>
      </w:r>
    </w:p>
    <w:p w14:paraId="59F10D51" w14:textId="468D2F6C" w:rsidR="007530D8" w:rsidRPr="007530D8" w:rsidRDefault="00A711C8" w:rsidP="007530D8">
      <w:r w:rsidRPr="00A711C8">
        <w:t xml:space="preserve">Nevertheless, improperly staged restructuring, especially the process of M&amp;A or the process of </w:t>
      </w:r>
      <w:proofErr w:type="gramStart"/>
      <w:r w:rsidRPr="00A711C8">
        <w:t>dilutes</w:t>
      </w:r>
      <w:proofErr w:type="gramEnd"/>
      <w:r w:rsidRPr="00A711C8">
        <w:t xml:space="preserve"> equities, can adversely affect shareholder trust and stock performance. Thus, to maximize value creation, it is critical to have strategic alignment and transparency (</w:t>
      </w:r>
      <w:proofErr w:type="spellStart"/>
      <w:r w:rsidRPr="00A711C8">
        <w:t>Darmansyah</w:t>
      </w:r>
      <w:proofErr w:type="spellEnd"/>
      <w:r w:rsidRPr="00A711C8">
        <w:t xml:space="preserve"> et al., 2025; Aldo, 2022).</w:t>
      </w:r>
    </w:p>
    <w:p w14:paraId="505F340D" w14:textId="77777777" w:rsidR="00E920F1" w:rsidRDefault="00E920F1" w:rsidP="00E920F1">
      <w:pPr>
        <w:pStyle w:val="Heading2"/>
      </w:pPr>
      <w:bookmarkStart w:id="91" w:name="_Toc227659686"/>
      <w:r>
        <w:lastRenderedPageBreak/>
        <w:t>3.5 Impact on Capital Structure (Debt vs Equity)</w:t>
      </w:r>
      <w:bookmarkEnd w:id="91"/>
    </w:p>
    <w:p w14:paraId="0BE4F1C2" w14:textId="6ED62269" w:rsidR="00807605" w:rsidRDefault="00807605" w:rsidP="00807605">
      <w:r>
        <w:rPr>
          <w:noProof/>
        </w:rPr>
        <w:drawing>
          <wp:inline distT="0" distB="0" distL="0" distR="0" wp14:anchorId="519EB590" wp14:editId="1B177AFE">
            <wp:extent cx="5907405" cy="2944495"/>
            <wp:effectExtent l="0" t="0" r="0" b="0"/>
            <wp:docPr id="20655425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07405" cy="2944495"/>
                    </a:xfrm>
                    <a:prstGeom prst="rect">
                      <a:avLst/>
                    </a:prstGeom>
                    <a:noFill/>
                  </pic:spPr>
                </pic:pic>
              </a:graphicData>
            </a:graphic>
          </wp:inline>
        </w:drawing>
      </w:r>
    </w:p>
    <w:p w14:paraId="30B64839" w14:textId="17EE829F" w:rsidR="00807605" w:rsidRPr="00807605" w:rsidRDefault="00807605" w:rsidP="00807605">
      <w:pPr>
        <w:pStyle w:val="Caption"/>
      </w:pPr>
      <w:bookmarkStart w:id="92" w:name="_Toc227659616"/>
      <w:r>
        <w:t xml:space="preserve">Figure </w:t>
      </w:r>
      <w:fldSimple w:instr=" SEQ Figure \* ARABIC ">
        <w:r w:rsidR="00757BBB">
          <w:rPr>
            <w:noProof/>
          </w:rPr>
          <w:t>38</w:t>
        </w:r>
      </w:fldSimple>
      <w:r>
        <w:t xml:space="preserve">: </w:t>
      </w:r>
      <w:r w:rsidRPr="00ED6EA7">
        <w:t>Impact on Capital Structure (Debt vs Equity)</w:t>
      </w:r>
      <w:bookmarkEnd w:id="92"/>
    </w:p>
    <w:p w14:paraId="618FCF3E" w14:textId="359618F1" w:rsidR="0059698D" w:rsidRPr="0059698D" w:rsidRDefault="00863864" w:rsidP="0059698D">
      <w:r w:rsidRPr="00863864">
        <w:t>The decisions in this category to restructure have a direct impact on the capital structure of Tesla since they change the debt and equity capital contribution percentage. Share dilution through higher equity in the form of equity can minimize financial risk, whereas higher returns of debt through higher debt increases financial risk (</w:t>
      </w:r>
      <w:proofErr w:type="spellStart"/>
      <w:r w:rsidRPr="00863864">
        <w:t>Alinezhadjahromi</w:t>
      </w:r>
      <w:proofErr w:type="spellEnd"/>
      <w:r w:rsidRPr="00863864">
        <w:t xml:space="preserve"> et al., 2026; </w:t>
      </w:r>
      <w:proofErr w:type="spellStart"/>
      <w:r w:rsidRPr="00863864">
        <w:t>Arisandi</w:t>
      </w:r>
      <w:proofErr w:type="spellEnd"/>
      <w:r w:rsidRPr="00863864">
        <w:t>, 2025).</w:t>
      </w:r>
    </w:p>
    <w:p w14:paraId="4797310A" w14:textId="71E4E4B1" w:rsidR="0059698D" w:rsidRDefault="00173971" w:rsidP="0059698D">
      <w:r w:rsidRPr="00173971">
        <w:t xml:space="preserve">An optimal capital structure is one that balances risk and returns providing it with adequate capital to grow and at the same time staying afloat. The recent pattern of Tesla decreasing debt will result in a more sustainable and conservative capital structure (Tesla, Inc., 2025; </w:t>
      </w:r>
      <w:proofErr w:type="spellStart"/>
      <w:r w:rsidRPr="00173971">
        <w:t>Wuryanti</w:t>
      </w:r>
      <w:proofErr w:type="spellEnd"/>
      <w:r w:rsidRPr="00173971">
        <w:t xml:space="preserve"> et al., 2025).</w:t>
      </w:r>
    </w:p>
    <w:p w14:paraId="75E93D40" w14:textId="77777777" w:rsidR="00A711C8" w:rsidRPr="0059698D" w:rsidRDefault="00A711C8" w:rsidP="0059698D"/>
    <w:p w14:paraId="6F5CCA09" w14:textId="77777777" w:rsidR="00E920F1" w:rsidRDefault="00E920F1" w:rsidP="00E920F1">
      <w:pPr>
        <w:pStyle w:val="Heading2"/>
      </w:pPr>
      <w:bookmarkStart w:id="93" w:name="_Toc227659687"/>
      <w:r>
        <w:t>3.6 Impact on Operational Flexibility</w:t>
      </w:r>
      <w:bookmarkEnd w:id="93"/>
    </w:p>
    <w:p w14:paraId="453A76D8" w14:textId="1ACDD47C" w:rsidR="002D2F09" w:rsidRPr="002D2F09" w:rsidRDefault="005308F9" w:rsidP="002D2F09">
      <w:r w:rsidRPr="005308F9">
        <w:t xml:space="preserve">Financial restructuring makes operations more flexible, releases up resources and improves liquidity. Divestiture and better working capital management are just some of the strategies that can enable Tesla to better adapt to the market changes and technology (Yanney, 2023; </w:t>
      </w:r>
      <w:proofErr w:type="spellStart"/>
      <w:r w:rsidRPr="005308F9">
        <w:t>Faque</w:t>
      </w:r>
      <w:proofErr w:type="spellEnd"/>
      <w:r w:rsidRPr="005308F9">
        <w:t>, 2022).</w:t>
      </w:r>
    </w:p>
    <w:p w14:paraId="6EEE23CB" w14:textId="30AFD142" w:rsidR="002D2F09" w:rsidRPr="002D2F09" w:rsidRDefault="0099608F" w:rsidP="002D2F09">
      <w:r w:rsidRPr="0099608F">
        <w:lastRenderedPageBreak/>
        <w:t xml:space="preserve">On the contrary, high debt levels, unplanned acquisitions can limit flexibility because of financial commitments. Thus, operational agility requires a balanced financial system (Campos et al., 2026; </w:t>
      </w:r>
      <w:proofErr w:type="spellStart"/>
      <w:r w:rsidRPr="0099608F">
        <w:t>Eldomimaty</w:t>
      </w:r>
      <w:proofErr w:type="spellEnd"/>
      <w:r w:rsidRPr="0099608F">
        <w:t xml:space="preserve"> et al., 2023).</w:t>
      </w:r>
    </w:p>
    <w:p w14:paraId="55BFAA03" w14:textId="77777777" w:rsidR="00E920F1" w:rsidRDefault="00E920F1" w:rsidP="00E920F1"/>
    <w:p w14:paraId="34EA20EA" w14:textId="77777777" w:rsidR="00E920F1" w:rsidRDefault="00E920F1" w:rsidP="00E920F1">
      <w:pPr>
        <w:pStyle w:val="Heading2"/>
      </w:pPr>
      <w:bookmarkStart w:id="94" w:name="_Toc227659688"/>
      <w:r>
        <w:t>3.7 International Considerations</w:t>
      </w:r>
      <w:bookmarkEnd w:id="94"/>
    </w:p>
    <w:p w14:paraId="14FD7319" w14:textId="1CA3D420" w:rsidR="00E920F1" w:rsidRDefault="00E920F1" w:rsidP="00E920F1">
      <w:pPr>
        <w:pStyle w:val="Heading3"/>
      </w:pPr>
      <w:bookmarkStart w:id="95" w:name="_Toc227659689"/>
      <w:r>
        <w:t>3.7.1 Taxation Implications</w:t>
      </w:r>
      <w:bookmarkEnd w:id="95"/>
    </w:p>
    <w:p w14:paraId="30BB6167" w14:textId="7381748F" w:rsidR="00F514E9" w:rsidRDefault="00F514E9" w:rsidP="00F514E9">
      <w:pPr>
        <w:jc w:val="center"/>
      </w:pPr>
      <w:r>
        <w:rPr>
          <w:noProof/>
        </w:rPr>
        <w:drawing>
          <wp:inline distT="0" distB="0" distL="0" distR="0" wp14:anchorId="1BA4331E" wp14:editId="26C0E305">
            <wp:extent cx="5572125" cy="3000375"/>
            <wp:effectExtent l="0" t="0" r="9525" b="9525"/>
            <wp:docPr id="1577475774" name="Picture 20" descr="Tax Implications - Meaning,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ax Implications - Meaning, Examples"/>
                    <pic:cNvPicPr>
                      <a:picLocks noChangeAspect="1" noChangeArrowheads="1"/>
                    </pic:cNvPicPr>
                  </pic:nvPicPr>
                  <pic:blipFill rotWithShape="1">
                    <a:blip r:embed="rId46">
                      <a:extLst>
                        <a:ext uri="{28A0092B-C50C-407E-A947-70E740481C1C}">
                          <a14:useLocalDpi xmlns:a14="http://schemas.microsoft.com/office/drawing/2010/main" val="0"/>
                        </a:ext>
                      </a:extLst>
                    </a:blip>
                    <a:srcRect l="996" t="3294" r="1827" b="15569"/>
                    <a:stretch>
                      <a:fillRect/>
                    </a:stretch>
                  </pic:blipFill>
                  <pic:spPr bwMode="auto">
                    <a:xfrm>
                      <a:off x="0" y="0"/>
                      <a:ext cx="5572125" cy="3000375"/>
                    </a:xfrm>
                    <a:prstGeom prst="rect">
                      <a:avLst/>
                    </a:prstGeom>
                    <a:noFill/>
                    <a:ln>
                      <a:noFill/>
                    </a:ln>
                    <a:extLst>
                      <a:ext uri="{53640926-AAD7-44D8-BBD7-CCE9431645EC}">
                        <a14:shadowObscured xmlns:a14="http://schemas.microsoft.com/office/drawing/2010/main"/>
                      </a:ext>
                    </a:extLst>
                  </pic:spPr>
                </pic:pic>
              </a:graphicData>
            </a:graphic>
          </wp:inline>
        </w:drawing>
      </w:r>
    </w:p>
    <w:p w14:paraId="3C032349" w14:textId="199CB2C6" w:rsidR="00F514E9" w:rsidRPr="00F514E9" w:rsidRDefault="00F514E9" w:rsidP="00F514E9">
      <w:pPr>
        <w:pStyle w:val="Caption"/>
      </w:pPr>
      <w:bookmarkStart w:id="96" w:name="_Toc227659617"/>
      <w:r>
        <w:t xml:space="preserve">Figure </w:t>
      </w:r>
      <w:fldSimple w:instr=" SEQ Figure \* ARABIC ">
        <w:r w:rsidR="00757BBB">
          <w:rPr>
            <w:noProof/>
          </w:rPr>
          <w:t>39</w:t>
        </w:r>
      </w:fldSimple>
      <w:r>
        <w:t xml:space="preserve">: </w:t>
      </w:r>
      <w:r w:rsidRPr="00512FFF">
        <w:t>Taxation Implications</w:t>
      </w:r>
      <w:bookmarkEnd w:id="96"/>
    </w:p>
    <w:p w14:paraId="5942427A" w14:textId="19A5AA15" w:rsidR="0092656A" w:rsidRPr="0092656A" w:rsidRDefault="00D7705F" w:rsidP="0092656A">
      <w:r w:rsidRPr="00D7705F">
        <w:t xml:space="preserve">Tesla has operations all over the world, and when making decisions on restructuring, different countries have different taxation systems. Tax-paying can be </w:t>
      </w:r>
      <w:proofErr w:type="spellStart"/>
      <w:r w:rsidRPr="00D7705F">
        <w:t>optimised</w:t>
      </w:r>
      <w:proofErr w:type="spellEnd"/>
      <w:r w:rsidRPr="00D7705F">
        <w:t xml:space="preserve"> by strategic restructuring that will entail the effective division of profits and investments (Rotimi-Ojo and James, 2025; Li, 2025).</w:t>
      </w:r>
    </w:p>
    <w:p w14:paraId="0FC35C9D" w14:textId="4A153C31" w:rsidR="0092656A" w:rsidRPr="0092656A" w:rsidRDefault="005B6043" w:rsidP="0092656A">
      <w:r w:rsidRPr="005B6043">
        <w:t xml:space="preserve">Nevertheless, complicated tax rules and compliance issues can lead to high administrative expenses and risks. That is </w:t>
      </w:r>
      <w:r w:rsidR="006A4B3E" w:rsidRPr="005B6043">
        <w:t>why</w:t>
      </w:r>
      <w:r w:rsidRPr="005B6043">
        <w:t xml:space="preserve"> special attention should be paid to the planning, so that the existing rules could </w:t>
      </w:r>
      <w:r w:rsidR="006A4B3E" w:rsidRPr="005B6043">
        <w:t>not be</w:t>
      </w:r>
      <w:r w:rsidRPr="005B6043">
        <w:t xml:space="preserve"> </w:t>
      </w:r>
      <w:r w:rsidR="006A4B3E" w:rsidRPr="005B6043">
        <w:t>broken,</w:t>
      </w:r>
      <w:r w:rsidRPr="005B6043">
        <w:t xml:space="preserve"> and the efficiency of taxes could be guaranteed (Schreiber et al., 2026; Tesla, Inc., 2026).</w:t>
      </w:r>
    </w:p>
    <w:p w14:paraId="5A354180" w14:textId="540D966E" w:rsidR="00E920F1" w:rsidRDefault="00E920F1" w:rsidP="00E920F1">
      <w:pPr>
        <w:pStyle w:val="Heading3"/>
      </w:pPr>
      <w:bookmarkStart w:id="97" w:name="_Toc227659690"/>
      <w:r>
        <w:lastRenderedPageBreak/>
        <w:t>3.7.2 Currency Risk</w:t>
      </w:r>
      <w:bookmarkEnd w:id="97"/>
    </w:p>
    <w:p w14:paraId="7F7FF518" w14:textId="0E69954E" w:rsidR="00883C3F" w:rsidRDefault="00883C3F" w:rsidP="00883C3F">
      <w:pPr>
        <w:jc w:val="center"/>
      </w:pPr>
      <w:r>
        <w:rPr>
          <w:noProof/>
        </w:rPr>
        <w:drawing>
          <wp:inline distT="0" distB="0" distL="0" distR="0" wp14:anchorId="427B8927" wp14:editId="28638ECA">
            <wp:extent cx="2857500" cy="1600200"/>
            <wp:effectExtent l="0" t="0" r="0" b="0"/>
            <wp:docPr id="2004694017" name="Picture 21" descr="Types Of Currency Risk Diversification Strategies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Types Of Currency Risk Diversification Strategies - FasterCapital"/>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0084CE0C" w14:textId="1E0FA9CE" w:rsidR="00883C3F" w:rsidRPr="00883C3F" w:rsidRDefault="00883C3F" w:rsidP="00883C3F">
      <w:pPr>
        <w:pStyle w:val="Caption"/>
      </w:pPr>
      <w:bookmarkStart w:id="98" w:name="_Toc227659618"/>
      <w:r>
        <w:t xml:space="preserve">Figure </w:t>
      </w:r>
      <w:fldSimple w:instr=" SEQ Figure \* ARABIC ">
        <w:r w:rsidR="00757BBB">
          <w:rPr>
            <w:noProof/>
          </w:rPr>
          <w:t>40</w:t>
        </w:r>
      </w:fldSimple>
      <w:r>
        <w:t xml:space="preserve">: </w:t>
      </w:r>
      <w:r w:rsidRPr="006302E5">
        <w:t>Currency Risk</w:t>
      </w:r>
      <w:bookmarkEnd w:id="98"/>
    </w:p>
    <w:p w14:paraId="2D00DED7" w14:textId="2C9FF8CC" w:rsidR="0092656A" w:rsidRPr="0092656A" w:rsidRDefault="00650FC7" w:rsidP="0092656A">
      <w:r w:rsidRPr="00650FC7">
        <w:t>Globally operating means Tesla is subject to currency variations, which can affect the revenues, expenses and profitability. Financial restructuring policies should also include systems of hedging related to the exchange rate risks (Zheng, 2024; Stella and Tiong, 2026).</w:t>
      </w:r>
    </w:p>
    <w:p w14:paraId="1571AC8F" w14:textId="374E6127" w:rsidR="0092656A" w:rsidRPr="0092656A" w:rsidRDefault="00121F8B" w:rsidP="0092656A">
      <w:r w:rsidRPr="00121F8B">
        <w:t>Good currency risk management enjoys improved financial stability as well as safeguarding profit margins in foreign markets. This needs to be especially critical about Tesla growing into the emerging economies (</w:t>
      </w:r>
      <w:proofErr w:type="spellStart"/>
      <w:r w:rsidRPr="00121F8B">
        <w:t>Sujatmiko</w:t>
      </w:r>
      <w:proofErr w:type="spellEnd"/>
      <w:r w:rsidRPr="00121F8B">
        <w:t xml:space="preserve"> et al., 2025; Tesla, Inc., 2025).</w:t>
      </w:r>
    </w:p>
    <w:p w14:paraId="1B1B0EA1" w14:textId="77777777" w:rsidR="0092656A" w:rsidRPr="0092656A" w:rsidRDefault="0092656A" w:rsidP="0092656A"/>
    <w:p w14:paraId="481EA6EA" w14:textId="2850ECC1" w:rsidR="00E920F1" w:rsidRDefault="00E920F1" w:rsidP="00E920F1">
      <w:pPr>
        <w:pStyle w:val="Heading3"/>
      </w:pPr>
      <w:bookmarkStart w:id="99" w:name="_Toc227659691"/>
      <w:r>
        <w:t>3.7.3 Inflation Effects</w:t>
      </w:r>
      <w:bookmarkEnd w:id="99"/>
    </w:p>
    <w:p w14:paraId="4ECEFCA3" w14:textId="1504C687" w:rsidR="007B371F" w:rsidRDefault="007B371F" w:rsidP="007B371F">
      <w:pPr>
        <w:jc w:val="center"/>
      </w:pPr>
      <w:r>
        <w:rPr>
          <w:noProof/>
        </w:rPr>
        <w:drawing>
          <wp:inline distT="0" distB="0" distL="0" distR="0" wp14:anchorId="2404EB05" wp14:editId="446E8253">
            <wp:extent cx="3542872" cy="2889272"/>
            <wp:effectExtent l="0" t="0" r="635" b="6350"/>
            <wp:docPr id="1717466387" name="Picture 22" descr="9 Effects of Inflation and How to Protect Yourself - Wealth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9 Effects of Inflation and How to Protect Yourself - Wealth Nation"/>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547250" cy="2892843"/>
                    </a:xfrm>
                    <a:prstGeom prst="rect">
                      <a:avLst/>
                    </a:prstGeom>
                    <a:noFill/>
                    <a:ln>
                      <a:noFill/>
                    </a:ln>
                  </pic:spPr>
                </pic:pic>
              </a:graphicData>
            </a:graphic>
          </wp:inline>
        </w:drawing>
      </w:r>
    </w:p>
    <w:p w14:paraId="35022924" w14:textId="6181FA51" w:rsidR="007B371F" w:rsidRPr="007B371F" w:rsidRDefault="007B371F" w:rsidP="007B371F">
      <w:pPr>
        <w:pStyle w:val="Caption"/>
      </w:pPr>
      <w:bookmarkStart w:id="100" w:name="_Toc227659619"/>
      <w:r>
        <w:lastRenderedPageBreak/>
        <w:t xml:space="preserve">Figure </w:t>
      </w:r>
      <w:fldSimple w:instr=" SEQ Figure \* ARABIC ">
        <w:r w:rsidR="00757BBB">
          <w:rPr>
            <w:noProof/>
          </w:rPr>
          <w:t>41</w:t>
        </w:r>
      </w:fldSimple>
      <w:r>
        <w:t xml:space="preserve">: </w:t>
      </w:r>
      <w:r w:rsidRPr="00076011">
        <w:t>Inflation Effects</w:t>
      </w:r>
      <w:bookmarkEnd w:id="100"/>
    </w:p>
    <w:p w14:paraId="05A48C2F" w14:textId="4F909B20" w:rsidR="0092656A" w:rsidRPr="0092656A" w:rsidRDefault="0037162C" w:rsidP="0092656A">
      <w:r w:rsidRPr="0037162C">
        <w:t>Inflation impacts on the cost of production, pricing policies, and consumer demand and is therefore one of the most important factors in the restructuring of finances. The increase in input costs would decrease profitability without effective management (Tesla, Inc., 2024; Ramdhan et al., 2025).</w:t>
      </w:r>
    </w:p>
    <w:p w14:paraId="14A2A5A4" w14:textId="3EFEB513" w:rsidR="0092656A" w:rsidRPr="0092656A" w:rsidRDefault="00975735" w:rsidP="0092656A">
      <w:r w:rsidRPr="00975735">
        <w:t xml:space="preserve">Price adjustment and cost </w:t>
      </w:r>
      <w:proofErr w:type="spellStart"/>
      <w:r w:rsidRPr="00975735">
        <w:t>optimisation</w:t>
      </w:r>
      <w:proofErr w:type="spellEnd"/>
      <w:r w:rsidRPr="00975735">
        <w:t xml:space="preserve"> strategies are ways to restructure to weigh back the impacts of inflation. Furthermore, the effective management of working capital enables the company to be liquid in times of inflation (Ali et al., 2025; </w:t>
      </w:r>
      <w:proofErr w:type="spellStart"/>
      <w:r w:rsidRPr="00975735">
        <w:t>Eldomiaty</w:t>
      </w:r>
      <w:proofErr w:type="spellEnd"/>
      <w:r w:rsidRPr="00975735">
        <w:t xml:space="preserve"> et al., 2023).</w:t>
      </w:r>
    </w:p>
    <w:p w14:paraId="5AF6298F" w14:textId="77777777" w:rsidR="00E920F1" w:rsidRDefault="00E920F1" w:rsidP="00E920F1"/>
    <w:p w14:paraId="30A548E3" w14:textId="77777777" w:rsidR="00E920F1" w:rsidRDefault="00E920F1" w:rsidP="00E920F1">
      <w:pPr>
        <w:pStyle w:val="Heading2"/>
      </w:pPr>
      <w:bookmarkStart w:id="101" w:name="_Toc227659692"/>
      <w:r>
        <w:t>3.8 Ethical Considerations</w:t>
      </w:r>
      <w:bookmarkEnd w:id="101"/>
    </w:p>
    <w:p w14:paraId="4FEA028F" w14:textId="43976614" w:rsidR="00E920F1" w:rsidRDefault="00E920F1" w:rsidP="00E920F1">
      <w:pPr>
        <w:pStyle w:val="Heading3"/>
      </w:pPr>
      <w:bookmarkStart w:id="102" w:name="_Toc227659693"/>
      <w:r>
        <w:t>3.8.1 Corporate Social Responsibility (CSR)</w:t>
      </w:r>
      <w:bookmarkEnd w:id="102"/>
    </w:p>
    <w:p w14:paraId="4AEBAE33" w14:textId="404DD0A9" w:rsidR="006006CF" w:rsidRDefault="006006CF" w:rsidP="006006CF">
      <w:r>
        <w:rPr>
          <w:noProof/>
        </w:rPr>
        <w:drawing>
          <wp:inline distT="0" distB="0" distL="0" distR="0" wp14:anchorId="60E83180" wp14:editId="46E5A12F">
            <wp:extent cx="5943600" cy="4457700"/>
            <wp:effectExtent l="0" t="0" r="0" b="0"/>
            <wp:docPr id="296351180" name="Picture 23" descr="Corporate Social Responsibility and Environmental, Social, and Governance -  A Simple Guide | TheGiving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orporate Social Responsibility and Environmental, Social, and Governance -  A Simple Guide | TheGivingMachin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72FDF05F" w14:textId="31014A0D" w:rsidR="00A82A02" w:rsidRPr="006006CF" w:rsidRDefault="00A82A02" w:rsidP="00A82A02">
      <w:pPr>
        <w:pStyle w:val="Caption"/>
      </w:pPr>
      <w:bookmarkStart w:id="103" w:name="_Toc227659620"/>
      <w:r>
        <w:lastRenderedPageBreak/>
        <w:t xml:space="preserve">Figure </w:t>
      </w:r>
      <w:fldSimple w:instr=" SEQ Figure \* ARABIC ">
        <w:r w:rsidR="00757BBB">
          <w:rPr>
            <w:noProof/>
          </w:rPr>
          <w:t>42</w:t>
        </w:r>
      </w:fldSimple>
      <w:r>
        <w:t xml:space="preserve">: </w:t>
      </w:r>
      <w:r w:rsidRPr="007173E4">
        <w:t>Corporate Social Responsibility (CSR)</w:t>
      </w:r>
      <w:bookmarkEnd w:id="103"/>
    </w:p>
    <w:p w14:paraId="16552F90" w14:textId="1EA9DA8A" w:rsidR="00FF1029" w:rsidRPr="00FF1029" w:rsidRDefault="00C11223" w:rsidP="00FF1029">
      <w:r w:rsidRPr="00C11223">
        <w:t>The restructuring decisions made by Tesla should be in line with CSR priorities, specifically its sustainability and environmental responsibility. The positive ethical financial practices improve the reputation and trust of the stakeholders (Huang, 2025; Schreiber et al., 2026).</w:t>
      </w:r>
    </w:p>
    <w:p w14:paraId="5D0E6919" w14:textId="10AFD2FE" w:rsidR="00FF1029" w:rsidRPr="00FF1029" w:rsidRDefault="00514EF8" w:rsidP="00FF1029">
      <w:r w:rsidRPr="00514EF8">
        <w:t xml:space="preserve">Transparency and accountability in the process of restructuring activities can be used to guarantee that the interests of stakeholders are not jeopardized. It is especially notable when a company is an industry leader in terms of sustainable innovation (Tesla, Inc., 2026; </w:t>
      </w:r>
      <w:proofErr w:type="spellStart"/>
      <w:r w:rsidRPr="00514EF8">
        <w:t>Jatavallabha</w:t>
      </w:r>
      <w:proofErr w:type="spellEnd"/>
      <w:r w:rsidRPr="00514EF8">
        <w:t>, 2024).</w:t>
      </w:r>
    </w:p>
    <w:p w14:paraId="2AD6750A" w14:textId="77777777" w:rsidR="00FF1029" w:rsidRPr="00FF1029" w:rsidRDefault="00FF1029" w:rsidP="00FF1029"/>
    <w:p w14:paraId="5F70F679" w14:textId="2233EF6D" w:rsidR="00E920F1" w:rsidRDefault="00E920F1" w:rsidP="00E920F1">
      <w:pPr>
        <w:pStyle w:val="Heading3"/>
      </w:pPr>
      <w:bookmarkStart w:id="104" w:name="_Toc227659694"/>
      <w:r>
        <w:t>3.8.2 Sustainability and ESG</w:t>
      </w:r>
      <w:bookmarkEnd w:id="104"/>
    </w:p>
    <w:p w14:paraId="657BB078" w14:textId="225FBD53" w:rsidR="00274F94" w:rsidRDefault="00274F94" w:rsidP="00274F94">
      <w:pPr>
        <w:jc w:val="center"/>
      </w:pPr>
      <w:r>
        <w:rPr>
          <w:noProof/>
        </w:rPr>
        <w:drawing>
          <wp:inline distT="0" distB="0" distL="0" distR="0" wp14:anchorId="30C8E766" wp14:editId="6CD212B0">
            <wp:extent cx="4362450" cy="2950247"/>
            <wp:effectExtent l="0" t="0" r="0" b="2540"/>
            <wp:docPr id="229250482" name="Picture 24" descr="ESG (Environmental, Social, &amp; Gover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ESG (Environmental, Social, &amp; Governance)"/>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b="6236"/>
                    <a:stretch>
                      <a:fillRect/>
                    </a:stretch>
                  </pic:blipFill>
                  <pic:spPr bwMode="auto">
                    <a:xfrm>
                      <a:off x="0" y="0"/>
                      <a:ext cx="4366686" cy="2953112"/>
                    </a:xfrm>
                    <a:prstGeom prst="rect">
                      <a:avLst/>
                    </a:prstGeom>
                    <a:noFill/>
                    <a:ln>
                      <a:noFill/>
                    </a:ln>
                    <a:extLst>
                      <a:ext uri="{53640926-AAD7-44D8-BBD7-CCE9431645EC}">
                        <a14:shadowObscured xmlns:a14="http://schemas.microsoft.com/office/drawing/2010/main"/>
                      </a:ext>
                    </a:extLst>
                  </pic:spPr>
                </pic:pic>
              </a:graphicData>
            </a:graphic>
          </wp:inline>
        </w:drawing>
      </w:r>
    </w:p>
    <w:p w14:paraId="677B12F5" w14:textId="769FBBD6" w:rsidR="00274F94" w:rsidRPr="00274F94" w:rsidRDefault="00274F94" w:rsidP="00274F94">
      <w:pPr>
        <w:pStyle w:val="Caption"/>
      </w:pPr>
      <w:bookmarkStart w:id="105" w:name="_Toc227659621"/>
      <w:r>
        <w:t xml:space="preserve">Figure </w:t>
      </w:r>
      <w:fldSimple w:instr=" SEQ Figure \* ARABIC ">
        <w:r w:rsidR="00757BBB">
          <w:rPr>
            <w:noProof/>
          </w:rPr>
          <w:t>43</w:t>
        </w:r>
      </w:fldSimple>
      <w:r>
        <w:t xml:space="preserve">: </w:t>
      </w:r>
      <w:r w:rsidRPr="0089276C">
        <w:t>ESG</w:t>
      </w:r>
      <w:bookmarkEnd w:id="105"/>
    </w:p>
    <w:p w14:paraId="07EED058" w14:textId="644653FD" w:rsidR="00FF1029" w:rsidRPr="00FF1029" w:rsidRDefault="0099354C" w:rsidP="00FF1029">
      <w:r w:rsidRPr="0099354C">
        <w:t>Environmental, Social, and Governance (ESG) is one of the main issues in the financial strategy of Tesla. Sustainable restructuring enhances value creation in the long run and corresponds to the expectations of investors (</w:t>
      </w:r>
      <w:proofErr w:type="spellStart"/>
      <w:r w:rsidRPr="0099354C">
        <w:t>Sujatmiko</w:t>
      </w:r>
      <w:proofErr w:type="spellEnd"/>
      <w:r w:rsidRPr="0099354C">
        <w:t xml:space="preserve"> et al., 2025; Huang, 2025).</w:t>
      </w:r>
    </w:p>
    <w:p w14:paraId="6FBB8294" w14:textId="31C761C3" w:rsidR="00FF1029" w:rsidRPr="00FF1029" w:rsidRDefault="00060E82" w:rsidP="00FF1029">
      <w:r w:rsidRPr="00060E82">
        <w:t xml:space="preserve">Incorporation of ESG principles into financial management increases resilience and competitiveness in changes of global market. This strategy contributes to the Tesla goal </w:t>
      </w:r>
      <w:r w:rsidRPr="00060E82">
        <w:lastRenderedPageBreak/>
        <w:t>of hastening the shift to sustainable energy (Tesla, Inc., 2026; Gibran and Nainggolan, 2025).</w:t>
      </w:r>
    </w:p>
    <w:p w14:paraId="0BAC6796" w14:textId="77777777" w:rsidR="00E920F1" w:rsidRDefault="00E920F1" w:rsidP="00E920F1"/>
    <w:p w14:paraId="4FF8F500" w14:textId="700EA0FC" w:rsidR="00E920F1" w:rsidRDefault="00E920F1" w:rsidP="00E920F1">
      <w:pPr>
        <w:pStyle w:val="Heading2"/>
      </w:pPr>
      <w:bookmarkStart w:id="106" w:name="_Toc227659695"/>
      <w:r>
        <w:t>3.9 Recommended Restructuring Plan</w:t>
      </w:r>
      <w:bookmarkEnd w:id="106"/>
    </w:p>
    <w:p w14:paraId="66D5757E" w14:textId="5347A49C" w:rsidR="00FF1029" w:rsidRPr="00FF1029" w:rsidRDefault="00714EE0" w:rsidP="00FF1029">
      <w:r w:rsidRPr="00714EE0">
        <w:t>Determined by the analysis, Tesla must embrace the balanced financial restructuring approach that involves selective divestiture, acquisition targeted, moderate equity financing, and optimal debt restructuring. This is a combined strategy that is efficient in financial terms and promotes growth and innovation over the long run (</w:t>
      </w:r>
      <w:proofErr w:type="spellStart"/>
      <w:r w:rsidRPr="00714EE0">
        <w:t>Alinezhadjahromi</w:t>
      </w:r>
      <w:proofErr w:type="spellEnd"/>
      <w:r w:rsidRPr="00714EE0">
        <w:t xml:space="preserve"> et al., 2026; </w:t>
      </w:r>
      <w:proofErr w:type="spellStart"/>
      <w:r w:rsidRPr="00714EE0">
        <w:t>Darmansyah</w:t>
      </w:r>
      <w:proofErr w:type="spellEnd"/>
      <w:r w:rsidRPr="00714EE0">
        <w:t xml:space="preserve"> et al., 2025).</w:t>
      </w:r>
    </w:p>
    <w:p w14:paraId="26095005" w14:textId="04CDE160" w:rsidR="00FF1029" w:rsidRPr="00FF1029" w:rsidRDefault="00142A02" w:rsidP="00FF1029">
      <w:r w:rsidRPr="00142A02">
        <w:t xml:space="preserve">Also, Tesla needs to work on increasing operational efficiency, management of working capital, and integrating ESG principles into financial decision making. This approach guarantees long-term value growth, financial stability and competitive edge within the electric vehicle sector in the world (Ali et al., 2025; </w:t>
      </w:r>
      <w:proofErr w:type="spellStart"/>
      <w:r w:rsidRPr="00142A02">
        <w:t>Sujatmiko</w:t>
      </w:r>
      <w:proofErr w:type="spellEnd"/>
      <w:r w:rsidRPr="00142A02">
        <w:t xml:space="preserve"> et al., 2025).</w:t>
      </w:r>
    </w:p>
    <w:p w14:paraId="301FA2D4" w14:textId="77777777" w:rsidR="00AD2B37" w:rsidRDefault="00AD2B37" w:rsidP="00D1378E"/>
    <w:p w14:paraId="6D27E658" w14:textId="1940A368" w:rsidR="00AD2B37" w:rsidRDefault="00AD2B37" w:rsidP="00AD2B37">
      <w:pPr>
        <w:pStyle w:val="Heading1"/>
      </w:pPr>
      <w:bookmarkStart w:id="107" w:name="_Toc227659696"/>
      <w:r>
        <w:t>4. Investment Appraisal and Capital Budgeting</w:t>
      </w:r>
      <w:bookmarkEnd w:id="107"/>
      <w:r>
        <w:t xml:space="preserve"> </w:t>
      </w:r>
    </w:p>
    <w:p w14:paraId="169C94FB" w14:textId="6643C395" w:rsidR="00AD2B37" w:rsidRDefault="00AD2B37" w:rsidP="00AD2B37">
      <w:pPr>
        <w:pStyle w:val="Heading2"/>
      </w:pPr>
      <w:bookmarkStart w:id="108" w:name="_Toc227659697"/>
      <w:r>
        <w:t>4.1 Introduction to Investment Projects</w:t>
      </w:r>
      <w:bookmarkEnd w:id="108"/>
    </w:p>
    <w:p w14:paraId="15237452" w14:textId="6FD32864" w:rsidR="00561198" w:rsidRPr="00561198" w:rsidRDefault="00E62CCC" w:rsidP="00561198">
      <w:r w:rsidRPr="00E62CCC">
        <w:t xml:space="preserve">Investment appraisal is a very important financial decision-making process which evaluates feasibility and profitability of </w:t>
      </w:r>
      <w:proofErr w:type="gramStart"/>
      <w:r w:rsidRPr="00E62CCC">
        <w:t>long term</w:t>
      </w:r>
      <w:proofErr w:type="gramEnd"/>
      <w:r w:rsidRPr="00E62CCC">
        <w:t xml:space="preserve"> projects. In the case of a capital-intensive business, such as Tesla, it is important to ensure that the right areas of investment have been chosen to ensure innovation, competitive strength and shareholder wealth </w:t>
      </w:r>
      <w:proofErr w:type="spellStart"/>
      <w:r w:rsidRPr="00E62CCC">
        <w:t>maximisation</w:t>
      </w:r>
      <w:proofErr w:type="spellEnd"/>
      <w:r w:rsidRPr="00E62CCC">
        <w:t xml:space="preserve"> (</w:t>
      </w:r>
      <w:proofErr w:type="spellStart"/>
      <w:r w:rsidRPr="00E62CCC">
        <w:t>Awodire</w:t>
      </w:r>
      <w:proofErr w:type="spellEnd"/>
      <w:r w:rsidRPr="00E62CCC">
        <w:t xml:space="preserve"> et al., 2023; Tesla, Inc., 2026).</w:t>
      </w:r>
    </w:p>
    <w:p w14:paraId="0C3221DE" w14:textId="49BC0170" w:rsidR="00561198" w:rsidRPr="00561198" w:rsidRDefault="00713778" w:rsidP="00561198">
      <w:r w:rsidRPr="00713778">
        <w:t>The widely used methods of capital budgeting that are used to analyze the feasibility of a project include the Payback Period (PBP), Accounting rate of return (ARR), Net Present value (NPV), Profitability index (pi) and internal rate of return (IRR). They offer a liquidity and profitability point of view, allowing decisive action in the uncertainty (</w:t>
      </w:r>
      <w:proofErr w:type="spellStart"/>
      <w:r w:rsidRPr="00713778">
        <w:t>Darmansyah</w:t>
      </w:r>
      <w:proofErr w:type="spellEnd"/>
      <w:r w:rsidRPr="00713778">
        <w:t xml:space="preserve"> et al., 2025; Shou, 2022).</w:t>
      </w:r>
    </w:p>
    <w:p w14:paraId="1035F508" w14:textId="77777777" w:rsidR="00561198" w:rsidRPr="00561198" w:rsidRDefault="00561198" w:rsidP="00561198"/>
    <w:p w14:paraId="100C18C9" w14:textId="77777777" w:rsidR="00AD2B37" w:rsidRDefault="00AD2B37" w:rsidP="00BA19BA">
      <w:pPr>
        <w:pStyle w:val="Heading2"/>
      </w:pPr>
      <w:bookmarkStart w:id="109" w:name="_Toc227659698"/>
      <w:r>
        <w:lastRenderedPageBreak/>
        <w:t>4.2 Payback Period (PBP)</w:t>
      </w:r>
      <w:bookmarkEnd w:id="109"/>
    </w:p>
    <w:tbl>
      <w:tblPr>
        <w:tblStyle w:val="TableGrid"/>
        <w:tblW w:w="5000" w:type="pct"/>
        <w:tblLook w:val="04A0" w:firstRow="1" w:lastRow="0" w:firstColumn="1" w:lastColumn="0" w:noHBand="0" w:noVBand="1"/>
      </w:tblPr>
      <w:tblGrid>
        <w:gridCol w:w="4675"/>
        <w:gridCol w:w="4675"/>
      </w:tblGrid>
      <w:tr w:rsidR="003A6306" w:rsidRPr="003A6306" w14:paraId="3638828E" w14:textId="77777777" w:rsidTr="003A6306">
        <w:tc>
          <w:tcPr>
            <w:tcW w:w="2500" w:type="pct"/>
            <w:hideMark/>
          </w:tcPr>
          <w:p w14:paraId="3FBC52AA" w14:textId="77777777" w:rsidR="003A6306" w:rsidRPr="003A6306" w:rsidRDefault="003A6306" w:rsidP="003A6306">
            <w:pPr>
              <w:spacing w:after="160"/>
              <w:rPr>
                <w:b/>
                <w:bCs/>
              </w:rPr>
            </w:pPr>
            <w:r w:rsidRPr="003A6306">
              <w:rPr>
                <w:b/>
                <w:bCs/>
              </w:rPr>
              <w:t>Project</w:t>
            </w:r>
          </w:p>
        </w:tc>
        <w:tc>
          <w:tcPr>
            <w:tcW w:w="2500" w:type="pct"/>
            <w:hideMark/>
          </w:tcPr>
          <w:p w14:paraId="66F3E8D8" w14:textId="77777777" w:rsidR="003A6306" w:rsidRPr="003A6306" w:rsidRDefault="003A6306" w:rsidP="003A6306">
            <w:pPr>
              <w:spacing w:after="160"/>
              <w:rPr>
                <w:b/>
                <w:bCs/>
              </w:rPr>
            </w:pPr>
            <w:r w:rsidRPr="003A6306">
              <w:rPr>
                <w:b/>
                <w:bCs/>
              </w:rPr>
              <w:t>Payback Period (Years)</w:t>
            </w:r>
          </w:p>
        </w:tc>
      </w:tr>
      <w:tr w:rsidR="003A6306" w:rsidRPr="003A6306" w14:paraId="004E1545" w14:textId="77777777" w:rsidTr="003A6306">
        <w:tc>
          <w:tcPr>
            <w:tcW w:w="2500" w:type="pct"/>
            <w:hideMark/>
          </w:tcPr>
          <w:p w14:paraId="30F5647E" w14:textId="77777777" w:rsidR="003A6306" w:rsidRPr="003A6306" w:rsidRDefault="003A6306" w:rsidP="003A6306">
            <w:pPr>
              <w:spacing w:after="160"/>
            </w:pPr>
            <w:r w:rsidRPr="003A6306">
              <w:t>A</w:t>
            </w:r>
          </w:p>
        </w:tc>
        <w:tc>
          <w:tcPr>
            <w:tcW w:w="2500" w:type="pct"/>
            <w:hideMark/>
          </w:tcPr>
          <w:p w14:paraId="6193DB39" w14:textId="77777777" w:rsidR="003A6306" w:rsidRPr="003A6306" w:rsidRDefault="003A6306" w:rsidP="003A6306">
            <w:pPr>
              <w:spacing w:after="160"/>
            </w:pPr>
            <w:r w:rsidRPr="003A6306">
              <w:rPr>
                <w:b/>
                <w:bCs/>
              </w:rPr>
              <w:t>4.50</w:t>
            </w:r>
          </w:p>
        </w:tc>
      </w:tr>
      <w:tr w:rsidR="003A6306" w:rsidRPr="003A6306" w14:paraId="3D57F336" w14:textId="77777777" w:rsidTr="003A6306">
        <w:tc>
          <w:tcPr>
            <w:tcW w:w="2500" w:type="pct"/>
            <w:hideMark/>
          </w:tcPr>
          <w:p w14:paraId="4E929956" w14:textId="77777777" w:rsidR="003A6306" w:rsidRPr="003A6306" w:rsidRDefault="003A6306" w:rsidP="003A6306">
            <w:pPr>
              <w:spacing w:after="160"/>
            </w:pPr>
            <w:r w:rsidRPr="003A6306">
              <w:t>B</w:t>
            </w:r>
          </w:p>
        </w:tc>
        <w:tc>
          <w:tcPr>
            <w:tcW w:w="2500" w:type="pct"/>
            <w:hideMark/>
          </w:tcPr>
          <w:p w14:paraId="568166F7" w14:textId="77777777" w:rsidR="003A6306" w:rsidRPr="003A6306" w:rsidRDefault="003A6306" w:rsidP="003A6306">
            <w:pPr>
              <w:spacing w:after="160"/>
            </w:pPr>
            <w:r w:rsidRPr="003A6306">
              <w:rPr>
                <w:b/>
                <w:bCs/>
              </w:rPr>
              <w:t>4.55</w:t>
            </w:r>
          </w:p>
        </w:tc>
      </w:tr>
      <w:tr w:rsidR="003A6306" w:rsidRPr="003A6306" w14:paraId="243C0E7A" w14:textId="77777777" w:rsidTr="003A6306">
        <w:tc>
          <w:tcPr>
            <w:tcW w:w="2500" w:type="pct"/>
            <w:hideMark/>
          </w:tcPr>
          <w:p w14:paraId="721A4484" w14:textId="77777777" w:rsidR="003A6306" w:rsidRPr="003A6306" w:rsidRDefault="003A6306" w:rsidP="003A6306">
            <w:pPr>
              <w:spacing w:after="160"/>
            </w:pPr>
            <w:r w:rsidRPr="003A6306">
              <w:t>C</w:t>
            </w:r>
          </w:p>
        </w:tc>
        <w:tc>
          <w:tcPr>
            <w:tcW w:w="2500" w:type="pct"/>
            <w:hideMark/>
          </w:tcPr>
          <w:p w14:paraId="0AACDA36" w14:textId="77777777" w:rsidR="003A6306" w:rsidRPr="003A6306" w:rsidRDefault="003A6306" w:rsidP="003A6306">
            <w:pPr>
              <w:spacing w:after="160"/>
            </w:pPr>
            <w:r w:rsidRPr="003A6306">
              <w:rPr>
                <w:b/>
                <w:bCs/>
              </w:rPr>
              <w:t>3.60</w:t>
            </w:r>
          </w:p>
        </w:tc>
      </w:tr>
    </w:tbl>
    <w:p w14:paraId="39AD47E7" w14:textId="34582E46" w:rsidR="00C73F5E" w:rsidRDefault="00C73F5E" w:rsidP="00C73F5E">
      <w:pPr>
        <w:pStyle w:val="Caption"/>
      </w:pPr>
      <w:bookmarkStart w:id="110" w:name="_Toc227659625"/>
      <w:r>
        <w:t xml:space="preserve">Table </w:t>
      </w:r>
      <w:fldSimple w:instr=" SEQ Table \* ARABIC ">
        <w:r w:rsidR="00AC714F">
          <w:rPr>
            <w:noProof/>
          </w:rPr>
          <w:t>2</w:t>
        </w:r>
      </w:fldSimple>
      <w:r>
        <w:t xml:space="preserve">: </w:t>
      </w:r>
      <w:r w:rsidRPr="00310CD5">
        <w:t>Payback Period (PBP)</w:t>
      </w:r>
      <w:bookmarkEnd w:id="110"/>
    </w:p>
    <w:p w14:paraId="3ACCB6BD" w14:textId="57CDBB31" w:rsidR="00C73F5E" w:rsidRPr="00C73F5E" w:rsidRDefault="00EF3BB4" w:rsidP="00C73F5E">
      <w:r w:rsidRPr="00EF3BB4">
        <w:t xml:space="preserve">The Payback Period is calculated to determine the duration of time needed to pay the initial investment </w:t>
      </w:r>
      <w:proofErr w:type="gramStart"/>
      <w:r w:rsidRPr="00EF3BB4">
        <w:t>at</w:t>
      </w:r>
      <w:proofErr w:type="gramEnd"/>
      <w:r w:rsidRPr="00EF3BB4">
        <w:t xml:space="preserve"> the project cash flow. The payback period of Project C is lowest at 3.60 years, whereas Project A (4.50 years) and B (4.55 years) have a payback period of 4.50 and 4.55 years respectively, meaning that Project C is more liquid (</w:t>
      </w:r>
      <w:proofErr w:type="spellStart"/>
      <w:r w:rsidRPr="00EF3BB4">
        <w:t>Oyelakun</w:t>
      </w:r>
      <w:proofErr w:type="spellEnd"/>
      <w:r w:rsidRPr="00EF3BB4">
        <w:t xml:space="preserve"> et al., 2025; </w:t>
      </w:r>
      <w:proofErr w:type="spellStart"/>
      <w:r w:rsidRPr="00EF3BB4">
        <w:t>Awodire</w:t>
      </w:r>
      <w:proofErr w:type="spellEnd"/>
      <w:r w:rsidRPr="00EF3BB4">
        <w:t xml:space="preserve"> et al., 2023).</w:t>
      </w:r>
    </w:p>
    <w:p w14:paraId="44AF70F7" w14:textId="18AEFCB8" w:rsidR="00AD2B37" w:rsidRDefault="009C3AEF" w:rsidP="00AD2B37">
      <w:r w:rsidRPr="009C3AEF">
        <w:t xml:space="preserve">A shorter payback leads to less exposure to risk, as well as better liquidity, especially in the uncertain market environment. Nevertheless, the approach does not consider the time value of money, and cash flows after the payback period, which makes it not a reliable standalone decision model (Shou, 2022; </w:t>
      </w:r>
      <w:proofErr w:type="spellStart"/>
      <w:r w:rsidRPr="009C3AEF">
        <w:t>Darmansyah</w:t>
      </w:r>
      <w:proofErr w:type="spellEnd"/>
      <w:r w:rsidRPr="009C3AEF">
        <w:t xml:space="preserve"> et al., 2025).</w:t>
      </w:r>
    </w:p>
    <w:p w14:paraId="4BB3AA17" w14:textId="77777777" w:rsidR="00EF3BB4" w:rsidRDefault="00EF3BB4" w:rsidP="00AD2B37"/>
    <w:p w14:paraId="6784B17E" w14:textId="1B5228AA" w:rsidR="00AD2B37" w:rsidRDefault="00AD2B37" w:rsidP="00BA19BA">
      <w:pPr>
        <w:pStyle w:val="Heading2"/>
      </w:pPr>
      <w:bookmarkStart w:id="111" w:name="_Toc227659699"/>
      <w:r>
        <w:t>4.3 Accounting Rate of Return (ARR)</w:t>
      </w:r>
      <w:bookmarkEnd w:id="111"/>
    </w:p>
    <w:tbl>
      <w:tblPr>
        <w:tblStyle w:val="TableGrid"/>
        <w:tblW w:w="5000" w:type="pct"/>
        <w:tblLook w:val="04A0" w:firstRow="1" w:lastRow="0" w:firstColumn="1" w:lastColumn="0" w:noHBand="0" w:noVBand="1"/>
      </w:tblPr>
      <w:tblGrid>
        <w:gridCol w:w="4585"/>
        <w:gridCol w:w="4765"/>
      </w:tblGrid>
      <w:tr w:rsidR="003A6306" w:rsidRPr="003A6306" w14:paraId="7F71A64C" w14:textId="77777777" w:rsidTr="003A6306">
        <w:tc>
          <w:tcPr>
            <w:tcW w:w="2452" w:type="pct"/>
            <w:hideMark/>
          </w:tcPr>
          <w:p w14:paraId="5B19048F" w14:textId="77777777" w:rsidR="003A6306" w:rsidRPr="003A6306" w:rsidRDefault="003A6306" w:rsidP="003A6306">
            <w:pPr>
              <w:spacing w:after="160"/>
              <w:rPr>
                <w:b/>
                <w:bCs/>
              </w:rPr>
            </w:pPr>
            <w:r w:rsidRPr="003A6306">
              <w:rPr>
                <w:b/>
                <w:bCs/>
              </w:rPr>
              <w:t>Project</w:t>
            </w:r>
          </w:p>
        </w:tc>
        <w:tc>
          <w:tcPr>
            <w:tcW w:w="2548" w:type="pct"/>
            <w:hideMark/>
          </w:tcPr>
          <w:p w14:paraId="075C6A96" w14:textId="77777777" w:rsidR="003A6306" w:rsidRPr="003A6306" w:rsidRDefault="003A6306" w:rsidP="003A6306">
            <w:pPr>
              <w:spacing w:after="160"/>
              <w:rPr>
                <w:b/>
                <w:bCs/>
              </w:rPr>
            </w:pPr>
            <w:r w:rsidRPr="003A6306">
              <w:rPr>
                <w:b/>
                <w:bCs/>
              </w:rPr>
              <w:t>ARR (%)</w:t>
            </w:r>
          </w:p>
        </w:tc>
      </w:tr>
      <w:tr w:rsidR="003A6306" w:rsidRPr="003A6306" w14:paraId="3C2BA375" w14:textId="77777777" w:rsidTr="003A6306">
        <w:tc>
          <w:tcPr>
            <w:tcW w:w="2452" w:type="pct"/>
            <w:hideMark/>
          </w:tcPr>
          <w:p w14:paraId="4605BF73" w14:textId="77777777" w:rsidR="003A6306" w:rsidRPr="003A6306" w:rsidRDefault="003A6306" w:rsidP="003A6306">
            <w:pPr>
              <w:spacing w:after="160"/>
            </w:pPr>
            <w:r w:rsidRPr="003A6306">
              <w:t>A</w:t>
            </w:r>
          </w:p>
        </w:tc>
        <w:tc>
          <w:tcPr>
            <w:tcW w:w="2548" w:type="pct"/>
            <w:hideMark/>
          </w:tcPr>
          <w:p w14:paraId="24D5E129" w14:textId="77777777" w:rsidR="003A6306" w:rsidRPr="003A6306" w:rsidRDefault="003A6306" w:rsidP="003A6306">
            <w:pPr>
              <w:spacing w:after="160"/>
            </w:pPr>
            <w:r w:rsidRPr="003A6306">
              <w:rPr>
                <w:b/>
                <w:bCs/>
              </w:rPr>
              <w:t>1.60%</w:t>
            </w:r>
          </w:p>
        </w:tc>
      </w:tr>
      <w:tr w:rsidR="003A6306" w:rsidRPr="003A6306" w14:paraId="6A83837F" w14:textId="77777777" w:rsidTr="003A6306">
        <w:tc>
          <w:tcPr>
            <w:tcW w:w="2452" w:type="pct"/>
            <w:hideMark/>
          </w:tcPr>
          <w:p w14:paraId="712A96DE" w14:textId="77777777" w:rsidR="003A6306" w:rsidRPr="003A6306" w:rsidRDefault="003A6306" w:rsidP="003A6306">
            <w:pPr>
              <w:spacing w:after="160"/>
            </w:pPr>
            <w:r w:rsidRPr="003A6306">
              <w:t>B</w:t>
            </w:r>
          </w:p>
        </w:tc>
        <w:tc>
          <w:tcPr>
            <w:tcW w:w="2548" w:type="pct"/>
            <w:hideMark/>
          </w:tcPr>
          <w:p w14:paraId="0D1144A7" w14:textId="77777777" w:rsidR="003A6306" w:rsidRPr="003A6306" w:rsidRDefault="003A6306" w:rsidP="003A6306">
            <w:pPr>
              <w:spacing w:after="160"/>
            </w:pPr>
            <w:r w:rsidRPr="003A6306">
              <w:rPr>
                <w:b/>
                <w:bCs/>
              </w:rPr>
              <w:t>2.00%</w:t>
            </w:r>
          </w:p>
        </w:tc>
      </w:tr>
      <w:tr w:rsidR="003A6306" w:rsidRPr="003A6306" w14:paraId="2721E212" w14:textId="77777777" w:rsidTr="003A6306">
        <w:tc>
          <w:tcPr>
            <w:tcW w:w="2452" w:type="pct"/>
            <w:hideMark/>
          </w:tcPr>
          <w:p w14:paraId="52588E41" w14:textId="77777777" w:rsidR="003A6306" w:rsidRPr="003A6306" w:rsidRDefault="003A6306" w:rsidP="003A6306">
            <w:pPr>
              <w:spacing w:after="160"/>
            </w:pPr>
            <w:r w:rsidRPr="003A6306">
              <w:t>C</w:t>
            </w:r>
          </w:p>
        </w:tc>
        <w:tc>
          <w:tcPr>
            <w:tcW w:w="2548" w:type="pct"/>
            <w:hideMark/>
          </w:tcPr>
          <w:p w14:paraId="493F941C" w14:textId="77777777" w:rsidR="003A6306" w:rsidRPr="003A6306" w:rsidRDefault="003A6306" w:rsidP="003A6306">
            <w:pPr>
              <w:spacing w:after="160"/>
            </w:pPr>
            <w:r w:rsidRPr="003A6306">
              <w:rPr>
                <w:b/>
                <w:bCs/>
              </w:rPr>
              <w:t>6.00%</w:t>
            </w:r>
          </w:p>
        </w:tc>
      </w:tr>
    </w:tbl>
    <w:p w14:paraId="258F7623" w14:textId="29B0D4F0" w:rsidR="00C73F5E" w:rsidRDefault="00C73F5E" w:rsidP="00C73F5E">
      <w:pPr>
        <w:pStyle w:val="Caption"/>
      </w:pPr>
      <w:bookmarkStart w:id="112" w:name="_Toc227659626"/>
      <w:r>
        <w:t xml:space="preserve">Table </w:t>
      </w:r>
      <w:fldSimple w:instr=" SEQ Table \* ARABIC ">
        <w:r w:rsidR="00AC714F">
          <w:rPr>
            <w:noProof/>
          </w:rPr>
          <w:t>3</w:t>
        </w:r>
      </w:fldSimple>
      <w:r>
        <w:t xml:space="preserve">: </w:t>
      </w:r>
      <w:r w:rsidRPr="008D0CF7">
        <w:t>Accounting Rate of Return (ARR)</w:t>
      </w:r>
      <w:bookmarkEnd w:id="112"/>
    </w:p>
    <w:p w14:paraId="0CED5092" w14:textId="074AC265" w:rsidR="00C73F5E" w:rsidRPr="00C73F5E" w:rsidRDefault="006238EF" w:rsidP="00C73F5E">
      <w:r w:rsidRPr="006238EF">
        <w:t>Accounting rate of Return gauges profitability by using the average profit against the invested capital. The ARR of Project C is the highest (6.00</w:t>
      </w:r>
      <w:r>
        <w:t>%</w:t>
      </w:r>
      <w:r w:rsidRPr="006238EF">
        <w:t>) compared to Project B (2.00</w:t>
      </w:r>
      <w:r>
        <w:t>%</w:t>
      </w:r>
      <w:r w:rsidRPr="006238EF">
        <w:t>) and Project A (1.60</w:t>
      </w:r>
      <w:r>
        <w:t>%</w:t>
      </w:r>
      <w:r w:rsidRPr="006238EF">
        <w:t>), which means that Project C has better accounting profitability (Magni et al., 2012; Kanna et al., 2023).</w:t>
      </w:r>
    </w:p>
    <w:p w14:paraId="07389875" w14:textId="115A7DEC" w:rsidR="00C73F5E" w:rsidRPr="00C73F5E" w:rsidRDefault="000E33CB" w:rsidP="00C73F5E">
      <w:r w:rsidRPr="000E33CB">
        <w:lastRenderedPageBreak/>
        <w:t xml:space="preserve">ARR is an effective method to compare the performance of projects based on accounting information, but the tool does not factor in the cash flows and time value of money. Hence, although Project C seems the most profitable, based on ARR, it should be combined with other appraisal calculation techniques (Ramdhan et al., 2025; Magni and </w:t>
      </w:r>
      <w:proofErr w:type="spellStart"/>
      <w:r w:rsidRPr="000E33CB">
        <w:t>Peasnell</w:t>
      </w:r>
      <w:proofErr w:type="spellEnd"/>
      <w:r w:rsidRPr="000E33CB">
        <w:t>, 2012).</w:t>
      </w:r>
    </w:p>
    <w:p w14:paraId="2FECF15E" w14:textId="77777777" w:rsidR="003A6306" w:rsidRPr="003A6306" w:rsidRDefault="003A6306" w:rsidP="003A6306"/>
    <w:p w14:paraId="24AC8DE0" w14:textId="0F334DB1" w:rsidR="00AD2B37" w:rsidRDefault="00AD2B37" w:rsidP="00BA19BA">
      <w:pPr>
        <w:pStyle w:val="Heading2"/>
      </w:pPr>
      <w:bookmarkStart w:id="113" w:name="_Toc227659700"/>
      <w:r>
        <w:t>4.4 Net Present Value (NPV)</w:t>
      </w:r>
      <w:bookmarkEnd w:id="113"/>
    </w:p>
    <w:tbl>
      <w:tblPr>
        <w:tblStyle w:val="TableGrid"/>
        <w:tblW w:w="5000" w:type="pct"/>
        <w:tblLook w:val="04A0" w:firstRow="1" w:lastRow="0" w:firstColumn="1" w:lastColumn="0" w:noHBand="0" w:noVBand="1"/>
      </w:tblPr>
      <w:tblGrid>
        <w:gridCol w:w="4585"/>
        <w:gridCol w:w="4765"/>
      </w:tblGrid>
      <w:tr w:rsidR="003A6306" w:rsidRPr="003A6306" w14:paraId="5FA6F8E0" w14:textId="77777777" w:rsidTr="003A6306">
        <w:tc>
          <w:tcPr>
            <w:tcW w:w="2452" w:type="pct"/>
            <w:hideMark/>
          </w:tcPr>
          <w:p w14:paraId="78251D2F" w14:textId="77777777" w:rsidR="003A6306" w:rsidRPr="003A6306" w:rsidRDefault="003A6306" w:rsidP="003A6306">
            <w:pPr>
              <w:spacing w:after="160"/>
              <w:rPr>
                <w:b/>
                <w:bCs/>
              </w:rPr>
            </w:pPr>
            <w:r w:rsidRPr="003A6306">
              <w:rPr>
                <w:b/>
                <w:bCs/>
              </w:rPr>
              <w:t>Project</w:t>
            </w:r>
          </w:p>
        </w:tc>
        <w:tc>
          <w:tcPr>
            <w:tcW w:w="2548" w:type="pct"/>
            <w:hideMark/>
          </w:tcPr>
          <w:p w14:paraId="3195ECB7" w14:textId="3E83E588" w:rsidR="003A6306" w:rsidRPr="003A6306" w:rsidRDefault="003A6306" w:rsidP="003A6306">
            <w:pPr>
              <w:spacing w:after="160"/>
              <w:rPr>
                <w:b/>
                <w:bCs/>
              </w:rPr>
            </w:pPr>
            <w:r w:rsidRPr="003A6306">
              <w:rPr>
                <w:b/>
                <w:bCs/>
              </w:rPr>
              <w:t>NPV (</w:t>
            </w:r>
            <w:r w:rsidR="00CD094B" w:rsidRPr="00C8436E">
              <w:t>£</w:t>
            </w:r>
            <w:r w:rsidRPr="003A6306">
              <w:rPr>
                <w:b/>
                <w:bCs/>
              </w:rPr>
              <w:t>m)</w:t>
            </w:r>
          </w:p>
        </w:tc>
      </w:tr>
      <w:tr w:rsidR="003A6306" w:rsidRPr="003A6306" w14:paraId="541464B5" w14:textId="77777777" w:rsidTr="003A6306">
        <w:tc>
          <w:tcPr>
            <w:tcW w:w="2452" w:type="pct"/>
            <w:hideMark/>
          </w:tcPr>
          <w:p w14:paraId="23A6A5C2" w14:textId="77777777" w:rsidR="003A6306" w:rsidRPr="003A6306" w:rsidRDefault="003A6306" w:rsidP="003A6306">
            <w:pPr>
              <w:spacing w:after="160"/>
            </w:pPr>
            <w:r w:rsidRPr="003A6306">
              <w:t>A</w:t>
            </w:r>
          </w:p>
        </w:tc>
        <w:tc>
          <w:tcPr>
            <w:tcW w:w="2548" w:type="pct"/>
            <w:hideMark/>
          </w:tcPr>
          <w:p w14:paraId="49B23126" w14:textId="77777777" w:rsidR="003A6306" w:rsidRPr="003A6306" w:rsidRDefault="003A6306" w:rsidP="003A6306">
            <w:pPr>
              <w:spacing w:after="160"/>
            </w:pPr>
            <w:r w:rsidRPr="003A6306">
              <w:rPr>
                <w:b/>
                <w:bCs/>
              </w:rPr>
              <w:t>-8.68</w:t>
            </w:r>
          </w:p>
        </w:tc>
      </w:tr>
      <w:tr w:rsidR="003A6306" w:rsidRPr="003A6306" w14:paraId="52C145B2" w14:textId="77777777" w:rsidTr="003A6306">
        <w:tc>
          <w:tcPr>
            <w:tcW w:w="2452" w:type="pct"/>
            <w:hideMark/>
          </w:tcPr>
          <w:p w14:paraId="2D684ECB" w14:textId="77777777" w:rsidR="003A6306" w:rsidRPr="003A6306" w:rsidRDefault="003A6306" w:rsidP="003A6306">
            <w:pPr>
              <w:spacing w:after="160"/>
            </w:pPr>
            <w:r w:rsidRPr="003A6306">
              <w:t>B</w:t>
            </w:r>
          </w:p>
        </w:tc>
        <w:tc>
          <w:tcPr>
            <w:tcW w:w="2548" w:type="pct"/>
            <w:hideMark/>
          </w:tcPr>
          <w:p w14:paraId="7EE282CF" w14:textId="77777777" w:rsidR="003A6306" w:rsidRPr="003A6306" w:rsidRDefault="003A6306" w:rsidP="003A6306">
            <w:pPr>
              <w:spacing w:after="160"/>
            </w:pPr>
            <w:r w:rsidRPr="003A6306">
              <w:rPr>
                <w:b/>
                <w:bCs/>
              </w:rPr>
              <w:t>-8.30</w:t>
            </w:r>
          </w:p>
        </w:tc>
      </w:tr>
      <w:tr w:rsidR="003A6306" w:rsidRPr="003A6306" w14:paraId="6C06F6BD" w14:textId="77777777" w:rsidTr="003A6306">
        <w:tc>
          <w:tcPr>
            <w:tcW w:w="2452" w:type="pct"/>
            <w:hideMark/>
          </w:tcPr>
          <w:p w14:paraId="5B9B994D" w14:textId="77777777" w:rsidR="003A6306" w:rsidRPr="003A6306" w:rsidRDefault="003A6306" w:rsidP="003A6306">
            <w:pPr>
              <w:spacing w:after="160"/>
            </w:pPr>
            <w:r w:rsidRPr="003A6306">
              <w:t>C</w:t>
            </w:r>
          </w:p>
        </w:tc>
        <w:tc>
          <w:tcPr>
            <w:tcW w:w="2548" w:type="pct"/>
            <w:hideMark/>
          </w:tcPr>
          <w:p w14:paraId="690E7E0F" w14:textId="77777777" w:rsidR="003A6306" w:rsidRPr="003A6306" w:rsidRDefault="003A6306" w:rsidP="003A6306">
            <w:pPr>
              <w:spacing w:after="160"/>
            </w:pPr>
            <w:r w:rsidRPr="003A6306">
              <w:rPr>
                <w:b/>
                <w:bCs/>
              </w:rPr>
              <w:t>-1.98</w:t>
            </w:r>
          </w:p>
        </w:tc>
      </w:tr>
    </w:tbl>
    <w:p w14:paraId="2D79125D" w14:textId="52913E65" w:rsidR="003A6306" w:rsidRDefault="00C73F5E" w:rsidP="00C73F5E">
      <w:pPr>
        <w:pStyle w:val="Caption"/>
      </w:pPr>
      <w:bookmarkStart w:id="114" w:name="_Toc227659627"/>
      <w:r>
        <w:t xml:space="preserve">Table </w:t>
      </w:r>
      <w:fldSimple w:instr=" SEQ Table \* ARABIC ">
        <w:r w:rsidR="00AC714F">
          <w:rPr>
            <w:noProof/>
          </w:rPr>
          <w:t>4</w:t>
        </w:r>
      </w:fldSimple>
      <w:r>
        <w:t xml:space="preserve">: </w:t>
      </w:r>
      <w:r w:rsidRPr="00265C22">
        <w:t>Net Present Value (NPV)</w:t>
      </w:r>
      <w:bookmarkEnd w:id="114"/>
    </w:p>
    <w:p w14:paraId="7A420658" w14:textId="085E80BB" w:rsidR="00812985" w:rsidRPr="00812985" w:rsidRDefault="00B55E32" w:rsidP="00812985">
      <w:r w:rsidRPr="00B55E32">
        <w:t>Net Present Value is a key capital budgeting technique that measures the difference between the present value of cash inflows and outflows. The negative NPV of all three projects is lower than that of Project C which is negative (-</w:t>
      </w:r>
      <w:r w:rsidR="00CD094B" w:rsidRPr="00C8436E">
        <w:t>£</w:t>
      </w:r>
      <w:r w:rsidRPr="00B55E32">
        <w:t xml:space="preserve">1.98 million) compared to Project B (- </w:t>
      </w:r>
      <w:r w:rsidR="00CD094B" w:rsidRPr="00C8436E">
        <w:t>£</w:t>
      </w:r>
      <w:r w:rsidRPr="00B55E32">
        <w:t xml:space="preserve">8.30 million) and Project A (-£8.68 million) (Shou, 2022; </w:t>
      </w:r>
      <w:proofErr w:type="spellStart"/>
      <w:r w:rsidRPr="00B55E32">
        <w:t>Darmansyah</w:t>
      </w:r>
      <w:proofErr w:type="spellEnd"/>
      <w:r w:rsidRPr="00B55E32">
        <w:t xml:space="preserve"> et al., 2025).</w:t>
      </w:r>
    </w:p>
    <w:p w14:paraId="51FA4DFC" w14:textId="5FB26E08" w:rsidR="00812985" w:rsidRPr="00812985" w:rsidRDefault="00A0183F" w:rsidP="00812985">
      <w:r w:rsidRPr="00A0183F">
        <w:t>When the NPV is negative, it is a sign that the projects will lower the value of the firm within the applicable discount rate. However, Project C is relatively more acceptable as it results in the smallest loss, suggesting better financial performance compared to the alternatives (</w:t>
      </w:r>
      <w:proofErr w:type="spellStart"/>
      <w:r w:rsidRPr="00A0183F">
        <w:t>Alrikabi</w:t>
      </w:r>
      <w:proofErr w:type="spellEnd"/>
      <w:r w:rsidRPr="00A0183F">
        <w:t xml:space="preserve">, 2022; </w:t>
      </w:r>
      <w:proofErr w:type="spellStart"/>
      <w:r w:rsidRPr="00A0183F">
        <w:t>Awodire</w:t>
      </w:r>
      <w:proofErr w:type="spellEnd"/>
      <w:r w:rsidRPr="00A0183F">
        <w:t xml:space="preserve"> et al., 2023).</w:t>
      </w:r>
    </w:p>
    <w:p w14:paraId="71A25C78" w14:textId="77777777" w:rsidR="00C73F5E" w:rsidRPr="00C73F5E" w:rsidRDefault="00C73F5E" w:rsidP="00C73F5E"/>
    <w:p w14:paraId="0ACB9AA0" w14:textId="587992FE" w:rsidR="00AD2B37" w:rsidRDefault="00BA19BA" w:rsidP="00BA19BA">
      <w:pPr>
        <w:pStyle w:val="Heading2"/>
      </w:pPr>
      <w:bookmarkStart w:id="115" w:name="_Toc227659701"/>
      <w:r>
        <w:t>4.5 Profitability Index (PI)</w:t>
      </w:r>
      <w:bookmarkEnd w:id="115"/>
    </w:p>
    <w:tbl>
      <w:tblPr>
        <w:tblStyle w:val="TableGrid"/>
        <w:tblW w:w="5000" w:type="pct"/>
        <w:tblLook w:val="04A0" w:firstRow="1" w:lastRow="0" w:firstColumn="1" w:lastColumn="0" w:noHBand="0" w:noVBand="1"/>
      </w:tblPr>
      <w:tblGrid>
        <w:gridCol w:w="4585"/>
        <w:gridCol w:w="4765"/>
      </w:tblGrid>
      <w:tr w:rsidR="003A6306" w:rsidRPr="003A6306" w14:paraId="5B82F352" w14:textId="77777777" w:rsidTr="00EA32E6">
        <w:tc>
          <w:tcPr>
            <w:tcW w:w="2452" w:type="pct"/>
            <w:hideMark/>
          </w:tcPr>
          <w:p w14:paraId="11722009" w14:textId="77777777" w:rsidR="003A6306" w:rsidRPr="003A6306" w:rsidRDefault="003A6306" w:rsidP="003A6306">
            <w:pPr>
              <w:spacing w:after="160"/>
              <w:rPr>
                <w:b/>
                <w:bCs/>
              </w:rPr>
            </w:pPr>
            <w:r w:rsidRPr="003A6306">
              <w:rPr>
                <w:b/>
                <w:bCs/>
              </w:rPr>
              <w:t>Project</w:t>
            </w:r>
          </w:p>
        </w:tc>
        <w:tc>
          <w:tcPr>
            <w:tcW w:w="2548" w:type="pct"/>
            <w:hideMark/>
          </w:tcPr>
          <w:p w14:paraId="6243BBA7" w14:textId="77777777" w:rsidR="003A6306" w:rsidRPr="003A6306" w:rsidRDefault="003A6306" w:rsidP="003A6306">
            <w:pPr>
              <w:spacing w:after="160"/>
              <w:rPr>
                <w:b/>
                <w:bCs/>
              </w:rPr>
            </w:pPr>
            <w:r w:rsidRPr="003A6306">
              <w:rPr>
                <w:b/>
                <w:bCs/>
              </w:rPr>
              <w:t>PI</w:t>
            </w:r>
          </w:p>
        </w:tc>
      </w:tr>
      <w:tr w:rsidR="003A6306" w:rsidRPr="003A6306" w14:paraId="1A7C9A10" w14:textId="77777777" w:rsidTr="00EA32E6">
        <w:tc>
          <w:tcPr>
            <w:tcW w:w="2452" w:type="pct"/>
            <w:hideMark/>
          </w:tcPr>
          <w:p w14:paraId="49BD8215" w14:textId="77777777" w:rsidR="003A6306" w:rsidRPr="003A6306" w:rsidRDefault="003A6306" w:rsidP="003A6306">
            <w:pPr>
              <w:spacing w:after="160"/>
            </w:pPr>
            <w:r w:rsidRPr="003A6306">
              <w:t>A</w:t>
            </w:r>
          </w:p>
        </w:tc>
        <w:tc>
          <w:tcPr>
            <w:tcW w:w="2548" w:type="pct"/>
            <w:hideMark/>
          </w:tcPr>
          <w:p w14:paraId="06342BAF" w14:textId="77777777" w:rsidR="003A6306" w:rsidRPr="003A6306" w:rsidRDefault="003A6306" w:rsidP="003A6306">
            <w:pPr>
              <w:spacing w:after="160"/>
            </w:pPr>
            <w:r w:rsidRPr="003A6306">
              <w:rPr>
                <w:b/>
                <w:bCs/>
              </w:rPr>
              <w:t>0.83</w:t>
            </w:r>
          </w:p>
        </w:tc>
      </w:tr>
      <w:tr w:rsidR="003A6306" w:rsidRPr="003A6306" w14:paraId="1B7BB5C6" w14:textId="77777777" w:rsidTr="00EA32E6">
        <w:tc>
          <w:tcPr>
            <w:tcW w:w="2452" w:type="pct"/>
            <w:hideMark/>
          </w:tcPr>
          <w:p w14:paraId="392F2836" w14:textId="77777777" w:rsidR="003A6306" w:rsidRPr="003A6306" w:rsidRDefault="003A6306" w:rsidP="003A6306">
            <w:pPr>
              <w:spacing w:after="160"/>
            </w:pPr>
            <w:r w:rsidRPr="003A6306">
              <w:t>B</w:t>
            </w:r>
          </w:p>
        </w:tc>
        <w:tc>
          <w:tcPr>
            <w:tcW w:w="2548" w:type="pct"/>
            <w:hideMark/>
          </w:tcPr>
          <w:p w14:paraId="612675A2" w14:textId="77777777" w:rsidR="003A6306" w:rsidRPr="003A6306" w:rsidRDefault="003A6306" w:rsidP="003A6306">
            <w:pPr>
              <w:spacing w:after="160"/>
            </w:pPr>
            <w:r w:rsidRPr="003A6306">
              <w:rPr>
                <w:b/>
                <w:bCs/>
              </w:rPr>
              <w:t>0.83</w:t>
            </w:r>
          </w:p>
        </w:tc>
      </w:tr>
      <w:tr w:rsidR="003A6306" w:rsidRPr="003A6306" w14:paraId="7AB0A278" w14:textId="77777777" w:rsidTr="00EA32E6">
        <w:tc>
          <w:tcPr>
            <w:tcW w:w="2452" w:type="pct"/>
            <w:hideMark/>
          </w:tcPr>
          <w:p w14:paraId="73F9324F" w14:textId="77777777" w:rsidR="003A6306" w:rsidRPr="003A6306" w:rsidRDefault="003A6306" w:rsidP="003A6306">
            <w:pPr>
              <w:spacing w:after="160"/>
            </w:pPr>
            <w:r w:rsidRPr="003A6306">
              <w:lastRenderedPageBreak/>
              <w:t>C</w:t>
            </w:r>
          </w:p>
        </w:tc>
        <w:tc>
          <w:tcPr>
            <w:tcW w:w="2548" w:type="pct"/>
            <w:hideMark/>
          </w:tcPr>
          <w:p w14:paraId="3A0C088B" w14:textId="77777777" w:rsidR="003A6306" w:rsidRPr="003A6306" w:rsidRDefault="003A6306" w:rsidP="003A6306">
            <w:pPr>
              <w:spacing w:after="160"/>
            </w:pPr>
            <w:r w:rsidRPr="003A6306">
              <w:rPr>
                <w:b/>
                <w:bCs/>
              </w:rPr>
              <w:t>0.96</w:t>
            </w:r>
          </w:p>
        </w:tc>
      </w:tr>
    </w:tbl>
    <w:p w14:paraId="7C01BC86" w14:textId="6B6AE98C" w:rsidR="003A6306" w:rsidRDefault="00812985" w:rsidP="00812985">
      <w:pPr>
        <w:pStyle w:val="Caption"/>
      </w:pPr>
      <w:bookmarkStart w:id="116" w:name="_Toc227659628"/>
      <w:r>
        <w:t xml:space="preserve">Table </w:t>
      </w:r>
      <w:fldSimple w:instr=" SEQ Table \* ARABIC ">
        <w:r w:rsidR="00AC714F">
          <w:rPr>
            <w:noProof/>
          </w:rPr>
          <w:t>5</w:t>
        </w:r>
      </w:fldSimple>
      <w:r>
        <w:t xml:space="preserve">: </w:t>
      </w:r>
      <w:r w:rsidRPr="0060169D">
        <w:t>Profitability Index (PI)</w:t>
      </w:r>
      <w:bookmarkEnd w:id="116"/>
    </w:p>
    <w:p w14:paraId="426EC5EA" w14:textId="20FF4629" w:rsidR="006448D7" w:rsidRPr="006448D7" w:rsidRDefault="007912C6" w:rsidP="006448D7">
      <w:r w:rsidRPr="007912C6">
        <w:t>The Profitability Index is the value generated per unit of investment and the measure is obtained by dividing the present value by initial investment. The PI of Project C is the greatest (0.96), and the PI of Projects A and B is equal (0.83), which means that Project C should bring the most significant relative value (</w:t>
      </w:r>
      <w:proofErr w:type="spellStart"/>
      <w:r w:rsidRPr="007912C6">
        <w:t>Alrikabi</w:t>
      </w:r>
      <w:proofErr w:type="spellEnd"/>
      <w:r w:rsidRPr="007912C6">
        <w:t>, 2022; Shou, 2022).</w:t>
      </w:r>
    </w:p>
    <w:p w14:paraId="2EAB867D" w14:textId="3C26B52D" w:rsidR="006448D7" w:rsidRPr="006448D7" w:rsidRDefault="0047238D" w:rsidP="006448D7">
      <w:r w:rsidRPr="0047238D">
        <w:t>PI below 1 means that the project will not yield enough returns to pay the cost of the investment. Still, Project C is the most preferable one because it is the one that is nearest to the acceptable value (</w:t>
      </w:r>
      <w:proofErr w:type="spellStart"/>
      <w:r w:rsidRPr="0047238D">
        <w:t>Awodire</w:t>
      </w:r>
      <w:proofErr w:type="spellEnd"/>
      <w:r w:rsidRPr="0047238D">
        <w:t xml:space="preserve"> et al., 2023; </w:t>
      </w:r>
      <w:proofErr w:type="spellStart"/>
      <w:r w:rsidRPr="0047238D">
        <w:t>Darmansyah</w:t>
      </w:r>
      <w:proofErr w:type="spellEnd"/>
      <w:r w:rsidRPr="0047238D">
        <w:t xml:space="preserve"> et al., 2025).</w:t>
      </w:r>
    </w:p>
    <w:p w14:paraId="73C890E1" w14:textId="77777777" w:rsidR="00812985" w:rsidRPr="00812985" w:rsidRDefault="00812985" w:rsidP="00812985"/>
    <w:p w14:paraId="49BBEBF9" w14:textId="349D6AC6" w:rsidR="00AD2B37" w:rsidRDefault="00AD2B37" w:rsidP="00BA19BA">
      <w:pPr>
        <w:pStyle w:val="Heading2"/>
      </w:pPr>
      <w:bookmarkStart w:id="117" w:name="_Toc227659702"/>
      <w:r>
        <w:t>4.</w:t>
      </w:r>
      <w:r w:rsidR="00BA19BA">
        <w:t>6</w:t>
      </w:r>
      <w:r>
        <w:t xml:space="preserve"> Internal Rate of Return (IRR)</w:t>
      </w:r>
      <w:bookmarkEnd w:id="117"/>
    </w:p>
    <w:tbl>
      <w:tblPr>
        <w:tblStyle w:val="TableGrid"/>
        <w:tblW w:w="5000" w:type="pct"/>
        <w:tblLook w:val="04A0" w:firstRow="1" w:lastRow="0" w:firstColumn="1" w:lastColumn="0" w:noHBand="0" w:noVBand="1"/>
      </w:tblPr>
      <w:tblGrid>
        <w:gridCol w:w="4585"/>
        <w:gridCol w:w="4765"/>
      </w:tblGrid>
      <w:tr w:rsidR="00EA32E6" w:rsidRPr="00EA32E6" w14:paraId="5876EF42" w14:textId="77777777" w:rsidTr="00EA32E6">
        <w:tc>
          <w:tcPr>
            <w:tcW w:w="2452" w:type="pct"/>
            <w:hideMark/>
          </w:tcPr>
          <w:p w14:paraId="2B02C1FF" w14:textId="77777777" w:rsidR="00EA32E6" w:rsidRPr="00EA32E6" w:rsidRDefault="00EA32E6" w:rsidP="00EA32E6">
            <w:pPr>
              <w:spacing w:after="160"/>
              <w:rPr>
                <w:b/>
                <w:bCs/>
              </w:rPr>
            </w:pPr>
            <w:r w:rsidRPr="00EA32E6">
              <w:rPr>
                <w:b/>
                <w:bCs/>
              </w:rPr>
              <w:t>Project</w:t>
            </w:r>
          </w:p>
        </w:tc>
        <w:tc>
          <w:tcPr>
            <w:tcW w:w="2548" w:type="pct"/>
            <w:hideMark/>
          </w:tcPr>
          <w:p w14:paraId="23D90A90" w14:textId="77777777" w:rsidR="00EA32E6" w:rsidRPr="00EA32E6" w:rsidRDefault="00EA32E6" w:rsidP="00EA32E6">
            <w:pPr>
              <w:spacing w:after="160"/>
              <w:rPr>
                <w:b/>
                <w:bCs/>
              </w:rPr>
            </w:pPr>
            <w:r w:rsidRPr="00EA32E6">
              <w:rPr>
                <w:b/>
                <w:bCs/>
              </w:rPr>
              <w:t>IRR</w:t>
            </w:r>
          </w:p>
        </w:tc>
      </w:tr>
      <w:tr w:rsidR="00EA32E6" w:rsidRPr="00EA32E6" w14:paraId="11667B5A" w14:textId="77777777" w:rsidTr="00EA32E6">
        <w:tc>
          <w:tcPr>
            <w:tcW w:w="2452" w:type="pct"/>
            <w:hideMark/>
          </w:tcPr>
          <w:p w14:paraId="65C5929D" w14:textId="77777777" w:rsidR="00EA32E6" w:rsidRPr="00EA32E6" w:rsidRDefault="00EA32E6" w:rsidP="00EA32E6">
            <w:pPr>
              <w:spacing w:after="160"/>
            </w:pPr>
            <w:r w:rsidRPr="00EA32E6">
              <w:t>A</w:t>
            </w:r>
          </w:p>
        </w:tc>
        <w:tc>
          <w:tcPr>
            <w:tcW w:w="2548" w:type="pct"/>
            <w:hideMark/>
          </w:tcPr>
          <w:p w14:paraId="6796707E" w14:textId="77777777" w:rsidR="00EA32E6" w:rsidRPr="00EA32E6" w:rsidRDefault="00EA32E6" w:rsidP="00EA32E6">
            <w:pPr>
              <w:spacing w:after="160"/>
            </w:pPr>
            <w:r w:rsidRPr="00EA32E6">
              <w:rPr>
                <w:b/>
                <w:bCs/>
              </w:rPr>
              <w:t>2.72%</w:t>
            </w:r>
          </w:p>
        </w:tc>
      </w:tr>
      <w:tr w:rsidR="00EA32E6" w:rsidRPr="00EA32E6" w14:paraId="7440C83F" w14:textId="77777777" w:rsidTr="00EA32E6">
        <w:tc>
          <w:tcPr>
            <w:tcW w:w="2452" w:type="pct"/>
            <w:hideMark/>
          </w:tcPr>
          <w:p w14:paraId="2396DC8D" w14:textId="77777777" w:rsidR="00EA32E6" w:rsidRPr="00EA32E6" w:rsidRDefault="00EA32E6" w:rsidP="00EA32E6">
            <w:pPr>
              <w:spacing w:after="160"/>
            </w:pPr>
            <w:r w:rsidRPr="00EA32E6">
              <w:t>B</w:t>
            </w:r>
          </w:p>
        </w:tc>
        <w:tc>
          <w:tcPr>
            <w:tcW w:w="2548" w:type="pct"/>
            <w:hideMark/>
          </w:tcPr>
          <w:p w14:paraId="6D97D12E" w14:textId="77777777" w:rsidR="00EA32E6" w:rsidRPr="00EA32E6" w:rsidRDefault="00EA32E6" w:rsidP="00EA32E6">
            <w:pPr>
              <w:spacing w:after="160"/>
            </w:pPr>
            <w:r w:rsidRPr="00EA32E6">
              <w:rPr>
                <w:b/>
                <w:bCs/>
              </w:rPr>
              <w:t>3.26%</w:t>
            </w:r>
          </w:p>
        </w:tc>
      </w:tr>
      <w:tr w:rsidR="00EA32E6" w:rsidRPr="00EA32E6" w14:paraId="6E696EBD" w14:textId="77777777" w:rsidTr="00EA32E6">
        <w:tc>
          <w:tcPr>
            <w:tcW w:w="2452" w:type="pct"/>
            <w:hideMark/>
          </w:tcPr>
          <w:p w14:paraId="744F0082" w14:textId="77777777" w:rsidR="00EA32E6" w:rsidRPr="00EA32E6" w:rsidRDefault="00EA32E6" w:rsidP="00EA32E6">
            <w:pPr>
              <w:spacing w:after="160"/>
            </w:pPr>
            <w:r w:rsidRPr="00EA32E6">
              <w:t>C</w:t>
            </w:r>
          </w:p>
        </w:tc>
        <w:tc>
          <w:tcPr>
            <w:tcW w:w="2548" w:type="pct"/>
            <w:hideMark/>
          </w:tcPr>
          <w:p w14:paraId="15D38386" w14:textId="77777777" w:rsidR="00EA32E6" w:rsidRPr="00EA32E6" w:rsidRDefault="00EA32E6" w:rsidP="00EA32E6">
            <w:pPr>
              <w:spacing w:after="160"/>
            </w:pPr>
            <w:r w:rsidRPr="00EA32E6">
              <w:rPr>
                <w:b/>
                <w:bCs/>
              </w:rPr>
              <w:t>8.59%</w:t>
            </w:r>
          </w:p>
        </w:tc>
      </w:tr>
    </w:tbl>
    <w:p w14:paraId="5253F034" w14:textId="6F60731E" w:rsidR="00BA19BA" w:rsidRDefault="006448D7" w:rsidP="006448D7">
      <w:pPr>
        <w:pStyle w:val="Caption"/>
      </w:pPr>
      <w:bookmarkStart w:id="118" w:name="_Toc227659629"/>
      <w:r>
        <w:t xml:space="preserve">Table </w:t>
      </w:r>
      <w:fldSimple w:instr=" SEQ Table \* ARABIC ">
        <w:r w:rsidR="00AC714F">
          <w:rPr>
            <w:noProof/>
          </w:rPr>
          <w:t>6</w:t>
        </w:r>
      </w:fldSimple>
      <w:r>
        <w:t>:</w:t>
      </w:r>
      <w:r w:rsidR="00893A12">
        <w:t xml:space="preserve"> </w:t>
      </w:r>
      <w:r w:rsidRPr="00275D1F">
        <w:t>Internal Rate of Return (IRR)</w:t>
      </w:r>
      <w:bookmarkEnd w:id="118"/>
    </w:p>
    <w:p w14:paraId="23489E12" w14:textId="294ADA12" w:rsidR="00C478DD" w:rsidRPr="00C478DD" w:rsidRDefault="008B2030" w:rsidP="00C478DD">
      <w:r w:rsidRPr="008B2030">
        <w:t xml:space="preserve">Internal rate of Return gives an estimate of profitability of the project meaning that the NPV value should be equal to the discounted value of the project. Project C has the highest IRR rate of 8.59, then Project B (3.26), and then Project A (2.72), which means that Project C is the one with the highest potential of returns (Carrillo De Albornoz et al., 2018; </w:t>
      </w:r>
      <w:proofErr w:type="spellStart"/>
      <w:r w:rsidRPr="008B2030">
        <w:t>Awodire</w:t>
      </w:r>
      <w:proofErr w:type="spellEnd"/>
      <w:r w:rsidRPr="008B2030">
        <w:t xml:space="preserve"> et al., 2023).</w:t>
      </w:r>
    </w:p>
    <w:p w14:paraId="33E4DEBF" w14:textId="73ED50CB" w:rsidR="00C478DD" w:rsidRPr="00C478DD" w:rsidRDefault="008B2030" w:rsidP="00C478DD">
      <w:r w:rsidRPr="008B2030">
        <w:t>Though the IRR is a popular concept, it may be misleading at times to compare mutually exclusive projects or projects that have unusual cash flows. Thus, it ought to be used in conjunction with NPV to make more precise decisions (</w:t>
      </w:r>
      <w:proofErr w:type="spellStart"/>
      <w:r w:rsidRPr="008B2030">
        <w:t>Darmansyah</w:t>
      </w:r>
      <w:proofErr w:type="spellEnd"/>
      <w:r w:rsidRPr="008B2030">
        <w:t xml:space="preserve"> et al., 2025; Shou, 2022).</w:t>
      </w:r>
    </w:p>
    <w:p w14:paraId="2D9D9B68" w14:textId="77777777" w:rsidR="006448D7" w:rsidRPr="006448D7" w:rsidRDefault="006448D7" w:rsidP="006448D7"/>
    <w:p w14:paraId="16604BFF" w14:textId="77777777" w:rsidR="00AD2B37" w:rsidRDefault="00AD2B37" w:rsidP="00AC78A4">
      <w:pPr>
        <w:pStyle w:val="Heading2"/>
      </w:pPr>
      <w:bookmarkStart w:id="119" w:name="_Toc227659703"/>
      <w:r>
        <w:lastRenderedPageBreak/>
        <w:t>4.7 Comparative Evaluation of Projects</w:t>
      </w:r>
      <w:bookmarkEnd w:id="119"/>
    </w:p>
    <w:tbl>
      <w:tblPr>
        <w:tblStyle w:val="TableGrid"/>
        <w:tblW w:w="5000" w:type="pct"/>
        <w:tblLook w:val="04A0" w:firstRow="1" w:lastRow="0" w:firstColumn="1" w:lastColumn="0" w:noHBand="0" w:noVBand="1"/>
      </w:tblPr>
      <w:tblGrid>
        <w:gridCol w:w="1934"/>
        <w:gridCol w:w="1333"/>
        <w:gridCol w:w="1683"/>
        <w:gridCol w:w="1434"/>
        <w:gridCol w:w="1283"/>
        <w:gridCol w:w="1683"/>
      </w:tblGrid>
      <w:tr w:rsidR="00AC78A4" w:rsidRPr="00AC78A4" w14:paraId="4E51C5EE" w14:textId="77777777" w:rsidTr="00AC78A4">
        <w:tc>
          <w:tcPr>
            <w:tcW w:w="1034" w:type="pct"/>
            <w:hideMark/>
          </w:tcPr>
          <w:p w14:paraId="7D7D3A5E" w14:textId="77777777" w:rsidR="00AC78A4" w:rsidRPr="00AC78A4" w:rsidRDefault="00AC78A4" w:rsidP="00AC78A4">
            <w:pPr>
              <w:spacing w:after="160"/>
              <w:rPr>
                <w:b/>
                <w:bCs/>
              </w:rPr>
            </w:pPr>
            <w:r w:rsidRPr="00AC78A4">
              <w:rPr>
                <w:b/>
                <w:bCs/>
              </w:rPr>
              <w:t>Project</w:t>
            </w:r>
          </w:p>
        </w:tc>
        <w:tc>
          <w:tcPr>
            <w:tcW w:w="713" w:type="pct"/>
            <w:hideMark/>
          </w:tcPr>
          <w:p w14:paraId="48351625" w14:textId="77777777" w:rsidR="00AC78A4" w:rsidRPr="00AC78A4" w:rsidRDefault="00AC78A4" w:rsidP="00AC78A4">
            <w:pPr>
              <w:spacing w:after="160"/>
              <w:rPr>
                <w:b/>
                <w:bCs/>
              </w:rPr>
            </w:pPr>
            <w:r w:rsidRPr="00AC78A4">
              <w:rPr>
                <w:b/>
                <w:bCs/>
              </w:rPr>
              <w:t>PBP</w:t>
            </w:r>
          </w:p>
        </w:tc>
        <w:tc>
          <w:tcPr>
            <w:tcW w:w="900" w:type="pct"/>
            <w:hideMark/>
          </w:tcPr>
          <w:p w14:paraId="379F55CB" w14:textId="77777777" w:rsidR="00AC78A4" w:rsidRPr="00AC78A4" w:rsidRDefault="00AC78A4" w:rsidP="00AC78A4">
            <w:pPr>
              <w:spacing w:after="160"/>
              <w:rPr>
                <w:b/>
                <w:bCs/>
              </w:rPr>
            </w:pPr>
            <w:r w:rsidRPr="00AC78A4">
              <w:rPr>
                <w:b/>
                <w:bCs/>
              </w:rPr>
              <w:t>ARR</w:t>
            </w:r>
          </w:p>
        </w:tc>
        <w:tc>
          <w:tcPr>
            <w:tcW w:w="767" w:type="pct"/>
            <w:hideMark/>
          </w:tcPr>
          <w:p w14:paraId="76AB2A1B" w14:textId="77777777" w:rsidR="00AC78A4" w:rsidRPr="00AC78A4" w:rsidRDefault="00AC78A4" w:rsidP="00AC78A4">
            <w:pPr>
              <w:spacing w:after="160"/>
              <w:rPr>
                <w:b/>
                <w:bCs/>
              </w:rPr>
            </w:pPr>
            <w:r w:rsidRPr="00AC78A4">
              <w:rPr>
                <w:b/>
                <w:bCs/>
              </w:rPr>
              <w:t>NPV</w:t>
            </w:r>
          </w:p>
        </w:tc>
        <w:tc>
          <w:tcPr>
            <w:tcW w:w="686" w:type="pct"/>
            <w:hideMark/>
          </w:tcPr>
          <w:p w14:paraId="1F7B3417" w14:textId="77777777" w:rsidR="00AC78A4" w:rsidRPr="00AC78A4" w:rsidRDefault="00AC78A4" w:rsidP="00AC78A4">
            <w:pPr>
              <w:spacing w:after="160"/>
              <w:rPr>
                <w:b/>
                <w:bCs/>
              </w:rPr>
            </w:pPr>
            <w:r w:rsidRPr="00AC78A4">
              <w:rPr>
                <w:b/>
                <w:bCs/>
              </w:rPr>
              <w:t>PI</w:t>
            </w:r>
          </w:p>
        </w:tc>
        <w:tc>
          <w:tcPr>
            <w:tcW w:w="900" w:type="pct"/>
            <w:hideMark/>
          </w:tcPr>
          <w:p w14:paraId="548A0795" w14:textId="77777777" w:rsidR="00AC78A4" w:rsidRPr="00AC78A4" w:rsidRDefault="00AC78A4" w:rsidP="00AC78A4">
            <w:pPr>
              <w:spacing w:after="160"/>
              <w:rPr>
                <w:b/>
                <w:bCs/>
              </w:rPr>
            </w:pPr>
            <w:r w:rsidRPr="00AC78A4">
              <w:rPr>
                <w:b/>
                <w:bCs/>
              </w:rPr>
              <w:t>IRR</w:t>
            </w:r>
          </w:p>
        </w:tc>
      </w:tr>
      <w:tr w:rsidR="00AC78A4" w:rsidRPr="00AC78A4" w14:paraId="6C50BD72" w14:textId="77777777" w:rsidTr="00AC78A4">
        <w:tc>
          <w:tcPr>
            <w:tcW w:w="1034" w:type="pct"/>
            <w:hideMark/>
          </w:tcPr>
          <w:p w14:paraId="32231D65" w14:textId="77777777" w:rsidR="00AC78A4" w:rsidRPr="00AC78A4" w:rsidRDefault="00AC78A4" w:rsidP="00AC78A4">
            <w:pPr>
              <w:spacing w:after="160"/>
            </w:pPr>
            <w:r w:rsidRPr="00AC78A4">
              <w:t>A</w:t>
            </w:r>
          </w:p>
        </w:tc>
        <w:tc>
          <w:tcPr>
            <w:tcW w:w="713" w:type="pct"/>
            <w:hideMark/>
          </w:tcPr>
          <w:p w14:paraId="082B6EAE" w14:textId="77777777" w:rsidR="00AC78A4" w:rsidRPr="00AC78A4" w:rsidRDefault="00AC78A4" w:rsidP="00AC78A4">
            <w:pPr>
              <w:spacing w:after="160"/>
            </w:pPr>
            <w:r w:rsidRPr="00AC78A4">
              <w:t>4.50</w:t>
            </w:r>
          </w:p>
        </w:tc>
        <w:tc>
          <w:tcPr>
            <w:tcW w:w="900" w:type="pct"/>
            <w:hideMark/>
          </w:tcPr>
          <w:p w14:paraId="0541CB87" w14:textId="77777777" w:rsidR="00AC78A4" w:rsidRPr="00AC78A4" w:rsidRDefault="00AC78A4" w:rsidP="00AC78A4">
            <w:pPr>
              <w:spacing w:after="160"/>
            </w:pPr>
            <w:r w:rsidRPr="00AC78A4">
              <w:t>1.60%</w:t>
            </w:r>
          </w:p>
        </w:tc>
        <w:tc>
          <w:tcPr>
            <w:tcW w:w="767" w:type="pct"/>
            <w:hideMark/>
          </w:tcPr>
          <w:p w14:paraId="4829A401" w14:textId="77777777" w:rsidR="00AC78A4" w:rsidRPr="00AC78A4" w:rsidRDefault="00AC78A4" w:rsidP="00AC78A4">
            <w:pPr>
              <w:spacing w:after="160"/>
            </w:pPr>
            <w:r w:rsidRPr="00AC78A4">
              <w:t>-8.68</w:t>
            </w:r>
          </w:p>
        </w:tc>
        <w:tc>
          <w:tcPr>
            <w:tcW w:w="686" w:type="pct"/>
            <w:hideMark/>
          </w:tcPr>
          <w:p w14:paraId="0085896B" w14:textId="77777777" w:rsidR="00AC78A4" w:rsidRPr="00AC78A4" w:rsidRDefault="00AC78A4" w:rsidP="00AC78A4">
            <w:pPr>
              <w:spacing w:after="160"/>
            </w:pPr>
            <w:r w:rsidRPr="00AC78A4">
              <w:t>0.83</w:t>
            </w:r>
          </w:p>
        </w:tc>
        <w:tc>
          <w:tcPr>
            <w:tcW w:w="900" w:type="pct"/>
            <w:hideMark/>
          </w:tcPr>
          <w:p w14:paraId="1DF57330" w14:textId="77777777" w:rsidR="00AC78A4" w:rsidRPr="00AC78A4" w:rsidRDefault="00AC78A4" w:rsidP="00AC78A4">
            <w:pPr>
              <w:spacing w:after="160"/>
            </w:pPr>
            <w:r w:rsidRPr="00AC78A4">
              <w:t>2.72%</w:t>
            </w:r>
          </w:p>
        </w:tc>
      </w:tr>
      <w:tr w:rsidR="00AC78A4" w:rsidRPr="00AC78A4" w14:paraId="24B4BE24" w14:textId="77777777" w:rsidTr="00AC78A4">
        <w:tc>
          <w:tcPr>
            <w:tcW w:w="1034" w:type="pct"/>
            <w:hideMark/>
          </w:tcPr>
          <w:p w14:paraId="7080AEEB" w14:textId="77777777" w:rsidR="00AC78A4" w:rsidRPr="00AC78A4" w:rsidRDefault="00AC78A4" w:rsidP="00AC78A4">
            <w:pPr>
              <w:spacing w:after="160"/>
            </w:pPr>
            <w:r w:rsidRPr="00AC78A4">
              <w:t>B</w:t>
            </w:r>
          </w:p>
        </w:tc>
        <w:tc>
          <w:tcPr>
            <w:tcW w:w="713" w:type="pct"/>
            <w:hideMark/>
          </w:tcPr>
          <w:p w14:paraId="13C35034" w14:textId="77777777" w:rsidR="00AC78A4" w:rsidRPr="00AC78A4" w:rsidRDefault="00AC78A4" w:rsidP="00AC78A4">
            <w:pPr>
              <w:spacing w:after="160"/>
            </w:pPr>
            <w:r w:rsidRPr="00AC78A4">
              <w:t>4.55</w:t>
            </w:r>
          </w:p>
        </w:tc>
        <w:tc>
          <w:tcPr>
            <w:tcW w:w="900" w:type="pct"/>
            <w:hideMark/>
          </w:tcPr>
          <w:p w14:paraId="46E8A4D8" w14:textId="77777777" w:rsidR="00AC78A4" w:rsidRPr="00AC78A4" w:rsidRDefault="00AC78A4" w:rsidP="00AC78A4">
            <w:pPr>
              <w:spacing w:after="160"/>
            </w:pPr>
            <w:r w:rsidRPr="00AC78A4">
              <w:t>2.00%</w:t>
            </w:r>
          </w:p>
        </w:tc>
        <w:tc>
          <w:tcPr>
            <w:tcW w:w="767" w:type="pct"/>
            <w:hideMark/>
          </w:tcPr>
          <w:p w14:paraId="6608D705" w14:textId="77777777" w:rsidR="00AC78A4" w:rsidRPr="00AC78A4" w:rsidRDefault="00AC78A4" w:rsidP="00AC78A4">
            <w:pPr>
              <w:spacing w:after="160"/>
            </w:pPr>
            <w:r w:rsidRPr="00AC78A4">
              <w:t>-8.30</w:t>
            </w:r>
          </w:p>
        </w:tc>
        <w:tc>
          <w:tcPr>
            <w:tcW w:w="686" w:type="pct"/>
            <w:hideMark/>
          </w:tcPr>
          <w:p w14:paraId="7C2DD1E0" w14:textId="77777777" w:rsidR="00AC78A4" w:rsidRPr="00AC78A4" w:rsidRDefault="00AC78A4" w:rsidP="00AC78A4">
            <w:pPr>
              <w:spacing w:after="160"/>
            </w:pPr>
            <w:r w:rsidRPr="00AC78A4">
              <w:t>0.83</w:t>
            </w:r>
          </w:p>
        </w:tc>
        <w:tc>
          <w:tcPr>
            <w:tcW w:w="900" w:type="pct"/>
            <w:hideMark/>
          </w:tcPr>
          <w:p w14:paraId="04D97045" w14:textId="77777777" w:rsidR="00AC78A4" w:rsidRPr="00AC78A4" w:rsidRDefault="00AC78A4" w:rsidP="00AC78A4">
            <w:pPr>
              <w:spacing w:after="160"/>
            </w:pPr>
            <w:r w:rsidRPr="00AC78A4">
              <w:t>3.26%</w:t>
            </w:r>
          </w:p>
        </w:tc>
      </w:tr>
      <w:tr w:rsidR="00AC78A4" w:rsidRPr="00AC78A4" w14:paraId="3DC4CC1E" w14:textId="77777777" w:rsidTr="00AC78A4">
        <w:tc>
          <w:tcPr>
            <w:tcW w:w="1034" w:type="pct"/>
            <w:hideMark/>
          </w:tcPr>
          <w:p w14:paraId="44EF31F6" w14:textId="77777777" w:rsidR="00AC78A4" w:rsidRPr="00AC78A4" w:rsidRDefault="00AC78A4" w:rsidP="00AC78A4">
            <w:pPr>
              <w:spacing w:after="160"/>
            </w:pPr>
            <w:r w:rsidRPr="00AC78A4">
              <w:t>C</w:t>
            </w:r>
          </w:p>
        </w:tc>
        <w:tc>
          <w:tcPr>
            <w:tcW w:w="713" w:type="pct"/>
            <w:hideMark/>
          </w:tcPr>
          <w:p w14:paraId="275C7DC4" w14:textId="77777777" w:rsidR="00AC78A4" w:rsidRPr="00AC78A4" w:rsidRDefault="00AC78A4" w:rsidP="00AC78A4">
            <w:pPr>
              <w:spacing w:after="160"/>
            </w:pPr>
            <w:r w:rsidRPr="00AC78A4">
              <w:rPr>
                <w:b/>
                <w:bCs/>
              </w:rPr>
              <w:t>3.60</w:t>
            </w:r>
          </w:p>
        </w:tc>
        <w:tc>
          <w:tcPr>
            <w:tcW w:w="900" w:type="pct"/>
            <w:hideMark/>
          </w:tcPr>
          <w:p w14:paraId="2251820D" w14:textId="77777777" w:rsidR="00AC78A4" w:rsidRPr="00AC78A4" w:rsidRDefault="00AC78A4" w:rsidP="00AC78A4">
            <w:pPr>
              <w:spacing w:after="160"/>
            </w:pPr>
            <w:r w:rsidRPr="00AC78A4">
              <w:rPr>
                <w:b/>
                <w:bCs/>
              </w:rPr>
              <w:t>6.00%</w:t>
            </w:r>
          </w:p>
        </w:tc>
        <w:tc>
          <w:tcPr>
            <w:tcW w:w="767" w:type="pct"/>
            <w:hideMark/>
          </w:tcPr>
          <w:p w14:paraId="2BF6E8E4" w14:textId="77777777" w:rsidR="00AC78A4" w:rsidRPr="00AC78A4" w:rsidRDefault="00AC78A4" w:rsidP="00AC78A4">
            <w:pPr>
              <w:spacing w:after="160"/>
            </w:pPr>
            <w:r w:rsidRPr="00AC78A4">
              <w:rPr>
                <w:b/>
                <w:bCs/>
              </w:rPr>
              <w:t>-1.98</w:t>
            </w:r>
          </w:p>
        </w:tc>
        <w:tc>
          <w:tcPr>
            <w:tcW w:w="686" w:type="pct"/>
            <w:hideMark/>
          </w:tcPr>
          <w:p w14:paraId="3A514733" w14:textId="77777777" w:rsidR="00AC78A4" w:rsidRPr="00AC78A4" w:rsidRDefault="00AC78A4" w:rsidP="00AC78A4">
            <w:pPr>
              <w:spacing w:after="160"/>
            </w:pPr>
            <w:r w:rsidRPr="00AC78A4">
              <w:rPr>
                <w:b/>
                <w:bCs/>
              </w:rPr>
              <w:t>0.96</w:t>
            </w:r>
          </w:p>
        </w:tc>
        <w:tc>
          <w:tcPr>
            <w:tcW w:w="900" w:type="pct"/>
            <w:hideMark/>
          </w:tcPr>
          <w:p w14:paraId="5B25373B" w14:textId="77777777" w:rsidR="00AC78A4" w:rsidRPr="00AC78A4" w:rsidRDefault="00AC78A4" w:rsidP="00AC78A4">
            <w:pPr>
              <w:spacing w:after="160"/>
            </w:pPr>
            <w:r w:rsidRPr="00AC78A4">
              <w:rPr>
                <w:b/>
                <w:bCs/>
              </w:rPr>
              <w:t>8.59%</w:t>
            </w:r>
          </w:p>
        </w:tc>
      </w:tr>
    </w:tbl>
    <w:p w14:paraId="341C215D" w14:textId="0EC8C3D1" w:rsidR="00AC78A4" w:rsidRDefault="00C478DD" w:rsidP="00C478DD">
      <w:pPr>
        <w:pStyle w:val="Caption"/>
      </w:pPr>
      <w:bookmarkStart w:id="120" w:name="_Toc227659630"/>
      <w:r>
        <w:t xml:space="preserve">Table </w:t>
      </w:r>
      <w:fldSimple w:instr=" SEQ Table \* ARABIC ">
        <w:r w:rsidR="00AC714F">
          <w:rPr>
            <w:noProof/>
          </w:rPr>
          <w:t>7</w:t>
        </w:r>
      </w:fldSimple>
      <w:r>
        <w:t xml:space="preserve">: </w:t>
      </w:r>
      <w:r w:rsidRPr="00CB3484">
        <w:t>Comparative Evaluation of Projects</w:t>
      </w:r>
      <w:bookmarkEnd w:id="120"/>
    </w:p>
    <w:p w14:paraId="2D1479A5" w14:textId="346CCEC7" w:rsidR="00C762B6" w:rsidRPr="00C762B6" w:rsidRDefault="00A87A67" w:rsidP="00C762B6">
      <w:r w:rsidRPr="00A87A67">
        <w:t>A comparative study of all the appraisal practices reveals that Project C has always performed better than the other two projects in all the major indicators used. It is the most financially appealing since it has the shortest payback period, highest ARR, least negative NPV, highest PI, and highest IRR (</w:t>
      </w:r>
      <w:proofErr w:type="spellStart"/>
      <w:r w:rsidRPr="00A87A67">
        <w:t>Awodire</w:t>
      </w:r>
      <w:proofErr w:type="spellEnd"/>
      <w:r w:rsidRPr="00A87A67">
        <w:t xml:space="preserve"> et al., 2023; </w:t>
      </w:r>
      <w:proofErr w:type="spellStart"/>
      <w:r w:rsidRPr="00A87A67">
        <w:t>Alrikabi</w:t>
      </w:r>
      <w:proofErr w:type="spellEnd"/>
      <w:r w:rsidRPr="00A87A67">
        <w:t>, 2022).</w:t>
      </w:r>
    </w:p>
    <w:p w14:paraId="058B7BF9" w14:textId="376281AB" w:rsidR="00C762B6" w:rsidRPr="00C762B6" w:rsidRDefault="002D7439" w:rsidP="00C762B6">
      <w:proofErr w:type="gramStart"/>
      <w:r w:rsidRPr="002D7439">
        <w:t>A and B Projects</w:t>
      </w:r>
      <w:proofErr w:type="gramEnd"/>
      <w:r w:rsidRPr="002D7439">
        <w:t xml:space="preserve"> A and B have the same operation but are less appealing based on their payback periods, returns and negative NPVs to a large extent. This means that they are less effective at creating value and recuperating investment (</w:t>
      </w:r>
      <w:proofErr w:type="spellStart"/>
      <w:r w:rsidRPr="002D7439">
        <w:t>Darmansyah</w:t>
      </w:r>
      <w:proofErr w:type="spellEnd"/>
      <w:r w:rsidRPr="002D7439">
        <w:t xml:space="preserve"> et al., 2025; Shou, 2022).</w:t>
      </w:r>
    </w:p>
    <w:p w14:paraId="2F75EC3E" w14:textId="77777777" w:rsidR="00C478DD" w:rsidRPr="00C478DD" w:rsidRDefault="00C478DD" w:rsidP="00C478DD"/>
    <w:p w14:paraId="07503987" w14:textId="77777777" w:rsidR="00AD2B37" w:rsidRDefault="00AD2B37" w:rsidP="00AC78A4">
      <w:pPr>
        <w:pStyle w:val="Heading2"/>
      </w:pPr>
      <w:bookmarkStart w:id="121" w:name="_Toc227659704"/>
      <w:r>
        <w:t>4.8 Recommended Project (Single Selection)</w:t>
      </w:r>
      <w:bookmarkEnd w:id="121"/>
    </w:p>
    <w:p w14:paraId="1B461BFD" w14:textId="4116615D" w:rsidR="00C762B6" w:rsidRPr="00C762B6" w:rsidRDefault="002B23DA" w:rsidP="00C762B6">
      <w:r w:rsidRPr="002B23DA">
        <w:t>Based on the evaluation, Project C is recommended as the best single investment option. It shows better results on both the liquidity and profitability scales, and it is the most feasible project to Tesla (</w:t>
      </w:r>
      <w:proofErr w:type="spellStart"/>
      <w:r w:rsidRPr="002B23DA">
        <w:t>Awodire</w:t>
      </w:r>
      <w:proofErr w:type="spellEnd"/>
      <w:r w:rsidRPr="002B23DA">
        <w:t xml:space="preserve"> et al., 2023; Carrillo De Albornoz et al., 2018).</w:t>
      </w:r>
    </w:p>
    <w:p w14:paraId="6BAC785F" w14:textId="4D4E8EEC" w:rsidR="00C762B6" w:rsidRPr="00C762B6" w:rsidRDefault="00C44FFC" w:rsidP="00C762B6">
      <w:r w:rsidRPr="00C44FFC">
        <w:t xml:space="preserve">Choosing Project C fits into the strategic priorities of Tesla in efficiency, innovation, and value creation. It offers a decent mix </w:t>
      </w:r>
      <w:proofErr w:type="gramStart"/>
      <w:r w:rsidRPr="00C44FFC">
        <w:t>on</w:t>
      </w:r>
      <w:proofErr w:type="gramEnd"/>
      <w:r w:rsidRPr="00C44FFC">
        <w:t xml:space="preserve"> quicker cash recuperation and increased returns when contrasted with other options (Tesla, Inc., 2025; Zheng, 2024).</w:t>
      </w:r>
    </w:p>
    <w:p w14:paraId="2BBB92E3" w14:textId="77777777" w:rsidR="00AD2B37" w:rsidRDefault="00AD2B37" w:rsidP="00AD2B37"/>
    <w:p w14:paraId="55FED3B3" w14:textId="77777777" w:rsidR="00AD2B37" w:rsidRDefault="00AD2B37" w:rsidP="00AC78A4">
      <w:pPr>
        <w:pStyle w:val="Heading2"/>
      </w:pPr>
      <w:bookmarkStart w:id="122" w:name="_Toc227659705"/>
      <w:r>
        <w:lastRenderedPageBreak/>
        <w:t>4.9 Justification Based on Financial Performance</w:t>
      </w:r>
      <w:bookmarkEnd w:id="122"/>
    </w:p>
    <w:p w14:paraId="2C0C4D93" w14:textId="5FF75607" w:rsidR="00AD2B37" w:rsidRDefault="00AD2B37" w:rsidP="00E163DB">
      <w:pPr>
        <w:pStyle w:val="Heading3"/>
      </w:pPr>
      <w:bookmarkStart w:id="123" w:name="_Toc227659706"/>
      <w:r>
        <w:t>4.9.1 Profitability Considerations</w:t>
      </w:r>
      <w:bookmarkEnd w:id="123"/>
    </w:p>
    <w:p w14:paraId="7DCD9534" w14:textId="38D71962" w:rsidR="00757BBB" w:rsidRDefault="00757BBB" w:rsidP="00757BBB">
      <w:r>
        <w:rPr>
          <w:noProof/>
        </w:rPr>
        <w:drawing>
          <wp:inline distT="0" distB="0" distL="0" distR="0" wp14:anchorId="4F0501C3" wp14:editId="35CD2B8A">
            <wp:extent cx="5932223" cy="3362325"/>
            <wp:effectExtent l="0" t="0" r="0" b="0"/>
            <wp:docPr id="18430803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1">
                      <a:extLst>
                        <a:ext uri="{28A0092B-C50C-407E-A947-70E740481C1C}">
                          <a14:useLocalDpi xmlns:a14="http://schemas.microsoft.com/office/drawing/2010/main" val="0"/>
                        </a:ext>
                      </a:extLst>
                    </a:blip>
                    <a:srcRect t="8429" b="11149"/>
                    <a:stretch>
                      <a:fillRect/>
                    </a:stretch>
                  </pic:blipFill>
                  <pic:spPr bwMode="auto">
                    <a:xfrm>
                      <a:off x="0" y="0"/>
                      <a:ext cx="5949533" cy="3372136"/>
                    </a:xfrm>
                    <a:prstGeom prst="rect">
                      <a:avLst/>
                    </a:prstGeom>
                    <a:noFill/>
                    <a:ln>
                      <a:noFill/>
                    </a:ln>
                    <a:extLst>
                      <a:ext uri="{53640926-AAD7-44D8-BBD7-CCE9431645EC}">
                        <a14:shadowObscured xmlns:a14="http://schemas.microsoft.com/office/drawing/2010/main"/>
                      </a:ext>
                    </a:extLst>
                  </pic:spPr>
                </pic:pic>
              </a:graphicData>
            </a:graphic>
          </wp:inline>
        </w:drawing>
      </w:r>
    </w:p>
    <w:p w14:paraId="4E0B10FD" w14:textId="4F7179AC" w:rsidR="00757BBB" w:rsidRPr="00757BBB" w:rsidRDefault="00757BBB" w:rsidP="00757BBB">
      <w:pPr>
        <w:pStyle w:val="Caption"/>
      </w:pPr>
      <w:bookmarkStart w:id="124" w:name="_Toc227659622"/>
      <w:r>
        <w:t xml:space="preserve">Figure </w:t>
      </w:r>
      <w:fldSimple w:instr=" SEQ Figure \* ARABIC ">
        <w:r>
          <w:rPr>
            <w:noProof/>
          </w:rPr>
          <w:t>44</w:t>
        </w:r>
      </w:fldSimple>
      <w:r>
        <w:t xml:space="preserve">: </w:t>
      </w:r>
      <w:r w:rsidRPr="00D944CE">
        <w:t>Profitability Considerations</w:t>
      </w:r>
      <w:bookmarkEnd w:id="124"/>
    </w:p>
    <w:p w14:paraId="5E2B8FEA" w14:textId="6ADB1710" w:rsidR="00BA36F2" w:rsidRPr="00BA36F2" w:rsidRDefault="00062D52" w:rsidP="00BA36F2">
      <w:r w:rsidRPr="00062D52">
        <w:t xml:space="preserve">Project C is the most appealing project, in terms of </w:t>
      </w:r>
      <w:proofErr w:type="gramStart"/>
      <w:r w:rsidRPr="00062D52">
        <w:t>profitability perspective</w:t>
      </w:r>
      <w:proofErr w:type="gramEnd"/>
      <w:r w:rsidRPr="00062D52">
        <w:t xml:space="preserve"> since it will have the highest ARR and IRR which means it has a lot of earnings potential. Despite getting negative NPV in all projects, Project C has the least value loss and provides </w:t>
      </w:r>
      <w:proofErr w:type="gramStart"/>
      <w:r w:rsidRPr="00062D52">
        <w:t>fairly better</w:t>
      </w:r>
      <w:proofErr w:type="gramEnd"/>
      <w:r w:rsidRPr="00062D52">
        <w:t xml:space="preserve"> financial performance (Magni et al., 2012; </w:t>
      </w:r>
      <w:proofErr w:type="spellStart"/>
      <w:r w:rsidRPr="00062D52">
        <w:t>Alrikabi</w:t>
      </w:r>
      <w:proofErr w:type="spellEnd"/>
      <w:r w:rsidRPr="00062D52">
        <w:t>, 2022).</w:t>
      </w:r>
    </w:p>
    <w:p w14:paraId="483CDA7A" w14:textId="5626BF80" w:rsidR="00BA36F2" w:rsidRPr="00BA36F2" w:rsidRDefault="007E03A5" w:rsidP="00BA36F2">
      <w:r w:rsidRPr="007E03A5">
        <w:t xml:space="preserve">This implies that Project C is more effective in yielding investor capital. In capital budgeting, it is necessary to focus more on projects that generate a higher return to </w:t>
      </w:r>
      <w:proofErr w:type="spellStart"/>
      <w:r w:rsidRPr="007E03A5">
        <w:t>maximise</w:t>
      </w:r>
      <w:proofErr w:type="spellEnd"/>
      <w:r w:rsidRPr="007E03A5">
        <w:t xml:space="preserve"> the wealth of shareholders (</w:t>
      </w:r>
      <w:proofErr w:type="spellStart"/>
      <w:r w:rsidRPr="007E03A5">
        <w:t>Darmansyah</w:t>
      </w:r>
      <w:proofErr w:type="spellEnd"/>
      <w:r w:rsidRPr="007E03A5">
        <w:t xml:space="preserve"> et al., 2025; </w:t>
      </w:r>
      <w:proofErr w:type="spellStart"/>
      <w:r w:rsidRPr="007E03A5">
        <w:t>Awodire</w:t>
      </w:r>
      <w:proofErr w:type="spellEnd"/>
      <w:r w:rsidRPr="007E03A5">
        <w:t xml:space="preserve"> et al., 2023).</w:t>
      </w:r>
    </w:p>
    <w:p w14:paraId="56B4A136" w14:textId="77777777" w:rsidR="00BA36F2" w:rsidRPr="00BA36F2" w:rsidRDefault="00BA36F2" w:rsidP="00BA36F2"/>
    <w:p w14:paraId="6F08C82E" w14:textId="2EAC3578" w:rsidR="00AD2B37" w:rsidRDefault="00AD2B37" w:rsidP="00E163DB">
      <w:pPr>
        <w:pStyle w:val="Heading3"/>
      </w:pPr>
      <w:bookmarkStart w:id="125" w:name="_Toc227659707"/>
      <w:r>
        <w:lastRenderedPageBreak/>
        <w:t>4.9.2 Liquidity Considerations</w:t>
      </w:r>
      <w:bookmarkEnd w:id="125"/>
    </w:p>
    <w:p w14:paraId="602DD1C1" w14:textId="3DD1DCDA" w:rsidR="003515F5" w:rsidRDefault="003515F5" w:rsidP="003515F5">
      <w:r>
        <w:rPr>
          <w:noProof/>
        </w:rPr>
        <w:drawing>
          <wp:inline distT="0" distB="0" distL="0" distR="0" wp14:anchorId="6918422D" wp14:editId="5DADBA54">
            <wp:extent cx="5943600" cy="2257425"/>
            <wp:effectExtent l="0" t="0" r="0" b="9525"/>
            <wp:docPr id="96048260" name="Picture 10" descr="Liquidity Management: Importance, Risk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iquidity Management: Importance, Risks, and Best Practices"/>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12088" b="18042"/>
                    <a:stretch>
                      <a:fillRect/>
                    </a:stretch>
                  </pic:blipFill>
                  <pic:spPr bwMode="auto">
                    <a:xfrm>
                      <a:off x="0" y="0"/>
                      <a:ext cx="5943600" cy="2257425"/>
                    </a:xfrm>
                    <a:prstGeom prst="rect">
                      <a:avLst/>
                    </a:prstGeom>
                    <a:noFill/>
                    <a:ln>
                      <a:noFill/>
                    </a:ln>
                    <a:extLst>
                      <a:ext uri="{53640926-AAD7-44D8-BBD7-CCE9431645EC}">
                        <a14:shadowObscured xmlns:a14="http://schemas.microsoft.com/office/drawing/2010/main"/>
                      </a:ext>
                    </a:extLst>
                  </pic:spPr>
                </pic:pic>
              </a:graphicData>
            </a:graphic>
          </wp:inline>
        </w:drawing>
      </w:r>
    </w:p>
    <w:p w14:paraId="46E36F41" w14:textId="42105EA5" w:rsidR="003515F5" w:rsidRPr="003515F5" w:rsidRDefault="00D06043" w:rsidP="00D06043">
      <w:pPr>
        <w:pStyle w:val="Caption"/>
      </w:pPr>
      <w:bookmarkStart w:id="126" w:name="_Toc227659623"/>
      <w:r>
        <w:t xml:space="preserve">Figure </w:t>
      </w:r>
      <w:fldSimple w:instr=" SEQ Figure \* ARABIC ">
        <w:r w:rsidR="00757BBB">
          <w:rPr>
            <w:noProof/>
          </w:rPr>
          <w:t>45</w:t>
        </w:r>
      </w:fldSimple>
      <w:r>
        <w:t xml:space="preserve">: </w:t>
      </w:r>
      <w:r w:rsidRPr="008D5D0F">
        <w:t>Liquidity Management</w:t>
      </w:r>
      <w:bookmarkEnd w:id="126"/>
    </w:p>
    <w:p w14:paraId="1A85AEC1" w14:textId="433FD5D1" w:rsidR="0097586A" w:rsidRPr="0097586A" w:rsidRDefault="0089027A" w:rsidP="0097586A">
      <w:r w:rsidRPr="0089027A">
        <w:t>In a volatile economic situation, Liquidity is an important parameter in project analysis. The project C has a shorter payback period, which means that the investment is recovered sooner, minimizing financial risks and enhancing cash flow stability (</w:t>
      </w:r>
      <w:proofErr w:type="spellStart"/>
      <w:r w:rsidRPr="0089027A">
        <w:t>Oyelakun</w:t>
      </w:r>
      <w:proofErr w:type="spellEnd"/>
      <w:r w:rsidRPr="0089027A">
        <w:t xml:space="preserve"> et al., 2025; Shou, 2022).</w:t>
      </w:r>
    </w:p>
    <w:p w14:paraId="158DE819" w14:textId="0BB392BF" w:rsidR="0097586A" w:rsidRPr="0097586A" w:rsidRDefault="007B33E9" w:rsidP="0097586A">
      <w:r w:rsidRPr="007B33E9">
        <w:t xml:space="preserve">This is </w:t>
      </w:r>
      <w:r w:rsidR="002927FC" w:rsidRPr="007B33E9">
        <w:t>more</w:t>
      </w:r>
      <w:r w:rsidRPr="007B33E9">
        <w:t xml:space="preserve"> applicable in the case of </w:t>
      </w:r>
      <w:r w:rsidR="002927FC" w:rsidRPr="007B33E9">
        <w:t>Tesla,</w:t>
      </w:r>
      <w:r w:rsidRPr="007B33E9">
        <w:t xml:space="preserve"> which is in a very competitive and capital-intensive business. With the increase in the speed of recovery, </w:t>
      </w:r>
      <w:r w:rsidR="002927FC" w:rsidRPr="007B33E9">
        <w:t>financial</w:t>
      </w:r>
      <w:r w:rsidRPr="007B33E9">
        <w:t xml:space="preserve"> flexibility increases, and it will allow and advocate investment in the future (Tesla, Inc., 2026; Campos et al., 2026).</w:t>
      </w:r>
    </w:p>
    <w:p w14:paraId="3EF48D5D" w14:textId="77777777" w:rsidR="00AD2B37" w:rsidRDefault="00AD2B37" w:rsidP="00AD2B37"/>
    <w:p w14:paraId="46DFFDFB" w14:textId="77777777" w:rsidR="00AD2B37" w:rsidRDefault="00AD2B37" w:rsidP="00AC78A4">
      <w:pPr>
        <w:pStyle w:val="Heading2"/>
      </w:pPr>
      <w:bookmarkStart w:id="127" w:name="_Toc227659708"/>
      <w:r>
        <w:t>4.10 Non-Financial Risk Analysis</w:t>
      </w:r>
      <w:bookmarkEnd w:id="127"/>
    </w:p>
    <w:p w14:paraId="1A1F4DD1" w14:textId="1F8BF7CA" w:rsidR="00AD2B37" w:rsidRDefault="00AD2B37" w:rsidP="00E163DB">
      <w:pPr>
        <w:pStyle w:val="Heading3"/>
      </w:pPr>
      <w:bookmarkStart w:id="128" w:name="_Toc227659709"/>
      <w:r>
        <w:t>4.10.1 Political Risk</w:t>
      </w:r>
      <w:bookmarkEnd w:id="128"/>
    </w:p>
    <w:p w14:paraId="194607F8" w14:textId="3A98C258" w:rsidR="0097586A" w:rsidRPr="0097586A" w:rsidRDefault="00DE6598" w:rsidP="0097586A">
      <w:r w:rsidRPr="00DE6598">
        <w:t>Political risk can be defined as the variation in the government policies, regulations and incentives that can influence the results of the project. In the case of Tesla, the environment regulation, the electric vehicle subsidies, as well as the trade policies may contribute considerably to the success of investments (Schreiber et al., 2026; Stella and Tiong, 2026).</w:t>
      </w:r>
    </w:p>
    <w:p w14:paraId="2EAC6FB0" w14:textId="77553F85" w:rsidR="0097586A" w:rsidRPr="0097586A" w:rsidRDefault="00D44D4B" w:rsidP="0097586A">
      <w:r w:rsidRPr="00D44D4B">
        <w:lastRenderedPageBreak/>
        <w:t xml:space="preserve">The projects should be compared against their vulnerability to such </w:t>
      </w:r>
      <w:proofErr w:type="gramStart"/>
      <w:r w:rsidRPr="00D44D4B">
        <w:t>risks</w:t>
      </w:r>
      <w:proofErr w:type="gramEnd"/>
      <w:r w:rsidRPr="00D44D4B">
        <w:t xml:space="preserve"> especially in the global markets. Diversification and strategic planning can serve to reduce political uncertainties (</w:t>
      </w:r>
      <w:proofErr w:type="spellStart"/>
      <w:r w:rsidRPr="00D44D4B">
        <w:t>Sujatmiko</w:t>
      </w:r>
      <w:proofErr w:type="spellEnd"/>
      <w:r w:rsidRPr="00D44D4B">
        <w:t xml:space="preserve"> et al., 2025; Tesla, Inc., 2025).</w:t>
      </w:r>
    </w:p>
    <w:p w14:paraId="6AEF55AF" w14:textId="77777777" w:rsidR="0097586A" w:rsidRPr="0097586A" w:rsidRDefault="0097586A" w:rsidP="0097586A"/>
    <w:p w14:paraId="3DF91747" w14:textId="57ADC6E4" w:rsidR="00AD2B37" w:rsidRDefault="00AD2B37" w:rsidP="00E163DB">
      <w:pPr>
        <w:pStyle w:val="Heading3"/>
      </w:pPr>
      <w:bookmarkStart w:id="129" w:name="_Toc227659710"/>
      <w:r>
        <w:t>4.10.2 Market / Customer Risk</w:t>
      </w:r>
      <w:bookmarkEnd w:id="129"/>
    </w:p>
    <w:p w14:paraId="6BF556A1" w14:textId="5D3120FB" w:rsidR="0097586A" w:rsidRPr="0097586A" w:rsidRDefault="007B0ED8" w:rsidP="0097586A">
      <w:r w:rsidRPr="007B0ED8">
        <w:t>Market risk entails a shift in the taste of consumers, fluctuations in demand and competitive forces. The Tesla business is in a fast-developing industry where the role of technological progress and customer demands is a factor (Zheng, 2024; Gibran and Nainggolan, 2025).</w:t>
      </w:r>
    </w:p>
    <w:p w14:paraId="3E0955B3" w14:textId="3E295E3A" w:rsidR="0097586A" w:rsidRPr="0097586A" w:rsidRDefault="00D01159" w:rsidP="0097586A">
      <w:r w:rsidRPr="00D01159">
        <w:t>Such projects that fit the market trends and customer demand have a greater chance of success. Consequently, long-term sustainability pertains to choosing projects with a high market potential (Ramdhan et al., 2025; Tesla, Inc., 2026).</w:t>
      </w:r>
    </w:p>
    <w:p w14:paraId="17FEDC28" w14:textId="77777777" w:rsidR="00AD2B37" w:rsidRDefault="00AD2B37" w:rsidP="00AD2B37"/>
    <w:p w14:paraId="15213267" w14:textId="77777777" w:rsidR="00AC78A4" w:rsidRDefault="00AD2B37" w:rsidP="00AC78A4">
      <w:pPr>
        <w:pStyle w:val="Heading2"/>
      </w:pPr>
      <w:bookmarkStart w:id="130" w:name="_Toc227659711"/>
      <w:r>
        <w:t>4.11 Capital Rationing Decision (£100 million limit)</w:t>
      </w:r>
      <w:bookmarkEnd w:id="130"/>
    </w:p>
    <w:p w14:paraId="5CA7AEEE" w14:textId="0A3F69EB" w:rsidR="00AD2B37" w:rsidRDefault="00AD2B37" w:rsidP="003874E4">
      <w:pPr>
        <w:pStyle w:val="Heading2"/>
      </w:pPr>
      <w:bookmarkStart w:id="131" w:name="_Toc227659712"/>
      <w:r>
        <w:t>4.11.1 Possible Project Combinations</w:t>
      </w:r>
      <w:bookmarkEnd w:id="131"/>
    </w:p>
    <w:tbl>
      <w:tblPr>
        <w:tblStyle w:val="TableGrid"/>
        <w:tblW w:w="5000" w:type="pct"/>
        <w:tblLook w:val="04A0" w:firstRow="1" w:lastRow="0" w:firstColumn="1" w:lastColumn="0" w:noHBand="0" w:noVBand="1"/>
      </w:tblPr>
      <w:tblGrid>
        <w:gridCol w:w="4142"/>
        <w:gridCol w:w="3001"/>
        <w:gridCol w:w="2207"/>
      </w:tblGrid>
      <w:tr w:rsidR="003874E4" w:rsidRPr="003874E4" w14:paraId="1B5B1907" w14:textId="77777777" w:rsidTr="003874E4">
        <w:trPr>
          <w:trHeight w:val="300"/>
        </w:trPr>
        <w:tc>
          <w:tcPr>
            <w:tcW w:w="2215" w:type="pct"/>
            <w:noWrap/>
            <w:hideMark/>
          </w:tcPr>
          <w:p w14:paraId="23F50AA4" w14:textId="77777777" w:rsidR="003874E4" w:rsidRPr="003874E4" w:rsidRDefault="003874E4" w:rsidP="003874E4">
            <w:pPr>
              <w:rPr>
                <w:b/>
                <w:bCs/>
              </w:rPr>
            </w:pPr>
            <w:r w:rsidRPr="003874E4">
              <w:rPr>
                <w:b/>
                <w:bCs/>
              </w:rPr>
              <w:t>Combination</w:t>
            </w:r>
          </w:p>
        </w:tc>
        <w:tc>
          <w:tcPr>
            <w:tcW w:w="1605" w:type="pct"/>
            <w:noWrap/>
            <w:hideMark/>
          </w:tcPr>
          <w:p w14:paraId="0AA5EFCD" w14:textId="77777777" w:rsidR="003874E4" w:rsidRPr="003874E4" w:rsidRDefault="003874E4" w:rsidP="003874E4">
            <w:pPr>
              <w:rPr>
                <w:b/>
                <w:bCs/>
              </w:rPr>
            </w:pPr>
            <w:r w:rsidRPr="003874E4">
              <w:rPr>
                <w:b/>
                <w:bCs/>
              </w:rPr>
              <w:t>Total Investment</w:t>
            </w:r>
          </w:p>
        </w:tc>
        <w:tc>
          <w:tcPr>
            <w:tcW w:w="1180" w:type="pct"/>
            <w:noWrap/>
            <w:hideMark/>
          </w:tcPr>
          <w:p w14:paraId="1AED441F" w14:textId="77777777" w:rsidR="003874E4" w:rsidRPr="003874E4" w:rsidRDefault="003874E4" w:rsidP="003874E4">
            <w:pPr>
              <w:rPr>
                <w:b/>
                <w:bCs/>
              </w:rPr>
            </w:pPr>
            <w:r w:rsidRPr="003874E4">
              <w:rPr>
                <w:b/>
                <w:bCs/>
              </w:rPr>
              <w:t>Total NPV</w:t>
            </w:r>
          </w:p>
        </w:tc>
      </w:tr>
      <w:tr w:rsidR="003874E4" w:rsidRPr="003874E4" w14:paraId="04F3B885" w14:textId="77777777" w:rsidTr="003874E4">
        <w:trPr>
          <w:trHeight w:val="300"/>
        </w:trPr>
        <w:tc>
          <w:tcPr>
            <w:tcW w:w="2215" w:type="pct"/>
            <w:noWrap/>
            <w:hideMark/>
          </w:tcPr>
          <w:p w14:paraId="10DBEB20" w14:textId="77777777" w:rsidR="003874E4" w:rsidRPr="003874E4" w:rsidRDefault="003874E4" w:rsidP="003874E4">
            <w:pPr>
              <w:rPr>
                <w:b/>
                <w:bCs/>
              </w:rPr>
            </w:pPr>
            <w:r w:rsidRPr="003874E4">
              <w:rPr>
                <w:b/>
                <w:bCs/>
              </w:rPr>
              <w:t>A + B</w:t>
            </w:r>
          </w:p>
        </w:tc>
        <w:tc>
          <w:tcPr>
            <w:tcW w:w="1605" w:type="pct"/>
            <w:noWrap/>
            <w:hideMark/>
          </w:tcPr>
          <w:p w14:paraId="5FD7EC56" w14:textId="77777777" w:rsidR="003874E4" w:rsidRPr="003874E4" w:rsidRDefault="003874E4" w:rsidP="003874E4">
            <w:r w:rsidRPr="003874E4">
              <w:t>100</w:t>
            </w:r>
          </w:p>
        </w:tc>
        <w:tc>
          <w:tcPr>
            <w:tcW w:w="1180" w:type="pct"/>
            <w:noWrap/>
            <w:hideMark/>
          </w:tcPr>
          <w:p w14:paraId="7992848B" w14:textId="77777777" w:rsidR="003874E4" w:rsidRPr="003874E4" w:rsidRDefault="003874E4" w:rsidP="003874E4">
            <w:r w:rsidRPr="003874E4">
              <w:t>-16.98</w:t>
            </w:r>
          </w:p>
        </w:tc>
      </w:tr>
      <w:tr w:rsidR="003874E4" w:rsidRPr="003874E4" w14:paraId="6491C655" w14:textId="77777777" w:rsidTr="003874E4">
        <w:trPr>
          <w:trHeight w:val="300"/>
        </w:trPr>
        <w:tc>
          <w:tcPr>
            <w:tcW w:w="2215" w:type="pct"/>
            <w:noWrap/>
            <w:hideMark/>
          </w:tcPr>
          <w:p w14:paraId="14FA68B6" w14:textId="77777777" w:rsidR="003874E4" w:rsidRPr="003874E4" w:rsidRDefault="003874E4" w:rsidP="003874E4">
            <w:pPr>
              <w:rPr>
                <w:b/>
                <w:bCs/>
              </w:rPr>
            </w:pPr>
            <w:r w:rsidRPr="003874E4">
              <w:rPr>
                <w:b/>
                <w:bCs/>
              </w:rPr>
              <w:t>A + C</w:t>
            </w:r>
          </w:p>
        </w:tc>
        <w:tc>
          <w:tcPr>
            <w:tcW w:w="1605" w:type="pct"/>
            <w:noWrap/>
            <w:hideMark/>
          </w:tcPr>
          <w:p w14:paraId="658FCFE7" w14:textId="77777777" w:rsidR="003874E4" w:rsidRPr="003874E4" w:rsidRDefault="003874E4" w:rsidP="003874E4">
            <w:r w:rsidRPr="003874E4">
              <w:t>100</w:t>
            </w:r>
          </w:p>
        </w:tc>
        <w:tc>
          <w:tcPr>
            <w:tcW w:w="1180" w:type="pct"/>
            <w:noWrap/>
            <w:hideMark/>
          </w:tcPr>
          <w:p w14:paraId="5927BD30" w14:textId="77777777" w:rsidR="003874E4" w:rsidRPr="003874E4" w:rsidRDefault="003874E4" w:rsidP="003874E4">
            <w:r w:rsidRPr="003874E4">
              <w:t>-10.66</w:t>
            </w:r>
          </w:p>
        </w:tc>
      </w:tr>
      <w:tr w:rsidR="003874E4" w:rsidRPr="003874E4" w14:paraId="6C9BCD97" w14:textId="77777777" w:rsidTr="003874E4">
        <w:trPr>
          <w:trHeight w:val="300"/>
        </w:trPr>
        <w:tc>
          <w:tcPr>
            <w:tcW w:w="2215" w:type="pct"/>
            <w:noWrap/>
            <w:hideMark/>
          </w:tcPr>
          <w:p w14:paraId="47729A4C" w14:textId="77777777" w:rsidR="003874E4" w:rsidRPr="003874E4" w:rsidRDefault="003874E4" w:rsidP="003874E4">
            <w:pPr>
              <w:rPr>
                <w:b/>
                <w:bCs/>
              </w:rPr>
            </w:pPr>
            <w:r w:rsidRPr="003874E4">
              <w:rPr>
                <w:b/>
                <w:bCs/>
              </w:rPr>
              <w:t>B + C</w:t>
            </w:r>
          </w:p>
        </w:tc>
        <w:tc>
          <w:tcPr>
            <w:tcW w:w="1605" w:type="pct"/>
            <w:noWrap/>
            <w:hideMark/>
          </w:tcPr>
          <w:p w14:paraId="12963346" w14:textId="77777777" w:rsidR="003874E4" w:rsidRPr="003874E4" w:rsidRDefault="003874E4" w:rsidP="003874E4">
            <w:r w:rsidRPr="003874E4">
              <w:t>100</w:t>
            </w:r>
          </w:p>
        </w:tc>
        <w:tc>
          <w:tcPr>
            <w:tcW w:w="1180" w:type="pct"/>
            <w:noWrap/>
            <w:hideMark/>
          </w:tcPr>
          <w:p w14:paraId="2739B9DB" w14:textId="77777777" w:rsidR="003874E4" w:rsidRPr="003874E4" w:rsidRDefault="003874E4" w:rsidP="003874E4">
            <w:r w:rsidRPr="003874E4">
              <w:t>-10.28</w:t>
            </w:r>
          </w:p>
        </w:tc>
      </w:tr>
    </w:tbl>
    <w:p w14:paraId="19BD667E" w14:textId="712463B1" w:rsidR="003874E4" w:rsidRDefault="00C8436E" w:rsidP="00C8436E">
      <w:pPr>
        <w:pStyle w:val="Caption"/>
      </w:pPr>
      <w:bookmarkStart w:id="132" w:name="_Toc227659631"/>
      <w:r>
        <w:t xml:space="preserve">Table </w:t>
      </w:r>
      <w:fldSimple w:instr=" SEQ Table \* ARABIC ">
        <w:r w:rsidR="00AC714F">
          <w:rPr>
            <w:noProof/>
          </w:rPr>
          <w:t>8</w:t>
        </w:r>
      </w:fldSimple>
      <w:r>
        <w:t xml:space="preserve">: </w:t>
      </w:r>
      <w:r w:rsidRPr="00405EA7">
        <w:t>Possible Project Combinations</w:t>
      </w:r>
      <w:bookmarkEnd w:id="132"/>
    </w:p>
    <w:p w14:paraId="32F4269C" w14:textId="6A392289" w:rsidR="00C8436E" w:rsidRPr="00C8436E" w:rsidRDefault="00F26DCE" w:rsidP="00C8436E">
      <w:r w:rsidRPr="00F26DCE">
        <w:t xml:space="preserve">Tesla </w:t>
      </w:r>
      <w:proofErr w:type="gramStart"/>
      <w:r w:rsidRPr="00F26DCE">
        <w:t>has to</w:t>
      </w:r>
      <w:proofErr w:type="gramEnd"/>
      <w:r w:rsidRPr="00F26DCE">
        <w:t xml:space="preserve"> choose the portfolio of projects to </w:t>
      </w:r>
      <w:proofErr w:type="spellStart"/>
      <w:r w:rsidRPr="00F26DCE">
        <w:t>optimise</w:t>
      </w:r>
      <w:proofErr w:type="spellEnd"/>
      <w:r w:rsidRPr="00F26DCE">
        <w:t xml:space="preserve"> value, and Tesla is restricted by capital rationing conditions to use the available amount of investment with a limit of 100 million pounds. A + B, A + C, and B + C are combinations which satisfy the investment constraint and have different NPVs (</w:t>
      </w:r>
      <w:proofErr w:type="spellStart"/>
      <w:r w:rsidRPr="00F26DCE">
        <w:t>Darmansyah</w:t>
      </w:r>
      <w:proofErr w:type="spellEnd"/>
      <w:r w:rsidRPr="00F26DCE">
        <w:t xml:space="preserve"> et al., 2025; </w:t>
      </w:r>
      <w:proofErr w:type="spellStart"/>
      <w:r w:rsidRPr="00F26DCE">
        <w:t>Awodire</w:t>
      </w:r>
      <w:proofErr w:type="spellEnd"/>
      <w:r w:rsidRPr="00F26DCE">
        <w:t xml:space="preserve"> et al., 2023).</w:t>
      </w:r>
    </w:p>
    <w:p w14:paraId="0C2B7053" w14:textId="59DD0485" w:rsidR="00C8436E" w:rsidRPr="003874E4" w:rsidRDefault="00F26DCE" w:rsidP="003874E4">
      <w:r w:rsidRPr="00F26DCE">
        <w:t xml:space="preserve">The combination of B + C results in the least negative </w:t>
      </w:r>
      <w:proofErr w:type="gramStart"/>
      <w:r w:rsidRPr="00F26DCE">
        <w:t>NPV (-</w:t>
      </w:r>
      <w:proofErr w:type="gramEnd"/>
      <w:r w:rsidRPr="00F26DCE">
        <w:t xml:space="preserve">£10.28 million), compared to A + </w:t>
      </w:r>
      <w:proofErr w:type="gramStart"/>
      <w:r w:rsidRPr="00F26DCE">
        <w:t>C (-</w:t>
      </w:r>
      <w:proofErr w:type="gramEnd"/>
      <w:r w:rsidRPr="00F26DCE">
        <w:t xml:space="preserve">£10.66 million) and A + </w:t>
      </w:r>
      <w:proofErr w:type="gramStart"/>
      <w:r w:rsidRPr="00F26DCE">
        <w:t>B (-</w:t>
      </w:r>
      <w:proofErr w:type="gramEnd"/>
      <w:r w:rsidRPr="00F26DCE">
        <w:t xml:space="preserve">£16.98 million). This implies that B + C is the most efficient with scarce resources (Shou, 2022; </w:t>
      </w:r>
      <w:proofErr w:type="spellStart"/>
      <w:r w:rsidRPr="00F26DCE">
        <w:t>Alrikabi</w:t>
      </w:r>
      <w:proofErr w:type="spellEnd"/>
      <w:r w:rsidRPr="00F26DCE">
        <w:t>, 2022).</w:t>
      </w:r>
    </w:p>
    <w:p w14:paraId="19CEAC2D" w14:textId="493E64EC" w:rsidR="00AD2B37" w:rsidRDefault="00AD2B37" w:rsidP="003874E4">
      <w:pPr>
        <w:pStyle w:val="Heading2"/>
      </w:pPr>
      <w:bookmarkStart w:id="133" w:name="_Toc227659713"/>
      <w:r>
        <w:lastRenderedPageBreak/>
        <w:t>4.11.2 Optimal Combination Selection</w:t>
      </w:r>
      <w:bookmarkEnd w:id="133"/>
    </w:p>
    <w:tbl>
      <w:tblPr>
        <w:tblStyle w:val="TableGrid"/>
        <w:tblW w:w="5000" w:type="pct"/>
        <w:tblLook w:val="04A0" w:firstRow="1" w:lastRow="0" w:firstColumn="1" w:lastColumn="0" w:noHBand="0" w:noVBand="1"/>
      </w:tblPr>
      <w:tblGrid>
        <w:gridCol w:w="4142"/>
        <w:gridCol w:w="3001"/>
        <w:gridCol w:w="2207"/>
      </w:tblGrid>
      <w:tr w:rsidR="00F95E43" w:rsidRPr="003874E4" w14:paraId="286887AB" w14:textId="77777777" w:rsidTr="00475E0E">
        <w:trPr>
          <w:trHeight w:val="300"/>
        </w:trPr>
        <w:tc>
          <w:tcPr>
            <w:tcW w:w="2215" w:type="pct"/>
            <w:noWrap/>
            <w:hideMark/>
          </w:tcPr>
          <w:p w14:paraId="2F6BF167" w14:textId="77777777" w:rsidR="00F95E43" w:rsidRPr="003874E4" w:rsidRDefault="00F95E43" w:rsidP="00475E0E">
            <w:pPr>
              <w:rPr>
                <w:b/>
                <w:bCs/>
              </w:rPr>
            </w:pPr>
            <w:r w:rsidRPr="003874E4">
              <w:rPr>
                <w:b/>
                <w:bCs/>
              </w:rPr>
              <w:t>Combination</w:t>
            </w:r>
          </w:p>
        </w:tc>
        <w:tc>
          <w:tcPr>
            <w:tcW w:w="1605" w:type="pct"/>
            <w:noWrap/>
            <w:hideMark/>
          </w:tcPr>
          <w:p w14:paraId="5B18D9B4" w14:textId="77777777" w:rsidR="00F95E43" w:rsidRPr="003874E4" w:rsidRDefault="00F95E43" w:rsidP="00475E0E">
            <w:pPr>
              <w:rPr>
                <w:b/>
                <w:bCs/>
              </w:rPr>
            </w:pPr>
            <w:r w:rsidRPr="003874E4">
              <w:rPr>
                <w:b/>
                <w:bCs/>
              </w:rPr>
              <w:t>Total Investment</w:t>
            </w:r>
          </w:p>
        </w:tc>
        <w:tc>
          <w:tcPr>
            <w:tcW w:w="1180" w:type="pct"/>
            <w:noWrap/>
            <w:hideMark/>
          </w:tcPr>
          <w:p w14:paraId="6364ADB3" w14:textId="77777777" w:rsidR="00F95E43" w:rsidRPr="003874E4" w:rsidRDefault="00F95E43" w:rsidP="00475E0E">
            <w:pPr>
              <w:rPr>
                <w:b/>
                <w:bCs/>
              </w:rPr>
            </w:pPr>
            <w:r w:rsidRPr="003874E4">
              <w:rPr>
                <w:b/>
                <w:bCs/>
              </w:rPr>
              <w:t>Total NPV</w:t>
            </w:r>
          </w:p>
        </w:tc>
      </w:tr>
      <w:tr w:rsidR="00F95E43" w:rsidRPr="003874E4" w14:paraId="17292D77" w14:textId="77777777" w:rsidTr="00475E0E">
        <w:trPr>
          <w:trHeight w:val="300"/>
        </w:trPr>
        <w:tc>
          <w:tcPr>
            <w:tcW w:w="2215" w:type="pct"/>
            <w:noWrap/>
            <w:hideMark/>
          </w:tcPr>
          <w:p w14:paraId="6A48AD8F" w14:textId="77777777" w:rsidR="00F95E43" w:rsidRPr="003874E4" w:rsidRDefault="00F95E43" w:rsidP="00475E0E">
            <w:pPr>
              <w:rPr>
                <w:b/>
                <w:bCs/>
              </w:rPr>
            </w:pPr>
            <w:r w:rsidRPr="003874E4">
              <w:rPr>
                <w:b/>
                <w:bCs/>
              </w:rPr>
              <w:t>B + C</w:t>
            </w:r>
          </w:p>
        </w:tc>
        <w:tc>
          <w:tcPr>
            <w:tcW w:w="1605" w:type="pct"/>
            <w:noWrap/>
            <w:hideMark/>
          </w:tcPr>
          <w:p w14:paraId="013724EA" w14:textId="77777777" w:rsidR="00F95E43" w:rsidRPr="003874E4" w:rsidRDefault="00F95E43" w:rsidP="00475E0E">
            <w:r w:rsidRPr="003874E4">
              <w:t>100</w:t>
            </w:r>
          </w:p>
        </w:tc>
        <w:tc>
          <w:tcPr>
            <w:tcW w:w="1180" w:type="pct"/>
            <w:noWrap/>
            <w:hideMark/>
          </w:tcPr>
          <w:p w14:paraId="3B8FCFF1" w14:textId="77777777" w:rsidR="00F95E43" w:rsidRPr="003874E4" w:rsidRDefault="00F95E43" w:rsidP="00475E0E">
            <w:r w:rsidRPr="003874E4">
              <w:t>-10.28</w:t>
            </w:r>
          </w:p>
        </w:tc>
      </w:tr>
    </w:tbl>
    <w:p w14:paraId="69AB54EB" w14:textId="36349CF5" w:rsidR="00812237" w:rsidRDefault="00AC714F" w:rsidP="00AC714F">
      <w:pPr>
        <w:pStyle w:val="Caption"/>
      </w:pPr>
      <w:bookmarkStart w:id="134" w:name="_Toc227659632"/>
      <w:r>
        <w:t xml:space="preserve">Table </w:t>
      </w:r>
      <w:fldSimple w:instr=" SEQ Table \* ARABIC ">
        <w:r>
          <w:rPr>
            <w:noProof/>
          </w:rPr>
          <w:t>9</w:t>
        </w:r>
      </w:fldSimple>
      <w:r>
        <w:t xml:space="preserve">: </w:t>
      </w:r>
      <w:r w:rsidRPr="009A2265">
        <w:t>Optimal Combination Selection</w:t>
      </w:r>
      <w:bookmarkEnd w:id="134"/>
    </w:p>
    <w:p w14:paraId="0859643F" w14:textId="18374306" w:rsidR="00AC714F" w:rsidRPr="00AC714F" w:rsidRDefault="009A05BD" w:rsidP="00AC714F">
      <w:r w:rsidRPr="009A05BD">
        <w:t>Projects B and C would thus be the best combination under capital rationing because it would cause least loss of value without exceeding the investment limit. This is a better option at balancing liquidity and profitability compared to other options (</w:t>
      </w:r>
      <w:proofErr w:type="spellStart"/>
      <w:r w:rsidRPr="009A05BD">
        <w:t>Awodire</w:t>
      </w:r>
      <w:proofErr w:type="spellEnd"/>
      <w:r w:rsidRPr="009A05BD">
        <w:t xml:space="preserve"> et al., 2023; </w:t>
      </w:r>
      <w:proofErr w:type="spellStart"/>
      <w:r w:rsidRPr="009A05BD">
        <w:t>Darmansyah</w:t>
      </w:r>
      <w:proofErr w:type="spellEnd"/>
      <w:r w:rsidRPr="009A05BD">
        <w:t xml:space="preserve"> et al., 2025).</w:t>
      </w:r>
    </w:p>
    <w:p w14:paraId="6867803A" w14:textId="4C98C837" w:rsidR="00AC714F" w:rsidRDefault="0096780D" w:rsidP="00AC714F">
      <w:r w:rsidRPr="0096780D">
        <w:t>Although the NPVs are negative, selecting the least negative option ensures better financial performance compared to rejecting all projects. This method is consistent with efficient capital budgeting when making decisions in a scarce setting (Shou, 2022; Carrillo De Albornoz et al., 2018).</w:t>
      </w:r>
    </w:p>
    <w:p w14:paraId="2FC42790" w14:textId="77777777" w:rsidR="00996A64" w:rsidRDefault="00996A64" w:rsidP="00AC714F"/>
    <w:p w14:paraId="2327F96B" w14:textId="3F0CD7A2" w:rsidR="00996A64" w:rsidRPr="00AC714F" w:rsidRDefault="00996A64" w:rsidP="00996A64">
      <w:pPr>
        <w:pStyle w:val="Heading1"/>
      </w:pPr>
      <w:bookmarkStart w:id="135" w:name="_Toc227659714"/>
      <w:r>
        <w:t>5. Conclusion</w:t>
      </w:r>
      <w:bookmarkEnd w:id="135"/>
    </w:p>
    <w:p w14:paraId="2F19F34B" w14:textId="6C44B501" w:rsidR="008E7995" w:rsidRDefault="00996A64">
      <w:r w:rsidRPr="00996A64">
        <w:t>Tesla boasts of good financial expansion, liquidity improvement and an attractive capital structure albeit with reduced pressure on profitability and efficiency.</w:t>
      </w:r>
      <w:r>
        <w:t xml:space="preserve"> </w:t>
      </w:r>
      <w:r w:rsidRPr="00996A64">
        <w:t>Effective working capital reforms and strategic restructuring are essential for sustainability.</w:t>
      </w:r>
      <w:r>
        <w:t xml:space="preserve"> </w:t>
      </w:r>
      <w:r w:rsidRPr="00996A64">
        <w:t>The investment appraisal justifies the choice of Project C and the B+C mix during capital rationing, which guarantees higher returns, better liquidity management, and creation of long-term value in a competitive market in EVs.</w:t>
      </w:r>
    </w:p>
    <w:p w14:paraId="77042388" w14:textId="77777777" w:rsidR="008E7995" w:rsidRDefault="008E7995"/>
    <w:p w14:paraId="07119263" w14:textId="77777777" w:rsidR="008E7995" w:rsidRDefault="008E7995"/>
    <w:p w14:paraId="0C5DE2BB" w14:textId="77777777" w:rsidR="00F26DCE" w:rsidRDefault="00F26DCE"/>
    <w:p w14:paraId="26EE6054" w14:textId="77777777" w:rsidR="00F26DCE" w:rsidRDefault="00F26DCE"/>
    <w:p w14:paraId="6569829A" w14:textId="77777777" w:rsidR="00F26DCE" w:rsidRDefault="00F26DCE"/>
    <w:p w14:paraId="6D4131BF" w14:textId="77777777" w:rsidR="004B2A68" w:rsidRDefault="004B2A68"/>
    <w:p w14:paraId="1A8164EC" w14:textId="0CD06041" w:rsidR="004B2A68" w:rsidRDefault="004B2A68" w:rsidP="004B2A68">
      <w:pPr>
        <w:pStyle w:val="Heading1"/>
      </w:pPr>
      <w:bookmarkStart w:id="136" w:name="_Toc227659715"/>
      <w:r>
        <w:lastRenderedPageBreak/>
        <w:t>References</w:t>
      </w:r>
      <w:bookmarkEnd w:id="136"/>
    </w:p>
    <w:p w14:paraId="329BD05C" w14:textId="77777777" w:rsidR="00C21C71" w:rsidRDefault="00C21C71" w:rsidP="004B2A68">
      <w:r w:rsidRPr="004B2A68">
        <w:t xml:space="preserve">Aldo, M. (2022) ‘The effect of gearing, price </w:t>
      </w:r>
      <w:proofErr w:type="spellStart"/>
      <w:r w:rsidRPr="004B2A68">
        <w:t>earning</w:t>
      </w:r>
      <w:proofErr w:type="spellEnd"/>
      <w:r w:rsidRPr="004B2A68">
        <w:t xml:space="preserve"> ratio, interest rate, risk on abnormal return’, </w:t>
      </w:r>
      <w:r w:rsidRPr="004B2A68">
        <w:rPr>
          <w:i/>
          <w:iCs/>
        </w:rPr>
        <w:t>Indonesian Interdisciplinary Journal of Sharia Economics (IIJSE)</w:t>
      </w:r>
      <w:r w:rsidRPr="004B2A68">
        <w:t xml:space="preserve">, 5(2), pp. 752–768. Available at: </w:t>
      </w:r>
      <w:hyperlink r:id="rId53" w:history="1">
        <w:r w:rsidRPr="004B2A68">
          <w:rPr>
            <w:rStyle w:val="Hyperlink"/>
          </w:rPr>
          <w:t>https://doi.org/10.31538/iijse.v5i2.2195</w:t>
        </w:r>
      </w:hyperlink>
      <w:r w:rsidRPr="004B2A68">
        <w:t>.</w:t>
      </w:r>
    </w:p>
    <w:p w14:paraId="1E951B49" w14:textId="77777777" w:rsidR="00C21C71" w:rsidRDefault="00C21C71" w:rsidP="004B2A68">
      <w:r w:rsidRPr="004B2A68">
        <w:t xml:space="preserve">Ali, K., Showkat, N. and </w:t>
      </w:r>
      <w:proofErr w:type="spellStart"/>
      <w:r w:rsidRPr="004B2A68">
        <w:t>Alhammadi</w:t>
      </w:r>
      <w:proofErr w:type="spellEnd"/>
      <w:r w:rsidRPr="004B2A68">
        <w:t xml:space="preserve">, M.K.H. (2025) ‘Impact of working capital management on the financial performance of select listed sectoral indices: </w:t>
      </w:r>
      <w:proofErr w:type="gramStart"/>
      <w:r w:rsidRPr="004B2A68">
        <w:t>An evidence</w:t>
      </w:r>
      <w:proofErr w:type="gramEnd"/>
      <w:r w:rsidRPr="004B2A68">
        <w:t xml:space="preserve"> from India’, </w:t>
      </w:r>
      <w:r w:rsidRPr="004B2A68">
        <w:rPr>
          <w:i/>
          <w:iCs/>
        </w:rPr>
        <w:t>Journal of Economics and Business</w:t>
      </w:r>
      <w:r w:rsidRPr="004B2A68">
        <w:t xml:space="preserve">, 8(2). Available at: </w:t>
      </w:r>
      <w:hyperlink r:id="rId54" w:history="1">
        <w:r w:rsidRPr="004B2A68">
          <w:rPr>
            <w:rStyle w:val="Hyperlink"/>
          </w:rPr>
          <w:t>https://doi.org/10.31014/aior.1992.08.02.667</w:t>
        </w:r>
      </w:hyperlink>
      <w:r w:rsidRPr="004B2A68">
        <w:t>.</w:t>
      </w:r>
    </w:p>
    <w:p w14:paraId="59448C65" w14:textId="77777777" w:rsidR="00C21C71" w:rsidRPr="004B2A68" w:rsidRDefault="00C21C71" w:rsidP="004B2A68">
      <w:proofErr w:type="spellStart"/>
      <w:r w:rsidRPr="004B2A68">
        <w:t>Alinezhadjahromi</w:t>
      </w:r>
      <w:proofErr w:type="spellEnd"/>
      <w:r w:rsidRPr="004B2A68">
        <w:t xml:space="preserve">, M., Ajibade, T., Capraro, F., Abiodun, O. and </w:t>
      </w:r>
      <w:proofErr w:type="spellStart"/>
      <w:r w:rsidRPr="004B2A68">
        <w:t>Kachitsa</w:t>
      </w:r>
      <w:proofErr w:type="spellEnd"/>
      <w:r w:rsidRPr="004B2A68">
        <w:t xml:space="preserve">, C.L. (2026) ‘Financial ratio analysis and capital structure dynamics in a capital-intensive electric vehicle firm: Evidence from Tesla’, </w:t>
      </w:r>
      <w:r w:rsidRPr="004B2A68">
        <w:rPr>
          <w:i/>
          <w:iCs/>
        </w:rPr>
        <w:t>International Journal of Economics Finance &amp; Management Science</w:t>
      </w:r>
      <w:r w:rsidRPr="004B2A68">
        <w:t xml:space="preserve">, 11(3), pp. 13–30. Available at: </w:t>
      </w:r>
      <w:hyperlink r:id="rId55" w:tgtFrame="_new" w:history="1">
        <w:r w:rsidRPr="004B2A68">
          <w:rPr>
            <w:rStyle w:val="Hyperlink"/>
          </w:rPr>
          <w:t>https://doi.org/10.55640/ijefms/Volume11Issue03-02</w:t>
        </w:r>
      </w:hyperlink>
      <w:r w:rsidRPr="004B2A68">
        <w:t>.</w:t>
      </w:r>
    </w:p>
    <w:p w14:paraId="35CAE678" w14:textId="77777777" w:rsidR="00C21C71" w:rsidRDefault="00C21C71" w:rsidP="004B2A68">
      <w:proofErr w:type="spellStart"/>
      <w:r w:rsidRPr="004B2A68">
        <w:t>Alrikabi</w:t>
      </w:r>
      <w:proofErr w:type="spellEnd"/>
      <w:r w:rsidRPr="004B2A68">
        <w:t xml:space="preserve">, N. (2022) ‘The profitability index and its impact on sustainable development decisions’, </w:t>
      </w:r>
      <w:r w:rsidRPr="004B2A68">
        <w:rPr>
          <w:i/>
          <w:iCs/>
        </w:rPr>
        <w:t>Journal of Economics, Finance and Management Studies</w:t>
      </w:r>
      <w:r w:rsidRPr="004B2A68">
        <w:t xml:space="preserve">, 5(10), pp. 2897–2906. Available at: </w:t>
      </w:r>
      <w:hyperlink r:id="rId56" w:history="1">
        <w:r w:rsidRPr="004B2A68">
          <w:rPr>
            <w:rStyle w:val="Hyperlink"/>
          </w:rPr>
          <w:t>https://doi.org/10.47191/jefms/v5-i10-10</w:t>
        </w:r>
      </w:hyperlink>
      <w:r w:rsidRPr="004B2A68">
        <w:t>.</w:t>
      </w:r>
    </w:p>
    <w:p w14:paraId="43F85306" w14:textId="77777777" w:rsidR="00C21C71" w:rsidRDefault="00C21C71" w:rsidP="004B2A68">
      <w:proofErr w:type="spellStart"/>
      <w:r w:rsidRPr="004B2A68">
        <w:t>Arisandi</w:t>
      </w:r>
      <w:proofErr w:type="spellEnd"/>
      <w:r w:rsidRPr="004B2A68">
        <w:t xml:space="preserve">, T.D.A.F. (2025) ‘The impact of liquidity and solvency ratios on profitability: Evidence from the Indonesian construction sector (2020–2023)’, </w:t>
      </w:r>
      <w:r w:rsidRPr="004B2A68">
        <w:rPr>
          <w:i/>
          <w:iCs/>
        </w:rPr>
        <w:t>Banking &amp; Management Review</w:t>
      </w:r>
      <w:r w:rsidRPr="004B2A68">
        <w:t xml:space="preserve">, 13(1), pp. 101–118. Available at: </w:t>
      </w:r>
      <w:hyperlink r:id="rId57" w:history="1">
        <w:r w:rsidRPr="004B2A68">
          <w:rPr>
            <w:rStyle w:val="Hyperlink"/>
          </w:rPr>
          <w:t>https://doi.org/10.52250/bmr.v13i1.924</w:t>
        </w:r>
      </w:hyperlink>
      <w:r w:rsidRPr="004B2A68">
        <w:t>.</w:t>
      </w:r>
    </w:p>
    <w:p w14:paraId="2895E752" w14:textId="77777777" w:rsidR="00C21C71" w:rsidRDefault="00C21C71" w:rsidP="004B2A68">
      <w:proofErr w:type="spellStart"/>
      <w:r w:rsidRPr="004B2A68">
        <w:t>Awodire</w:t>
      </w:r>
      <w:proofErr w:type="spellEnd"/>
      <w:r w:rsidRPr="004B2A68">
        <w:t xml:space="preserve">, M., Agboola, O.K., </w:t>
      </w:r>
      <w:proofErr w:type="spellStart"/>
      <w:r w:rsidRPr="004B2A68">
        <w:t>Ogundojutimi</w:t>
      </w:r>
      <w:proofErr w:type="spellEnd"/>
      <w:r w:rsidRPr="004B2A68">
        <w:t xml:space="preserve">, O. and </w:t>
      </w:r>
      <w:proofErr w:type="spellStart"/>
      <w:r w:rsidRPr="004B2A68">
        <w:t>Odumuwagun</w:t>
      </w:r>
      <w:proofErr w:type="spellEnd"/>
      <w:r w:rsidRPr="004B2A68">
        <w:t xml:space="preserve">, O.O. (2023) ‘Capital budgeting and financial investment appraisal: A review of archival literature’, </w:t>
      </w:r>
      <w:r w:rsidRPr="004B2A68">
        <w:rPr>
          <w:i/>
          <w:iCs/>
        </w:rPr>
        <w:t>American Journal of Multidisciplinary Research in Africa</w:t>
      </w:r>
      <w:r w:rsidRPr="004B2A68">
        <w:t xml:space="preserve">, 3(5), pp. 1–15. Available at: </w:t>
      </w:r>
      <w:hyperlink r:id="rId58" w:history="1">
        <w:r w:rsidRPr="004B2A68">
          <w:rPr>
            <w:rStyle w:val="Hyperlink"/>
          </w:rPr>
          <w:t>https://doi.org/10.58314/UUHYT2</w:t>
        </w:r>
      </w:hyperlink>
      <w:r w:rsidRPr="004B2A68">
        <w:t>.</w:t>
      </w:r>
    </w:p>
    <w:p w14:paraId="19D7FBF9" w14:textId="77777777" w:rsidR="00C21C71" w:rsidRPr="004B2A68" w:rsidRDefault="00C21C71" w:rsidP="004B2A68">
      <w:r w:rsidRPr="004B2A68">
        <w:t xml:space="preserve">Berthilde, M. and </w:t>
      </w:r>
      <w:proofErr w:type="spellStart"/>
      <w:r w:rsidRPr="004B2A68">
        <w:t>Rusibana</w:t>
      </w:r>
      <w:proofErr w:type="spellEnd"/>
      <w:r w:rsidRPr="004B2A68">
        <w:t xml:space="preserve">, C. (2020) ‘Financial statement analysis and investment decision making in commercial banks: A case of Bank of Kigali, Rwanda’, </w:t>
      </w:r>
      <w:r w:rsidRPr="004B2A68">
        <w:rPr>
          <w:i/>
          <w:iCs/>
        </w:rPr>
        <w:t>Journal of Financial Risk Management</w:t>
      </w:r>
      <w:r w:rsidRPr="004B2A68">
        <w:t xml:space="preserve">, 9, pp. 355–376. Available at: </w:t>
      </w:r>
      <w:hyperlink r:id="rId59" w:tgtFrame="_new" w:history="1">
        <w:r w:rsidRPr="004B2A68">
          <w:rPr>
            <w:rStyle w:val="Hyperlink"/>
          </w:rPr>
          <w:t>https://doi.org/10.4236/jfrm.2020.94019</w:t>
        </w:r>
      </w:hyperlink>
      <w:r w:rsidRPr="004B2A68">
        <w:t>.</w:t>
      </w:r>
    </w:p>
    <w:p w14:paraId="0DEA485E" w14:textId="77777777" w:rsidR="00C21C71" w:rsidRPr="004B2A68" w:rsidRDefault="00C21C71" w:rsidP="004B2A68">
      <w:r w:rsidRPr="004B2A68">
        <w:lastRenderedPageBreak/>
        <w:t xml:space="preserve">Brixius, M., Perret, J.K., Schröder, J. and </w:t>
      </w:r>
      <w:proofErr w:type="spellStart"/>
      <w:r w:rsidRPr="004B2A68">
        <w:t>Taujanskaitė</w:t>
      </w:r>
      <w:proofErr w:type="spellEnd"/>
      <w:r w:rsidRPr="004B2A68">
        <w:t xml:space="preserve">, K. (2025) ‘Determinants of M&amp;A acquisition premiums on the European market in the period of 2009 to 2022’, </w:t>
      </w:r>
      <w:r w:rsidRPr="004B2A68">
        <w:rPr>
          <w:i/>
          <w:iCs/>
        </w:rPr>
        <w:t>International Journal of Financial Studies</w:t>
      </w:r>
      <w:r w:rsidRPr="004B2A68">
        <w:t xml:space="preserve">, 13(4), p. 204. Available at: </w:t>
      </w:r>
      <w:hyperlink r:id="rId60" w:tgtFrame="_new" w:history="1">
        <w:r w:rsidRPr="004B2A68">
          <w:rPr>
            <w:rStyle w:val="Hyperlink"/>
          </w:rPr>
          <w:t>https://doi.org/10.3390/ijfs13040204</w:t>
        </w:r>
      </w:hyperlink>
      <w:r w:rsidRPr="004B2A68">
        <w:t>.</w:t>
      </w:r>
    </w:p>
    <w:p w14:paraId="6FE6E782" w14:textId="77777777" w:rsidR="00C21C71" w:rsidRPr="004B2A68" w:rsidRDefault="00C21C71" w:rsidP="004B2A68">
      <w:r w:rsidRPr="004B2A68">
        <w:t xml:space="preserve">Campos, C.S., Câmara, L.M., Costa, L.P.V. and Nascimento, N.T.A. (2026) ‘The importance of cash flow in the financial management of micro and small enterprises: A literature review’, in </w:t>
      </w:r>
      <w:r w:rsidRPr="004B2A68">
        <w:rPr>
          <w:i/>
          <w:iCs/>
        </w:rPr>
        <w:t>Horizons of Insight: Exploring the Frontiers of Multidisciplinary Science</w:t>
      </w:r>
      <w:r w:rsidRPr="004B2A68">
        <w:t xml:space="preserve">. Available at: </w:t>
      </w:r>
      <w:hyperlink r:id="rId61" w:tgtFrame="_new" w:history="1">
        <w:r w:rsidRPr="004B2A68">
          <w:rPr>
            <w:rStyle w:val="Hyperlink"/>
          </w:rPr>
          <w:t>https://doi.org/10.56238/sevened2026.008-120</w:t>
        </w:r>
      </w:hyperlink>
      <w:r w:rsidRPr="004B2A68">
        <w:t>.</w:t>
      </w:r>
    </w:p>
    <w:p w14:paraId="084C4A42" w14:textId="77777777" w:rsidR="00C21C71" w:rsidRPr="004B2A68" w:rsidRDefault="00C21C71" w:rsidP="004B2A68">
      <w:r w:rsidRPr="004B2A68">
        <w:t xml:space="preserve">Carrillo De Albornoz, V.A., Lara Galera, A. and Molina Millán, J. (2018) ‘Is it correct to use the internal rate of return to evaluate the sustainability of investment decisions in public private partnership projects?’, </w:t>
      </w:r>
      <w:r w:rsidRPr="004B2A68">
        <w:rPr>
          <w:i/>
          <w:iCs/>
        </w:rPr>
        <w:t>Sustainability</w:t>
      </w:r>
      <w:r w:rsidRPr="004B2A68">
        <w:t xml:space="preserve">, 10(12), p. 4371. Available at: </w:t>
      </w:r>
      <w:hyperlink r:id="rId62" w:tgtFrame="_new" w:history="1">
        <w:r w:rsidRPr="004B2A68">
          <w:rPr>
            <w:rStyle w:val="Hyperlink"/>
          </w:rPr>
          <w:t>https://doi.org/10.3390/su10124371</w:t>
        </w:r>
      </w:hyperlink>
      <w:r w:rsidRPr="004B2A68">
        <w:t>.</w:t>
      </w:r>
    </w:p>
    <w:p w14:paraId="71C98C55" w14:textId="77777777" w:rsidR="00C21C71" w:rsidRPr="004B2A68" w:rsidRDefault="00C21C71" w:rsidP="004B2A68">
      <w:proofErr w:type="spellStart"/>
      <w:r w:rsidRPr="004B2A68">
        <w:t>Darmansyah</w:t>
      </w:r>
      <w:proofErr w:type="spellEnd"/>
      <w:r w:rsidRPr="004B2A68">
        <w:t xml:space="preserve">, A., Ali, Q. and Parveen, S. (2025) ‘Sophisticated capital budgeting decisions for financial performance and risk management—A tale of two business entities’, </w:t>
      </w:r>
      <w:r w:rsidRPr="004B2A68">
        <w:rPr>
          <w:i/>
          <w:iCs/>
        </w:rPr>
        <w:t>Journal of Risk and Financial Management</w:t>
      </w:r>
      <w:r w:rsidRPr="004B2A68">
        <w:t xml:space="preserve">, 18(6), p. 297. Available at: </w:t>
      </w:r>
      <w:hyperlink r:id="rId63" w:tgtFrame="_new" w:history="1">
        <w:r w:rsidRPr="004B2A68">
          <w:rPr>
            <w:rStyle w:val="Hyperlink"/>
          </w:rPr>
          <w:t>https://doi.org/10.3390/jrfm18060297</w:t>
        </w:r>
      </w:hyperlink>
      <w:r w:rsidRPr="004B2A68">
        <w:t>.</w:t>
      </w:r>
    </w:p>
    <w:p w14:paraId="5C198839" w14:textId="77777777" w:rsidR="00C21C71" w:rsidRPr="004B2A68" w:rsidRDefault="00C21C71" w:rsidP="004B2A68">
      <w:proofErr w:type="spellStart"/>
      <w:r w:rsidRPr="004B2A68">
        <w:t>Eldomiaty</w:t>
      </w:r>
      <w:proofErr w:type="spellEnd"/>
      <w:r w:rsidRPr="004B2A68">
        <w:t>, T., Eid, N., Taman, F. and Rashwan, M. (</w:t>
      </w:r>
      <w:proofErr w:type="gramStart"/>
      <w:r w:rsidRPr="004B2A68">
        <w:t>2023) ‘</w:t>
      </w:r>
      <w:proofErr w:type="gramEnd"/>
      <w:r w:rsidRPr="004B2A68">
        <w:t xml:space="preserve">An assessment of the benefits of optimizing working capital and profitability: Perspectives from DJIA30 and NASDAQ100’, </w:t>
      </w:r>
      <w:r w:rsidRPr="004B2A68">
        <w:rPr>
          <w:i/>
          <w:iCs/>
        </w:rPr>
        <w:t>Journal of Risk and Financial Management</w:t>
      </w:r>
      <w:r w:rsidRPr="004B2A68">
        <w:t xml:space="preserve">, 16(5), p. 274. Available at: </w:t>
      </w:r>
      <w:hyperlink r:id="rId64" w:tgtFrame="_new" w:history="1">
        <w:r w:rsidRPr="004B2A68">
          <w:rPr>
            <w:rStyle w:val="Hyperlink"/>
          </w:rPr>
          <w:t>https://doi.org/10.3390/jrfm16050274</w:t>
        </w:r>
      </w:hyperlink>
      <w:r w:rsidRPr="004B2A68">
        <w:t>.</w:t>
      </w:r>
    </w:p>
    <w:p w14:paraId="5A8BC98C" w14:textId="77777777" w:rsidR="00C21C71" w:rsidRDefault="00C21C71" w:rsidP="004B2A68">
      <w:proofErr w:type="spellStart"/>
      <w:r w:rsidRPr="004B2A68">
        <w:t>Faque</w:t>
      </w:r>
      <w:proofErr w:type="spellEnd"/>
      <w:r w:rsidRPr="004B2A68">
        <w:t xml:space="preserve">, M. (2022) ‘Cash management strategies and firm financial performance: A comprehensive literature review’, </w:t>
      </w:r>
      <w:proofErr w:type="spellStart"/>
      <w:r w:rsidRPr="004B2A68">
        <w:rPr>
          <w:i/>
          <w:iCs/>
        </w:rPr>
        <w:t>Bussecon</w:t>
      </w:r>
      <w:proofErr w:type="spellEnd"/>
      <w:r w:rsidRPr="004B2A68">
        <w:rPr>
          <w:i/>
          <w:iCs/>
        </w:rPr>
        <w:t xml:space="preserve"> Review of Social Sciences</w:t>
      </w:r>
      <w:r w:rsidRPr="004B2A68">
        <w:t xml:space="preserve">, 3(4), pp. 23–30. Available at: </w:t>
      </w:r>
      <w:hyperlink r:id="rId65" w:history="1">
        <w:r w:rsidRPr="004B2A68">
          <w:rPr>
            <w:rStyle w:val="Hyperlink"/>
          </w:rPr>
          <w:t>https://doi.org/10.36096/brss.v3i4.295</w:t>
        </w:r>
      </w:hyperlink>
      <w:r w:rsidRPr="004B2A68">
        <w:t>.</w:t>
      </w:r>
    </w:p>
    <w:p w14:paraId="3FBFEDB4" w14:textId="77777777" w:rsidR="00C21C71" w:rsidRDefault="00C21C71" w:rsidP="004B2A68">
      <w:r w:rsidRPr="004B2A68">
        <w:t xml:space="preserve">Gao, J. (2025) ‘Research on the accounts receivable management problems and countermeasures of </w:t>
      </w:r>
      <w:proofErr w:type="spellStart"/>
      <w:r w:rsidRPr="004B2A68">
        <w:t>Gree</w:t>
      </w:r>
      <w:proofErr w:type="spellEnd"/>
      <w:r w:rsidRPr="004B2A68">
        <w:t xml:space="preserve"> Electric Appliances Co., Ltd.’, </w:t>
      </w:r>
      <w:r w:rsidRPr="004B2A68">
        <w:rPr>
          <w:i/>
          <w:iCs/>
        </w:rPr>
        <w:t>Accounting Marketing and Organization</w:t>
      </w:r>
      <w:r w:rsidRPr="004B2A68">
        <w:t xml:space="preserve">, 1(2), pp. 14–30. Available at: </w:t>
      </w:r>
      <w:hyperlink r:id="rId66" w:history="1">
        <w:r w:rsidRPr="004B2A68">
          <w:rPr>
            <w:rStyle w:val="Hyperlink"/>
          </w:rPr>
          <w:t>https://doi.org/10.71204/t99rtf66</w:t>
        </w:r>
      </w:hyperlink>
      <w:r w:rsidRPr="004B2A68">
        <w:t>.</w:t>
      </w:r>
    </w:p>
    <w:p w14:paraId="410EF72B" w14:textId="77777777" w:rsidR="00C21C71" w:rsidRDefault="00C21C71" w:rsidP="004B2A68">
      <w:r w:rsidRPr="004B2A68">
        <w:lastRenderedPageBreak/>
        <w:t>Gibran, P.A.E. and Nainggolan, Y.A. (</w:t>
      </w:r>
      <w:proofErr w:type="gramStart"/>
      <w:r w:rsidRPr="004B2A68">
        <w:t>2025) ‘</w:t>
      </w:r>
      <w:proofErr w:type="gramEnd"/>
      <w:r w:rsidRPr="004B2A68">
        <w:t xml:space="preserve">Impact of financial performance on the innovation and development of research and development in electric vehicle industry’, </w:t>
      </w:r>
      <w:r w:rsidRPr="004B2A68">
        <w:rPr>
          <w:i/>
          <w:iCs/>
        </w:rPr>
        <w:t>Economic Reviews Journal</w:t>
      </w:r>
      <w:r w:rsidRPr="004B2A68">
        <w:t xml:space="preserve">, 4(2). Available at: </w:t>
      </w:r>
      <w:hyperlink r:id="rId67" w:history="1">
        <w:r w:rsidRPr="004B2A68">
          <w:rPr>
            <w:rStyle w:val="Hyperlink"/>
          </w:rPr>
          <w:t>https://doi.org/10.56709/mrj.v4i2.688</w:t>
        </w:r>
      </w:hyperlink>
      <w:r w:rsidRPr="004B2A68">
        <w:t>.</w:t>
      </w:r>
    </w:p>
    <w:p w14:paraId="762D1239" w14:textId="77777777" w:rsidR="00C21C71" w:rsidRDefault="00C21C71" w:rsidP="004B2A68">
      <w:r w:rsidRPr="004B2A68">
        <w:t>Huang, C. (</w:t>
      </w:r>
      <w:proofErr w:type="gramStart"/>
      <w:r w:rsidRPr="004B2A68">
        <w:t>2025) ‘</w:t>
      </w:r>
      <w:proofErr w:type="gramEnd"/>
      <w:r w:rsidRPr="004B2A68">
        <w:t xml:space="preserve">Research on the non-financial information audit mechanism under the credibility controversy of Tesla’s ESG report’, </w:t>
      </w:r>
      <w:r w:rsidRPr="004B2A68">
        <w:rPr>
          <w:i/>
          <w:iCs/>
        </w:rPr>
        <w:t>SHS Web of Conferences</w:t>
      </w:r>
      <w:r w:rsidRPr="004B2A68">
        <w:t xml:space="preserve">, 218, p. 03026. Available at: </w:t>
      </w:r>
      <w:hyperlink r:id="rId68" w:history="1">
        <w:r w:rsidRPr="004B2A68">
          <w:rPr>
            <w:rStyle w:val="Hyperlink"/>
          </w:rPr>
          <w:t>https://doi.org/10.1051/shsconf/202521803026</w:t>
        </w:r>
      </w:hyperlink>
      <w:r w:rsidRPr="004B2A68">
        <w:t>.</w:t>
      </w:r>
    </w:p>
    <w:p w14:paraId="3A20FA3C" w14:textId="77777777" w:rsidR="00C21C71" w:rsidRDefault="00C21C71" w:rsidP="004B2A68">
      <w:proofErr w:type="spellStart"/>
      <w:r w:rsidRPr="004B2A68">
        <w:t>Jatavallabha</w:t>
      </w:r>
      <w:proofErr w:type="spellEnd"/>
      <w:r w:rsidRPr="004B2A68">
        <w:t>, A. (</w:t>
      </w:r>
      <w:proofErr w:type="gramStart"/>
      <w:r w:rsidRPr="004B2A68">
        <w:t>2024) ‘</w:t>
      </w:r>
      <w:proofErr w:type="gramEnd"/>
      <w:r w:rsidRPr="004B2A68">
        <w:t xml:space="preserve">Tesla’s autopilot: Ethics and tragedy’, </w:t>
      </w:r>
      <w:proofErr w:type="spellStart"/>
      <w:r w:rsidRPr="004B2A68">
        <w:rPr>
          <w:i/>
          <w:iCs/>
        </w:rPr>
        <w:t>arXiv</w:t>
      </w:r>
      <w:proofErr w:type="spellEnd"/>
      <w:r w:rsidRPr="004B2A68">
        <w:rPr>
          <w:i/>
          <w:iCs/>
        </w:rPr>
        <w:t xml:space="preserve"> preprint</w:t>
      </w:r>
      <w:r w:rsidRPr="004B2A68">
        <w:t xml:space="preserve">. Available at: </w:t>
      </w:r>
      <w:hyperlink r:id="rId69" w:history="1">
        <w:r w:rsidRPr="004B2A68">
          <w:rPr>
            <w:rStyle w:val="Hyperlink"/>
          </w:rPr>
          <w:t>https://doi.org/10.48550/arXiv.2409.17380</w:t>
        </w:r>
      </w:hyperlink>
      <w:r w:rsidRPr="004B2A68">
        <w:t>.</w:t>
      </w:r>
    </w:p>
    <w:p w14:paraId="1E2CAE6F" w14:textId="77777777" w:rsidR="00C21C71" w:rsidRPr="004B2A68" w:rsidRDefault="00C21C71" w:rsidP="004B2A68">
      <w:r w:rsidRPr="004B2A68">
        <w:t xml:space="preserve">Kanna, H.R., Ruma, Z. and Sahabuddin, R. (2023) ‘Profitability ratio analysis to measure financial performance at PT. Bank </w:t>
      </w:r>
      <w:proofErr w:type="spellStart"/>
      <w:r w:rsidRPr="004B2A68">
        <w:t>Sulselbar</w:t>
      </w:r>
      <w:proofErr w:type="spellEnd"/>
      <w:r w:rsidRPr="004B2A68">
        <w:t xml:space="preserve"> Makassar Main Branch’, </w:t>
      </w:r>
      <w:r w:rsidRPr="004B2A68">
        <w:rPr>
          <w:i/>
          <w:iCs/>
        </w:rPr>
        <w:t>International Journal of Social Science Education Communication and Economics (SINOMICS Journal)</w:t>
      </w:r>
      <w:r w:rsidRPr="004B2A68">
        <w:t xml:space="preserve">, 2(3), pp. 463–472. Available at: </w:t>
      </w:r>
      <w:hyperlink r:id="rId70" w:tgtFrame="_new" w:history="1">
        <w:r w:rsidRPr="004B2A68">
          <w:rPr>
            <w:rStyle w:val="Hyperlink"/>
          </w:rPr>
          <w:t>https://doi.org/10.54443/sj.v2i3.149</w:t>
        </w:r>
      </w:hyperlink>
      <w:r w:rsidRPr="004B2A68">
        <w:t>.</w:t>
      </w:r>
    </w:p>
    <w:p w14:paraId="332C9B9C" w14:textId="77777777" w:rsidR="00C21C71" w:rsidRPr="004B2A68" w:rsidRDefault="00C21C71" w:rsidP="004B2A68">
      <w:r w:rsidRPr="004B2A68">
        <w:t>Lee, K. and Roh, T. (</w:t>
      </w:r>
      <w:proofErr w:type="gramStart"/>
      <w:r w:rsidRPr="004B2A68">
        <w:t>2020) ‘</w:t>
      </w:r>
      <w:proofErr w:type="gramEnd"/>
      <w:r w:rsidRPr="004B2A68">
        <w:t xml:space="preserve">Proactive divestiture and business innovation: R&amp;D input and output performance’, </w:t>
      </w:r>
      <w:r w:rsidRPr="004B2A68">
        <w:rPr>
          <w:i/>
          <w:iCs/>
        </w:rPr>
        <w:t>Sustainability</w:t>
      </w:r>
      <w:r w:rsidRPr="004B2A68">
        <w:t xml:space="preserve">, 12(9), p. 3874. Available at: </w:t>
      </w:r>
      <w:hyperlink r:id="rId71" w:tgtFrame="_new" w:history="1">
        <w:r w:rsidRPr="004B2A68">
          <w:rPr>
            <w:rStyle w:val="Hyperlink"/>
          </w:rPr>
          <w:t>https://doi.org/10.3390/su12093874</w:t>
        </w:r>
      </w:hyperlink>
      <w:r w:rsidRPr="004B2A68">
        <w:t>.</w:t>
      </w:r>
    </w:p>
    <w:p w14:paraId="515A8DDB" w14:textId="77777777" w:rsidR="00C21C71" w:rsidRDefault="00C21C71" w:rsidP="004B2A68">
      <w:r w:rsidRPr="004B2A68">
        <w:t xml:space="preserve">Li, Y. (2025) ‘Analysis of company’s financial situation: Taking Tesla company as an example’, in </w:t>
      </w:r>
      <w:r w:rsidRPr="004B2A68">
        <w:rPr>
          <w:i/>
          <w:iCs/>
        </w:rPr>
        <w:t>Proceedings of the 2025 International Conference on Financial Innovation and Marketing Management (FIMM 2025)</w:t>
      </w:r>
      <w:r w:rsidRPr="004B2A68">
        <w:t xml:space="preserve">, pp. 845–852. Available at: </w:t>
      </w:r>
      <w:hyperlink r:id="rId72" w:history="1">
        <w:r w:rsidRPr="004B2A68">
          <w:rPr>
            <w:rStyle w:val="Hyperlink"/>
          </w:rPr>
          <w:t>https://doi.org/10.2991/978-94-6463-874-5_97</w:t>
        </w:r>
      </w:hyperlink>
      <w:r w:rsidRPr="004B2A68">
        <w:t>.</w:t>
      </w:r>
    </w:p>
    <w:p w14:paraId="1A00F0C3" w14:textId="77777777" w:rsidR="00C21C71" w:rsidRDefault="00C21C71" w:rsidP="004B2A68">
      <w:r w:rsidRPr="004B2A68">
        <w:t xml:space="preserve">Magni, C.A. and </w:t>
      </w:r>
      <w:proofErr w:type="spellStart"/>
      <w:r w:rsidRPr="004B2A68">
        <w:t>Peasnell</w:t>
      </w:r>
      <w:proofErr w:type="spellEnd"/>
      <w:r w:rsidRPr="004B2A68">
        <w:t xml:space="preserve">, K.V. (2012) ‘Economic profitability and the accounting rate of return’, </w:t>
      </w:r>
      <w:r w:rsidRPr="004B2A68">
        <w:rPr>
          <w:i/>
          <w:iCs/>
        </w:rPr>
        <w:t>SSRN Electronic Journal</w:t>
      </w:r>
      <w:r w:rsidRPr="004B2A68">
        <w:t xml:space="preserve">. Available at: </w:t>
      </w:r>
      <w:hyperlink r:id="rId73" w:history="1">
        <w:r w:rsidRPr="004B2A68">
          <w:rPr>
            <w:rStyle w:val="Hyperlink"/>
          </w:rPr>
          <w:t>https://doi.org/10.2139/ssrn.2027607</w:t>
        </w:r>
      </w:hyperlink>
      <w:r w:rsidRPr="004B2A68">
        <w:t>.</w:t>
      </w:r>
    </w:p>
    <w:p w14:paraId="31213964" w14:textId="77777777" w:rsidR="00C21C71" w:rsidRDefault="00C21C71" w:rsidP="004B2A68">
      <w:r w:rsidRPr="004B2A68">
        <w:t xml:space="preserve">Manao, U.D.A. and Dewi, I.K. (2025) ‘The influence of profitability and liquidity ratios on financial performance’, </w:t>
      </w:r>
      <w:r w:rsidRPr="004B2A68">
        <w:rPr>
          <w:i/>
          <w:iCs/>
        </w:rPr>
        <w:t>Indonesian Journal of Islamic Economics and Finance</w:t>
      </w:r>
      <w:r w:rsidRPr="004B2A68">
        <w:t xml:space="preserve">, 5(1), pp. 125–144. Available at: </w:t>
      </w:r>
      <w:hyperlink r:id="rId74" w:history="1">
        <w:r w:rsidRPr="004B2A68">
          <w:rPr>
            <w:rStyle w:val="Hyperlink"/>
          </w:rPr>
          <w:t>https://doi.org/10.37680/ijief.v5i1.6983</w:t>
        </w:r>
      </w:hyperlink>
      <w:r w:rsidRPr="004B2A68">
        <w:t>.</w:t>
      </w:r>
    </w:p>
    <w:p w14:paraId="62A36EEB" w14:textId="77777777" w:rsidR="00C21C71" w:rsidRPr="004B2A68" w:rsidRDefault="00C21C71" w:rsidP="004B2A68">
      <w:proofErr w:type="spellStart"/>
      <w:r w:rsidRPr="004B2A68">
        <w:t>Miswanto</w:t>
      </w:r>
      <w:proofErr w:type="spellEnd"/>
      <w:r w:rsidRPr="004B2A68">
        <w:t>, M. (2018) ‘Equity issue and a long-term effect of equity market timing on capital structure’.</w:t>
      </w:r>
    </w:p>
    <w:p w14:paraId="32E3130D" w14:textId="77777777" w:rsidR="00C21C71" w:rsidRPr="004B2A68" w:rsidRDefault="00C21C71" w:rsidP="004B2A68">
      <w:proofErr w:type="spellStart"/>
      <w:r w:rsidRPr="004B2A68">
        <w:lastRenderedPageBreak/>
        <w:t>Oyelakun</w:t>
      </w:r>
      <w:proofErr w:type="spellEnd"/>
      <w:r w:rsidRPr="004B2A68">
        <w:t>, O., Aderemi, A., Abdul-Azeez, O.O. and Olayemi, A.-L. (2025) ‘The payback period (PBP) unified formula: A simplified proposed method for calculating PBP in capital budgeting decision’.</w:t>
      </w:r>
    </w:p>
    <w:p w14:paraId="4C5E9FDB" w14:textId="77777777" w:rsidR="00C21C71" w:rsidRDefault="00C21C71" w:rsidP="004B2A68">
      <w:r w:rsidRPr="004B2A68">
        <w:t xml:space="preserve">Ramdhan, A.N., Yulianti, N.A. and </w:t>
      </w:r>
      <w:proofErr w:type="spellStart"/>
      <w:r w:rsidRPr="004B2A68">
        <w:t>Parlina</w:t>
      </w:r>
      <w:proofErr w:type="spellEnd"/>
      <w:r w:rsidRPr="004B2A68">
        <w:t xml:space="preserve">, N.D. (2025) ‘Profitability ratio analysis to measure the financial performance of food and beverage companies for the period of 2020–2023’, </w:t>
      </w:r>
      <w:r w:rsidRPr="004B2A68">
        <w:rPr>
          <w:i/>
          <w:iCs/>
        </w:rPr>
        <w:t>IJEBD (International Journal of Entrepreneurship and Business Development)</w:t>
      </w:r>
      <w:r w:rsidRPr="004B2A68">
        <w:t xml:space="preserve">, 8(2), pp. 315–330. Available at: </w:t>
      </w:r>
      <w:hyperlink r:id="rId75" w:history="1">
        <w:r w:rsidRPr="004B2A68">
          <w:rPr>
            <w:rStyle w:val="Hyperlink"/>
          </w:rPr>
          <w:t>https://doi.org/10.29138/ijebd.v8i2.3234</w:t>
        </w:r>
      </w:hyperlink>
      <w:r w:rsidRPr="004B2A68">
        <w:t>.</w:t>
      </w:r>
    </w:p>
    <w:p w14:paraId="65276EFF" w14:textId="77777777" w:rsidR="00C21C71" w:rsidRDefault="00C21C71" w:rsidP="004B2A68">
      <w:r w:rsidRPr="004B2A68">
        <w:t>Rezaeinavaei, S. and Khan, S. (</w:t>
      </w:r>
      <w:proofErr w:type="gramStart"/>
      <w:r w:rsidRPr="004B2A68">
        <w:t>2025) ‘</w:t>
      </w:r>
      <w:proofErr w:type="gramEnd"/>
      <w:r w:rsidRPr="004B2A68">
        <w:t xml:space="preserve">Comprehensive review of improvement in inventory management methods through digitalization: Traditional practices and emerging trends’, in </w:t>
      </w:r>
      <w:r w:rsidRPr="004B2A68">
        <w:rPr>
          <w:i/>
          <w:iCs/>
        </w:rPr>
        <w:t>Proceedings of the 2nd World Congress on Industrial Engineering and Operations Management</w:t>
      </w:r>
      <w:r w:rsidRPr="004B2A68">
        <w:t xml:space="preserve">. Available at: </w:t>
      </w:r>
      <w:hyperlink r:id="rId76" w:history="1">
        <w:r w:rsidRPr="004B2A68">
          <w:rPr>
            <w:rStyle w:val="Hyperlink"/>
          </w:rPr>
          <w:t>https://doi.org/10.46254/wc02.20250174</w:t>
        </w:r>
      </w:hyperlink>
      <w:r w:rsidRPr="004B2A68">
        <w:t>.</w:t>
      </w:r>
    </w:p>
    <w:p w14:paraId="34DA0FB1" w14:textId="77777777" w:rsidR="00C21C71" w:rsidRDefault="00C21C71" w:rsidP="004B2A68">
      <w:r w:rsidRPr="004B2A68">
        <w:t xml:space="preserve">Rotimi-Ojo, T. and James, A. (2025) ‘A review of financial strategy tools for sustainable electric vehicle (EV) component manufacturing in North America’, </w:t>
      </w:r>
      <w:r w:rsidRPr="004B2A68">
        <w:rPr>
          <w:i/>
          <w:iCs/>
        </w:rPr>
        <w:t>European Journal of Innovative Studies and Sustainability</w:t>
      </w:r>
      <w:r w:rsidRPr="004B2A68">
        <w:t xml:space="preserve">, 1(3), pp. 233–246. Available at: </w:t>
      </w:r>
      <w:hyperlink r:id="rId77" w:history="1">
        <w:r w:rsidRPr="004B2A68">
          <w:rPr>
            <w:rStyle w:val="Hyperlink"/>
          </w:rPr>
          <w:t>https://doi.org/10.59324/ejiss.2025.1(3).19</w:t>
        </w:r>
      </w:hyperlink>
      <w:r w:rsidRPr="004B2A68">
        <w:t>.</w:t>
      </w:r>
    </w:p>
    <w:p w14:paraId="2C98D816" w14:textId="77777777" w:rsidR="00C21C71" w:rsidRPr="004B2A68" w:rsidRDefault="00C21C71" w:rsidP="004B2A68">
      <w:r w:rsidRPr="004B2A68">
        <w:t>Schreiber, B.A., Gregersen, E. and Ashburn, D. (</w:t>
      </w:r>
      <w:proofErr w:type="gramStart"/>
      <w:r w:rsidRPr="004B2A68">
        <w:t>2026) ‘</w:t>
      </w:r>
      <w:proofErr w:type="gramEnd"/>
      <w:r w:rsidRPr="004B2A68">
        <w:t xml:space="preserve">Tesla, Inc.’, </w:t>
      </w:r>
      <w:r w:rsidRPr="004B2A68">
        <w:rPr>
          <w:i/>
          <w:iCs/>
        </w:rPr>
        <w:t>Encyclopedia Britannica</w:t>
      </w:r>
      <w:r w:rsidRPr="004B2A68">
        <w:t xml:space="preserve">. Available at: </w:t>
      </w:r>
      <w:hyperlink r:id="rId78" w:tgtFrame="_new" w:history="1">
        <w:r w:rsidRPr="004B2A68">
          <w:rPr>
            <w:rStyle w:val="Hyperlink"/>
          </w:rPr>
          <w:t>https://www.britannica.com/money/Tesla-Motors</w:t>
        </w:r>
      </w:hyperlink>
      <w:r w:rsidRPr="004B2A68">
        <w:t xml:space="preserve"> (Accessed: 19 April 2026).</w:t>
      </w:r>
    </w:p>
    <w:p w14:paraId="7EA69536" w14:textId="77777777" w:rsidR="00C21C71" w:rsidRPr="004B2A68" w:rsidRDefault="00C21C71" w:rsidP="004B2A68">
      <w:r w:rsidRPr="004B2A68">
        <w:t>Shou, T. (</w:t>
      </w:r>
      <w:proofErr w:type="gramStart"/>
      <w:r w:rsidRPr="004B2A68">
        <w:t>2022) ‘</w:t>
      </w:r>
      <w:proofErr w:type="gramEnd"/>
      <w:r w:rsidRPr="004B2A68">
        <w:t xml:space="preserve">A literature review on the net present value (NPV) valuation method’, in </w:t>
      </w:r>
      <w:r w:rsidRPr="004B2A68">
        <w:rPr>
          <w:i/>
          <w:iCs/>
        </w:rPr>
        <w:t>Proceedings of the 2022 2nd International Conference on Enterprise Management and Economic Development (ICEMED 2022)</w:t>
      </w:r>
      <w:r w:rsidRPr="004B2A68">
        <w:t xml:space="preserve">. Available at: </w:t>
      </w:r>
      <w:hyperlink r:id="rId79" w:tgtFrame="_new" w:history="1">
        <w:r w:rsidRPr="004B2A68">
          <w:rPr>
            <w:rStyle w:val="Hyperlink"/>
          </w:rPr>
          <w:t>https://doi.org/10.2991/aebmr.k.220603.135</w:t>
        </w:r>
      </w:hyperlink>
      <w:r w:rsidRPr="004B2A68">
        <w:t>.</w:t>
      </w:r>
    </w:p>
    <w:p w14:paraId="57B734EC" w14:textId="77777777" w:rsidR="00C21C71" w:rsidRDefault="00C21C71" w:rsidP="004B2A68">
      <w:r w:rsidRPr="004B2A68">
        <w:t>Stella, F. and Tiong, K. (</w:t>
      </w:r>
      <w:proofErr w:type="gramStart"/>
      <w:r w:rsidRPr="004B2A68">
        <w:t>2026) ‘</w:t>
      </w:r>
      <w:proofErr w:type="gramEnd"/>
      <w:r w:rsidRPr="004B2A68">
        <w:t xml:space="preserve">Factors affecting purchase intention of electric vehicles with tax incentives as a moderator’, </w:t>
      </w:r>
      <w:r w:rsidRPr="004B2A68">
        <w:rPr>
          <w:i/>
          <w:iCs/>
        </w:rPr>
        <w:t>Preprint</w:t>
      </w:r>
      <w:r w:rsidRPr="004B2A68">
        <w:t xml:space="preserve">. Available at: </w:t>
      </w:r>
      <w:hyperlink r:id="rId80" w:history="1">
        <w:r w:rsidRPr="004B2A68">
          <w:rPr>
            <w:rStyle w:val="Hyperlink"/>
          </w:rPr>
          <w:t>https://doi.org/10.21203/rs.3.rs-9245310/v1</w:t>
        </w:r>
      </w:hyperlink>
      <w:r w:rsidRPr="004B2A68">
        <w:t>.</w:t>
      </w:r>
    </w:p>
    <w:p w14:paraId="2A7628C3" w14:textId="77777777" w:rsidR="00C21C71" w:rsidRDefault="00C21C71" w:rsidP="004B2A68">
      <w:r w:rsidRPr="004B2A68">
        <w:t xml:space="preserve">Sujatmiko, S., Halim, R., </w:t>
      </w:r>
      <w:proofErr w:type="spellStart"/>
      <w:r w:rsidRPr="004B2A68">
        <w:t>Sumiyarto</w:t>
      </w:r>
      <w:proofErr w:type="spellEnd"/>
      <w:r w:rsidRPr="004B2A68">
        <w:t xml:space="preserve"> and </w:t>
      </w:r>
      <w:proofErr w:type="spellStart"/>
      <w:r w:rsidRPr="004B2A68">
        <w:t>Apriyana</w:t>
      </w:r>
      <w:proofErr w:type="spellEnd"/>
      <w:r w:rsidRPr="004B2A68">
        <w:t>, N. (</w:t>
      </w:r>
      <w:proofErr w:type="gramStart"/>
      <w:r w:rsidRPr="004B2A68">
        <w:t>2025) ‘</w:t>
      </w:r>
      <w:proofErr w:type="gramEnd"/>
      <w:r w:rsidRPr="004B2A68">
        <w:t xml:space="preserve">Electric vehicles’ contribution to sustainable long-term investment for public and private sectors: The role of value co-creation’, </w:t>
      </w:r>
      <w:r w:rsidRPr="004B2A68">
        <w:rPr>
          <w:i/>
          <w:iCs/>
        </w:rPr>
        <w:t xml:space="preserve">World Journal of Entrepreneurship Management and Sustainable </w:t>
      </w:r>
      <w:r w:rsidRPr="004B2A68">
        <w:rPr>
          <w:i/>
          <w:iCs/>
        </w:rPr>
        <w:lastRenderedPageBreak/>
        <w:t>Development</w:t>
      </w:r>
      <w:r w:rsidRPr="004B2A68">
        <w:t xml:space="preserve">, 21(2), p. 133. Available at: </w:t>
      </w:r>
      <w:hyperlink r:id="rId81" w:history="1">
        <w:r w:rsidRPr="004B2A68">
          <w:rPr>
            <w:rStyle w:val="Hyperlink"/>
          </w:rPr>
          <w:t>https://doi.org/10.47556/J.WJEMSD.21.2.2025.3</w:t>
        </w:r>
      </w:hyperlink>
      <w:r w:rsidRPr="004B2A68">
        <w:t>.</w:t>
      </w:r>
    </w:p>
    <w:p w14:paraId="12069151" w14:textId="77777777" w:rsidR="00C21C71" w:rsidRPr="004B2A68" w:rsidRDefault="00C21C71" w:rsidP="004B2A68">
      <w:r w:rsidRPr="004B2A68">
        <w:t xml:space="preserve">Tesla, Inc. (2020) </w:t>
      </w:r>
      <w:r w:rsidRPr="004B2A68">
        <w:rPr>
          <w:i/>
          <w:iCs/>
        </w:rPr>
        <w:t>Annual report on Form 10-K for the fiscal year ended December 31, 2019</w:t>
      </w:r>
      <w:r w:rsidRPr="004B2A68">
        <w:t xml:space="preserve">. Available at: </w:t>
      </w:r>
      <w:hyperlink r:id="rId82" w:tgtFrame="_new" w:history="1">
        <w:r w:rsidRPr="004B2A68">
          <w:rPr>
            <w:rStyle w:val="Hyperlink"/>
          </w:rPr>
          <w:t>https://www.annualreports.com/HostedData/AnnualReportArchive/t/NASDAQ_TSLA_2019.pdf</w:t>
        </w:r>
      </w:hyperlink>
      <w:r w:rsidRPr="004B2A68">
        <w:t xml:space="preserve"> (Accessed: 19 April 2026).</w:t>
      </w:r>
    </w:p>
    <w:p w14:paraId="2101870D" w14:textId="77777777" w:rsidR="00C21C71" w:rsidRPr="004B2A68" w:rsidRDefault="00C21C71" w:rsidP="004B2A68">
      <w:r w:rsidRPr="004B2A68">
        <w:t xml:space="preserve">Tesla, Inc. (2023) </w:t>
      </w:r>
      <w:r w:rsidRPr="004B2A68">
        <w:rPr>
          <w:i/>
          <w:iCs/>
        </w:rPr>
        <w:t>Annual report on Form 10-K for the fiscal year ended December 31, 2022</w:t>
      </w:r>
      <w:r w:rsidRPr="004B2A68">
        <w:t xml:space="preserve">. Available at: </w:t>
      </w:r>
      <w:hyperlink r:id="rId83" w:tgtFrame="_new" w:history="1">
        <w:r w:rsidRPr="004B2A68">
          <w:rPr>
            <w:rStyle w:val="Hyperlink"/>
          </w:rPr>
          <w:t>https://www.annualreports.com/HostedData/AnnualReportArchive/t/NASDAQ_TSLA_2022.pdf</w:t>
        </w:r>
      </w:hyperlink>
      <w:r w:rsidRPr="004B2A68">
        <w:t xml:space="preserve"> (Accessed: 19 April 2026).</w:t>
      </w:r>
    </w:p>
    <w:p w14:paraId="52A6C128" w14:textId="77777777" w:rsidR="00C21C71" w:rsidRPr="004B2A68" w:rsidRDefault="00C21C71" w:rsidP="004B2A68">
      <w:r w:rsidRPr="004B2A68">
        <w:t xml:space="preserve">Tesla, Inc. (2024) </w:t>
      </w:r>
      <w:r w:rsidRPr="004B2A68">
        <w:rPr>
          <w:i/>
          <w:iCs/>
        </w:rPr>
        <w:t>Annual report on Form 10-K for the fiscal year ended December 31, 2023</w:t>
      </w:r>
      <w:r w:rsidRPr="004B2A68">
        <w:t xml:space="preserve">. Available at: </w:t>
      </w:r>
      <w:hyperlink r:id="rId84" w:tgtFrame="_new" w:history="1">
        <w:r w:rsidRPr="004B2A68">
          <w:rPr>
            <w:rStyle w:val="Hyperlink"/>
          </w:rPr>
          <w:t>https://www.annualreports.com/HostedData/AnnualReportArchive/t/NASDAQ_TSLA_2023.pdf</w:t>
        </w:r>
      </w:hyperlink>
      <w:r w:rsidRPr="004B2A68">
        <w:t xml:space="preserve"> (Accessed: 19 April 2026).</w:t>
      </w:r>
    </w:p>
    <w:p w14:paraId="624D07A7" w14:textId="77777777" w:rsidR="00C21C71" w:rsidRPr="004B2A68" w:rsidRDefault="00C21C71" w:rsidP="004B2A68">
      <w:r w:rsidRPr="004B2A68">
        <w:t xml:space="preserve">Tesla, Inc. (2025) </w:t>
      </w:r>
      <w:r w:rsidRPr="004B2A68">
        <w:rPr>
          <w:i/>
          <w:iCs/>
        </w:rPr>
        <w:t>Annual report on Form 10-K for the fiscal year ended December 31, 2024</w:t>
      </w:r>
      <w:r w:rsidRPr="004B2A68">
        <w:t xml:space="preserve">. Available at: </w:t>
      </w:r>
      <w:hyperlink r:id="rId85" w:tgtFrame="_new" w:history="1">
        <w:r w:rsidRPr="004B2A68">
          <w:rPr>
            <w:rStyle w:val="Hyperlink"/>
          </w:rPr>
          <w:t>https://www.annualreports.com/HostedData/AnnualReports/PDF/NASDAQ_TSLA_2024.pdf</w:t>
        </w:r>
      </w:hyperlink>
      <w:r w:rsidRPr="004B2A68">
        <w:t xml:space="preserve"> (Accessed: 19 April 2026).</w:t>
      </w:r>
    </w:p>
    <w:p w14:paraId="402B6FA1" w14:textId="77777777" w:rsidR="00C21C71" w:rsidRPr="004B2A68" w:rsidRDefault="00C21C71" w:rsidP="004B2A68">
      <w:r w:rsidRPr="004B2A68">
        <w:t xml:space="preserve">Tesla, Inc. (2026) </w:t>
      </w:r>
      <w:r w:rsidRPr="004B2A68">
        <w:rPr>
          <w:i/>
          <w:iCs/>
        </w:rPr>
        <w:t>About Tesla</w:t>
      </w:r>
      <w:r w:rsidRPr="004B2A68">
        <w:t xml:space="preserve">. Available at: </w:t>
      </w:r>
      <w:hyperlink r:id="rId86" w:tgtFrame="_new" w:history="1">
        <w:r w:rsidRPr="004B2A68">
          <w:rPr>
            <w:rStyle w:val="Hyperlink"/>
          </w:rPr>
          <w:t>https://www.tesla.com/about</w:t>
        </w:r>
      </w:hyperlink>
      <w:r w:rsidRPr="004B2A68">
        <w:t xml:space="preserve"> (Accessed: 19 April 2026).</w:t>
      </w:r>
    </w:p>
    <w:p w14:paraId="5D6644C9" w14:textId="77777777" w:rsidR="00C21C71" w:rsidRPr="004B2A68" w:rsidRDefault="00C21C71" w:rsidP="004B2A68">
      <w:r w:rsidRPr="004B2A68">
        <w:t xml:space="preserve">Tesla, Inc. (2026) </w:t>
      </w:r>
      <w:r w:rsidRPr="004B2A68">
        <w:rPr>
          <w:i/>
          <w:iCs/>
        </w:rPr>
        <w:t>Annual report on Form 10-K for the fiscal year ended December 31, 2025</w:t>
      </w:r>
      <w:r w:rsidRPr="004B2A68">
        <w:t xml:space="preserve">. Available at: </w:t>
      </w:r>
      <w:hyperlink r:id="rId87" w:tgtFrame="_new" w:history="1">
        <w:r w:rsidRPr="004B2A68">
          <w:rPr>
            <w:rStyle w:val="Hyperlink"/>
          </w:rPr>
          <w:t>https://ir.tesla.com/_flysystem/s3/sec/000162828026003952/tsla-20251231-gen.pdf</w:t>
        </w:r>
      </w:hyperlink>
      <w:r w:rsidRPr="004B2A68">
        <w:t xml:space="preserve"> (Accessed: 19 April 2026).</w:t>
      </w:r>
    </w:p>
    <w:p w14:paraId="3769AFEE" w14:textId="77777777" w:rsidR="00C21C71" w:rsidRPr="004B2A68" w:rsidRDefault="00C21C71" w:rsidP="004B2A68">
      <w:proofErr w:type="spellStart"/>
      <w:r w:rsidRPr="004B2A68">
        <w:t>Wuryanti</w:t>
      </w:r>
      <w:proofErr w:type="spellEnd"/>
      <w:r w:rsidRPr="004B2A68">
        <w:t xml:space="preserve">, L., Rosalia, O. and </w:t>
      </w:r>
      <w:proofErr w:type="spellStart"/>
      <w:r w:rsidRPr="004B2A68">
        <w:t>Firayani</w:t>
      </w:r>
      <w:proofErr w:type="spellEnd"/>
      <w:r w:rsidRPr="004B2A68">
        <w:t xml:space="preserve"> (2025) ‘Analysis of the effect of liquidity ratios, solvency and profitability on the company’s financial performance’, </w:t>
      </w:r>
      <w:proofErr w:type="spellStart"/>
      <w:r w:rsidRPr="004B2A68">
        <w:rPr>
          <w:i/>
          <w:iCs/>
        </w:rPr>
        <w:t>Maneggio</w:t>
      </w:r>
      <w:proofErr w:type="spellEnd"/>
      <w:r w:rsidRPr="004B2A68">
        <w:rPr>
          <w:i/>
          <w:iCs/>
        </w:rPr>
        <w:t xml:space="preserve">: </w:t>
      </w:r>
      <w:proofErr w:type="spellStart"/>
      <w:r w:rsidRPr="004B2A68">
        <w:rPr>
          <w:i/>
          <w:iCs/>
        </w:rPr>
        <w:t>Jurnal</w:t>
      </w:r>
      <w:proofErr w:type="spellEnd"/>
      <w:r w:rsidRPr="004B2A68">
        <w:rPr>
          <w:i/>
          <w:iCs/>
        </w:rPr>
        <w:t xml:space="preserve"> </w:t>
      </w:r>
      <w:proofErr w:type="spellStart"/>
      <w:r w:rsidRPr="004B2A68">
        <w:rPr>
          <w:i/>
          <w:iCs/>
        </w:rPr>
        <w:t>Ilmiah</w:t>
      </w:r>
      <w:proofErr w:type="spellEnd"/>
      <w:r w:rsidRPr="004B2A68">
        <w:rPr>
          <w:i/>
          <w:iCs/>
        </w:rPr>
        <w:t xml:space="preserve"> Magister Manajemen</w:t>
      </w:r>
      <w:r w:rsidRPr="004B2A68">
        <w:t xml:space="preserve">, 2(2). Available at: </w:t>
      </w:r>
      <w:hyperlink r:id="rId88" w:tgtFrame="_new" w:history="1">
        <w:r w:rsidRPr="004B2A68">
          <w:rPr>
            <w:rStyle w:val="Hyperlink"/>
          </w:rPr>
          <w:t>https://doi.org/10.62872/h20q8p66</w:t>
        </w:r>
      </w:hyperlink>
      <w:r w:rsidRPr="004B2A68">
        <w:t>.</w:t>
      </w:r>
    </w:p>
    <w:p w14:paraId="6C8F204A" w14:textId="77777777" w:rsidR="00C21C71" w:rsidRPr="004B2A68" w:rsidRDefault="00C21C71" w:rsidP="004B2A68">
      <w:r w:rsidRPr="004B2A68">
        <w:t xml:space="preserve">Yanney, A. (2023) ‘Optimizing working capital through dynamic cash flow analysis and inventory management in manufacturing firms’, </w:t>
      </w:r>
      <w:r w:rsidRPr="004B2A68">
        <w:rPr>
          <w:i/>
          <w:iCs/>
        </w:rPr>
        <w:t xml:space="preserve">International Journal of Computer </w:t>
      </w:r>
      <w:r w:rsidRPr="004B2A68">
        <w:rPr>
          <w:i/>
          <w:iCs/>
        </w:rPr>
        <w:lastRenderedPageBreak/>
        <w:t>Applications Technology and Research</w:t>
      </w:r>
      <w:r w:rsidRPr="004B2A68">
        <w:t xml:space="preserve">, 12(12), pp. 136–151. Available at: </w:t>
      </w:r>
      <w:hyperlink r:id="rId89" w:tgtFrame="_new" w:history="1">
        <w:r w:rsidRPr="004B2A68">
          <w:rPr>
            <w:rStyle w:val="Hyperlink"/>
          </w:rPr>
          <w:t>https://doi.org/10.7753/IJCATR1212.1017</w:t>
        </w:r>
      </w:hyperlink>
      <w:r w:rsidRPr="004B2A68">
        <w:t>.</w:t>
      </w:r>
    </w:p>
    <w:p w14:paraId="49D6A720" w14:textId="77777777" w:rsidR="00C21C71" w:rsidRDefault="00C21C71" w:rsidP="004B2A68">
      <w:r w:rsidRPr="004B2A68">
        <w:t xml:space="preserve">Zheng, Z. (2024) ‘Financial analysis and risk study of Tesla Inc.’, </w:t>
      </w:r>
      <w:r w:rsidRPr="004B2A68">
        <w:rPr>
          <w:i/>
          <w:iCs/>
        </w:rPr>
        <w:t>Highlights in Business Economics and Management</w:t>
      </w:r>
      <w:r w:rsidRPr="004B2A68">
        <w:t xml:space="preserve">, 24, pp. 521–527. Available at: </w:t>
      </w:r>
      <w:hyperlink r:id="rId90" w:history="1">
        <w:r w:rsidRPr="004B2A68">
          <w:rPr>
            <w:rStyle w:val="Hyperlink"/>
          </w:rPr>
          <w:t>https://doi.org/10.54097/w3w70d66</w:t>
        </w:r>
      </w:hyperlink>
      <w:r w:rsidRPr="004B2A68">
        <w:t>.</w:t>
      </w:r>
    </w:p>
    <w:p w14:paraId="4D61B210" w14:textId="77777777" w:rsidR="004B2A68" w:rsidRPr="004B2A68" w:rsidRDefault="004B2A68" w:rsidP="004B2A68"/>
    <w:p w14:paraId="6E015B26" w14:textId="77777777" w:rsidR="008E7995" w:rsidRDefault="008E7995"/>
    <w:p w14:paraId="7CA7B484" w14:textId="77777777" w:rsidR="0025342F" w:rsidRDefault="0025342F"/>
    <w:p w14:paraId="50CB5A60" w14:textId="77777777" w:rsidR="0025342F" w:rsidRDefault="0025342F"/>
    <w:p w14:paraId="387AB859" w14:textId="77777777" w:rsidR="0025342F" w:rsidRDefault="0025342F"/>
    <w:p w14:paraId="104B38C6" w14:textId="77777777" w:rsidR="0025342F" w:rsidRDefault="0025342F"/>
    <w:p w14:paraId="5E69894E" w14:textId="77777777" w:rsidR="0025342F" w:rsidRDefault="0025342F"/>
    <w:p w14:paraId="5D6675E2" w14:textId="77777777" w:rsidR="0025342F" w:rsidRDefault="0025342F"/>
    <w:p w14:paraId="3203463F" w14:textId="77777777" w:rsidR="0025342F" w:rsidRDefault="0025342F"/>
    <w:p w14:paraId="282A8404" w14:textId="77777777" w:rsidR="0025342F" w:rsidRDefault="0025342F"/>
    <w:p w14:paraId="526D4D42" w14:textId="77777777" w:rsidR="0025342F" w:rsidRDefault="0025342F"/>
    <w:p w14:paraId="32CD8E92" w14:textId="77777777" w:rsidR="0025342F" w:rsidRDefault="0025342F"/>
    <w:p w14:paraId="34B6E404" w14:textId="77777777" w:rsidR="0025342F" w:rsidRDefault="0025342F"/>
    <w:p w14:paraId="72CEE75D" w14:textId="77777777" w:rsidR="0025342F" w:rsidRDefault="0025342F"/>
    <w:p w14:paraId="325FA30E" w14:textId="77777777" w:rsidR="0025342F" w:rsidRDefault="0025342F"/>
    <w:p w14:paraId="694C450F" w14:textId="77777777" w:rsidR="0025342F" w:rsidRDefault="0025342F"/>
    <w:p w14:paraId="1B3E520E" w14:textId="7CC34693" w:rsidR="008E7995" w:rsidRPr="008E7995" w:rsidRDefault="008E7995" w:rsidP="008E7995">
      <w:pPr>
        <w:pStyle w:val="Heading1"/>
      </w:pPr>
      <w:bookmarkStart w:id="137" w:name="_Toc227659716"/>
      <w:r w:rsidRPr="008E7995">
        <w:lastRenderedPageBreak/>
        <w:t>Appendices</w:t>
      </w:r>
      <w:bookmarkEnd w:id="137"/>
    </w:p>
    <w:p w14:paraId="184C62FD" w14:textId="5469E000" w:rsidR="008E7995" w:rsidRDefault="008E7995" w:rsidP="008E7995">
      <w:pPr>
        <w:pStyle w:val="Heading2"/>
      </w:pPr>
      <w:bookmarkStart w:id="138" w:name="_Toc227659717"/>
      <w:r w:rsidRPr="008E7995">
        <w:t>Ratio Analysis Tables</w:t>
      </w:r>
      <w:bookmarkEnd w:id="138"/>
    </w:p>
    <w:p w14:paraId="19CF70CD" w14:textId="48B4ECC3" w:rsidR="008E7995" w:rsidRDefault="00FF05EF" w:rsidP="008E7995">
      <w:r w:rsidRPr="00FF05EF">
        <w:t>Profitability</w:t>
      </w:r>
    </w:p>
    <w:tbl>
      <w:tblPr>
        <w:tblW w:w="5000" w:type="pct"/>
        <w:tblLook w:val="04A0" w:firstRow="1" w:lastRow="0" w:firstColumn="1" w:lastColumn="0" w:noHBand="0" w:noVBand="1"/>
      </w:tblPr>
      <w:tblGrid>
        <w:gridCol w:w="5094"/>
        <w:gridCol w:w="789"/>
        <w:gridCol w:w="790"/>
        <w:gridCol w:w="790"/>
        <w:gridCol w:w="838"/>
        <w:gridCol w:w="838"/>
        <w:gridCol w:w="221"/>
      </w:tblGrid>
      <w:tr w:rsidR="00FF05EF" w:rsidRPr="00FF05EF" w14:paraId="4D47D99E" w14:textId="77777777" w:rsidTr="00FF05EF">
        <w:trPr>
          <w:gridAfter w:val="1"/>
          <w:wAfter w:w="96" w:type="pct"/>
          <w:trHeight w:val="586"/>
        </w:trPr>
        <w:tc>
          <w:tcPr>
            <w:tcW w:w="4904" w:type="pct"/>
            <w:gridSpan w:val="6"/>
            <w:vMerge w:val="restart"/>
            <w:tcBorders>
              <w:top w:val="nil"/>
              <w:left w:val="nil"/>
              <w:bottom w:val="nil"/>
              <w:right w:val="nil"/>
            </w:tcBorders>
            <w:shd w:val="clear" w:color="000000" w:fill="7E350E"/>
            <w:noWrap/>
            <w:vAlign w:val="center"/>
            <w:hideMark/>
          </w:tcPr>
          <w:p w14:paraId="14B70BAE"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r w:rsidRPr="00FF05EF">
              <w:rPr>
                <w:rFonts w:ascii="Aptos Narrow" w:eastAsia="Times New Roman" w:hAnsi="Aptos Narrow" w:cs="Times New Roman"/>
                <w:b/>
                <w:bCs/>
                <w:color w:val="FFFFFF"/>
                <w:kern w:val="0"/>
                <w:sz w:val="48"/>
                <w:szCs w:val="48"/>
                <w14:ligatures w14:val="none"/>
              </w:rPr>
              <w:t>Tesla Inc.</w:t>
            </w:r>
          </w:p>
        </w:tc>
      </w:tr>
      <w:tr w:rsidR="00FF05EF" w:rsidRPr="00FF05EF" w14:paraId="0860EDFA" w14:textId="77777777" w:rsidTr="00FF05EF">
        <w:trPr>
          <w:trHeight w:val="300"/>
        </w:trPr>
        <w:tc>
          <w:tcPr>
            <w:tcW w:w="4904" w:type="pct"/>
            <w:gridSpan w:val="6"/>
            <w:vMerge/>
            <w:tcBorders>
              <w:top w:val="nil"/>
              <w:left w:val="nil"/>
              <w:bottom w:val="nil"/>
              <w:right w:val="nil"/>
            </w:tcBorders>
            <w:vAlign w:val="center"/>
            <w:hideMark/>
          </w:tcPr>
          <w:p w14:paraId="58746035" w14:textId="77777777" w:rsidR="00FF05EF" w:rsidRPr="00FF05EF" w:rsidRDefault="00FF05EF" w:rsidP="00FF05EF">
            <w:pPr>
              <w:spacing w:after="0" w:line="240" w:lineRule="auto"/>
              <w:jc w:val="left"/>
              <w:rPr>
                <w:rFonts w:ascii="Aptos Narrow" w:eastAsia="Times New Roman" w:hAnsi="Aptos Narrow" w:cs="Times New Roman"/>
                <w:b/>
                <w:bCs/>
                <w:color w:val="FFFFFF"/>
                <w:kern w:val="0"/>
                <w:sz w:val="48"/>
                <w:szCs w:val="48"/>
                <w14:ligatures w14:val="none"/>
              </w:rPr>
            </w:pPr>
          </w:p>
        </w:tc>
        <w:tc>
          <w:tcPr>
            <w:tcW w:w="96" w:type="pct"/>
            <w:tcBorders>
              <w:top w:val="nil"/>
              <w:left w:val="nil"/>
              <w:bottom w:val="nil"/>
              <w:right w:val="nil"/>
            </w:tcBorders>
            <w:noWrap/>
            <w:vAlign w:val="bottom"/>
            <w:hideMark/>
          </w:tcPr>
          <w:p w14:paraId="039BBAFB"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p>
        </w:tc>
      </w:tr>
      <w:tr w:rsidR="00FF05EF" w:rsidRPr="00FF05EF" w14:paraId="14C4742F" w14:textId="77777777" w:rsidTr="00FF05EF">
        <w:trPr>
          <w:trHeight w:val="300"/>
        </w:trPr>
        <w:tc>
          <w:tcPr>
            <w:tcW w:w="2943" w:type="pct"/>
            <w:tcBorders>
              <w:top w:val="nil"/>
              <w:left w:val="nil"/>
              <w:bottom w:val="nil"/>
              <w:right w:val="nil"/>
            </w:tcBorders>
            <w:noWrap/>
            <w:vAlign w:val="bottom"/>
            <w:hideMark/>
          </w:tcPr>
          <w:p w14:paraId="09964B8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65DCBE0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6073FF8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5D1E626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71B15E5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3C7CD21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1B93EBA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E5647B0" w14:textId="77777777" w:rsidTr="00FF05EF">
        <w:trPr>
          <w:trHeight w:val="300"/>
        </w:trPr>
        <w:tc>
          <w:tcPr>
            <w:tcW w:w="4904"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4FA9F4FB"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Gross Profit Margin</w:t>
            </w:r>
          </w:p>
        </w:tc>
        <w:tc>
          <w:tcPr>
            <w:tcW w:w="96" w:type="pct"/>
            <w:vAlign w:val="center"/>
            <w:hideMark/>
          </w:tcPr>
          <w:p w14:paraId="46282D1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56C952E"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1F08E23D"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 </w:t>
            </w:r>
          </w:p>
        </w:tc>
        <w:tc>
          <w:tcPr>
            <w:tcW w:w="383" w:type="pct"/>
            <w:tcBorders>
              <w:top w:val="nil"/>
              <w:left w:val="nil"/>
              <w:bottom w:val="single" w:sz="4" w:space="0" w:color="auto"/>
              <w:right w:val="single" w:sz="4" w:space="0" w:color="auto"/>
            </w:tcBorders>
            <w:noWrap/>
            <w:vAlign w:val="bottom"/>
            <w:hideMark/>
          </w:tcPr>
          <w:p w14:paraId="32DBF396"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83" w:type="pct"/>
            <w:tcBorders>
              <w:top w:val="nil"/>
              <w:left w:val="nil"/>
              <w:bottom w:val="single" w:sz="4" w:space="0" w:color="auto"/>
              <w:right w:val="single" w:sz="4" w:space="0" w:color="auto"/>
            </w:tcBorders>
            <w:noWrap/>
            <w:vAlign w:val="bottom"/>
            <w:hideMark/>
          </w:tcPr>
          <w:p w14:paraId="3B1C8886"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83" w:type="pct"/>
            <w:tcBorders>
              <w:top w:val="nil"/>
              <w:left w:val="nil"/>
              <w:bottom w:val="single" w:sz="4" w:space="0" w:color="auto"/>
              <w:right w:val="single" w:sz="4" w:space="0" w:color="auto"/>
            </w:tcBorders>
            <w:noWrap/>
            <w:vAlign w:val="bottom"/>
            <w:hideMark/>
          </w:tcPr>
          <w:p w14:paraId="50AE5E0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07" w:type="pct"/>
            <w:tcBorders>
              <w:top w:val="nil"/>
              <w:left w:val="nil"/>
              <w:bottom w:val="single" w:sz="4" w:space="0" w:color="auto"/>
              <w:right w:val="single" w:sz="4" w:space="0" w:color="auto"/>
            </w:tcBorders>
            <w:noWrap/>
            <w:vAlign w:val="bottom"/>
            <w:hideMark/>
          </w:tcPr>
          <w:p w14:paraId="4C59710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07" w:type="pct"/>
            <w:tcBorders>
              <w:top w:val="nil"/>
              <w:left w:val="nil"/>
              <w:bottom w:val="single" w:sz="4" w:space="0" w:color="auto"/>
              <w:right w:val="single" w:sz="4" w:space="0" w:color="auto"/>
            </w:tcBorders>
            <w:noWrap/>
            <w:vAlign w:val="bottom"/>
            <w:hideMark/>
          </w:tcPr>
          <w:p w14:paraId="1E53095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96" w:type="pct"/>
            <w:vAlign w:val="center"/>
            <w:hideMark/>
          </w:tcPr>
          <w:p w14:paraId="729B287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ABCA573"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71A3DCDA"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Gross Profit ($m)</w:t>
            </w:r>
          </w:p>
        </w:tc>
        <w:tc>
          <w:tcPr>
            <w:tcW w:w="383" w:type="pct"/>
            <w:tcBorders>
              <w:top w:val="nil"/>
              <w:left w:val="nil"/>
              <w:bottom w:val="single" w:sz="4" w:space="0" w:color="auto"/>
              <w:right w:val="single" w:sz="4" w:space="0" w:color="auto"/>
            </w:tcBorders>
            <w:noWrap/>
            <w:vAlign w:val="bottom"/>
            <w:hideMark/>
          </w:tcPr>
          <w:p w14:paraId="365C7A8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6,630</w:t>
            </w:r>
          </w:p>
        </w:tc>
        <w:tc>
          <w:tcPr>
            <w:tcW w:w="383" w:type="pct"/>
            <w:tcBorders>
              <w:top w:val="nil"/>
              <w:left w:val="nil"/>
              <w:bottom w:val="single" w:sz="4" w:space="0" w:color="auto"/>
              <w:right w:val="single" w:sz="4" w:space="0" w:color="auto"/>
            </w:tcBorders>
            <w:noWrap/>
            <w:vAlign w:val="bottom"/>
            <w:hideMark/>
          </w:tcPr>
          <w:p w14:paraId="14D647A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13,606</w:t>
            </w:r>
          </w:p>
        </w:tc>
        <w:tc>
          <w:tcPr>
            <w:tcW w:w="383" w:type="pct"/>
            <w:tcBorders>
              <w:top w:val="nil"/>
              <w:left w:val="nil"/>
              <w:bottom w:val="single" w:sz="4" w:space="0" w:color="auto"/>
              <w:right w:val="single" w:sz="4" w:space="0" w:color="auto"/>
            </w:tcBorders>
            <w:noWrap/>
            <w:vAlign w:val="bottom"/>
            <w:hideMark/>
          </w:tcPr>
          <w:p w14:paraId="7B8839C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20,853</w:t>
            </w:r>
          </w:p>
        </w:tc>
        <w:tc>
          <w:tcPr>
            <w:tcW w:w="407" w:type="pct"/>
            <w:tcBorders>
              <w:top w:val="nil"/>
              <w:left w:val="nil"/>
              <w:bottom w:val="single" w:sz="4" w:space="0" w:color="auto"/>
              <w:right w:val="single" w:sz="4" w:space="0" w:color="auto"/>
            </w:tcBorders>
            <w:noWrap/>
            <w:vAlign w:val="bottom"/>
            <w:hideMark/>
          </w:tcPr>
          <w:p w14:paraId="341E164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17,660</w:t>
            </w:r>
          </w:p>
        </w:tc>
        <w:tc>
          <w:tcPr>
            <w:tcW w:w="407" w:type="pct"/>
            <w:tcBorders>
              <w:top w:val="nil"/>
              <w:left w:val="nil"/>
              <w:bottom w:val="single" w:sz="4" w:space="0" w:color="auto"/>
              <w:right w:val="single" w:sz="4" w:space="0" w:color="auto"/>
            </w:tcBorders>
            <w:noWrap/>
            <w:vAlign w:val="bottom"/>
            <w:hideMark/>
          </w:tcPr>
          <w:p w14:paraId="014AAE6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17,450</w:t>
            </w:r>
          </w:p>
        </w:tc>
        <w:tc>
          <w:tcPr>
            <w:tcW w:w="96" w:type="pct"/>
            <w:vAlign w:val="center"/>
            <w:hideMark/>
          </w:tcPr>
          <w:p w14:paraId="2910F61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D66D85A"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0223DF65"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Revenue ($m)</w:t>
            </w:r>
          </w:p>
        </w:tc>
        <w:tc>
          <w:tcPr>
            <w:tcW w:w="383" w:type="pct"/>
            <w:tcBorders>
              <w:top w:val="nil"/>
              <w:left w:val="nil"/>
              <w:bottom w:val="single" w:sz="4" w:space="0" w:color="auto"/>
              <w:right w:val="single" w:sz="4" w:space="0" w:color="auto"/>
            </w:tcBorders>
            <w:noWrap/>
            <w:vAlign w:val="bottom"/>
            <w:hideMark/>
          </w:tcPr>
          <w:p w14:paraId="353DE0C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31,536</w:t>
            </w:r>
          </w:p>
        </w:tc>
        <w:tc>
          <w:tcPr>
            <w:tcW w:w="383" w:type="pct"/>
            <w:tcBorders>
              <w:top w:val="nil"/>
              <w:left w:val="nil"/>
              <w:bottom w:val="single" w:sz="4" w:space="0" w:color="auto"/>
              <w:right w:val="single" w:sz="4" w:space="0" w:color="auto"/>
            </w:tcBorders>
            <w:noWrap/>
            <w:vAlign w:val="bottom"/>
            <w:hideMark/>
          </w:tcPr>
          <w:p w14:paraId="21E4DB2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53,823</w:t>
            </w:r>
          </w:p>
        </w:tc>
        <w:tc>
          <w:tcPr>
            <w:tcW w:w="383" w:type="pct"/>
            <w:tcBorders>
              <w:top w:val="nil"/>
              <w:left w:val="nil"/>
              <w:bottom w:val="single" w:sz="4" w:space="0" w:color="auto"/>
              <w:right w:val="single" w:sz="4" w:space="0" w:color="auto"/>
            </w:tcBorders>
            <w:noWrap/>
            <w:vAlign w:val="bottom"/>
            <w:hideMark/>
          </w:tcPr>
          <w:p w14:paraId="63B8E18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81,462</w:t>
            </w:r>
          </w:p>
        </w:tc>
        <w:tc>
          <w:tcPr>
            <w:tcW w:w="407" w:type="pct"/>
            <w:tcBorders>
              <w:top w:val="nil"/>
              <w:left w:val="nil"/>
              <w:bottom w:val="single" w:sz="4" w:space="0" w:color="auto"/>
              <w:right w:val="single" w:sz="4" w:space="0" w:color="auto"/>
            </w:tcBorders>
            <w:noWrap/>
            <w:vAlign w:val="bottom"/>
            <w:hideMark/>
          </w:tcPr>
          <w:p w14:paraId="46B1565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96,773</w:t>
            </w:r>
          </w:p>
        </w:tc>
        <w:tc>
          <w:tcPr>
            <w:tcW w:w="407" w:type="pct"/>
            <w:tcBorders>
              <w:top w:val="nil"/>
              <w:left w:val="nil"/>
              <w:bottom w:val="single" w:sz="4" w:space="0" w:color="auto"/>
              <w:right w:val="single" w:sz="4" w:space="0" w:color="auto"/>
            </w:tcBorders>
            <w:noWrap/>
            <w:vAlign w:val="bottom"/>
            <w:hideMark/>
          </w:tcPr>
          <w:p w14:paraId="1C49483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97,690</w:t>
            </w:r>
          </w:p>
        </w:tc>
        <w:tc>
          <w:tcPr>
            <w:tcW w:w="96" w:type="pct"/>
            <w:vAlign w:val="center"/>
            <w:hideMark/>
          </w:tcPr>
          <w:p w14:paraId="4264BB0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4014BCA"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5D86B701"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Gross Profit Margin = Gross Profit ÷ Revenue × 100</w:t>
            </w:r>
          </w:p>
        </w:tc>
        <w:tc>
          <w:tcPr>
            <w:tcW w:w="383" w:type="pct"/>
            <w:tcBorders>
              <w:top w:val="nil"/>
              <w:left w:val="nil"/>
              <w:bottom w:val="single" w:sz="4" w:space="0" w:color="auto"/>
              <w:right w:val="single" w:sz="4" w:space="0" w:color="auto"/>
            </w:tcBorders>
            <w:noWrap/>
            <w:vAlign w:val="bottom"/>
            <w:hideMark/>
          </w:tcPr>
          <w:p w14:paraId="1427980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21.02%</w:t>
            </w:r>
          </w:p>
        </w:tc>
        <w:tc>
          <w:tcPr>
            <w:tcW w:w="383" w:type="pct"/>
            <w:tcBorders>
              <w:top w:val="nil"/>
              <w:left w:val="nil"/>
              <w:bottom w:val="single" w:sz="4" w:space="0" w:color="auto"/>
              <w:right w:val="single" w:sz="4" w:space="0" w:color="auto"/>
            </w:tcBorders>
            <w:noWrap/>
            <w:vAlign w:val="bottom"/>
            <w:hideMark/>
          </w:tcPr>
          <w:p w14:paraId="4E00F9C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25.28%</w:t>
            </w:r>
          </w:p>
        </w:tc>
        <w:tc>
          <w:tcPr>
            <w:tcW w:w="383" w:type="pct"/>
            <w:tcBorders>
              <w:top w:val="nil"/>
              <w:left w:val="nil"/>
              <w:bottom w:val="single" w:sz="4" w:space="0" w:color="auto"/>
              <w:right w:val="single" w:sz="4" w:space="0" w:color="auto"/>
            </w:tcBorders>
            <w:noWrap/>
            <w:vAlign w:val="bottom"/>
            <w:hideMark/>
          </w:tcPr>
          <w:p w14:paraId="167AEC9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25.60%</w:t>
            </w:r>
          </w:p>
        </w:tc>
        <w:tc>
          <w:tcPr>
            <w:tcW w:w="407" w:type="pct"/>
            <w:tcBorders>
              <w:top w:val="nil"/>
              <w:left w:val="nil"/>
              <w:bottom w:val="single" w:sz="4" w:space="0" w:color="auto"/>
              <w:right w:val="single" w:sz="4" w:space="0" w:color="auto"/>
            </w:tcBorders>
            <w:noWrap/>
            <w:vAlign w:val="bottom"/>
            <w:hideMark/>
          </w:tcPr>
          <w:p w14:paraId="04D3E1A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18.25%</w:t>
            </w:r>
          </w:p>
        </w:tc>
        <w:tc>
          <w:tcPr>
            <w:tcW w:w="407" w:type="pct"/>
            <w:tcBorders>
              <w:top w:val="nil"/>
              <w:left w:val="nil"/>
              <w:bottom w:val="single" w:sz="4" w:space="0" w:color="auto"/>
              <w:right w:val="single" w:sz="4" w:space="0" w:color="auto"/>
            </w:tcBorders>
            <w:noWrap/>
            <w:vAlign w:val="bottom"/>
            <w:hideMark/>
          </w:tcPr>
          <w:p w14:paraId="4F85B53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17.86%</w:t>
            </w:r>
          </w:p>
        </w:tc>
        <w:tc>
          <w:tcPr>
            <w:tcW w:w="96" w:type="pct"/>
            <w:vAlign w:val="center"/>
            <w:hideMark/>
          </w:tcPr>
          <w:p w14:paraId="5785D32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F1546EA" w14:textId="77777777" w:rsidTr="00FF05EF">
        <w:trPr>
          <w:trHeight w:val="300"/>
        </w:trPr>
        <w:tc>
          <w:tcPr>
            <w:tcW w:w="2943" w:type="pct"/>
            <w:tcBorders>
              <w:top w:val="nil"/>
              <w:left w:val="nil"/>
              <w:bottom w:val="nil"/>
              <w:right w:val="nil"/>
            </w:tcBorders>
            <w:noWrap/>
            <w:vAlign w:val="bottom"/>
            <w:hideMark/>
          </w:tcPr>
          <w:p w14:paraId="00C5641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83" w:type="pct"/>
            <w:tcBorders>
              <w:top w:val="nil"/>
              <w:left w:val="nil"/>
              <w:bottom w:val="nil"/>
              <w:right w:val="nil"/>
            </w:tcBorders>
            <w:noWrap/>
            <w:vAlign w:val="bottom"/>
            <w:hideMark/>
          </w:tcPr>
          <w:p w14:paraId="2F9CB84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2A56E01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61E0160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6CBA052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3764ECB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35DA9F1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C231947" w14:textId="77777777" w:rsidTr="00FF05EF">
        <w:trPr>
          <w:trHeight w:val="300"/>
        </w:trPr>
        <w:tc>
          <w:tcPr>
            <w:tcW w:w="2943" w:type="pct"/>
            <w:tcBorders>
              <w:top w:val="nil"/>
              <w:left w:val="nil"/>
              <w:bottom w:val="nil"/>
              <w:right w:val="nil"/>
            </w:tcBorders>
            <w:noWrap/>
            <w:vAlign w:val="bottom"/>
            <w:hideMark/>
          </w:tcPr>
          <w:p w14:paraId="0E4E3C8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6A74BF6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1BDF299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5B4B133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6A2C256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3AA2C74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11C34B0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7224A86" w14:textId="77777777" w:rsidTr="00FF05EF">
        <w:trPr>
          <w:trHeight w:val="300"/>
        </w:trPr>
        <w:tc>
          <w:tcPr>
            <w:tcW w:w="4904"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398D6D52"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Operating Profit Margin</w:t>
            </w:r>
          </w:p>
        </w:tc>
        <w:tc>
          <w:tcPr>
            <w:tcW w:w="96" w:type="pct"/>
            <w:vAlign w:val="center"/>
            <w:hideMark/>
          </w:tcPr>
          <w:p w14:paraId="01A7A2E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EC9AB20"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1991A3CA"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83" w:type="pct"/>
            <w:tcBorders>
              <w:top w:val="nil"/>
              <w:left w:val="nil"/>
              <w:bottom w:val="single" w:sz="4" w:space="0" w:color="auto"/>
              <w:right w:val="single" w:sz="4" w:space="0" w:color="auto"/>
            </w:tcBorders>
            <w:noWrap/>
            <w:vAlign w:val="bottom"/>
            <w:hideMark/>
          </w:tcPr>
          <w:p w14:paraId="034548B4"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83" w:type="pct"/>
            <w:tcBorders>
              <w:top w:val="nil"/>
              <w:left w:val="nil"/>
              <w:bottom w:val="single" w:sz="4" w:space="0" w:color="auto"/>
              <w:right w:val="single" w:sz="4" w:space="0" w:color="auto"/>
            </w:tcBorders>
            <w:noWrap/>
            <w:vAlign w:val="bottom"/>
            <w:hideMark/>
          </w:tcPr>
          <w:p w14:paraId="1402C1BA"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83" w:type="pct"/>
            <w:tcBorders>
              <w:top w:val="nil"/>
              <w:left w:val="nil"/>
              <w:bottom w:val="single" w:sz="4" w:space="0" w:color="auto"/>
              <w:right w:val="single" w:sz="4" w:space="0" w:color="auto"/>
            </w:tcBorders>
            <w:noWrap/>
            <w:vAlign w:val="bottom"/>
            <w:hideMark/>
          </w:tcPr>
          <w:p w14:paraId="48CEAB5D"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07" w:type="pct"/>
            <w:tcBorders>
              <w:top w:val="nil"/>
              <w:left w:val="nil"/>
              <w:bottom w:val="single" w:sz="4" w:space="0" w:color="auto"/>
              <w:right w:val="single" w:sz="4" w:space="0" w:color="auto"/>
            </w:tcBorders>
            <w:noWrap/>
            <w:vAlign w:val="bottom"/>
            <w:hideMark/>
          </w:tcPr>
          <w:p w14:paraId="3B90FD1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07" w:type="pct"/>
            <w:tcBorders>
              <w:top w:val="nil"/>
              <w:left w:val="nil"/>
              <w:bottom w:val="single" w:sz="4" w:space="0" w:color="auto"/>
              <w:right w:val="single" w:sz="4" w:space="0" w:color="auto"/>
            </w:tcBorders>
            <w:noWrap/>
            <w:vAlign w:val="bottom"/>
            <w:hideMark/>
          </w:tcPr>
          <w:p w14:paraId="444B407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96" w:type="pct"/>
            <w:vAlign w:val="center"/>
            <w:hideMark/>
          </w:tcPr>
          <w:p w14:paraId="15F4E38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63DF7B4"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49B6D8D8"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Operating Income ($m)</w:t>
            </w:r>
          </w:p>
        </w:tc>
        <w:tc>
          <w:tcPr>
            <w:tcW w:w="383" w:type="pct"/>
            <w:tcBorders>
              <w:top w:val="nil"/>
              <w:left w:val="nil"/>
              <w:bottom w:val="single" w:sz="4" w:space="0" w:color="auto"/>
              <w:right w:val="single" w:sz="4" w:space="0" w:color="auto"/>
            </w:tcBorders>
            <w:noWrap/>
            <w:vAlign w:val="bottom"/>
            <w:hideMark/>
          </w:tcPr>
          <w:p w14:paraId="06A9B7C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1,994</w:t>
            </w:r>
          </w:p>
        </w:tc>
        <w:tc>
          <w:tcPr>
            <w:tcW w:w="383" w:type="pct"/>
            <w:tcBorders>
              <w:top w:val="nil"/>
              <w:left w:val="nil"/>
              <w:bottom w:val="single" w:sz="4" w:space="0" w:color="auto"/>
              <w:right w:val="single" w:sz="4" w:space="0" w:color="auto"/>
            </w:tcBorders>
            <w:noWrap/>
            <w:vAlign w:val="bottom"/>
            <w:hideMark/>
          </w:tcPr>
          <w:p w14:paraId="37FD0B7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6,523</w:t>
            </w:r>
          </w:p>
        </w:tc>
        <w:tc>
          <w:tcPr>
            <w:tcW w:w="383" w:type="pct"/>
            <w:tcBorders>
              <w:top w:val="nil"/>
              <w:left w:val="nil"/>
              <w:bottom w:val="single" w:sz="4" w:space="0" w:color="auto"/>
              <w:right w:val="single" w:sz="4" w:space="0" w:color="auto"/>
            </w:tcBorders>
            <w:noWrap/>
            <w:vAlign w:val="bottom"/>
            <w:hideMark/>
          </w:tcPr>
          <w:p w14:paraId="01ACAAF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13,656</w:t>
            </w:r>
          </w:p>
        </w:tc>
        <w:tc>
          <w:tcPr>
            <w:tcW w:w="407" w:type="pct"/>
            <w:tcBorders>
              <w:top w:val="nil"/>
              <w:left w:val="nil"/>
              <w:bottom w:val="single" w:sz="4" w:space="0" w:color="auto"/>
              <w:right w:val="single" w:sz="4" w:space="0" w:color="auto"/>
            </w:tcBorders>
            <w:noWrap/>
            <w:vAlign w:val="bottom"/>
            <w:hideMark/>
          </w:tcPr>
          <w:p w14:paraId="5827B96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8,891</w:t>
            </w:r>
          </w:p>
        </w:tc>
        <w:tc>
          <w:tcPr>
            <w:tcW w:w="407" w:type="pct"/>
            <w:tcBorders>
              <w:top w:val="nil"/>
              <w:left w:val="nil"/>
              <w:bottom w:val="single" w:sz="4" w:space="0" w:color="auto"/>
              <w:right w:val="single" w:sz="4" w:space="0" w:color="auto"/>
            </w:tcBorders>
            <w:noWrap/>
            <w:vAlign w:val="bottom"/>
            <w:hideMark/>
          </w:tcPr>
          <w:p w14:paraId="0701291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7,076</w:t>
            </w:r>
          </w:p>
        </w:tc>
        <w:tc>
          <w:tcPr>
            <w:tcW w:w="96" w:type="pct"/>
            <w:vAlign w:val="center"/>
            <w:hideMark/>
          </w:tcPr>
          <w:p w14:paraId="52926BC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90D0FC0"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22548DA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Revenue ($m)</w:t>
            </w:r>
          </w:p>
        </w:tc>
        <w:tc>
          <w:tcPr>
            <w:tcW w:w="383" w:type="pct"/>
            <w:tcBorders>
              <w:top w:val="nil"/>
              <w:left w:val="nil"/>
              <w:bottom w:val="single" w:sz="4" w:space="0" w:color="auto"/>
              <w:right w:val="single" w:sz="4" w:space="0" w:color="auto"/>
            </w:tcBorders>
            <w:noWrap/>
            <w:vAlign w:val="bottom"/>
            <w:hideMark/>
          </w:tcPr>
          <w:p w14:paraId="20CA402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31,536</w:t>
            </w:r>
          </w:p>
        </w:tc>
        <w:tc>
          <w:tcPr>
            <w:tcW w:w="383" w:type="pct"/>
            <w:tcBorders>
              <w:top w:val="nil"/>
              <w:left w:val="nil"/>
              <w:bottom w:val="single" w:sz="4" w:space="0" w:color="auto"/>
              <w:right w:val="single" w:sz="4" w:space="0" w:color="auto"/>
            </w:tcBorders>
            <w:noWrap/>
            <w:vAlign w:val="bottom"/>
            <w:hideMark/>
          </w:tcPr>
          <w:p w14:paraId="0A0B791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53,823</w:t>
            </w:r>
          </w:p>
        </w:tc>
        <w:tc>
          <w:tcPr>
            <w:tcW w:w="383" w:type="pct"/>
            <w:tcBorders>
              <w:top w:val="nil"/>
              <w:left w:val="nil"/>
              <w:bottom w:val="single" w:sz="4" w:space="0" w:color="auto"/>
              <w:right w:val="single" w:sz="4" w:space="0" w:color="auto"/>
            </w:tcBorders>
            <w:noWrap/>
            <w:vAlign w:val="bottom"/>
            <w:hideMark/>
          </w:tcPr>
          <w:p w14:paraId="7530992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81,462</w:t>
            </w:r>
          </w:p>
        </w:tc>
        <w:tc>
          <w:tcPr>
            <w:tcW w:w="407" w:type="pct"/>
            <w:tcBorders>
              <w:top w:val="nil"/>
              <w:left w:val="nil"/>
              <w:bottom w:val="single" w:sz="4" w:space="0" w:color="auto"/>
              <w:right w:val="single" w:sz="4" w:space="0" w:color="auto"/>
            </w:tcBorders>
            <w:noWrap/>
            <w:vAlign w:val="bottom"/>
            <w:hideMark/>
          </w:tcPr>
          <w:p w14:paraId="646F6EE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96,773</w:t>
            </w:r>
          </w:p>
        </w:tc>
        <w:tc>
          <w:tcPr>
            <w:tcW w:w="407" w:type="pct"/>
            <w:tcBorders>
              <w:top w:val="nil"/>
              <w:left w:val="nil"/>
              <w:bottom w:val="single" w:sz="4" w:space="0" w:color="auto"/>
              <w:right w:val="single" w:sz="4" w:space="0" w:color="auto"/>
            </w:tcBorders>
            <w:noWrap/>
            <w:vAlign w:val="bottom"/>
            <w:hideMark/>
          </w:tcPr>
          <w:p w14:paraId="21FEDE7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97,690</w:t>
            </w:r>
          </w:p>
        </w:tc>
        <w:tc>
          <w:tcPr>
            <w:tcW w:w="96" w:type="pct"/>
            <w:vAlign w:val="center"/>
            <w:hideMark/>
          </w:tcPr>
          <w:p w14:paraId="49A8BAA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0D6E129"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3522215A"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Operating Profit Margin = Operating Profit ÷ Revenue × 100</w:t>
            </w:r>
          </w:p>
        </w:tc>
        <w:tc>
          <w:tcPr>
            <w:tcW w:w="383" w:type="pct"/>
            <w:tcBorders>
              <w:top w:val="nil"/>
              <w:left w:val="nil"/>
              <w:bottom w:val="single" w:sz="4" w:space="0" w:color="auto"/>
              <w:right w:val="single" w:sz="4" w:space="0" w:color="auto"/>
            </w:tcBorders>
            <w:noWrap/>
            <w:vAlign w:val="bottom"/>
            <w:hideMark/>
          </w:tcPr>
          <w:p w14:paraId="7966430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6.32%</w:t>
            </w:r>
          </w:p>
        </w:tc>
        <w:tc>
          <w:tcPr>
            <w:tcW w:w="383" w:type="pct"/>
            <w:tcBorders>
              <w:top w:val="nil"/>
              <w:left w:val="nil"/>
              <w:bottom w:val="single" w:sz="4" w:space="0" w:color="auto"/>
              <w:right w:val="single" w:sz="4" w:space="0" w:color="auto"/>
            </w:tcBorders>
            <w:noWrap/>
            <w:vAlign w:val="bottom"/>
            <w:hideMark/>
          </w:tcPr>
          <w:p w14:paraId="63271CE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12.12%</w:t>
            </w:r>
          </w:p>
        </w:tc>
        <w:tc>
          <w:tcPr>
            <w:tcW w:w="383" w:type="pct"/>
            <w:tcBorders>
              <w:top w:val="nil"/>
              <w:left w:val="nil"/>
              <w:bottom w:val="single" w:sz="4" w:space="0" w:color="auto"/>
              <w:right w:val="single" w:sz="4" w:space="0" w:color="auto"/>
            </w:tcBorders>
            <w:noWrap/>
            <w:vAlign w:val="bottom"/>
            <w:hideMark/>
          </w:tcPr>
          <w:p w14:paraId="6E8C48A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16.76%</w:t>
            </w:r>
          </w:p>
        </w:tc>
        <w:tc>
          <w:tcPr>
            <w:tcW w:w="407" w:type="pct"/>
            <w:tcBorders>
              <w:top w:val="nil"/>
              <w:left w:val="nil"/>
              <w:bottom w:val="single" w:sz="4" w:space="0" w:color="auto"/>
              <w:right w:val="single" w:sz="4" w:space="0" w:color="auto"/>
            </w:tcBorders>
            <w:noWrap/>
            <w:vAlign w:val="bottom"/>
            <w:hideMark/>
          </w:tcPr>
          <w:p w14:paraId="16CBB86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9.19%</w:t>
            </w:r>
          </w:p>
        </w:tc>
        <w:tc>
          <w:tcPr>
            <w:tcW w:w="407" w:type="pct"/>
            <w:tcBorders>
              <w:top w:val="nil"/>
              <w:left w:val="nil"/>
              <w:bottom w:val="single" w:sz="4" w:space="0" w:color="auto"/>
              <w:right w:val="single" w:sz="4" w:space="0" w:color="auto"/>
            </w:tcBorders>
            <w:noWrap/>
            <w:vAlign w:val="bottom"/>
            <w:hideMark/>
          </w:tcPr>
          <w:p w14:paraId="206E5F4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7.24%</w:t>
            </w:r>
          </w:p>
        </w:tc>
        <w:tc>
          <w:tcPr>
            <w:tcW w:w="96" w:type="pct"/>
            <w:vAlign w:val="center"/>
            <w:hideMark/>
          </w:tcPr>
          <w:p w14:paraId="454AC79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AA755DC" w14:textId="77777777" w:rsidTr="00FF05EF">
        <w:trPr>
          <w:trHeight w:val="300"/>
        </w:trPr>
        <w:tc>
          <w:tcPr>
            <w:tcW w:w="2943" w:type="pct"/>
            <w:tcBorders>
              <w:top w:val="nil"/>
              <w:left w:val="nil"/>
              <w:bottom w:val="nil"/>
              <w:right w:val="nil"/>
            </w:tcBorders>
            <w:noWrap/>
            <w:vAlign w:val="bottom"/>
            <w:hideMark/>
          </w:tcPr>
          <w:p w14:paraId="2E88D9C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83" w:type="pct"/>
            <w:tcBorders>
              <w:top w:val="nil"/>
              <w:left w:val="nil"/>
              <w:bottom w:val="nil"/>
              <w:right w:val="nil"/>
            </w:tcBorders>
            <w:noWrap/>
            <w:vAlign w:val="bottom"/>
            <w:hideMark/>
          </w:tcPr>
          <w:p w14:paraId="5317991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4B599DA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4801679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78EF922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19C69F8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73E31B9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3302D04" w14:textId="77777777" w:rsidTr="00FF05EF">
        <w:trPr>
          <w:trHeight w:val="300"/>
        </w:trPr>
        <w:tc>
          <w:tcPr>
            <w:tcW w:w="2943" w:type="pct"/>
            <w:tcBorders>
              <w:top w:val="nil"/>
              <w:left w:val="nil"/>
              <w:bottom w:val="nil"/>
              <w:right w:val="nil"/>
            </w:tcBorders>
            <w:noWrap/>
            <w:vAlign w:val="bottom"/>
            <w:hideMark/>
          </w:tcPr>
          <w:p w14:paraId="3095D4A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7F0AFA0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6327D58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0A38AD2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3B56D78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0D98332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22EE834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D398984" w14:textId="77777777" w:rsidTr="00FF05EF">
        <w:trPr>
          <w:trHeight w:val="300"/>
        </w:trPr>
        <w:tc>
          <w:tcPr>
            <w:tcW w:w="4904"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5A3BB896"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Net Profit Margin</w:t>
            </w:r>
          </w:p>
        </w:tc>
        <w:tc>
          <w:tcPr>
            <w:tcW w:w="96" w:type="pct"/>
            <w:vAlign w:val="center"/>
            <w:hideMark/>
          </w:tcPr>
          <w:p w14:paraId="40252CE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D7E69EC"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535D6BBD"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83" w:type="pct"/>
            <w:tcBorders>
              <w:top w:val="nil"/>
              <w:left w:val="nil"/>
              <w:bottom w:val="single" w:sz="4" w:space="0" w:color="auto"/>
              <w:right w:val="single" w:sz="4" w:space="0" w:color="auto"/>
            </w:tcBorders>
            <w:noWrap/>
            <w:vAlign w:val="bottom"/>
            <w:hideMark/>
          </w:tcPr>
          <w:p w14:paraId="41FB02F5"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83" w:type="pct"/>
            <w:tcBorders>
              <w:top w:val="nil"/>
              <w:left w:val="nil"/>
              <w:bottom w:val="single" w:sz="4" w:space="0" w:color="auto"/>
              <w:right w:val="single" w:sz="4" w:space="0" w:color="auto"/>
            </w:tcBorders>
            <w:noWrap/>
            <w:vAlign w:val="bottom"/>
            <w:hideMark/>
          </w:tcPr>
          <w:p w14:paraId="55AD4DEA"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83" w:type="pct"/>
            <w:tcBorders>
              <w:top w:val="nil"/>
              <w:left w:val="nil"/>
              <w:bottom w:val="single" w:sz="4" w:space="0" w:color="auto"/>
              <w:right w:val="single" w:sz="4" w:space="0" w:color="auto"/>
            </w:tcBorders>
            <w:noWrap/>
            <w:vAlign w:val="bottom"/>
            <w:hideMark/>
          </w:tcPr>
          <w:p w14:paraId="7492ECD6"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07" w:type="pct"/>
            <w:tcBorders>
              <w:top w:val="nil"/>
              <w:left w:val="nil"/>
              <w:bottom w:val="single" w:sz="4" w:space="0" w:color="auto"/>
              <w:right w:val="single" w:sz="4" w:space="0" w:color="auto"/>
            </w:tcBorders>
            <w:noWrap/>
            <w:vAlign w:val="bottom"/>
            <w:hideMark/>
          </w:tcPr>
          <w:p w14:paraId="4394BDF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07" w:type="pct"/>
            <w:tcBorders>
              <w:top w:val="nil"/>
              <w:left w:val="nil"/>
              <w:bottom w:val="single" w:sz="4" w:space="0" w:color="auto"/>
              <w:right w:val="single" w:sz="4" w:space="0" w:color="auto"/>
            </w:tcBorders>
            <w:noWrap/>
            <w:vAlign w:val="bottom"/>
            <w:hideMark/>
          </w:tcPr>
          <w:p w14:paraId="3C494A4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96" w:type="pct"/>
            <w:vAlign w:val="center"/>
            <w:hideMark/>
          </w:tcPr>
          <w:p w14:paraId="62B38EE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7F8E580"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15B23E15"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Net Income ($m)</w:t>
            </w:r>
          </w:p>
        </w:tc>
        <w:tc>
          <w:tcPr>
            <w:tcW w:w="383" w:type="pct"/>
            <w:tcBorders>
              <w:top w:val="nil"/>
              <w:left w:val="nil"/>
              <w:bottom w:val="single" w:sz="4" w:space="0" w:color="auto"/>
              <w:right w:val="single" w:sz="4" w:space="0" w:color="auto"/>
            </w:tcBorders>
            <w:noWrap/>
            <w:vAlign w:val="bottom"/>
            <w:hideMark/>
          </w:tcPr>
          <w:p w14:paraId="720459B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862</w:t>
            </w:r>
          </w:p>
        </w:tc>
        <w:tc>
          <w:tcPr>
            <w:tcW w:w="383" w:type="pct"/>
            <w:tcBorders>
              <w:top w:val="nil"/>
              <w:left w:val="nil"/>
              <w:bottom w:val="single" w:sz="4" w:space="0" w:color="auto"/>
              <w:right w:val="single" w:sz="4" w:space="0" w:color="auto"/>
            </w:tcBorders>
            <w:noWrap/>
            <w:vAlign w:val="bottom"/>
            <w:hideMark/>
          </w:tcPr>
          <w:p w14:paraId="2BF269C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5,644</w:t>
            </w:r>
          </w:p>
        </w:tc>
        <w:tc>
          <w:tcPr>
            <w:tcW w:w="383" w:type="pct"/>
            <w:tcBorders>
              <w:top w:val="nil"/>
              <w:left w:val="nil"/>
              <w:bottom w:val="single" w:sz="4" w:space="0" w:color="auto"/>
              <w:right w:val="single" w:sz="4" w:space="0" w:color="auto"/>
            </w:tcBorders>
            <w:noWrap/>
            <w:vAlign w:val="bottom"/>
            <w:hideMark/>
          </w:tcPr>
          <w:p w14:paraId="0DD1601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12,587</w:t>
            </w:r>
          </w:p>
        </w:tc>
        <w:tc>
          <w:tcPr>
            <w:tcW w:w="407" w:type="pct"/>
            <w:tcBorders>
              <w:top w:val="nil"/>
              <w:left w:val="nil"/>
              <w:bottom w:val="single" w:sz="4" w:space="0" w:color="auto"/>
              <w:right w:val="single" w:sz="4" w:space="0" w:color="auto"/>
            </w:tcBorders>
            <w:noWrap/>
            <w:vAlign w:val="bottom"/>
            <w:hideMark/>
          </w:tcPr>
          <w:p w14:paraId="3460604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14,974</w:t>
            </w:r>
          </w:p>
        </w:tc>
        <w:tc>
          <w:tcPr>
            <w:tcW w:w="407" w:type="pct"/>
            <w:tcBorders>
              <w:top w:val="nil"/>
              <w:left w:val="nil"/>
              <w:bottom w:val="single" w:sz="4" w:space="0" w:color="auto"/>
              <w:right w:val="single" w:sz="4" w:space="0" w:color="auto"/>
            </w:tcBorders>
            <w:noWrap/>
            <w:vAlign w:val="bottom"/>
            <w:hideMark/>
          </w:tcPr>
          <w:p w14:paraId="705A11F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7,153</w:t>
            </w:r>
          </w:p>
        </w:tc>
        <w:tc>
          <w:tcPr>
            <w:tcW w:w="96" w:type="pct"/>
            <w:vAlign w:val="center"/>
            <w:hideMark/>
          </w:tcPr>
          <w:p w14:paraId="4A6FA42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62F5013"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628932F8"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Revenue ($m)</w:t>
            </w:r>
          </w:p>
        </w:tc>
        <w:tc>
          <w:tcPr>
            <w:tcW w:w="383" w:type="pct"/>
            <w:tcBorders>
              <w:top w:val="nil"/>
              <w:left w:val="nil"/>
              <w:bottom w:val="single" w:sz="4" w:space="0" w:color="auto"/>
              <w:right w:val="single" w:sz="4" w:space="0" w:color="auto"/>
            </w:tcBorders>
            <w:noWrap/>
            <w:vAlign w:val="bottom"/>
            <w:hideMark/>
          </w:tcPr>
          <w:p w14:paraId="44753B4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31,536</w:t>
            </w:r>
          </w:p>
        </w:tc>
        <w:tc>
          <w:tcPr>
            <w:tcW w:w="383" w:type="pct"/>
            <w:tcBorders>
              <w:top w:val="nil"/>
              <w:left w:val="nil"/>
              <w:bottom w:val="single" w:sz="4" w:space="0" w:color="auto"/>
              <w:right w:val="single" w:sz="4" w:space="0" w:color="auto"/>
            </w:tcBorders>
            <w:noWrap/>
            <w:vAlign w:val="bottom"/>
            <w:hideMark/>
          </w:tcPr>
          <w:p w14:paraId="606FA47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53,823</w:t>
            </w:r>
          </w:p>
        </w:tc>
        <w:tc>
          <w:tcPr>
            <w:tcW w:w="383" w:type="pct"/>
            <w:tcBorders>
              <w:top w:val="nil"/>
              <w:left w:val="nil"/>
              <w:bottom w:val="single" w:sz="4" w:space="0" w:color="auto"/>
              <w:right w:val="single" w:sz="4" w:space="0" w:color="auto"/>
            </w:tcBorders>
            <w:noWrap/>
            <w:vAlign w:val="bottom"/>
            <w:hideMark/>
          </w:tcPr>
          <w:p w14:paraId="3605B11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81,462</w:t>
            </w:r>
          </w:p>
        </w:tc>
        <w:tc>
          <w:tcPr>
            <w:tcW w:w="407" w:type="pct"/>
            <w:tcBorders>
              <w:top w:val="nil"/>
              <w:left w:val="nil"/>
              <w:bottom w:val="single" w:sz="4" w:space="0" w:color="auto"/>
              <w:right w:val="single" w:sz="4" w:space="0" w:color="auto"/>
            </w:tcBorders>
            <w:noWrap/>
            <w:vAlign w:val="bottom"/>
            <w:hideMark/>
          </w:tcPr>
          <w:p w14:paraId="13669D5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96,773</w:t>
            </w:r>
          </w:p>
        </w:tc>
        <w:tc>
          <w:tcPr>
            <w:tcW w:w="407" w:type="pct"/>
            <w:tcBorders>
              <w:top w:val="nil"/>
              <w:left w:val="nil"/>
              <w:bottom w:val="single" w:sz="4" w:space="0" w:color="auto"/>
              <w:right w:val="single" w:sz="4" w:space="0" w:color="auto"/>
            </w:tcBorders>
            <w:noWrap/>
            <w:vAlign w:val="bottom"/>
            <w:hideMark/>
          </w:tcPr>
          <w:p w14:paraId="62AFB78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97,690</w:t>
            </w:r>
          </w:p>
        </w:tc>
        <w:tc>
          <w:tcPr>
            <w:tcW w:w="96" w:type="pct"/>
            <w:vAlign w:val="center"/>
            <w:hideMark/>
          </w:tcPr>
          <w:p w14:paraId="0A1F849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23C328C"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101FEF54"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Net Profit Margin = Net Profit ÷ Revenue × 100</w:t>
            </w:r>
          </w:p>
        </w:tc>
        <w:tc>
          <w:tcPr>
            <w:tcW w:w="383" w:type="pct"/>
            <w:tcBorders>
              <w:top w:val="nil"/>
              <w:left w:val="nil"/>
              <w:bottom w:val="single" w:sz="4" w:space="0" w:color="auto"/>
              <w:right w:val="single" w:sz="4" w:space="0" w:color="auto"/>
            </w:tcBorders>
            <w:noWrap/>
            <w:vAlign w:val="bottom"/>
            <w:hideMark/>
          </w:tcPr>
          <w:p w14:paraId="342D17E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2.73%</w:t>
            </w:r>
          </w:p>
        </w:tc>
        <w:tc>
          <w:tcPr>
            <w:tcW w:w="383" w:type="pct"/>
            <w:tcBorders>
              <w:top w:val="nil"/>
              <w:left w:val="nil"/>
              <w:bottom w:val="single" w:sz="4" w:space="0" w:color="auto"/>
              <w:right w:val="single" w:sz="4" w:space="0" w:color="auto"/>
            </w:tcBorders>
            <w:noWrap/>
            <w:vAlign w:val="bottom"/>
            <w:hideMark/>
          </w:tcPr>
          <w:p w14:paraId="40FA96B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10.49%</w:t>
            </w:r>
          </w:p>
        </w:tc>
        <w:tc>
          <w:tcPr>
            <w:tcW w:w="383" w:type="pct"/>
            <w:tcBorders>
              <w:top w:val="nil"/>
              <w:left w:val="nil"/>
              <w:bottom w:val="single" w:sz="4" w:space="0" w:color="auto"/>
              <w:right w:val="single" w:sz="4" w:space="0" w:color="auto"/>
            </w:tcBorders>
            <w:noWrap/>
            <w:vAlign w:val="bottom"/>
            <w:hideMark/>
          </w:tcPr>
          <w:p w14:paraId="6875B5B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15.45%</w:t>
            </w:r>
          </w:p>
        </w:tc>
        <w:tc>
          <w:tcPr>
            <w:tcW w:w="407" w:type="pct"/>
            <w:tcBorders>
              <w:top w:val="nil"/>
              <w:left w:val="nil"/>
              <w:bottom w:val="single" w:sz="4" w:space="0" w:color="auto"/>
              <w:right w:val="single" w:sz="4" w:space="0" w:color="auto"/>
            </w:tcBorders>
            <w:noWrap/>
            <w:vAlign w:val="bottom"/>
            <w:hideMark/>
          </w:tcPr>
          <w:p w14:paraId="06C9EEC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15.47%</w:t>
            </w:r>
          </w:p>
        </w:tc>
        <w:tc>
          <w:tcPr>
            <w:tcW w:w="407" w:type="pct"/>
            <w:tcBorders>
              <w:top w:val="nil"/>
              <w:left w:val="nil"/>
              <w:bottom w:val="single" w:sz="4" w:space="0" w:color="auto"/>
              <w:right w:val="single" w:sz="4" w:space="0" w:color="auto"/>
            </w:tcBorders>
            <w:noWrap/>
            <w:vAlign w:val="bottom"/>
            <w:hideMark/>
          </w:tcPr>
          <w:p w14:paraId="0BD9F6F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7.32%</w:t>
            </w:r>
          </w:p>
        </w:tc>
        <w:tc>
          <w:tcPr>
            <w:tcW w:w="96" w:type="pct"/>
            <w:vAlign w:val="center"/>
            <w:hideMark/>
          </w:tcPr>
          <w:p w14:paraId="43E48E8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7BC0757" w14:textId="77777777" w:rsidTr="00FF05EF">
        <w:trPr>
          <w:trHeight w:val="300"/>
        </w:trPr>
        <w:tc>
          <w:tcPr>
            <w:tcW w:w="2943" w:type="pct"/>
            <w:tcBorders>
              <w:top w:val="nil"/>
              <w:left w:val="nil"/>
              <w:bottom w:val="nil"/>
              <w:right w:val="nil"/>
            </w:tcBorders>
            <w:noWrap/>
            <w:vAlign w:val="bottom"/>
            <w:hideMark/>
          </w:tcPr>
          <w:p w14:paraId="4A6C017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83" w:type="pct"/>
            <w:tcBorders>
              <w:top w:val="nil"/>
              <w:left w:val="nil"/>
              <w:bottom w:val="nil"/>
              <w:right w:val="nil"/>
            </w:tcBorders>
            <w:noWrap/>
            <w:vAlign w:val="bottom"/>
            <w:hideMark/>
          </w:tcPr>
          <w:p w14:paraId="2C8145E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7663FC5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74D5A49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4318649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19D6C03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5E98673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B65E41B" w14:textId="77777777" w:rsidTr="00FF05EF">
        <w:trPr>
          <w:trHeight w:val="300"/>
        </w:trPr>
        <w:tc>
          <w:tcPr>
            <w:tcW w:w="2943" w:type="pct"/>
            <w:tcBorders>
              <w:top w:val="nil"/>
              <w:left w:val="nil"/>
              <w:bottom w:val="nil"/>
              <w:right w:val="nil"/>
            </w:tcBorders>
            <w:noWrap/>
            <w:vAlign w:val="bottom"/>
            <w:hideMark/>
          </w:tcPr>
          <w:p w14:paraId="2372591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74D0A1F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02E18B8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21B32A0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7160939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210B873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524EFDA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590F31F" w14:textId="77777777" w:rsidTr="00FF05EF">
        <w:trPr>
          <w:trHeight w:val="300"/>
        </w:trPr>
        <w:tc>
          <w:tcPr>
            <w:tcW w:w="4904"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4EECC3FD"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Return on Assets (ROA)</w:t>
            </w:r>
          </w:p>
        </w:tc>
        <w:tc>
          <w:tcPr>
            <w:tcW w:w="96" w:type="pct"/>
            <w:vAlign w:val="center"/>
            <w:hideMark/>
          </w:tcPr>
          <w:p w14:paraId="6C27952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7E28110"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64CBC7E6"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83" w:type="pct"/>
            <w:tcBorders>
              <w:top w:val="nil"/>
              <w:left w:val="nil"/>
              <w:bottom w:val="single" w:sz="4" w:space="0" w:color="auto"/>
              <w:right w:val="single" w:sz="4" w:space="0" w:color="auto"/>
            </w:tcBorders>
            <w:noWrap/>
            <w:vAlign w:val="bottom"/>
            <w:hideMark/>
          </w:tcPr>
          <w:p w14:paraId="78C0A20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83" w:type="pct"/>
            <w:tcBorders>
              <w:top w:val="nil"/>
              <w:left w:val="nil"/>
              <w:bottom w:val="single" w:sz="4" w:space="0" w:color="auto"/>
              <w:right w:val="single" w:sz="4" w:space="0" w:color="auto"/>
            </w:tcBorders>
            <w:noWrap/>
            <w:vAlign w:val="bottom"/>
            <w:hideMark/>
          </w:tcPr>
          <w:p w14:paraId="111436AB"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83" w:type="pct"/>
            <w:tcBorders>
              <w:top w:val="nil"/>
              <w:left w:val="nil"/>
              <w:bottom w:val="single" w:sz="4" w:space="0" w:color="auto"/>
              <w:right w:val="single" w:sz="4" w:space="0" w:color="auto"/>
            </w:tcBorders>
            <w:noWrap/>
            <w:vAlign w:val="bottom"/>
            <w:hideMark/>
          </w:tcPr>
          <w:p w14:paraId="4F81EF0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07" w:type="pct"/>
            <w:tcBorders>
              <w:top w:val="nil"/>
              <w:left w:val="nil"/>
              <w:bottom w:val="single" w:sz="4" w:space="0" w:color="auto"/>
              <w:right w:val="single" w:sz="4" w:space="0" w:color="auto"/>
            </w:tcBorders>
            <w:noWrap/>
            <w:vAlign w:val="bottom"/>
            <w:hideMark/>
          </w:tcPr>
          <w:p w14:paraId="46BC90A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07" w:type="pct"/>
            <w:tcBorders>
              <w:top w:val="nil"/>
              <w:left w:val="nil"/>
              <w:bottom w:val="single" w:sz="4" w:space="0" w:color="auto"/>
              <w:right w:val="single" w:sz="4" w:space="0" w:color="auto"/>
            </w:tcBorders>
            <w:noWrap/>
            <w:vAlign w:val="bottom"/>
            <w:hideMark/>
          </w:tcPr>
          <w:p w14:paraId="4B0622B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96" w:type="pct"/>
            <w:vAlign w:val="center"/>
            <w:hideMark/>
          </w:tcPr>
          <w:p w14:paraId="456ED4B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0809D2E"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577E18D4"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Net Income ($m)</w:t>
            </w:r>
          </w:p>
        </w:tc>
        <w:tc>
          <w:tcPr>
            <w:tcW w:w="383" w:type="pct"/>
            <w:tcBorders>
              <w:top w:val="nil"/>
              <w:left w:val="nil"/>
              <w:bottom w:val="single" w:sz="4" w:space="0" w:color="auto"/>
              <w:right w:val="single" w:sz="4" w:space="0" w:color="auto"/>
            </w:tcBorders>
            <w:noWrap/>
            <w:vAlign w:val="bottom"/>
            <w:hideMark/>
          </w:tcPr>
          <w:p w14:paraId="1B8B6AF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862</w:t>
            </w:r>
          </w:p>
        </w:tc>
        <w:tc>
          <w:tcPr>
            <w:tcW w:w="383" w:type="pct"/>
            <w:tcBorders>
              <w:top w:val="nil"/>
              <w:left w:val="nil"/>
              <w:bottom w:val="single" w:sz="4" w:space="0" w:color="auto"/>
              <w:right w:val="single" w:sz="4" w:space="0" w:color="auto"/>
            </w:tcBorders>
            <w:noWrap/>
            <w:vAlign w:val="bottom"/>
            <w:hideMark/>
          </w:tcPr>
          <w:p w14:paraId="4E923E9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5,644</w:t>
            </w:r>
          </w:p>
        </w:tc>
        <w:tc>
          <w:tcPr>
            <w:tcW w:w="383" w:type="pct"/>
            <w:tcBorders>
              <w:top w:val="nil"/>
              <w:left w:val="nil"/>
              <w:bottom w:val="single" w:sz="4" w:space="0" w:color="auto"/>
              <w:right w:val="single" w:sz="4" w:space="0" w:color="auto"/>
            </w:tcBorders>
            <w:noWrap/>
            <w:vAlign w:val="bottom"/>
            <w:hideMark/>
          </w:tcPr>
          <w:p w14:paraId="5B77488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12,587</w:t>
            </w:r>
          </w:p>
        </w:tc>
        <w:tc>
          <w:tcPr>
            <w:tcW w:w="407" w:type="pct"/>
            <w:tcBorders>
              <w:top w:val="nil"/>
              <w:left w:val="nil"/>
              <w:bottom w:val="single" w:sz="4" w:space="0" w:color="auto"/>
              <w:right w:val="single" w:sz="4" w:space="0" w:color="auto"/>
            </w:tcBorders>
            <w:noWrap/>
            <w:vAlign w:val="bottom"/>
            <w:hideMark/>
          </w:tcPr>
          <w:p w14:paraId="0A25FC3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14,974</w:t>
            </w:r>
          </w:p>
        </w:tc>
        <w:tc>
          <w:tcPr>
            <w:tcW w:w="407" w:type="pct"/>
            <w:tcBorders>
              <w:top w:val="nil"/>
              <w:left w:val="nil"/>
              <w:bottom w:val="single" w:sz="4" w:space="0" w:color="auto"/>
              <w:right w:val="single" w:sz="4" w:space="0" w:color="auto"/>
            </w:tcBorders>
            <w:noWrap/>
            <w:vAlign w:val="bottom"/>
            <w:hideMark/>
          </w:tcPr>
          <w:p w14:paraId="6E49CB6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7,153</w:t>
            </w:r>
          </w:p>
        </w:tc>
        <w:tc>
          <w:tcPr>
            <w:tcW w:w="96" w:type="pct"/>
            <w:vAlign w:val="center"/>
            <w:hideMark/>
          </w:tcPr>
          <w:p w14:paraId="200C3CA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CA930CE"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311AA981"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lastRenderedPageBreak/>
              <w:t>Total Assets ($m)</w:t>
            </w:r>
          </w:p>
        </w:tc>
        <w:tc>
          <w:tcPr>
            <w:tcW w:w="383" w:type="pct"/>
            <w:tcBorders>
              <w:top w:val="nil"/>
              <w:left w:val="nil"/>
              <w:bottom w:val="single" w:sz="4" w:space="0" w:color="auto"/>
              <w:right w:val="single" w:sz="4" w:space="0" w:color="auto"/>
            </w:tcBorders>
            <w:noWrap/>
            <w:vAlign w:val="bottom"/>
            <w:hideMark/>
          </w:tcPr>
          <w:p w14:paraId="66E591C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52,148</w:t>
            </w:r>
          </w:p>
        </w:tc>
        <w:tc>
          <w:tcPr>
            <w:tcW w:w="383" w:type="pct"/>
            <w:tcBorders>
              <w:top w:val="nil"/>
              <w:left w:val="nil"/>
              <w:bottom w:val="single" w:sz="4" w:space="0" w:color="auto"/>
              <w:right w:val="single" w:sz="4" w:space="0" w:color="auto"/>
            </w:tcBorders>
            <w:noWrap/>
            <w:vAlign w:val="bottom"/>
            <w:hideMark/>
          </w:tcPr>
          <w:p w14:paraId="1015756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62,131</w:t>
            </w:r>
          </w:p>
        </w:tc>
        <w:tc>
          <w:tcPr>
            <w:tcW w:w="383" w:type="pct"/>
            <w:tcBorders>
              <w:top w:val="nil"/>
              <w:left w:val="nil"/>
              <w:bottom w:val="single" w:sz="4" w:space="0" w:color="auto"/>
              <w:right w:val="single" w:sz="4" w:space="0" w:color="auto"/>
            </w:tcBorders>
            <w:noWrap/>
            <w:vAlign w:val="bottom"/>
            <w:hideMark/>
          </w:tcPr>
          <w:p w14:paraId="2246A80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82,338</w:t>
            </w:r>
          </w:p>
        </w:tc>
        <w:tc>
          <w:tcPr>
            <w:tcW w:w="407" w:type="pct"/>
            <w:tcBorders>
              <w:top w:val="nil"/>
              <w:left w:val="nil"/>
              <w:bottom w:val="single" w:sz="4" w:space="0" w:color="auto"/>
              <w:right w:val="single" w:sz="4" w:space="0" w:color="auto"/>
            </w:tcBorders>
            <w:noWrap/>
            <w:vAlign w:val="bottom"/>
            <w:hideMark/>
          </w:tcPr>
          <w:p w14:paraId="0BA998D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106,618</w:t>
            </w:r>
          </w:p>
        </w:tc>
        <w:tc>
          <w:tcPr>
            <w:tcW w:w="407" w:type="pct"/>
            <w:tcBorders>
              <w:top w:val="nil"/>
              <w:left w:val="nil"/>
              <w:bottom w:val="single" w:sz="4" w:space="0" w:color="auto"/>
              <w:right w:val="single" w:sz="4" w:space="0" w:color="auto"/>
            </w:tcBorders>
            <w:noWrap/>
            <w:vAlign w:val="bottom"/>
            <w:hideMark/>
          </w:tcPr>
          <w:p w14:paraId="0459711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122,070</w:t>
            </w:r>
          </w:p>
        </w:tc>
        <w:tc>
          <w:tcPr>
            <w:tcW w:w="96" w:type="pct"/>
            <w:vAlign w:val="center"/>
            <w:hideMark/>
          </w:tcPr>
          <w:p w14:paraId="7653171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0FB3F62"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31C2473F"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Return on Assets (ROA) = Net Profit ÷ Total Assets × 100</w:t>
            </w:r>
          </w:p>
        </w:tc>
        <w:tc>
          <w:tcPr>
            <w:tcW w:w="383" w:type="pct"/>
            <w:tcBorders>
              <w:top w:val="nil"/>
              <w:left w:val="nil"/>
              <w:bottom w:val="single" w:sz="4" w:space="0" w:color="auto"/>
              <w:right w:val="single" w:sz="4" w:space="0" w:color="auto"/>
            </w:tcBorders>
            <w:noWrap/>
            <w:vAlign w:val="bottom"/>
            <w:hideMark/>
          </w:tcPr>
          <w:p w14:paraId="053411D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1.65%</w:t>
            </w:r>
          </w:p>
        </w:tc>
        <w:tc>
          <w:tcPr>
            <w:tcW w:w="383" w:type="pct"/>
            <w:tcBorders>
              <w:top w:val="nil"/>
              <w:left w:val="nil"/>
              <w:bottom w:val="single" w:sz="4" w:space="0" w:color="auto"/>
              <w:right w:val="single" w:sz="4" w:space="0" w:color="auto"/>
            </w:tcBorders>
            <w:noWrap/>
            <w:vAlign w:val="bottom"/>
            <w:hideMark/>
          </w:tcPr>
          <w:p w14:paraId="399CD8F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9.08%</w:t>
            </w:r>
          </w:p>
        </w:tc>
        <w:tc>
          <w:tcPr>
            <w:tcW w:w="383" w:type="pct"/>
            <w:tcBorders>
              <w:top w:val="nil"/>
              <w:left w:val="nil"/>
              <w:bottom w:val="single" w:sz="4" w:space="0" w:color="auto"/>
              <w:right w:val="single" w:sz="4" w:space="0" w:color="auto"/>
            </w:tcBorders>
            <w:noWrap/>
            <w:vAlign w:val="bottom"/>
            <w:hideMark/>
          </w:tcPr>
          <w:p w14:paraId="513C6B9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15.29%</w:t>
            </w:r>
          </w:p>
        </w:tc>
        <w:tc>
          <w:tcPr>
            <w:tcW w:w="407" w:type="pct"/>
            <w:tcBorders>
              <w:top w:val="nil"/>
              <w:left w:val="nil"/>
              <w:bottom w:val="single" w:sz="4" w:space="0" w:color="auto"/>
              <w:right w:val="single" w:sz="4" w:space="0" w:color="auto"/>
            </w:tcBorders>
            <w:noWrap/>
            <w:vAlign w:val="bottom"/>
            <w:hideMark/>
          </w:tcPr>
          <w:p w14:paraId="15F8ADB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14.04%</w:t>
            </w:r>
          </w:p>
        </w:tc>
        <w:tc>
          <w:tcPr>
            <w:tcW w:w="407" w:type="pct"/>
            <w:tcBorders>
              <w:top w:val="nil"/>
              <w:left w:val="nil"/>
              <w:bottom w:val="single" w:sz="4" w:space="0" w:color="auto"/>
              <w:right w:val="single" w:sz="4" w:space="0" w:color="auto"/>
            </w:tcBorders>
            <w:noWrap/>
            <w:vAlign w:val="bottom"/>
            <w:hideMark/>
          </w:tcPr>
          <w:p w14:paraId="002C225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5.86%</w:t>
            </w:r>
          </w:p>
        </w:tc>
        <w:tc>
          <w:tcPr>
            <w:tcW w:w="96" w:type="pct"/>
            <w:vAlign w:val="center"/>
            <w:hideMark/>
          </w:tcPr>
          <w:p w14:paraId="382F131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649E2A9" w14:textId="77777777" w:rsidTr="00FF05EF">
        <w:trPr>
          <w:trHeight w:val="300"/>
        </w:trPr>
        <w:tc>
          <w:tcPr>
            <w:tcW w:w="2943" w:type="pct"/>
            <w:tcBorders>
              <w:top w:val="nil"/>
              <w:left w:val="nil"/>
              <w:bottom w:val="nil"/>
              <w:right w:val="nil"/>
            </w:tcBorders>
            <w:noWrap/>
            <w:vAlign w:val="bottom"/>
            <w:hideMark/>
          </w:tcPr>
          <w:p w14:paraId="41BB4A0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83" w:type="pct"/>
            <w:tcBorders>
              <w:top w:val="nil"/>
              <w:left w:val="nil"/>
              <w:bottom w:val="nil"/>
              <w:right w:val="nil"/>
            </w:tcBorders>
            <w:noWrap/>
            <w:vAlign w:val="bottom"/>
            <w:hideMark/>
          </w:tcPr>
          <w:p w14:paraId="4914981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361B4E3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5095A0F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174C70D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6A924E9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09DD9FD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EB0259E" w14:textId="77777777" w:rsidTr="00FF05EF">
        <w:trPr>
          <w:trHeight w:val="300"/>
        </w:trPr>
        <w:tc>
          <w:tcPr>
            <w:tcW w:w="2943" w:type="pct"/>
            <w:tcBorders>
              <w:top w:val="nil"/>
              <w:left w:val="nil"/>
              <w:bottom w:val="nil"/>
              <w:right w:val="nil"/>
            </w:tcBorders>
            <w:noWrap/>
            <w:vAlign w:val="bottom"/>
            <w:hideMark/>
          </w:tcPr>
          <w:p w14:paraId="2B8921E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46E71AD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2AFEC96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3" w:type="pct"/>
            <w:tcBorders>
              <w:top w:val="nil"/>
              <w:left w:val="nil"/>
              <w:bottom w:val="nil"/>
              <w:right w:val="nil"/>
            </w:tcBorders>
            <w:noWrap/>
            <w:vAlign w:val="bottom"/>
            <w:hideMark/>
          </w:tcPr>
          <w:p w14:paraId="0B827AC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27ADA4E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07" w:type="pct"/>
            <w:tcBorders>
              <w:top w:val="nil"/>
              <w:left w:val="nil"/>
              <w:bottom w:val="nil"/>
              <w:right w:val="nil"/>
            </w:tcBorders>
            <w:noWrap/>
            <w:vAlign w:val="bottom"/>
            <w:hideMark/>
          </w:tcPr>
          <w:p w14:paraId="4B9CD02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6" w:type="pct"/>
            <w:vAlign w:val="center"/>
            <w:hideMark/>
          </w:tcPr>
          <w:p w14:paraId="59E9F02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44F3141" w14:textId="77777777" w:rsidTr="00FF05EF">
        <w:trPr>
          <w:trHeight w:val="300"/>
        </w:trPr>
        <w:tc>
          <w:tcPr>
            <w:tcW w:w="4904"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46A029D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Return on Equity (ROE)</w:t>
            </w:r>
          </w:p>
        </w:tc>
        <w:tc>
          <w:tcPr>
            <w:tcW w:w="96" w:type="pct"/>
            <w:vAlign w:val="center"/>
            <w:hideMark/>
          </w:tcPr>
          <w:p w14:paraId="0971F84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9D5996D"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1D218CEB"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83" w:type="pct"/>
            <w:tcBorders>
              <w:top w:val="nil"/>
              <w:left w:val="nil"/>
              <w:bottom w:val="single" w:sz="4" w:space="0" w:color="auto"/>
              <w:right w:val="single" w:sz="4" w:space="0" w:color="auto"/>
            </w:tcBorders>
            <w:noWrap/>
            <w:vAlign w:val="bottom"/>
            <w:hideMark/>
          </w:tcPr>
          <w:p w14:paraId="2B27C20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83" w:type="pct"/>
            <w:tcBorders>
              <w:top w:val="nil"/>
              <w:left w:val="nil"/>
              <w:bottom w:val="single" w:sz="4" w:space="0" w:color="auto"/>
              <w:right w:val="single" w:sz="4" w:space="0" w:color="auto"/>
            </w:tcBorders>
            <w:noWrap/>
            <w:vAlign w:val="bottom"/>
            <w:hideMark/>
          </w:tcPr>
          <w:p w14:paraId="2F4C4CC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83" w:type="pct"/>
            <w:tcBorders>
              <w:top w:val="nil"/>
              <w:left w:val="nil"/>
              <w:bottom w:val="single" w:sz="4" w:space="0" w:color="auto"/>
              <w:right w:val="single" w:sz="4" w:space="0" w:color="auto"/>
            </w:tcBorders>
            <w:noWrap/>
            <w:vAlign w:val="bottom"/>
            <w:hideMark/>
          </w:tcPr>
          <w:p w14:paraId="1D2A6941"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07" w:type="pct"/>
            <w:tcBorders>
              <w:top w:val="nil"/>
              <w:left w:val="nil"/>
              <w:bottom w:val="single" w:sz="4" w:space="0" w:color="auto"/>
              <w:right w:val="single" w:sz="4" w:space="0" w:color="auto"/>
            </w:tcBorders>
            <w:noWrap/>
            <w:vAlign w:val="bottom"/>
            <w:hideMark/>
          </w:tcPr>
          <w:p w14:paraId="7F1498D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07" w:type="pct"/>
            <w:tcBorders>
              <w:top w:val="nil"/>
              <w:left w:val="nil"/>
              <w:bottom w:val="single" w:sz="4" w:space="0" w:color="auto"/>
              <w:right w:val="single" w:sz="4" w:space="0" w:color="auto"/>
            </w:tcBorders>
            <w:noWrap/>
            <w:vAlign w:val="bottom"/>
            <w:hideMark/>
          </w:tcPr>
          <w:p w14:paraId="54391D3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96" w:type="pct"/>
            <w:vAlign w:val="center"/>
            <w:hideMark/>
          </w:tcPr>
          <w:p w14:paraId="2E23ADF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58B9744"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026BA306"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Net Income ($m)</w:t>
            </w:r>
          </w:p>
        </w:tc>
        <w:tc>
          <w:tcPr>
            <w:tcW w:w="383" w:type="pct"/>
            <w:tcBorders>
              <w:top w:val="nil"/>
              <w:left w:val="nil"/>
              <w:bottom w:val="single" w:sz="4" w:space="0" w:color="auto"/>
              <w:right w:val="single" w:sz="4" w:space="0" w:color="auto"/>
            </w:tcBorders>
            <w:noWrap/>
            <w:vAlign w:val="bottom"/>
            <w:hideMark/>
          </w:tcPr>
          <w:p w14:paraId="7659C80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862</w:t>
            </w:r>
          </w:p>
        </w:tc>
        <w:tc>
          <w:tcPr>
            <w:tcW w:w="383" w:type="pct"/>
            <w:tcBorders>
              <w:top w:val="nil"/>
              <w:left w:val="nil"/>
              <w:bottom w:val="single" w:sz="4" w:space="0" w:color="auto"/>
              <w:right w:val="single" w:sz="4" w:space="0" w:color="auto"/>
            </w:tcBorders>
            <w:noWrap/>
            <w:vAlign w:val="bottom"/>
            <w:hideMark/>
          </w:tcPr>
          <w:p w14:paraId="6D5BFD9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5,644</w:t>
            </w:r>
          </w:p>
        </w:tc>
        <w:tc>
          <w:tcPr>
            <w:tcW w:w="383" w:type="pct"/>
            <w:tcBorders>
              <w:top w:val="nil"/>
              <w:left w:val="nil"/>
              <w:bottom w:val="single" w:sz="4" w:space="0" w:color="auto"/>
              <w:right w:val="single" w:sz="4" w:space="0" w:color="auto"/>
            </w:tcBorders>
            <w:noWrap/>
            <w:vAlign w:val="bottom"/>
            <w:hideMark/>
          </w:tcPr>
          <w:p w14:paraId="7D1BEE5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12,587</w:t>
            </w:r>
          </w:p>
        </w:tc>
        <w:tc>
          <w:tcPr>
            <w:tcW w:w="407" w:type="pct"/>
            <w:tcBorders>
              <w:top w:val="nil"/>
              <w:left w:val="nil"/>
              <w:bottom w:val="single" w:sz="4" w:space="0" w:color="auto"/>
              <w:right w:val="single" w:sz="4" w:space="0" w:color="auto"/>
            </w:tcBorders>
            <w:noWrap/>
            <w:vAlign w:val="bottom"/>
            <w:hideMark/>
          </w:tcPr>
          <w:p w14:paraId="3393FFF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14,974</w:t>
            </w:r>
          </w:p>
        </w:tc>
        <w:tc>
          <w:tcPr>
            <w:tcW w:w="407" w:type="pct"/>
            <w:tcBorders>
              <w:top w:val="nil"/>
              <w:left w:val="nil"/>
              <w:bottom w:val="single" w:sz="4" w:space="0" w:color="auto"/>
              <w:right w:val="single" w:sz="4" w:space="0" w:color="auto"/>
            </w:tcBorders>
            <w:noWrap/>
            <w:vAlign w:val="bottom"/>
            <w:hideMark/>
          </w:tcPr>
          <w:p w14:paraId="4FCE5CC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7,153</w:t>
            </w:r>
          </w:p>
        </w:tc>
        <w:tc>
          <w:tcPr>
            <w:tcW w:w="96" w:type="pct"/>
            <w:vAlign w:val="center"/>
            <w:hideMark/>
          </w:tcPr>
          <w:p w14:paraId="3ACAEA4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D6DBECD"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2736D8E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Shareholders’ Equity ($m)</w:t>
            </w:r>
          </w:p>
        </w:tc>
        <w:tc>
          <w:tcPr>
            <w:tcW w:w="383" w:type="pct"/>
            <w:tcBorders>
              <w:top w:val="nil"/>
              <w:left w:val="nil"/>
              <w:bottom w:val="single" w:sz="4" w:space="0" w:color="auto"/>
              <w:right w:val="single" w:sz="4" w:space="0" w:color="auto"/>
            </w:tcBorders>
            <w:noWrap/>
            <w:vAlign w:val="bottom"/>
            <w:hideMark/>
          </w:tcPr>
          <w:p w14:paraId="7E2B0D0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22,225</w:t>
            </w:r>
          </w:p>
        </w:tc>
        <w:tc>
          <w:tcPr>
            <w:tcW w:w="383" w:type="pct"/>
            <w:tcBorders>
              <w:top w:val="nil"/>
              <w:left w:val="nil"/>
              <w:bottom w:val="single" w:sz="4" w:space="0" w:color="auto"/>
              <w:right w:val="single" w:sz="4" w:space="0" w:color="auto"/>
            </w:tcBorders>
            <w:noWrap/>
            <w:vAlign w:val="bottom"/>
            <w:hideMark/>
          </w:tcPr>
          <w:p w14:paraId="549F7E7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30,189</w:t>
            </w:r>
          </w:p>
        </w:tc>
        <w:tc>
          <w:tcPr>
            <w:tcW w:w="383" w:type="pct"/>
            <w:tcBorders>
              <w:top w:val="nil"/>
              <w:left w:val="nil"/>
              <w:bottom w:val="single" w:sz="4" w:space="0" w:color="auto"/>
              <w:right w:val="single" w:sz="4" w:space="0" w:color="auto"/>
            </w:tcBorders>
            <w:noWrap/>
            <w:vAlign w:val="bottom"/>
            <w:hideMark/>
          </w:tcPr>
          <w:p w14:paraId="05C45D0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44,704</w:t>
            </w:r>
          </w:p>
        </w:tc>
        <w:tc>
          <w:tcPr>
            <w:tcW w:w="407" w:type="pct"/>
            <w:tcBorders>
              <w:top w:val="nil"/>
              <w:left w:val="nil"/>
              <w:bottom w:val="single" w:sz="4" w:space="0" w:color="auto"/>
              <w:right w:val="single" w:sz="4" w:space="0" w:color="auto"/>
            </w:tcBorders>
            <w:noWrap/>
            <w:vAlign w:val="bottom"/>
            <w:hideMark/>
          </w:tcPr>
          <w:p w14:paraId="593274D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62,634</w:t>
            </w:r>
          </w:p>
        </w:tc>
        <w:tc>
          <w:tcPr>
            <w:tcW w:w="407" w:type="pct"/>
            <w:tcBorders>
              <w:top w:val="nil"/>
              <w:left w:val="nil"/>
              <w:bottom w:val="single" w:sz="4" w:space="0" w:color="auto"/>
              <w:right w:val="single" w:sz="4" w:space="0" w:color="auto"/>
            </w:tcBorders>
            <w:noWrap/>
            <w:vAlign w:val="bottom"/>
            <w:hideMark/>
          </w:tcPr>
          <w:p w14:paraId="7FB85F7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72,913</w:t>
            </w:r>
          </w:p>
        </w:tc>
        <w:tc>
          <w:tcPr>
            <w:tcW w:w="96" w:type="pct"/>
            <w:vAlign w:val="center"/>
            <w:hideMark/>
          </w:tcPr>
          <w:p w14:paraId="5F3488B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201EBBD" w14:textId="77777777" w:rsidTr="00FF05EF">
        <w:trPr>
          <w:trHeight w:val="300"/>
        </w:trPr>
        <w:tc>
          <w:tcPr>
            <w:tcW w:w="2943" w:type="pct"/>
            <w:tcBorders>
              <w:top w:val="nil"/>
              <w:left w:val="single" w:sz="4" w:space="0" w:color="auto"/>
              <w:bottom w:val="single" w:sz="4" w:space="0" w:color="auto"/>
              <w:right w:val="single" w:sz="4" w:space="0" w:color="auto"/>
            </w:tcBorders>
            <w:noWrap/>
            <w:vAlign w:val="bottom"/>
            <w:hideMark/>
          </w:tcPr>
          <w:p w14:paraId="763DB50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Return on Equity (ROE) = Net Profit ÷ Shareholders’ Equity × 100</w:t>
            </w:r>
          </w:p>
        </w:tc>
        <w:tc>
          <w:tcPr>
            <w:tcW w:w="383" w:type="pct"/>
            <w:tcBorders>
              <w:top w:val="nil"/>
              <w:left w:val="nil"/>
              <w:bottom w:val="single" w:sz="4" w:space="0" w:color="auto"/>
              <w:right w:val="single" w:sz="4" w:space="0" w:color="auto"/>
            </w:tcBorders>
            <w:noWrap/>
            <w:vAlign w:val="bottom"/>
            <w:hideMark/>
          </w:tcPr>
          <w:p w14:paraId="3855F55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3.88%</w:t>
            </w:r>
          </w:p>
        </w:tc>
        <w:tc>
          <w:tcPr>
            <w:tcW w:w="383" w:type="pct"/>
            <w:tcBorders>
              <w:top w:val="nil"/>
              <w:left w:val="nil"/>
              <w:bottom w:val="single" w:sz="4" w:space="0" w:color="auto"/>
              <w:right w:val="single" w:sz="4" w:space="0" w:color="auto"/>
            </w:tcBorders>
            <w:noWrap/>
            <w:vAlign w:val="bottom"/>
            <w:hideMark/>
          </w:tcPr>
          <w:p w14:paraId="54B25FA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18.70%</w:t>
            </w:r>
          </w:p>
        </w:tc>
        <w:tc>
          <w:tcPr>
            <w:tcW w:w="383" w:type="pct"/>
            <w:tcBorders>
              <w:top w:val="nil"/>
              <w:left w:val="nil"/>
              <w:bottom w:val="single" w:sz="4" w:space="0" w:color="auto"/>
              <w:right w:val="single" w:sz="4" w:space="0" w:color="auto"/>
            </w:tcBorders>
            <w:noWrap/>
            <w:vAlign w:val="bottom"/>
            <w:hideMark/>
          </w:tcPr>
          <w:p w14:paraId="5A0B667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28.16%</w:t>
            </w:r>
          </w:p>
        </w:tc>
        <w:tc>
          <w:tcPr>
            <w:tcW w:w="407" w:type="pct"/>
            <w:tcBorders>
              <w:top w:val="nil"/>
              <w:left w:val="nil"/>
              <w:bottom w:val="single" w:sz="4" w:space="0" w:color="auto"/>
              <w:right w:val="single" w:sz="4" w:space="0" w:color="auto"/>
            </w:tcBorders>
            <w:noWrap/>
            <w:vAlign w:val="bottom"/>
            <w:hideMark/>
          </w:tcPr>
          <w:p w14:paraId="026718A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23.91%</w:t>
            </w:r>
          </w:p>
        </w:tc>
        <w:tc>
          <w:tcPr>
            <w:tcW w:w="407" w:type="pct"/>
            <w:tcBorders>
              <w:top w:val="nil"/>
              <w:left w:val="nil"/>
              <w:bottom w:val="single" w:sz="4" w:space="0" w:color="auto"/>
              <w:right w:val="single" w:sz="4" w:space="0" w:color="auto"/>
            </w:tcBorders>
            <w:noWrap/>
            <w:vAlign w:val="bottom"/>
            <w:hideMark/>
          </w:tcPr>
          <w:p w14:paraId="4828CF2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9.81%</w:t>
            </w:r>
          </w:p>
        </w:tc>
        <w:tc>
          <w:tcPr>
            <w:tcW w:w="96" w:type="pct"/>
            <w:vAlign w:val="center"/>
            <w:hideMark/>
          </w:tcPr>
          <w:p w14:paraId="60A0C06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bl>
    <w:p w14:paraId="752DF1D4" w14:textId="77777777" w:rsidR="00FF05EF" w:rsidRDefault="00FF05EF" w:rsidP="008E7995"/>
    <w:p w14:paraId="007B6CE1" w14:textId="6EEF6AAE" w:rsidR="00FF05EF" w:rsidRDefault="00FF05EF" w:rsidP="008E7995">
      <w:r w:rsidRPr="00FF05EF">
        <w:t>Liquidity</w:t>
      </w:r>
    </w:p>
    <w:tbl>
      <w:tblPr>
        <w:tblW w:w="5000" w:type="pct"/>
        <w:tblLook w:val="04A0" w:firstRow="1" w:lastRow="0" w:firstColumn="1" w:lastColumn="0" w:noHBand="0" w:noVBand="1"/>
      </w:tblPr>
      <w:tblGrid>
        <w:gridCol w:w="5694"/>
        <w:gridCol w:w="689"/>
        <w:gridCol w:w="689"/>
        <w:gridCol w:w="689"/>
        <w:gridCol w:w="689"/>
        <w:gridCol w:w="689"/>
        <w:gridCol w:w="221"/>
      </w:tblGrid>
      <w:tr w:rsidR="00FF05EF" w:rsidRPr="00FF05EF" w14:paraId="3E6057BD" w14:textId="77777777" w:rsidTr="00FF05EF">
        <w:trPr>
          <w:gridAfter w:val="1"/>
          <w:wAfter w:w="85" w:type="pct"/>
          <w:trHeight w:val="586"/>
        </w:trPr>
        <w:tc>
          <w:tcPr>
            <w:tcW w:w="4915" w:type="pct"/>
            <w:gridSpan w:val="6"/>
            <w:vMerge w:val="restart"/>
            <w:tcBorders>
              <w:top w:val="nil"/>
              <w:left w:val="nil"/>
              <w:bottom w:val="nil"/>
              <w:right w:val="nil"/>
            </w:tcBorders>
            <w:shd w:val="clear" w:color="000000" w:fill="7E350E"/>
            <w:noWrap/>
            <w:vAlign w:val="center"/>
            <w:hideMark/>
          </w:tcPr>
          <w:p w14:paraId="18A99FB3"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r w:rsidRPr="00FF05EF">
              <w:rPr>
                <w:rFonts w:ascii="Aptos Narrow" w:eastAsia="Times New Roman" w:hAnsi="Aptos Narrow" w:cs="Times New Roman"/>
                <w:b/>
                <w:bCs/>
                <w:color w:val="FFFFFF"/>
                <w:kern w:val="0"/>
                <w:sz w:val="48"/>
                <w:szCs w:val="48"/>
                <w14:ligatures w14:val="none"/>
              </w:rPr>
              <w:t>Tesla Inc.</w:t>
            </w:r>
          </w:p>
        </w:tc>
      </w:tr>
      <w:tr w:rsidR="00FF05EF" w:rsidRPr="00FF05EF" w14:paraId="5B71F9A5" w14:textId="77777777" w:rsidTr="00FF05EF">
        <w:trPr>
          <w:trHeight w:val="300"/>
        </w:trPr>
        <w:tc>
          <w:tcPr>
            <w:tcW w:w="4915" w:type="pct"/>
            <w:gridSpan w:val="6"/>
            <w:vMerge/>
            <w:tcBorders>
              <w:top w:val="nil"/>
              <w:left w:val="nil"/>
              <w:bottom w:val="nil"/>
              <w:right w:val="nil"/>
            </w:tcBorders>
            <w:vAlign w:val="center"/>
            <w:hideMark/>
          </w:tcPr>
          <w:p w14:paraId="1112D2F7" w14:textId="77777777" w:rsidR="00FF05EF" w:rsidRPr="00FF05EF" w:rsidRDefault="00FF05EF" w:rsidP="00FF05EF">
            <w:pPr>
              <w:spacing w:after="0" w:line="240" w:lineRule="auto"/>
              <w:jc w:val="left"/>
              <w:rPr>
                <w:rFonts w:ascii="Aptos Narrow" w:eastAsia="Times New Roman" w:hAnsi="Aptos Narrow" w:cs="Times New Roman"/>
                <w:b/>
                <w:bCs/>
                <w:color w:val="FFFFFF"/>
                <w:kern w:val="0"/>
                <w:sz w:val="48"/>
                <w:szCs w:val="48"/>
                <w14:ligatures w14:val="none"/>
              </w:rPr>
            </w:pPr>
          </w:p>
        </w:tc>
        <w:tc>
          <w:tcPr>
            <w:tcW w:w="85" w:type="pct"/>
            <w:tcBorders>
              <w:top w:val="nil"/>
              <w:left w:val="nil"/>
              <w:bottom w:val="nil"/>
              <w:right w:val="nil"/>
            </w:tcBorders>
            <w:noWrap/>
            <w:vAlign w:val="bottom"/>
            <w:hideMark/>
          </w:tcPr>
          <w:p w14:paraId="1A341763"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p>
        </w:tc>
      </w:tr>
      <w:tr w:rsidR="00FF05EF" w:rsidRPr="00FF05EF" w14:paraId="1265D05B" w14:textId="77777777" w:rsidTr="00FF05EF">
        <w:trPr>
          <w:trHeight w:val="300"/>
        </w:trPr>
        <w:tc>
          <w:tcPr>
            <w:tcW w:w="3321" w:type="pct"/>
            <w:tcBorders>
              <w:top w:val="nil"/>
              <w:left w:val="nil"/>
              <w:bottom w:val="nil"/>
              <w:right w:val="nil"/>
            </w:tcBorders>
            <w:noWrap/>
            <w:vAlign w:val="bottom"/>
            <w:hideMark/>
          </w:tcPr>
          <w:p w14:paraId="3E83102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450E65A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545EA33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4DA75B6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2869642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6E3392F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5" w:type="pct"/>
            <w:vAlign w:val="center"/>
            <w:hideMark/>
          </w:tcPr>
          <w:p w14:paraId="4B9AF2E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56C1FAD" w14:textId="77777777" w:rsidTr="00FF05EF">
        <w:trPr>
          <w:trHeight w:val="300"/>
        </w:trPr>
        <w:tc>
          <w:tcPr>
            <w:tcW w:w="4915" w:type="pct"/>
            <w:gridSpan w:val="6"/>
            <w:tcBorders>
              <w:top w:val="single" w:sz="4" w:space="0" w:color="auto"/>
              <w:left w:val="single" w:sz="4" w:space="0" w:color="auto"/>
              <w:bottom w:val="nil"/>
              <w:right w:val="single" w:sz="4" w:space="0" w:color="000000"/>
            </w:tcBorders>
            <w:shd w:val="clear" w:color="000000" w:fill="FFFF00"/>
            <w:noWrap/>
            <w:vAlign w:val="bottom"/>
            <w:hideMark/>
          </w:tcPr>
          <w:p w14:paraId="66F6E24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Current Ratio</w:t>
            </w:r>
          </w:p>
        </w:tc>
        <w:tc>
          <w:tcPr>
            <w:tcW w:w="85" w:type="pct"/>
            <w:vAlign w:val="center"/>
            <w:hideMark/>
          </w:tcPr>
          <w:p w14:paraId="28530ED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2126FDD" w14:textId="77777777" w:rsidTr="00FF05EF">
        <w:trPr>
          <w:trHeight w:val="300"/>
        </w:trPr>
        <w:tc>
          <w:tcPr>
            <w:tcW w:w="3321" w:type="pct"/>
            <w:tcBorders>
              <w:top w:val="single" w:sz="4" w:space="0" w:color="auto"/>
              <w:left w:val="single" w:sz="4" w:space="0" w:color="auto"/>
              <w:bottom w:val="single" w:sz="4" w:space="0" w:color="auto"/>
              <w:right w:val="single" w:sz="4" w:space="0" w:color="auto"/>
            </w:tcBorders>
            <w:noWrap/>
            <w:vAlign w:val="bottom"/>
            <w:hideMark/>
          </w:tcPr>
          <w:p w14:paraId="7007E8B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 </w:t>
            </w:r>
          </w:p>
        </w:tc>
        <w:tc>
          <w:tcPr>
            <w:tcW w:w="319" w:type="pct"/>
            <w:tcBorders>
              <w:top w:val="single" w:sz="4" w:space="0" w:color="auto"/>
              <w:left w:val="nil"/>
              <w:bottom w:val="single" w:sz="4" w:space="0" w:color="auto"/>
              <w:right w:val="single" w:sz="4" w:space="0" w:color="auto"/>
            </w:tcBorders>
            <w:noWrap/>
            <w:vAlign w:val="bottom"/>
            <w:hideMark/>
          </w:tcPr>
          <w:p w14:paraId="7A77AF82"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19" w:type="pct"/>
            <w:tcBorders>
              <w:top w:val="single" w:sz="4" w:space="0" w:color="auto"/>
              <w:left w:val="nil"/>
              <w:bottom w:val="single" w:sz="4" w:space="0" w:color="auto"/>
              <w:right w:val="single" w:sz="4" w:space="0" w:color="auto"/>
            </w:tcBorders>
            <w:noWrap/>
            <w:vAlign w:val="bottom"/>
            <w:hideMark/>
          </w:tcPr>
          <w:p w14:paraId="5C951851"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19" w:type="pct"/>
            <w:tcBorders>
              <w:top w:val="single" w:sz="4" w:space="0" w:color="auto"/>
              <w:left w:val="nil"/>
              <w:bottom w:val="single" w:sz="4" w:space="0" w:color="auto"/>
              <w:right w:val="single" w:sz="4" w:space="0" w:color="auto"/>
            </w:tcBorders>
            <w:noWrap/>
            <w:vAlign w:val="bottom"/>
            <w:hideMark/>
          </w:tcPr>
          <w:p w14:paraId="5ED2D2A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319" w:type="pct"/>
            <w:tcBorders>
              <w:top w:val="single" w:sz="4" w:space="0" w:color="auto"/>
              <w:left w:val="nil"/>
              <w:bottom w:val="single" w:sz="4" w:space="0" w:color="auto"/>
              <w:right w:val="single" w:sz="4" w:space="0" w:color="auto"/>
            </w:tcBorders>
            <w:noWrap/>
            <w:vAlign w:val="bottom"/>
            <w:hideMark/>
          </w:tcPr>
          <w:p w14:paraId="58E790A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319" w:type="pct"/>
            <w:tcBorders>
              <w:top w:val="single" w:sz="4" w:space="0" w:color="auto"/>
              <w:left w:val="nil"/>
              <w:bottom w:val="single" w:sz="4" w:space="0" w:color="auto"/>
              <w:right w:val="single" w:sz="4" w:space="0" w:color="auto"/>
            </w:tcBorders>
            <w:noWrap/>
            <w:vAlign w:val="bottom"/>
            <w:hideMark/>
          </w:tcPr>
          <w:p w14:paraId="46A6386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5" w:type="pct"/>
            <w:vAlign w:val="center"/>
            <w:hideMark/>
          </w:tcPr>
          <w:p w14:paraId="71CEB56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0BEA216"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385A285C"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Current Assets ($m)</w:t>
            </w:r>
          </w:p>
        </w:tc>
        <w:tc>
          <w:tcPr>
            <w:tcW w:w="319" w:type="pct"/>
            <w:tcBorders>
              <w:top w:val="nil"/>
              <w:left w:val="nil"/>
              <w:bottom w:val="single" w:sz="4" w:space="0" w:color="auto"/>
              <w:right w:val="single" w:sz="4" w:space="0" w:color="auto"/>
            </w:tcBorders>
            <w:noWrap/>
            <w:vAlign w:val="bottom"/>
            <w:hideMark/>
          </w:tcPr>
          <w:p w14:paraId="75CB184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26,717</w:t>
            </w:r>
          </w:p>
        </w:tc>
        <w:tc>
          <w:tcPr>
            <w:tcW w:w="319" w:type="pct"/>
            <w:tcBorders>
              <w:top w:val="nil"/>
              <w:left w:val="nil"/>
              <w:bottom w:val="single" w:sz="4" w:space="0" w:color="auto"/>
              <w:right w:val="single" w:sz="4" w:space="0" w:color="auto"/>
            </w:tcBorders>
            <w:noWrap/>
            <w:vAlign w:val="bottom"/>
            <w:hideMark/>
          </w:tcPr>
          <w:p w14:paraId="0B703BB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27,100</w:t>
            </w:r>
          </w:p>
        </w:tc>
        <w:tc>
          <w:tcPr>
            <w:tcW w:w="319" w:type="pct"/>
            <w:tcBorders>
              <w:top w:val="nil"/>
              <w:left w:val="nil"/>
              <w:bottom w:val="single" w:sz="4" w:space="0" w:color="auto"/>
              <w:right w:val="single" w:sz="4" w:space="0" w:color="auto"/>
            </w:tcBorders>
            <w:noWrap/>
            <w:vAlign w:val="bottom"/>
            <w:hideMark/>
          </w:tcPr>
          <w:p w14:paraId="6BB0553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40,917</w:t>
            </w:r>
          </w:p>
        </w:tc>
        <w:tc>
          <w:tcPr>
            <w:tcW w:w="319" w:type="pct"/>
            <w:tcBorders>
              <w:top w:val="nil"/>
              <w:left w:val="nil"/>
              <w:bottom w:val="single" w:sz="4" w:space="0" w:color="auto"/>
              <w:right w:val="single" w:sz="4" w:space="0" w:color="auto"/>
            </w:tcBorders>
            <w:noWrap/>
            <w:vAlign w:val="bottom"/>
            <w:hideMark/>
          </w:tcPr>
          <w:p w14:paraId="66C2087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49,616</w:t>
            </w:r>
          </w:p>
        </w:tc>
        <w:tc>
          <w:tcPr>
            <w:tcW w:w="319" w:type="pct"/>
            <w:tcBorders>
              <w:top w:val="nil"/>
              <w:left w:val="nil"/>
              <w:bottom w:val="single" w:sz="4" w:space="0" w:color="auto"/>
              <w:right w:val="single" w:sz="4" w:space="0" w:color="auto"/>
            </w:tcBorders>
            <w:noWrap/>
            <w:vAlign w:val="bottom"/>
            <w:hideMark/>
          </w:tcPr>
          <w:p w14:paraId="3CCC26E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58,360</w:t>
            </w:r>
          </w:p>
        </w:tc>
        <w:tc>
          <w:tcPr>
            <w:tcW w:w="85" w:type="pct"/>
            <w:vAlign w:val="center"/>
            <w:hideMark/>
          </w:tcPr>
          <w:p w14:paraId="7EFE66E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934C4E9"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2C5CC457"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Current Liabilities ($m)</w:t>
            </w:r>
          </w:p>
        </w:tc>
        <w:tc>
          <w:tcPr>
            <w:tcW w:w="319" w:type="pct"/>
            <w:tcBorders>
              <w:top w:val="nil"/>
              <w:left w:val="nil"/>
              <w:bottom w:val="single" w:sz="4" w:space="0" w:color="auto"/>
              <w:right w:val="single" w:sz="4" w:space="0" w:color="auto"/>
            </w:tcBorders>
            <w:noWrap/>
            <w:vAlign w:val="bottom"/>
            <w:hideMark/>
          </w:tcPr>
          <w:p w14:paraId="7DE506B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19,705</w:t>
            </w:r>
          </w:p>
        </w:tc>
        <w:tc>
          <w:tcPr>
            <w:tcW w:w="319" w:type="pct"/>
            <w:tcBorders>
              <w:top w:val="nil"/>
              <w:left w:val="nil"/>
              <w:bottom w:val="single" w:sz="4" w:space="0" w:color="auto"/>
              <w:right w:val="single" w:sz="4" w:space="0" w:color="auto"/>
            </w:tcBorders>
            <w:noWrap/>
            <w:vAlign w:val="bottom"/>
            <w:hideMark/>
          </w:tcPr>
          <w:p w14:paraId="56404A6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19,705</w:t>
            </w:r>
          </w:p>
        </w:tc>
        <w:tc>
          <w:tcPr>
            <w:tcW w:w="319" w:type="pct"/>
            <w:tcBorders>
              <w:top w:val="nil"/>
              <w:left w:val="nil"/>
              <w:bottom w:val="single" w:sz="4" w:space="0" w:color="auto"/>
              <w:right w:val="single" w:sz="4" w:space="0" w:color="auto"/>
            </w:tcBorders>
            <w:noWrap/>
            <w:vAlign w:val="bottom"/>
            <w:hideMark/>
          </w:tcPr>
          <w:p w14:paraId="7B741E0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26,709</w:t>
            </w:r>
          </w:p>
        </w:tc>
        <w:tc>
          <w:tcPr>
            <w:tcW w:w="319" w:type="pct"/>
            <w:tcBorders>
              <w:top w:val="nil"/>
              <w:left w:val="nil"/>
              <w:bottom w:val="single" w:sz="4" w:space="0" w:color="auto"/>
              <w:right w:val="single" w:sz="4" w:space="0" w:color="auto"/>
            </w:tcBorders>
            <w:noWrap/>
            <w:vAlign w:val="bottom"/>
            <w:hideMark/>
          </w:tcPr>
          <w:p w14:paraId="30B0B1A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28,748</w:t>
            </w:r>
          </w:p>
        </w:tc>
        <w:tc>
          <w:tcPr>
            <w:tcW w:w="319" w:type="pct"/>
            <w:tcBorders>
              <w:top w:val="nil"/>
              <w:left w:val="nil"/>
              <w:bottom w:val="single" w:sz="4" w:space="0" w:color="auto"/>
              <w:right w:val="single" w:sz="4" w:space="0" w:color="auto"/>
            </w:tcBorders>
            <w:noWrap/>
            <w:vAlign w:val="bottom"/>
            <w:hideMark/>
          </w:tcPr>
          <w:p w14:paraId="059B6B9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28,821</w:t>
            </w:r>
          </w:p>
        </w:tc>
        <w:tc>
          <w:tcPr>
            <w:tcW w:w="85" w:type="pct"/>
            <w:vAlign w:val="center"/>
            <w:hideMark/>
          </w:tcPr>
          <w:p w14:paraId="367B749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0FC8F44"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3872E261"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Current Ratio = Current Assets ÷ Current Liabilities</w:t>
            </w:r>
          </w:p>
        </w:tc>
        <w:tc>
          <w:tcPr>
            <w:tcW w:w="319" w:type="pct"/>
            <w:tcBorders>
              <w:top w:val="nil"/>
              <w:left w:val="nil"/>
              <w:bottom w:val="single" w:sz="4" w:space="0" w:color="auto"/>
              <w:right w:val="single" w:sz="4" w:space="0" w:color="auto"/>
            </w:tcBorders>
            <w:noWrap/>
            <w:vAlign w:val="bottom"/>
            <w:hideMark/>
          </w:tcPr>
          <w:p w14:paraId="2A6384D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1.36</w:t>
            </w:r>
          </w:p>
        </w:tc>
        <w:tc>
          <w:tcPr>
            <w:tcW w:w="319" w:type="pct"/>
            <w:tcBorders>
              <w:top w:val="nil"/>
              <w:left w:val="nil"/>
              <w:bottom w:val="single" w:sz="4" w:space="0" w:color="auto"/>
              <w:right w:val="single" w:sz="4" w:space="0" w:color="auto"/>
            </w:tcBorders>
            <w:noWrap/>
            <w:vAlign w:val="bottom"/>
            <w:hideMark/>
          </w:tcPr>
          <w:p w14:paraId="46ED2C7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1.38</w:t>
            </w:r>
          </w:p>
        </w:tc>
        <w:tc>
          <w:tcPr>
            <w:tcW w:w="319" w:type="pct"/>
            <w:tcBorders>
              <w:top w:val="nil"/>
              <w:left w:val="nil"/>
              <w:bottom w:val="single" w:sz="4" w:space="0" w:color="auto"/>
              <w:right w:val="single" w:sz="4" w:space="0" w:color="auto"/>
            </w:tcBorders>
            <w:noWrap/>
            <w:vAlign w:val="bottom"/>
            <w:hideMark/>
          </w:tcPr>
          <w:p w14:paraId="13D08A3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1.53</w:t>
            </w:r>
          </w:p>
        </w:tc>
        <w:tc>
          <w:tcPr>
            <w:tcW w:w="319" w:type="pct"/>
            <w:tcBorders>
              <w:top w:val="nil"/>
              <w:left w:val="nil"/>
              <w:bottom w:val="single" w:sz="4" w:space="0" w:color="auto"/>
              <w:right w:val="single" w:sz="4" w:space="0" w:color="auto"/>
            </w:tcBorders>
            <w:noWrap/>
            <w:vAlign w:val="bottom"/>
            <w:hideMark/>
          </w:tcPr>
          <w:p w14:paraId="4252E21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1.73</w:t>
            </w:r>
          </w:p>
        </w:tc>
        <w:tc>
          <w:tcPr>
            <w:tcW w:w="319" w:type="pct"/>
            <w:tcBorders>
              <w:top w:val="nil"/>
              <w:left w:val="nil"/>
              <w:bottom w:val="single" w:sz="4" w:space="0" w:color="auto"/>
              <w:right w:val="single" w:sz="4" w:space="0" w:color="auto"/>
            </w:tcBorders>
            <w:noWrap/>
            <w:vAlign w:val="bottom"/>
            <w:hideMark/>
          </w:tcPr>
          <w:p w14:paraId="00B7F66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2.02</w:t>
            </w:r>
          </w:p>
        </w:tc>
        <w:tc>
          <w:tcPr>
            <w:tcW w:w="85" w:type="pct"/>
            <w:vAlign w:val="center"/>
            <w:hideMark/>
          </w:tcPr>
          <w:p w14:paraId="2C749EC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BCD3F56" w14:textId="77777777" w:rsidTr="00FF05EF">
        <w:trPr>
          <w:trHeight w:val="300"/>
        </w:trPr>
        <w:tc>
          <w:tcPr>
            <w:tcW w:w="3321" w:type="pct"/>
            <w:tcBorders>
              <w:top w:val="nil"/>
              <w:left w:val="nil"/>
              <w:bottom w:val="nil"/>
              <w:right w:val="nil"/>
            </w:tcBorders>
            <w:noWrap/>
            <w:vAlign w:val="bottom"/>
            <w:hideMark/>
          </w:tcPr>
          <w:p w14:paraId="4410E78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19" w:type="pct"/>
            <w:tcBorders>
              <w:top w:val="nil"/>
              <w:left w:val="nil"/>
              <w:bottom w:val="nil"/>
              <w:right w:val="nil"/>
            </w:tcBorders>
            <w:noWrap/>
            <w:vAlign w:val="bottom"/>
            <w:hideMark/>
          </w:tcPr>
          <w:p w14:paraId="578FE52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4655D72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662B43B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24D2845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3B2B35C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5" w:type="pct"/>
            <w:vAlign w:val="center"/>
            <w:hideMark/>
          </w:tcPr>
          <w:p w14:paraId="03B9D92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5FA734A" w14:textId="77777777" w:rsidTr="00FF05EF">
        <w:trPr>
          <w:trHeight w:val="300"/>
        </w:trPr>
        <w:tc>
          <w:tcPr>
            <w:tcW w:w="3321" w:type="pct"/>
            <w:tcBorders>
              <w:top w:val="nil"/>
              <w:left w:val="nil"/>
              <w:bottom w:val="nil"/>
              <w:right w:val="nil"/>
            </w:tcBorders>
            <w:noWrap/>
            <w:vAlign w:val="bottom"/>
            <w:hideMark/>
          </w:tcPr>
          <w:p w14:paraId="5C036B4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0A36927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6A9E217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4F75E50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78E157B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19" w:type="pct"/>
            <w:tcBorders>
              <w:top w:val="nil"/>
              <w:left w:val="nil"/>
              <w:bottom w:val="nil"/>
              <w:right w:val="nil"/>
            </w:tcBorders>
            <w:noWrap/>
            <w:vAlign w:val="bottom"/>
            <w:hideMark/>
          </w:tcPr>
          <w:p w14:paraId="77EE536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5" w:type="pct"/>
            <w:vAlign w:val="center"/>
            <w:hideMark/>
          </w:tcPr>
          <w:p w14:paraId="0D028D7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010ECB1" w14:textId="77777777" w:rsidTr="00FF05EF">
        <w:trPr>
          <w:trHeight w:val="300"/>
        </w:trPr>
        <w:tc>
          <w:tcPr>
            <w:tcW w:w="4915"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64259BE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Quick Ratio (Acid-Test Ratio)</w:t>
            </w:r>
          </w:p>
        </w:tc>
        <w:tc>
          <w:tcPr>
            <w:tcW w:w="85" w:type="pct"/>
            <w:vAlign w:val="center"/>
            <w:hideMark/>
          </w:tcPr>
          <w:p w14:paraId="11DB95D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2EE4370"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14551EFD"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19" w:type="pct"/>
            <w:tcBorders>
              <w:top w:val="nil"/>
              <w:left w:val="nil"/>
              <w:bottom w:val="single" w:sz="4" w:space="0" w:color="auto"/>
              <w:right w:val="single" w:sz="4" w:space="0" w:color="auto"/>
            </w:tcBorders>
            <w:noWrap/>
            <w:vAlign w:val="bottom"/>
            <w:hideMark/>
          </w:tcPr>
          <w:p w14:paraId="20929DD6"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19" w:type="pct"/>
            <w:tcBorders>
              <w:top w:val="nil"/>
              <w:left w:val="nil"/>
              <w:bottom w:val="single" w:sz="4" w:space="0" w:color="auto"/>
              <w:right w:val="single" w:sz="4" w:space="0" w:color="auto"/>
            </w:tcBorders>
            <w:noWrap/>
            <w:vAlign w:val="bottom"/>
            <w:hideMark/>
          </w:tcPr>
          <w:p w14:paraId="33BDF0F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19" w:type="pct"/>
            <w:tcBorders>
              <w:top w:val="nil"/>
              <w:left w:val="nil"/>
              <w:bottom w:val="single" w:sz="4" w:space="0" w:color="auto"/>
              <w:right w:val="single" w:sz="4" w:space="0" w:color="auto"/>
            </w:tcBorders>
            <w:noWrap/>
            <w:vAlign w:val="bottom"/>
            <w:hideMark/>
          </w:tcPr>
          <w:p w14:paraId="18D2D00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319" w:type="pct"/>
            <w:tcBorders>
              <w:top w:val="nil"/>
              <w:left w:val="nil"/>
              <w:bottom w:val="single" w:sz="4" w:space="0" w:color="auto"/>
              <w:right w:val="single" w:sz="4" w:space="0" w:color="auto"/>
            </w:tcBorders>
            <w:noWrap/>
            <w:vAlign w:val="bottom"/>
            <w:hideMark/>
          </w:tcPr>
          <w:p w14:paraId="6A82BC1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319" w:type="pct"/>
            <w:tcBorders>
              <w:top w:val="nil"/>
              <w:left w:val="nil"/>
              <w:bottom w:val="single" w:sz="4" w:space="0" w:color="auto"/>
              <w:right w:val="single" w:sz="4" w:space="0" w:color="auto"/>
            </w:tcBorders>
            <w:noWrap/>
            <w:vAlign w:val="bottom"/>
            <w:hideMark/>
          </w:tcPr>
          <w:p w14:paraId="347760C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5" w:type="pct"/>
            <w:vAlign w:val="center"/>
            <w:hideMark/>
          </w:tcPr>
          <w:p w14:paraId="62C88DA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B60EAC8"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499DF36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Current Assets ($m)</w:t>
            </w:r>
          </w:p>
        </w:tc>
        <w:tc>
          <w:tcPr>
            <w:tcW w:w="319" w:type="pct"/>
            <w:tcBorders>
              <w:top w:val="nil"/>
              <w:left w:val="nil"/>
              <w:bottom w:val="single" w:sz="4" w:space="0" w:color="auto"/>
              <w:right w:val="single" w:sz="4" w:space="0" w:color="auto"/>
            </w:tcBorders>
            <w:noWrap/>
            <w:vAlign w:val="bottom"/>
            <w:hideMark/>
          </w:tcPr>
          <w:p w14:paraId="4B8ECC5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26,717</w:t>
            </w:r>
          </w:p>
        </w:tc>
        <w:tc>
          <w:tcPr>
            <w:tcW w:w="319" w:type="pct"/>
            <w:tcBorders>
              <w:top w:val="nil"/>
              <w:left w:val="nil"/>
              <w:bottom w:val="single" w:sz="4" w:space="0" w:color="auto"/>
              <w:right w:val="single" w:sz="4" w:space="0" w:color="auto"/>
            </w:tcBorders>
            <w:noWrap/>
            <w:vAlign w:val="bottom"/>
            <w:hideMark/>
          </w:tcPr>
          <w:p w14:paraId="404137D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27,100</w:t>
            </w:r>
          </w:p>
        </w:tc>
        <w:tc>
          <w:tcPr>
            <w:tcW w:w="319" w:type="pct"/>
            <w:tcBorders>
              <w:top w:val="nil"/>
              <w:left w:val="nil"/>
              <w:bottom w:val="single" w:sz="4" w:space="0" w:color="auto"/>
              <w:right w:val="single" w:sz="4" w:space="0" w:color="auto"/>
            </w:tcBorders>
            <w:noWrap/>
            <w:vAlign w:val="bottom"/>
            <w:hideMark/>
          </w:tcPr>
          <w:p w14:paraId="2107E29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40,917</w:t>
            </w:r>
          </w:p>
        </w:tc>
        <w:tc>
          <w:tcPr>
            <w:tcW w:w="319" w:type="pct"/>
            <w:tcBorders>
              <w:top w:val="nil"/>
              <w:left w:val="nil"/>
              <w:bottom w:val="single" w:sz="4" w:space="0" w:color="auto"/>
              <w:right w:val="single" w:sz="4" w:space="0" w:color="auto"/>
            </w:tcBorders>
            <w:noWrap/>
            <w:vAlign w:val="bottom"/>
            <w:hideMark/>
          </w:tcPr>
          <w:p w14:paraId="468D5AA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49,616</w:t>
            </w:r>
          </w:p>
        </w:tc>
        <w:tc>
          <w:tcPr>
            <w:tcW w:w="319" w:type="pct"/>
            <w:tcBorders>
              <w:top w:val="nil"/>
              <w:left w:val="nil"/>
              <w:bottom w:val="single" w:sz="4" w:space="0" w:color="auto"/>
              <w:right w:val="single" w:sz="4" w:space="0" w:color="auto"/>
            </w:tcBorders>
            <w:noWrap/>
            <w:vAlign w:val="bottom"/>
            <w:hideMark/>
          </w:tcPr>
          <w:p w14:paraId="37DBACA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58,360</w:t>
            </w:r>
          </w:p>
        </w:tc>
        <w:tc>
          <w:tcPr>
            <w:tcW w:w="85" w:type="pct"/>
            <w:vAlign w:val="center"/>
            <w:hideMark/>
          </w:tcPr>
          <w:p w14:paraId="017B89C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384773F"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501BFEE8"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Inventory ($m)</w:t>
            </w:r>
          </w:p>
        </w:tc>
        <w:tc>
          <w:tcPr>
            <w:tcW w:w="319" w:type="pct"/>
            <w:tcBorders>
              <w:top w:val="nil"/>
              <w:left w:val="nil"/>
              <w:bottom w:val="single" w:sz="4" w:space="0" w:color="auto"/>
              <w:right w:val="single" w:sz="4" w:space="0" w:color="auto"/>
            </w:tcBorders>
            <w:noWrap/>
            <w:vAlign w:val="bottom"/>
            <w:hideMark/>
          </w:tcPr>
          <w:p w14:paraId="5D0EE03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4,101</w:t>
            </w:r>
          </w:p>
        </w:tc>
        <w:tc>
          <w:tcPr>
            <w:tcW w:w="319" w:type="pct"/>
            <w:tcBorders>
              <w:top w:val="nil"/>
              <w:left w:val="nil"/>
              <w:bottom w:val="single" w:sz="4" w:space="0" w:color="auto"/>
              <w:right w:val="single" w:sz="4" w:space="0" w:color="auto"/>
            </w:tcBorders>
            <w:noWrap/>
            <w:vAlign w:val="bottom"/>
            <w:hideMark/>
          </w:tcPr>
          <w:p w14:paraId="1EBCD1A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5,757</w:t>
            </w:r>
          </w:p>
        </w:tc>
        <w:tc>
          <w:tcPr>
            <w:tcW w:w="319" w:type="pct"/>
            <w:tcBorders>
              <w:top w:val="nil"/>
              <w:left w:val="nil"/>
              <w:bottom w:val="single" w:sz="4" w:space="0" w:color="auto"/>
              <w:right w:val="single" w:sz="4" w:space="0" w:color="auto"/>
            </w:tcBorders>
            <w:noWrap/>
            <w:vAlign w:val="bottom"/>
            <w:hideMark/>
          </w:tcPr>
          <w:p w14:paraId="4CC409E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12,839</w:t>
            </w:r>
          </w:p>
        </w:tc>
        <w:tc>
          <w:tcPr>
            <w:tcW w:w="319" w:type="pct"/>
            <w:tcBorders>
              <w:top w:val="nil"/>
              <w:left w:val="nil"/>
              <w:bottom w:val="single" w:sz="4" w:space="0" w:color="auto"/>
              <w:right w:val="single" w:sz="4" w:space="0" w:color="auto"/>
            </w:tcBorders>
            <w:noWrap/>
            <w:vAlign w:val="bottom"/>
            <w:hideMark/>
          </w:tcPr>
          <w:p w14:paraId="17BC9DA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13,626</w:t>
            </w:r>
          </w:p>
        </w:tc>
        <w:tc>
          <w:tcPr>
            <w:tcW w:w="319" w:type="pct"/>
            <w:tcBorders>
              <w:top w:val="nil"/>
              <w:left w:val="nil"/>
              <w:bottom w:val="single" w:sz="4" w:space="0" w:color="auto"/>
              <w:right w:val="single" w:sz="4" w:space="0" w:color="auto"/>
            </w:tcBorders>
            <w:noWrap/>
            <w:vAlign w:val="bottom"/>
            <w:hideMark/>
          </w:tcPr>
          <w:p w14:paraId="39F945D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12,017</w:t>
            </w:r>
          </w:p>
        </w:tc>
        <w:tc>
          <w:tcPr>
            <w:tcW w:w="85" w:type="pct"/>
            <w:vAlign w:val="center"/>
            <w:hideMark/>
          </w:tcPr>
          <w:p w14:paraId="2AF8529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6FA1EEE"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5BDF54F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Current Liabilities ($m)</w:t>
            </w:r>
          </w:p>
        </w:tc>
        <w:tc>
          <w:tcPr>
            <w:tcW w:w="319" w:type="pct"/>
            <w:tcBorders>
              <w:top w:val="nil"/>
              <w:left w:val="nil"/>
              <w:bottom w:val="single" w:sz="4" w:space="0" w:color="auto"/>
              <w:right w:val="single" w:sz="4" w:space="0" w:color="auto"/>
            </w:tcBorders>
            <w:noWrap/>
            <w:vAlign w:val="bottom"/>
            <w:hideMark/>
          </w:tcPr>
          <w:p w14:paraId="21CAB66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19,705</w:t>
            </w:r>
          </w:p>
        </w:tc>
        <w:tc>
          <w:tcPr>
            <w:tcW w:w="319" w:type="pct"/>
            <w:tcBorders>
              <w:top w:val="nil"/>
              <w:left w:val="nil"/>
              <w:bottom w:val="single" w:sz="4" w:space="0" w:color="auto"/>
              <w:right w:val="single" w:sz="4" w:space="0" w:color="auto"/>
            </w:tcBorders>
            <w:noWrap/>
            <w:vAlign w:val="bottom"/>
            <w:hideMark/>
          </w:tcPr>
          <w:p w14:paraId="78C5971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19,705</w:t>
            </w:r>
          </w:p>
        </w:tc>
        <w:tc>
          <w:tcPr>
            <w:tcW w:w="319" w:type="pct"/>
            <w:tcBorders>
              <w:top w:val="nil"/>
              <w:left w:val="nil"/>
              <w:bottom w:val="single" w:sz="4" w:space="0" w:color="auto"/>
              <w:right w:val="single" w:sz="4" w:space="0" w:color="auto"/>
            </w:tcBorders>
            <w:noWrap/>
            <w:vAlign w:val="bottom"/>
            <w:hideMark/>
          </w:tcPr>
          <w:p w14:paraId="4F42343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26,709</w:t>
            </w:r>
          </w:p>
        </w:tc>
        <w:tc>
          <w:tcPr>
            <w:tcW w:w="319" w:type="pct"/>
            <w:tcBorders>
              <w:top w:val="nil"/>
              <w:left w:val="nil"/>
              <w:bottom w:val="single" w:sz="4" w:space="0" w:color="auto"/>
              <w:right w:val="single" w:sz="4" w:space="0" w:color="auto"/>
            </w:tcBorders>
            <w:noWrap/>
            <w:vAlign w:val="bottom"/>
            <w:hideMark/>
          </w:tcPr>
          <w:p w14:paraId="39DAA46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28,748</w:t>
            </w:r>
          </w:p>
        </w:tc>
        <w:tc>
          <w:tcPr>
            <w:tcW w:w="319" w:type="pct"/>
            <w:tcBorders>
              <w:top w:val="nil"/>
              <w:left w:val="nil"/>
              <w:bottom w:val="single" w:sz="4" w:space="0" w:color="auto"/>
              <w:right w:val="single" w:sz="4" w:space="0" w:color="auto"/>
            </w:tcBorders>
            <w:noWrap/>
            <w:vAlign w:val="bottom"/>
            <w:hideMark/>
          </w:tcPr>
          <w:p w14:paraId="13E215F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28,821</w:t>
            </w:r>
          </w:p>
        </w:tc>
        <w:tc>
          <w:tcPr>
            <w:tcW w:w="85" w:type="pct"/>
            <w:vAlign w:val="center"/>
            <w:hideMark/>
          </w:tcPr>
          <w:p w14:paraId="6371FCB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152E2A1" w14:textId="77777777" w:rsidTr="00FF05EF">
        <w:trPr>
          <w:trHeight w:val="300"/>
        </w:trPr>
        <w:tc>
          <w:tcPr>
            <w:tcW w:w="3321" w:type="pct"/>
            <w:tcBorders>
              <w:top w:val="nil"/>
              <w:left w:val="single" w:sz="4" w:space="0" w:color="auto"/>
              <w:bottom w:val="single" w:sz="4" w:space="0" w:color="auto"/>
              <w:right w:val="single" w:sz="4" w:space="0" w:color="auto"/>
            </w:tcBorders>
            <w:noWrap/>
            <w:vAlign w:val="bottom"/>
            <w:hideMark/>
          </w:tcPr>
          <w:p w14:paraId="6481476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Quick Ratio (Acid-Test Ratio) = (Current Assets − Inventory) ÷ Current Liabilities</w:t>
            </w:r>
          </w:p>
        </w:tc>
        <w:tc>
          <w:tcPr>
            <w:tcW w:w="319" w:type="pct"/>
            <w:tcBorders>
              <w:top w:val="nil"/>
              <w:left w:val="nil"/>
              <w:bottom w:val="single" w:sz="4" w:space="0" w:color="auto"/>
              <w:right w:val="single" w:sz="4" w:space="0" w:color="auto"/>
            </w:tcBorders>
            <w:noWrap/>
            <w:vAlign w:val="bottom"/>
            <w:hideMark/>
          </w:tcPr>
          <w:p w14:paraId="4E9C59E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1.15</w:t>
            </w:r>
          </w:p>
        </w:tc>
        <w:tc>
          <w:tcPr>
            <w:tcW w:w="319" w:type="pct"/>
            <w:tcBorders>
              <w:top w:val="nil"/>
              <w:left w:val="nil"/>
              <w:bottom w:val="single" w:sz="4" w:space="0" w:color="auto"/>
              <w:right w:val="single" w:sz="4" w:space="0" w:color="auto"/>
            </w:tcBorders>
            <w:noWrap/>
            <w:vAlign w:val="bottom"/>
            <w:hideMark/>
          </w:tcPr>
          <w:p w14:paraId="5F321B4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1.08</w:t>
            </w:r>
          </w:p>
        </w:tc>
        <w:tc>
          <w:tcPr>
            <w:tcW w:w="319" w:type="pct"/>
            <w:tcBorders>
              <w:top w:val="nil"/>
              <w:left w:val="nil"/>
              <w:bottom w:val="single" w:sz="4" w:space="0" w:color="auto"/>
              <w:right w:val="single" w:sz="4" w:space="0" w:color="auto"/>
            </w:tcBorders>
            <w:noWrap/>
            <w:vAlign w:val="bottom"/>
            <w:hideMark/>
          </w:tcPr>
          <w:p w14:paraId="204D789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1.05</w:t>
            </w:r>
          </w:p>
        </w:tc>
        <w:tc>
          <w:tcPr>
            <w:tcW w:w="319" w:type="pct"/>
            <w:tcBorders>
              <w:top w:val="nil"/>
              <w:left w:val="nil"/>
              <w:bottom w:val="single" w:sz="4" w:space="0" w:color="auto"/>
              <w:right w:val="single" w:sz="4" w:space="0" w:color="auto"/>
            </w:tcBorders>
            <w:noWrap/>
            <w:vAlign w:val="bottom"/>
            <w:hideMark/>
          </w:tcPr>
          <w:p w14:paraId="5719089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1.25</w:t>
            </w:r>
          </w:p>
        </w:tc>
        <w:tc>
          <w:tcPr>
            <w:tcW w:w="319" w:type="pct"/>
            <w:tcBorders>
              <w:top w:val="nil"/>
              <w:left w:val="nil"/>
              <w:bottom w:val="single" w:sz="4" w:space="0" w:color="auto"/>
              <w:right w:val="single" w:sz="4" w:space="0" w:color="auto"/>
            </w:tcBorders>
            <w:noWrap/>
            <w:vAlign w:val="bottom"/>
            <w:hideMark/>
          </w:tcPr>
          <w:p w14:paraId="766C1FE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1.61</w:t>
            </w:r>
          </w:p>
        </w:tc>
        <w:tc>
          <w:tcPr>
            <w:tcW w:w="85" w:type="pct"/>
            <w:vAlign w:val="center"/>
            <w:hideMark/>
          </w:tcPr>
          <w:p w14:paraId="2D1031C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bl>
    <w:p w14:paraId="33185AD1" w14:textId="77777777" w:rsidR="00FF05EF" w:rsidRDefault="00FF05EF" w:rsidP="008E7995"/>
    <w:p w14:paraId="650BC894" w14:textId="77777777" w:rsidR="00FF05EF" w:rsidRDefault="00FF05EF" w:rsidP="008E7995"/>
    <w:p w14:paraId="6C53AD85" w14:textId="1E159ABE" w:rsidR="00FF05EF" w:rsidRDefault="00FF05EF" w:rsidP="008E7995">
      <w:r w:rsidRPr="00FF05EF">
        <w:lastRenderedPageBreak/>
        <w:t>Efficiency</w:t>
      </w:r>
    </w:p>
    <w:tbl>
      <w:tblPr>
        <w:tblW w:w="5000" w:type="pct"/>
        <w:tblLook w:val="04A0" w:firstRow="1" w:lastRow="0" w:firstColumn="1" w:lastColumn="0" w:noHBand="0" w:noVBand="1"/>
      </w:tblPr>
      <w:tblGrid>
        <w:gridCol w:w="5159"/>
        <w:gridCol w:w="765"/>
        <w:gridCol w:w="765"/>
        <w:gridCol w:w="765"/>
        <w:gridCol w:w="843"/>
        <w:gridCol w:w="843"/>
        <w:gridCol w:w="220"/>
      </w:tblGrid>
      <w:tr w:rsidR="00FF05EF" w:rsidRPr="00FF05EF" w14:paraId="49DF338D" w14:textId="77777777" w:rsidTr="00FF05EF">
        <w:trPr>
          <w:gridAfter w:val="1"/>
          <w:wAfter w:w="84" w:type="pct"/>
          <w:trHeight w:val="586"/>
        </w:trPr>
        <w:tc>
          <w:tcPr>
            <w:tcW w:w="4916" w:type="pct"/>
            <w:gridSpan w:val="6"/>
            <w:vMerge w:val="restart"/>
            <w:tcBorders>
              <w:top w:val="nil"/>
              <w:left w:val="nil"/>
              <w:bottom w:val="nil"/>
              <w:right w:val="nil"/>
            </w:tcBorders>
            <w:shd w:val="clear" w:color="000000" w:fill="7E350E"/>
            <w:noWrap/>
            <w:vAlign w:val="center"/>
            <w:hideMark/>
          </w:tcPr>
          <w:p w14:paraId="6FE89D15"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r w:rsidRPr="00FF05EF">
              <w:rPr>
                <w:rFonts w:ascii="Aptos Narrow" w:eastAsia="Times New Roman" w:hAnsi="Aptos Narrow" w:cs="Times New Roman"/>
                <w:b/>
                <w:bCs/>
                <w:color w:val="FFFFFF"/>
                <w:kern w:val="0"/>
                <w:sz w:val="48"/>
                <w:szCs w:val="48"/>
                <w14:ligatures w14:val="none"/>
              </w:rPr>
              <w:t>Tesla Inc.</w:t>
            </w:r>
          </w:p>
        </w:tc>
      </w:tr>
      <w:tr w:rsidR="00FF05EF" w:rsidRPr="00FF05EF" w14:paraId="66031E50" w14:textId="77777777" w:rsidTr="00FF05EF">
        <w:trPr>
          <w:trHeight w:val="300"/>
        </w:trPr>
        <w:tc>
          <w:tcPr>
            <w:tcW w:w="4916" w:type="pct"/>
            <w:gridSpan w:val="6"/>
            <w:vMerge/>
            <w:tcBorders>
              <w:top w:val="nil"/>
              <w:left w:val="nil"/>
              <w:bottom w:val="nil"/>
              <w:right w:val="nil"/>
            </w:tcBorders>
            <w:vAlign w:val="center"/>
            <w:hideMark/>
          </w:tcPr>
          <w:p w14:paraId="12C98B0E" w14:textId="77777777" w:rsidR="00FF05EF" w:rsidRPr="00FF05EF" w:rsidRDefault="00FF05EF" w:rsidP="00FF05EF">
            <w:pPr>
              <w:spacing w:after="0" w:line="240" w:lineRule="auto"/>
              <w:jc w:val="left"/>
              <w:rPr>
                <w:rFonts w:ascii="Aptos Narrow" w:eastAsia="Times New Roman" w:hAnsi="Aptos Narrow" w:cs="Times New Roman"/>
                <w:b/>
                <w:bCs/>
                <w:color w:val="FFFFFF"/>
                <w:kern w:val="0"/>
                <w:sz w:val="48"/>
                <w:szCs w:val="48"/>
                <w14:ligatures w14:val="none"/>
              </w:rPr>
            </w:pPr>
          </w:p>
        </w:tc>
        <w:tc>
          <w:tcPr>
            <w:tcW w:w="84" w:type="pct"/>
            <w:tcBorders>
              <w:top w:val="nil"/>
              <w:left w:val="nil"/>
              <w:bottom w:val="nil"/>
              <w:right w:val="nil"/>
            </w:tcBorders>
            <w:noWrap/>
            <w:vAlign w:val="bottom"/>
            <w:hideMark/>
          </w:tcPr>
          <w:p w14:paraId="58E861F7"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p>
        </w:tc>
      </w:tr>
      <w:tr w:rsidR="00FF05EF" w:rsidRPr="00FF05EF" w14:paraId="6E923ADF" w14:textId="77777777" w:rsidTr="00FF05EF">
        <w:trPr>
          <w:trHeight w:val="300"/>
        </w:trPr>
        <w:tc>
          <w:tcPr>
            <w:tcW w:w="2936" w:type="pct"/>
            <w:tcBorders>
              <w:top w:val="nil"/>
              <w:left w:val="nil"/>
              <w:bottom w:val="nil"/>
              <w:right w:val="nil"/>
            </w:tcBorders>
            <w:noWrap/>
            <w:vAlign w:val="bottom"/>
            <w:hideMark/>
          </w:tcPr>
          <w:p w14:paraId="20AEDE3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F90E20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243C7A9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3F37CE7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5AF9973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342B9C0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4" w:type="pct"/>
            <w:vAlign w:val="center"/>
            <w:hideMark/>
          </w:tcPr>
          <w:p w14:paraId="080CCFF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62CDBFB" w14:textId="77777777" w:rsidTr="00FF05EF">
        <w:trPr>
          <w:trHeight w:val="300"/>
        </w:trPr>
        <w:tc>
          <w:tcPr>
            <w:tcW w:w="4916"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7AE9738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Inventory Turnover</w:t>
            </w:r>
          </w:p>
        </w:tc>
        <w:tc>
          <w:tcPr>
            <w:tcW w:w="84" w:type="pct"/>
            <w:vAlign w:val="center"/>
            <w:hideMark/>
          </w:tcPr>
          <w:p w14:paraId="6902A97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11F805A"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21FFEF2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 </w:t>
            </w:r>
          </w:p>
        </w:tc>
        <w:tc>
          <w:tcPr>
            <w:tcW w:w="379" w:type="pct"/>
            <w:tcBorders>
              <w:top w:val="nil"/>
              <w:left w:val="nil"/>
              <w:bottom w:val="single" w:sz="4" w:space="0" w:color="auto"/>
              <w:right w:val="single" w:sz="4" w:space="0" w:color="auto"/>
            </w:tcBorders>
            <w:noWrap/>
            <w:vAlign w:val="bottom"/>
            <w:hideMark/>
          </w:tcPr>
          <w:p w14:paraId="72872D4B"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79" w:type="pct"/>
            <w:tcBorders>
              <w:top w:val="nil"/>
              <w:left w:val="nil"/>
              <w:bottom w:val="single" w:sz="4" w:space="0" w:color="auto"/>
              <w:right w:val="single" w:sz="4" w:space="0" w:color="auto"/>
            </w:tcBorders>
            <w:noWrap/>
            <w:vAlign w:val="bottom"/>
            <w:hideMark/>
          </w:tcPr>
          <w:p w14:paraId="46E18CEF"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79" w:type="pct"/>
            <w:tcBorders>
              <w:top w:val="nil"/>
              <w:left w:val="nil"/>
              <w:bottom w:val="single" w:sz="4" w:space="0" w:color="auto"/>
              <w:right w:val="single" w:sz="4" w:space="0" w:color="auto"/>
            </w:tcBorders>
            <w:noWrap/>
            <w:vAlign w:val="bottom"/>
            <w:hideMark/>
          </w:tcPr>
          <w:p w14:paraId="55E87BDF"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21" w:type="pct"/>
            <w:tcBorders>
              <w:top w:val="nil"/>
              <w:left w:val="nil"/>
              <w:bottom w:val="single" w:sz="4" w:space="0" w:color="auto"/>
              <w:right w:val="single" w:sz="4" w:space="0" w:color="auto"/>
            </w:tcBorders>
            <w:noWrap/>
            <w:vAlign w:val="bottom"/>
            <w:hideMark/>
          </w:tcPr>
          <w:p w14:paraId="52E50C0D"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21" w:type="pct"/>
            <w:tcBorders>
              <w:top w:val="nil"/>
              <w:left w:val="nil"/>
              <w:bottom w:val="single" w:sz="4" w:space="0" w:color="auto"/>
              <w:right w:val="single" w:sz="4" w:space="0" w:color="auto"/>
            </w:tcBorders>
            <w:noWrap/>
            <w:vAlign w:val="bottom"/>
            <w:hideMark/>
          </w:tcPr>
          <w:p w14:paraId="380C3A19"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4" w:type="pct"/>
            <w:vAlign w:val="center"/>
            <w:hideMark/>
          </w:tcPr>
          <w:p w14:paraId="481D8FB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1DC498A"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208BD5DD"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Cost of Sales ($m)</w:t>
            </w:r>
          </w:p>
        </w:tc>
        <w:tc>
          <w:tcPr>
            <w:tcW w:w="379" w:type="pct"/>
            <w:tcBorders>
              <w:top w:val="nil"/>
              <w:left w:val="nil"/>
              <w:bottom w:val="single" w:sz="4" w:space="0" w:color="auto"/>
              <w:right w:val="single" w:sz="4" w:space="0" w:color="auto"/>
            </w:tcBorders>
            <w:noWrap/>
            <w:vAlign w:val="bottom"/>
            <w:hideMark/>
          </w:tcPr>
          <w:p w14:paraId="2F98389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24,906</w:t>
            </w:r>
          </w:p>
        </w:tc>
        <w:tc>
          <w:tcPr>
            <w:tcW w:w="379" w:type="pct"/>
            <w:tcBorders>
              <w:top w:val="nil"/>
              <w:left w:val="nil"/>
              <w:bottom w:val="single" w:sz="4" w:space="0" w:color="auto"/>
              <w:right w:val="single" w:sz="4" w:space="0" w:color="auto"/>
            </w:tcBorders>
            <w:noWrap/>
            <w:vAlign w:val="bottom"/>
            <w:hideMark/>
          </w:tcPr>
          <w:p w14:paraId="7DC06A6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40,217</w:t>
            </w:r>
          </w:p>
        </w:tc>
        <w:tc>
          <w:tcPr>
            <w:tcW w:w="379" w:type="pct"/>
            <w:tcBorders>
              <w:top w:val="nil"/>
              <w:left w:val="nil"/>
              <w:bottom w:val="single" w:sz="4" w:space="0" w:color="auto"/>
              <w:right w:val="single" w:sz="4" w:space="0" w:color="auto"/>
            </w:tcBorders>
            <w:noWrap/>
            <w:vAlign w:val="bottom"/>
            <w:hideMark/>
          </w:tcPr>
          <w:p w14:paraId="59BFA27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60,609</w:t>
            </w:r>
          </w:p>
        </w:tc>
        <w:tc>
          <w:tcPr>
            <w:tcW w:w="421" w:type="pct"/>
            <w:tcBorders>
              <w:top w:val="nil"/>
              <w:left w:val="nil"/>
              <w:bottom w:val="single" w:sz="4" w:space="0" w:color="auto"/>
              <w:right w:val="single" w:sz="4" w:space="0" w:color="auto"/>
            </w:tcBorders>
            <w:noWrap/>
            <w:vAlign w:val="bottom"/>
            <w:hideMark/>
          </w:tcPr>
          <w:p w14:paraId="27C8014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79,113</w:t>
            </w:r>
          </w:p>
        </w:tc>
        <w:tc>
          <w:tcPr>
            <w:tcW w:w="421" w:type="pct"/>
            <w:tcBorders>
              <w:top w:val="nil"/>
              <w:left w:val="nil"/>
              <w:bottom w:val="single" w:sz="4" w:space="0" w:color="auto"/>
              <w:right w:val="single" w:sz="4" w:space="0" w:color="auto"/>
            </w:tcBorders>
            <w:noWrap/>
            <w:vAlign w:val="bottom"/>
            <w:hideMark/>
          </w:tcPr>
          <w:p w14:paraId="3EE6B38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80,240</w:t>
            </w:r>
          </w:p>
        </w:tc>
        <w:tc>
          <w:tcPr>
            <w:tcW w:w="84" w:type="pct"/>
            <w:vAlign w:val="center"/>
            <w:hideMark/>
          </w:tcPr>
          <w:p w14:paraId="3382F42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34D4610"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3AFE0BC6"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Opening Inventory ($m)</w:t>
            </w:r>
          </w:p>
        </w:tc>
        <w:tc>
          <w:tcPr>
            <w:tcW w:w="379" w:type="pct"/>
            <w:tcBorders>
              <w:top w:val="nil"/>
              <w:left w:val="nil"/>
              <w:bottom w:val="single" w:sz="4" w:space="0" w:color="auto"/>
              <w:right w:val="single" w:sz="4" w:space="0" w:color="auto"/>
            </w:tcBorders>
            <w:noWrap/>
            <w:vAlign w:val="bottom"/>
            <w:hideMark/>
          </w:tcPr>
          <w:p w14:paraId="3F16803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3,552</w:t>
            </w:r>
          </w:p>
        </w:tc>
        <w:tc>
          <w:tcPr>
            <w:tcW w:w="379" w:type="pct"/>
            <w:tcBorders>
              <w:top w:val="nil"/>
              <w:left w:val="nil"/>
              <w:bottom w:val="single" w:sz="4" w:space="0" w:color="auto"/>
              <w:right w:val="single" w:sz="4" w:space="0" w:color="auto"/>
            </w:tcBorders>
            <w:noWrap/>
            <w:vAlign w:val="bottom"/>
            <w:hideMark/>
          </w:tcPr>
          <w:p w14:paraId="5D40F32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4,101</w:t>
            </w:r>
          </w:p>
        </w:tc>
        <w:tc>
          <w:tcPr>
            <w:tcW w:w="379" w:type="pct"/>
            <w:tcBorders>
              <w:top w:val="nil"/>
              <w:left w:val="nil"/>
              <w:bottom w:val="single" w:sz="4" w:space="0" w:color="auto"/>
              <w:right w:val="single" w:sz="4" w:space="0" w:color="auto"/>
            </w:tcBorders>
            <w:noWrap/>
            <w:vAlign w:val="bottom"/>
            <w:hideMark/>
          </w:tcPr>
          <w:p w14:paraId="1FBC013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5,757</w:t>
            </w:r>
          </w:p>
        </w:tc>
        <w:tc>
          <w:tcPr>
            <w:tcW w:w="421" w:type="pct"/>
            <w:tcBorders>
              <w:top w:val="nil"/>
              <w:left w:val="nil"/>
              <w:bottom w:val="single" w:sz="4" w:space="0" w:color="auto"/>
              <w:right w:val="single" w:sz="4" w:space="0" w:color="auto"/>
            </w:tcBorders>
            <w:noWrap/>
            <w:vAlign w:val="bottom"/>
            <w:hideMark/>
          </w:tcPr>
          <w:p w14:paraId="0A879F1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12,839</w:t>
            </w:r>
          </w:p>
        </w:tc>
        <w:tc>
          <w:tcPr>
            <w:tcW w:w="421" w:type="pct"/>
            <w:tcBorders>
              <w:top w:val="nil"/>
              <w:left w:val="nil"/>
              <w:bottom w:val="single" w:sz="4" w:space="0" w:color="auto"/>
              <w:right w:val="single" w:sz="4" w:space="0" w:color="auto"/>
            </w:tcBorders>
            <w:noWrap/>
            <w:vAlign w:val="bottom"/>
            <w:hideMark/>
          </w:tcPr>
          <w:p w14:paraId="0FEEA50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13,626</w:t>
            </w:r>
          </w:p>
        </w:tc>
        <w:tc>
          <w:tcPr>
            <w:tcW w:w="84" w:type="pct"/>
            <w:vAlign w:val="center"/>
            <w:hideMark/>
          </w:tcPr>
          <w:p w14:paraId="513D9A1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7DBBC89"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0685A843"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Closing Inventory ($m)</w:t>
            </w:r>
          </w:p>
        </w:tc>
        <w:tc>
          <w:tcPr>
            <w:tcW w:w="379" w:type="pct"/>
            <w:tcBorders>
              <w:top w:val="nil"/>
              <w:left w:val="nil"/>
              <w:bottom w:val="single" w:sz="4" w:space="0" w:color="auto"/>
              <w:right w:val="single" w:sz="4" w:space="0" w:color="auto"/>
            </w:tcBorders>
            <w:noWrap/>
            <w:vAlign w:val="bottom"/>
            <w:hideMark/>
          </w:tcPr>
          <w:p w14:paraId="5094BAA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4,101</w:t>
            </w:r>
          </w:p>
        </w:tc>
        <w:tc>
          <w:tcPr>
            <w:tcW w:w="379" w:type="pct"/>
            <w:tcBorders>
              <w:top w:val="nil"/>
              <w:left w:val="nil"/>
              <w:bottom w:val="single" w:sz="4" w:space="0" w:color="auto"/>
              <w:right w:val="single" w:sz="4" w:space="0" w:color="auto"/>
            </w:tcBorders>
            <w:noWrap/>
            <w:vAlign w:val="bottom"/>
            <w:hideMark/>
          </w:tcPr>
          <w:p w14:paraId="74C967D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5,757</w:t>
            </w:r>
          </w:p>
        </w:tc>
        <w:tc>
          <w:tcPr>
            <w:tcW w:w="379" w:type="pct"/>
            <w:tcBorders>
              <w:top w:val="nil"/>
              <w:left w:val="nil"/>
              <w:bottom w:val="single" w:sz="4" w:space="0" w:color="auto"/>
              <w:right w:val="single" w:sz="4" w:space="0" w:color="auto"/>
            </w:tcBorders>
            <w:noWrap/>
            <w:vAlign w:val="bottom"/>
            <w:hideMark/>
          </w:tcPr>
          <w:p w14:paraId="6DA2894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12,839</w:t>
            </w:r>
          </w:p>
        </w:tc>
        <w:tc>
          <w:tcPr>
            <w:tcW w:w="421" w:type="pct"/>
            <w:tcBorders>
              <w:top w:val="nil"/>
              <w:left w:val="nil"/>
              <w:bottom w:val="single" w:sz="4" w:space="0" w:color="auto"/>
              <w:right w:val="single" w:sz="4" w:space="0" w:color="auto"/>
            </w:tcBorders>
            <w:noWrap/>
            <w:vAlign w:val="bottom"/>
            <w:hideMark/>
          </w:tcPr>
          <w:p w14:paraId="0F78B27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13,626</w:t>
            </w:r>
          </w:p>
        </w:tc>
        <w:tc>
          <w:tcPr>
            <w:tcW w:w="421" w:type="pct"/>
            <w:tcBorders>
              <w:top w:val="nil"/>
              <w:left w:val="nil"/>
              <w:bottom w:val="single" w:sz="4" w:space="0" w:color="auto"/>
              <w:right w:val="single" w:sz="4" w:space="0" w:color="auto"/>
            </w:tcBorders>
            <w:noWrap/>
            <w:vAlign w:val="bottom"/>
            <w:hideMark/>
          </w:tcPr>
          <w:p w14:paraId="24638B6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12,017</w:t>
            </w:r>
          </w:p>
        </w:tc>
        <w:tc>
          <w:tcPr>
            <w:tcW w:w="84" w:type="pct"/>
            <w:vAlign w:val="center"/>
            <w:hideMark/>
          </w:tcPr>
          <w:p w14:paraId="19E8824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E6B6D38"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13DC9137"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Avg Inventory</w:t>
            </w:r>
          </w:p>
        </w:tc>
        <w:tc>
          <w:tcPr>
            <w:tcW w:w="379" w:type="pct"/>
            <w:tcBorders>
              <w:top w:val="nil"/>
              <w:left w:val="nil"/>
              <w:bottom w:val="single" w:sz="4" w:space="0" w:color="auto"/>
              <w:right w:val="single" w:sz="4" w:space="0" w:color="auto"/>
            </w:tcBorders>
            <w:noWrap/>
            <w:vAlign w:val="bottom"/>
            <w:hideMark/>
          </w:tcPr>
          <w:p w14:paraId="0FBB9C5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3,826.50</w:t>
            </w:r>
          </w:p>
        </w:tc>
        <w:tc>
          <w:tcPr>
            <w:tcW w:w="379" w:type="pct"/>
            <w:tcBorders>
              <w:top w:val="nil"/>
              <w:left w:val="nil"/>
              <w:bottom w:val="single" w:sz="4" w:space="0" w:color="auto"/>
              <w:right w:val="single" w:sz="4" w:space="0" w:color="auto"/>
            </w:tcBorders>
            <w:noWrap/>
            <w:vAlign w:val="bottom"/>
            <w:hideMark/>
          </w:tcPr>
          <w:p w14:paraId="2B6A43C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4,929.00</w:t>
            </w:r>
          </w:p>
        </w:tc>
        <w:tc>
          <w:tcPr>
            <w:tcW w:w="379" w:type="pct"/>
            <w:tcBorders>
              <w:top w:val="nil"/>
              <w:left w:val="nil"/>
              <w:bottom w:val="single" w:sz="4" w:space="0" w:color="auto"/>
              <w:right w:val="single" w:sz="4" w:space="0" w:color="auto"/>
            </w:tcBorders>
            <w:noWrap/>
            <w:vAlign w:val="bottom"/>
            <w:hideMark/>
          </w:tcPr>
          <w:p w14:paraId="26B7C2C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9,298.00</w:t>
            </w:r>
          </w:p>
        </w:tc>
        <w:tc>
          <w:tcPr>
            <w:tcW w:w="421" w:type="pct"/>
            <w:tcBorders>
              <w:top w:val="nil"/>
              <w:left w:val="nil"/>
              <w:bottom w:val="single" w:sz="4" w:space="0" w:color="auto"/>
              <w:right w:val="single" w:sz="4" w:space="0" w:color="auto"/>
            </w:tcBorders>
            <w:noWrap/>
            <w:vAlign w:val="bottom"/>
            <w:hideMark/>
          </w:tcPr>
          <w:p w14:paraId="72B8F63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13,232.50</w:t>
            </w:r>
          </w:p>
        </w:tc>
        <w:tc>
          <w:tcPr>
            <w:tcW w:w="421" w:type="pct"/>
            <w:tcBorders>
              <w:top w:val="nil"/>
              <w:left w:val="nil"/>
              <w:bottom w:val="single" w:sz="4" w:space="0" w:color="auto"/>
              <w:right w:val="single" w:sz="4" w:space="0" w:color="auto"/>
            </w:tcBorders>
            <w:noWrap/>
            <w:vAlign w:val="bottom"/>
            <w:hideMark/>
          </w:tcPr>
          <w:p w14:paraId="3CCA30E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12,821.50</w:t>
            </w:r>
          </w:p>
        </w:tc>
        <w:tc>
          <w:tcPr>
            <w:tcW w:w="84" w:type="pct"/>
            <w:vAlign w:val="center"/>
            <w:hideMark/>
          </w:tcPr>
          <w:p w14:paraId="33C2420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F87E2CB"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3A49C80C"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Inventory Turnover = Cost of Goods Sold ÷ Average Inventory</w:t>
            </w:r>
          </w:p>
        </w:tc>
        <w:tc>
          <w:tcPr>
            <w:tcW w:w="379" w:type="pct"/>
            <w:tcBorders>
              <w:top w:val="nil"/>
              <w:left w:val="nil"/>
              <w:bottom w:val="single" w:sz="4" w:space="0" w:color="auto"/>
              <w:right w:val="single" w:sz="4" w:space="0" w:color="auto"/>
            </w:tcBorders>
            <w:noWrap/>
            <w:vAlign w:val="bottom"/>
            <w:hideMark/>
          </w:tcPr>
          <w:p w14:paraId="3B8C51D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6.51</w:t>
            </w:r>
          </w:p>
        </w:tc>
        <w:tc>
          <w:tcPr>
            <w:tcW w:w="379" w:type="pct"/>
            <w:tcBorders>
              <w:top w:val="nil"/>
              <w:left w:val="nil"/>
              <w:bottom w:val="single" w:sz="4" w:space="0" w:color="auto"/>
              <w:right w:val="single" w:sz="4" w:space="0" w:color="auto"/>
            </w:tcBorders>
            <w:noWrap/>
            <w:vAlign w:val="bottom"/>
            <w:hideMark/>
          </w:tcPr>
          <w:p w14:paraId="112DA5D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8.16</w:t>
            </w:r>
          </w:p>
        </w:tc>
        <w:tc>
          <w:tcPr>
            <w:tcW w:w="379" w:type="pct"/>
            <w:tcBorders>
              <w:top w:val="nil"/>
              <w:left w:val="nil"/>
              <w:bottom w:val="single" w:sz="4" w:space="0" w:color="auto"/>
              <w:right w:val="single" w:sz="4" w:space="0" w:color="auto"/>
            </w:tcBorders>
            <w:noWrap/>
            <w:vAlign w:val="bottom"/>
            <w:hideMark/>
          </w:tcPr>
          <w:p w14:paraId="1F40DE9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6.52</w:t>
            </w:r>
          </w:p>
        </w:tc>
        <w:tc>
          <w:tcPr>
            <w:tcW w:w="421" w:type="pct"/>
            <w:tcBorders>
              <w:top w:val="nil"/>
              <w:left w:val="nil"/>
              <w:bottom w:val="single" w:sz="4" w:space="0" w:color="auto"/>
              <w:right w:val="single" w:sz="4" w:space="0" w:color="auto"/>
            </w:tcBorders>
            <w:noWrap/>
            <w:vAlign w:val="bottom"/>
            <w:hideMark/>
          </w:tcPr>
          <w:p w14:paraId="16A6F48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5.98</w:t>
            </w:r>
          </w:p>
        </w:tc>
        <w:tc>
          <w:tcPr>
            <w:tcW w:w="421" w:type="pct"/>
            <w:tcBorders>
              <w:top w:val="nil"/>
              <w:left w:val="nil"/>
              <w:bottom w:val="single" w:sz="4" w:space="0" w:color="auto"/>
              <w:right w:val="single" w:sz="4" w:space="0" w:color="auto"/>
            </w:tcBorders>
            <w:noWrap/>
            <w:vAlign w:val="bottom"/>
            <w:hideMark/>
          </w:tcPr>
          <w:p w14:paraId="1DFFE46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6.26</w:t>
            </w:r>
          </w:p>
        </w:tc>
        <w:tc>
          <w:tcPr>
            <w:tcW w:w="84" w:type="pct"/>
            <w:vAlign w:val="center"/>
            <w:hideMark/>
          </w:tcPr>
          <w:p w14:paraId="7CEA9CA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8DCFFF2" w14:textId="77777777" w:rsidTr="00FF05EF">
        <w:trPr>
          <w:trHeight w:val="300"/>
        </w:trPr>
        <w:tc>
          <w:tcPr>
            <w:tcW w:w="2936" w:type="pct"/>
            <w:tcBorders>
              <w:top w:val="nil"/>
              <w:left w:val="nil"/>
              <w:bottom w:val="nil"/>
              <w:right w:val="nil"/>
            </w:tcBorders>
            <w:noWrap/>
            <w:vAlign w:val="bottom"/>
            <w:hideMark/>
          </w:tcPr>
          <w:p w14:paraId="2B146DF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79" w:type="pct"/>
            <w:tcBorders>
              <w:top w:val="nil"/>
              <w:left w:val="nil"/>
              <w:bottom w:val="nil"/>
              <w:right w:val="nil"/>
            </w:tcBorders>
            <w:noWrap/>
            <w:vAlign w:val="bottom"/>
            <w:hideMark/>
          </w:tcPr>
          <w:p w14:paraId="49CBB65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271EC2A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21E707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44CD390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1010C8E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4" w:type="pct"/>
            <w:vAlign w:val="center"/>
            <w:hideMark/>
          </w:tcPr>
          <w:p w14:paraId="6EF85B8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81E69DB" w14:textId="77777777" w:rsidTr="00FF05EF">
        <w:trPr>
          <w:trHeight w:val="300"/>
        </w:trPr>
        <w:tc>
          <w:tcPr>
            <w:tcW w:w="2936" w:type="pct"/>
            <w:tcBorders>
              <w:top w:val="nil"/>
              <w:left w:val="nil"/>
              <w:bottom w:val="nil"/>
              <w:right w:val="nil"/>
            </w:tcBorders>
            <w:noWrap/>
            <w:vAlign w:val="bottom"/>
            <w:hideMark/>
          </w:tcPr>
          <w:p w14:paraId="6153CAF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69D6C3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404CA28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570462F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5E54BD7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73F4AEF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4" w:type="pct"/>
            <w:vAlign w:val="center"/>
            <w:hideMark/>
          </w:tcPr>
          <w:p w14:paraId="0CE8C01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820260A" w14:textId="77777777" w:rsidTr="00FF05EF">
        <w:trPr>
          <w:trHeight w:val="300"/>
        </w:trPr>
        <w:tc>
          <w:tcPr>
            <w:tcW w:w="4916"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21CFCA2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Receivables Collection Period (Days)</w:t>
            </w:r>
          </w:p>
        </w:tc>
        <w:tc>
          <w:tcPr>
            <w:tcW w:w="84" w:type="pct"/>
            <w:vAlign w:val="center"/>
            <w:hideMark/>
          </w:tcPr>
          <w:p w14:paraId="3B8C157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3C65DEA"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545FFCC3"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79" w:type="pct"/>
            <w:tcBorders>
              <w:top w:val="nil"/>
              <w:left w:val="nil"/>
              <w:bottom w:val="single" w:sz="4" w:space="0" w:color="auto"/>
              <w:right w:val="single" w:sz="4" w:space="0" w:color="auto"/>
            </w:tcBorders>
            <w:noWrap/>
            <w:vAlign w:val="bottom"/>
            <w:hideMark/>
          </w:tcPr>
          <w:p w14:paraId="0170A859"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79" w:type="pct"/>
            <w:tcBorders>
              <w:top w:val="nil"/>
              <w:left w:val="nil"/>
              <w:bottom w:val="single" w:sz="4" w:space="0" w:color="auto"/>
              <w:right w:val="single" w:sz="4" w:space="0" w:color="auto"/>
            </w:tcBorders>
            <w:noWrap/>
            <w:vAlign w:val="bottom"/>
            <w:hideMark/>
          </w:tcPr>
          <w:p w14:paraId="59F71A3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79" w:type="pct"/>
            <w:tcBorders>
              <w:top w:val="nil"/>
              <w:left w:val="nil"/>
              <w:bottom w:val="single" w:sz="4" w:space="0" w:color="auto"/>
              <w:right w:val="single" w:sz="4" w:space="0" w:color="auto"/>
            </w:tcBorders>
            <w:noWrap/>
            <w:vAlign w:val="bottom"/>
            <w:hideMark/>
          </w:tcPr>
          <w:p w14:paraId="77B4F562"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21" w:type="pct"/>
            <w:tcBorders>
              <w:top w:val="nil"/>
              <w:left w:val="nil"/>
              <w:bottom w:val="single" w:sz="4" w:space="0" w:color="auto"/>
              <w:right w:val="single" w:sz="4" w:space="0" w:color="auto"/>
            </w:tcBorders>
            <w:noWrap/>
            <w:vAlign w:val="bottom"/>
            <w:hideMark/>
          </w:tcPr>
          <w:p w14:paraId="7436BA9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21" w:type="pct"/>
            <w:tcBorders>
              <w:top w:val="nil"/>
              <w:left w:val="nil"/>
              <w:bottom w:val="single" w:sz="4" w:space="0" w:color="auto"/>
              <w:right w:val="single" w:sz="4" w:space="0" w:color="auto"/>
            </w:tcBorders>
            <w:noWrap/>
            <w:vAlign w:val="bottom"/>
            <w:hideMark/>
          </w:tcPr>
          <w:p w14:paraId="72A22FB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4" w:type="pct"/>
            <w:vAlign w:val="center"/>
            <w:hideMark/>
          </w:tcPr>
          <w:p w14:paraId="530D641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2B18BFA"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2C0DA86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Receivables ($m)</w:t>
            </w:r>
          </w:p>
        </w:tc>
        <w:tc>
          <w:tcPr>
            <w:tcW w:w="379" w:type="pct"/>
            <w:tcBorders>
              <w:top w:val="nil"/>
              <w:left w:val="nil"/>
              <w:bottom w:val="single" w:sz="4" w:space="0" w:color="auto"/>
              <w:right w:val="single" w:sz="4" w:space="0" w:color="auto"/>
            </w:tcBorders>
            <w:noWrap/>
            <w:vAlign w:val="bottom"/>
            <w:hideMark/>
          </w:tcPr>
          <w:p w14:paraId="2301914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1,886</w:t>
            </w:r>
          </w:p>
        </w:tc>
        <w:tc>
          <w:tcPr>
            <w:tcW w:w="379" w:type="pct"/>
            <w:tcBorders>
              <w:top w:val="nil"/>
              <w:left w:val="nil"/>
              <w:bottom w:val="single" w:sz="4" w:space="0" w:color="auto"/>
              <w:right w:val="single" w:sz="4" w:space="0" w:color="auto"/>
            </w:tcBorders>
            <w:noWrap/>
            <w:vAlign w:val="bottom"/>
            <w:hideMark/>
          </w:tcPr>
          <w:p w14:paraId="0E2FADF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1,913</w:t>
            </w:r>
          </w:p>
        </w:tc>
        <w:tc>
          <w:tcPr>
            <w:tcW w:w="379" w:type="pct"/>
            <w:tcBorders>
              <w:top w:val="nil"/>
              <w:left w:val="nil"/>
              <w:bottom w:val="single" w:sz="4" w:space="0" w:color="auto"/>
              <w:right w:val="single" w:sz="4" w:space="0" w:color="auto"/>
            </w:tcBorders>
            <w:noWrap/>
            <w:vAlign w:val="bottom"/>
            <w:hideMark/>
          </w:tcPr>
          <w:p w14:paraId="563257D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2,952</w:t>
            </w:r>
          </w:p>
        </w:tc>
        <w:tc>
          <w:tcPr>
            <w:tcW w:w="421" w:type="pct"/>
            <w:tcBorders>
              <w:top w:val="nil"/>
              <w:left w:val="nil"/>
              <w:bottom w:val="single" w:sz="4" w:space="0" w:color="auto"/>
              <w:right w:val="single" w:sz="4" w:space="0" w:color="auto"/>
            </w:tcBorders>
            <w:noWrap/>
            <w:vAlign w:val="bottom"/>
            <w:hideMark/>
          </w:tcPr>
          <w:p w14:paraId="645FBA6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3,508</w:t>
            </w:r>
          </w:p>
        </w:tc>
        <w:tc>
          <w:tcPr>
            <w:tcW w:w="421" w:type="pct"/>
            <w:tcBorders>
              <w:top w:val="nil"/>
              <w:left w:val="nil"/>
              <w:bottom w:val="single" w:sz="4" w:space="0" w:color="auto"/>
              <w:right w:val="single" w:sz="4" w:space="0" w:color="auto"/>
            </w:tcBorders>
            <w:noWrap/>
            <w:vAlign w:val="bottom"/>
            <w:hideMark/>
          </w:tcPr>
          <w:p w14:paraId="477ED43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4,418</w:t>
            </w:r>
          </w:p>
        </w:tc>
        <w:tc>
          <w:tcPr>
            <w:tcW w:w="84" w:type="pct"/>
            <w:vAlign w:val="center"/>
            <w:hideMark/>
          </w:tcPr>
          <w:p w14:paraId="67A010C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4C26C9B"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7053A0D4"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Revenue ($m)</w:t>
            </w:r>
          </w:p>
        </w:tc>
        <w:tc>
          <w:tcPr>
            <w:tcW w:w="379" w:type="pct"/>
            <w:tcBorders>
              <w:top w:val="nil"/>
              <w:left w:val="nil"/>
              <w:bottom w:val="single" w:sz="4" w:space="0" w:color="auto"/>
              <w:right w:val="single" w:sz="4" w:space="0" w:color="auto"/>
            </w:tcBorders>
            <w:noWrap/>
            <w:vAlign w:val="bottom"/>
            <w:hideMark/>
          </w:tcPr>
          <w:p w14:paraId="534DC8E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31,536</w:t>
            </w:r>
          </w:p>
        </w:tc>
        <w:tc>
          <w:tcPr>
            <w:tcW w:w="379" w:type="pct"/>
            <w:tcBorders>
              <w:top w:val="nil"/>
              <w:left w:val="nil"/>
              <w:bottom w:val="single" w:sz="4" w:space="0" w:color="auto"/>
              <w:right w:val="single" w:sz="4" w:space="0" w:color="auto"/>
            </w:tcBorders>
            <w:noWrap/>
            <w:vAlign w:val="bottom"/>
            <w:hideMark/>
          </w:tcPr>
          <w:p w14:paraId="6A20EEE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53,823</w:t>
            </w:r>
          </w:p>
        </w:tc>
        <w:tc>
          <w:tcPr>
            <w:tcW w:w="379" w:type="pct"/>
            <w:tcBorders>
              <w:top w:val="nil"/>
              <w:left w:val="nil"/>
              <w:bottom w:val="single" w:sz="4" w:space="0" w:color="auto"/>
              <w:right w:val="single" w:sz="4" w:space="0" w:color="auto"/>
            </w:tcBorders>
            <w:noWrap/>
            <w:vAlign w:val="bottom"/>
            <w:hideMark/>
          </w:tcPr>
          <w:p w14:paraId="0C79FB7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81,462</w:t>
            </w:r>
          </w:p>
        </w:tc>
        <w:tc>
          <w:tcPr>
            <w:tcW w:w="421" w:type="pct"/>
            <w:tcBorders>
              <w:top w:val="nil"/>
              <w:left w:val="nil"/>
              <w:bottom w:val="single" w:sz="4" w:space="0" w:color="auto"/>
              <w:right w:val="single" w:sz="4" w:space="0" w:color="auto"/>
            </w:tcBorders>
            <w:noWrap/>
            <w:vAlign w:val="bottom"/>
            <w:hideMark/>
          </w:tcPr>
          <w:p w14:paraId="3EB1057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96,773</w:t>
            </w:r>
          </w:p>
        </w:tc>
        <w:tc>
          <w:tcPr>
            <w:tcW w:w="421" w:type="pct"/>
            <w:tcBorders>
              <w:top w:val="nil"/>
              <w:left w:val="nil"/>
              <w:bottom w:val="single" w:sz="4" w:space="0" w:color="auto"/>
              <w:right w:val="single" w:sz="4" w:space="0" w:color="auto"/>
            </w:tcBorders>
            <w:noWrap/>
            <w:vAlign w:val="bottom"/>
            <w:hideMark/>
          </w:tcPr>
          <w:p w14:paraId="282C263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97,690</w:t>
            </w:r>
          </w:p>
        </w:tc>
        <w:tc>
          <w:tcPr>
            <w:tcW w:w="84" w:type="pct"/>
            <w:vAlign w:val="center"/>
            <w:hideMark/>
          </w:tcPr>
          <w:p w14:paraId="40C1C57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569B6D7"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11CD5D7D"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Receivables Collection Period (Days) = (Trade Receivables ÷ Revenue) × 365</w:t>
            </w:r>
          </w:p>
        </w:tc>
        <w:tc>
          <w:tcPr>
            <w:tcW w:w="379" w:type="pct"/>
            <w:tcBorders>
              <w:top w:val="nil"/>
              <w:left w:val="nil"/>
              <w:bottom w:val="single" w:sz="4" w:space="0" w:color="auto"/>
              <w:right w:val="single" w:sz="4" w:space="0" w:color="auto"/>
            </w:tcBorders>
            <w:noWrap/>
            <w:vAlign w:val="bottom"/>
            <w:hideMark/>
          </w:tcPr>
          <w:p w14:paraId="0E883C7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22</w:t>
            </w:r>
          </w:p>
        </w:tc>
        <w:tc>
          <w:tcPr>
            <w:tcW w:w="379" w:type="pct"/>
            <w:tcBorders>
              <w:top w:val="nil"/>
              <w:left w:val="nil"/>
              <w:bottom w:val="single" w:sz="4" w:space="0" w:color="auto"/>
              <w:right w:val="single" w:sz="4" w:space="0" w:color="auto"/>
            </w:tcBorders>
            <w:noWrap/>
            <w:vAlign w:val="bottom"/>
            <w:hideMark/>
          </w:tcPr>
          <w:p w14:paraId="1B84294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w:t>
            </w:r>
          </w:p>
        </w:tc>
        <w:tc>
          <w:tcPr>
            <w:tcW w:w="379" w:type="pct"/>
            <w:tcBorders>
              <w:top w:val="nil"/>
              <w:left w:val="nil"/>
              <w:bottom w:val="single" w:sz="4" w:space="0" w:color="auto"/>
              <w:right w:val="single" w:sz="4" w:space="0" w:color="auto"/>
            </w:tcBorders>
            <w:noWrap/>
            <w:vAlign w:val="bottom"/>
            <w:hideMark/>
          </w:tcPr>
          <w:p w14:paraId="382F407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w:t>
            </w:r>
          </w:p>
        </w:tc>
        <w:tc>
          <w:tcPr>
            <w:tcW w:w="421" w:type="pct"/>
            <w:tcBorders>
              <w:top w:val="nil"/>
              <w:left w:val="nil"/>
              <w:bottom w:val="single" w:sz="4" w:space="0" w:color="auto"/>
              <w:right w:val="single" w:sz="4" w:space="0" w:color="auto"/>
            </w:tcBorders>
            <w:noWrap/>
            <w:vAlign w:val="bottom"/>
            <w:hideMark/>
          </w:tcPr>
          <w:p w14:paraId="07C7C76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w:t>
            </w:r>
          </w:p>
        </w:tc>
        <w:tc>
          <w:tcPr>
            <w:tcW w:w="421" w:type="pct"/>
            <w:tcBorders>
              <w:top w:val="nil"/>
              <w:left w:val="nil"/>
              <w:bottom w:val="single" w:sz="4" w:space="0" w:color="auto"/>
              <w:right w:val="single" w:sz="4" w:space="0" w:color="auto"/>
            </w:tcBorders>
            <w:noWrap/>
            <w:vAlign w:val="bottom"/>
            <w:hideMark/>
          </w:tcPr>
          <w:p w14:paraId="1639958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17</w:t>
            </w:r>
          </w:p>
        </w:tc>
        <w:tc>
          <w:tcPr>
            <w:tcW w:w="84" w:type="pct"/>
            <w:vAlign w:val="center"/>
            <w:hideMark/>
          </w:tcPr>
          <w:p w14:paraId="3A2A577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194A902" w14:textId="77777777" w:rsidTr="00FF05EF">
        <w:trPr>
          <w:trHeight w:val="300"/>
        </w:trPr>
        <w:tc>
          <w:tcPr>
            <w:tcW w:w="2936" w:type="pct"/>
            <w:tcBorders>
              <w:top w:val="nil"/>
              <w:left w:val="nil"/>
              <w:bottom w:val="nil"/>
              <w:right w:val="nil"/>
            </w:tcBorders>
            <w:noWrap/>
            <w:vAlign w:val="bottom"/>
            <w:hideMark/>
          </w:tcPr>
          <w:p w14:paraId="4398045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79" w:type="pct"/>
            <w:tcBorders>
              <w:top w:val="nil"/>
              <w:left w:val="nil"/>
              <w:bottom w:val="nil"/>
              <w:right w:val="nil"/>
            </w:tcBorders>
            <w:noWrap/>
            <w:vAlign w:val="bottom"/>
            <w:hideMark/>
          </w:tcPr>
          <w:p w14:paraId="39EB33D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0F311F8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A92E55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2074308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2475F47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4" w:type="pct"/>
            <w:vAlign w:val="center"/>
            <w:hideMark/>
          </w:tcPr>
          <w:p w14:paraId="5C317CF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C2E10FF" w14:textId="77777777" w:rsidTr="00FF05EF">
        <w:trPr>
          <w:trHeight w:val="300"/>
        </w:trPr>
        <w:tc>
          <w:tcPr>
            <w:tcW w:w="2936" w:type="pct"/>
            <w:tcBorders>
              <w:top w:val="nil"/>
              <w:left w:val="nil"/>
              <w:bottom w:val="nil"/>
              <w:right w:val="nil"/>
            </w:tcBorders>
            <w:noWrap/>
            <w:vAlign w:val="bottom"/>
            <w:hideMark/>
          </w:tcPr>
          <w:p w14:paraId="6F24AD4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D18913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288317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1DDE828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7C41C51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0232D39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4" w:type="pct"/>
            <w:vAlign w:val="center"/>
            <w:hideMark/>
          </w:tcPr>
          <w:p w14:paraId="72ECA97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B191DD5" w14:textId="77777777" w:rsidTr="00FF05EF">
        <w:trPr>
          <w:trHeight w:val="300"/>
        </w:trPr>
        <w:tc>
          <w:tcPr>
            <w:tcW w:w="4916"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0E4F049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Payables Payment Period (Days)</w:t>
            </w:r>
          </w:p>
        </w:tc>
        <w:tc>
          <w:tcPr>
            <w:tcW w:w="84" w:type="pct"/>
            <w:vAlign w:val="center"/>
            <w:hideMark/>
          </w:tcPr>
          <w:p w14:paraId="086FFBB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B104C22"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1D9A599C"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79" w:type="pct"/>
            <w:tcBorders>
              <w:top w:val="nil"/>
              <w:left w:val="nil"/>
              <w:bottom w:val="single" w:sz="4" w:space="0" w:color="auto"/>
              <w:right w:val="single" w:sz="4" w:space="0" w:color="auto"/>
            </w:tcBorders>
            <w:noWrap/>
            <w:vAlign w:val="bottom"/>
            <w:hideMark/>
          </w:tcPr>
          <w:p w14:paraId="456C785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79" w:type="pct"/>
            <w:tcBorders>
              <w:top w:val="nil"/>
              <w:left w:val="nil"/>
              <w:bottom w:val="single" w:sz="4" w:space="0" w:color="auto"/>
              <w:right w:val="single" w:sz="4" w:space="0" w:color="auto"/>
            </w:tcBorders>
            <w:noWrap/>
            <w:vAlign w:val="bottom"/>
            <w:hideMark/>
          </w:tcPr>
          <w:p w14:paraId="6D522E39"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79" w:type="pct"/>
            <w:tcBorders>
              <w:top w:val="nil"/>
              <w:left w:val="nil"/>
              <w:bottom w:val="single" w:sz="4" w:space="0" w:color="auto"/>
              <w:right w:val="single" w:sz="4" w:space="0" w:color="auto"/>
            </w:tcBorders>
            <w:noWrap/>
            <w:vAlign w:val="bottom"/>
            <w:hideMark/>
          </w:tcPr>
          <w:p w14:paraId="04C42185"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21" w:type="pct"/>
            <w:tcBorders>
              <w:top w:val="nil"/>
              <w:left w:val="nil"/>
              <w:bottom w:val="single" w:sz="4" w:space="0" w:color="auto"/>
              <w:right w:val="single" w:sz="4" w:space="0" w:color="auto"/>
            </w:tcBorders>
            <w:noWrap/>
            <w:vAlign w:val="bottom"/>
            <w:hideMark/>
          </w:tcPr>
          <w:p w14:paraId="73469280"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21" w:type="pct"/>
            <w:tcBorders>
              <w:top w:val="nil"/>
              <w:left w:val="nil"/>
              <w:bottom w:val="single" w:sz="4" w:space="0" w:color="auto"/>
              <w:right w:val="single" w:sz="4" w:space="0" w:color="auto"/>
            </w:tcBorders>
            <w:noWrap/>
            <w:vAlign w:val="bottom"/>
            <w:hideMark/>
          </w:tcPr>
          <w:p w14:paraId="756F38A0"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4" w:type="pct"/>
            <w:vAlign w:val="center"/>
            <w:hideMark/>
          </w:tcPr>
          <w:p w14:paraId="46DC435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9D86E48"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0B455A9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Payables ($m)</w:t>
            </w:r>
          </w:p>
        </w:tc>
        <w:tc>
          <w:tcPr>
            <w:tcW w:w="379" w:type="pct"/>
            <w:tcBorders>
              <w:top w:val="nil"/>
              <w:left w:val="nil"/>
              <w:bottom w:val="single" w:sz="4" w:space="0" w:color="auto"/>
              <w:right w:val="single" w:sz="4" w:space="0" w:color="auto"/>
            </w:tcBorders>
            <w:noWrap/>
            <w:vAlign w:val="bottom"/>
            <w:hideMark/>
          </w:tcPr>
          <w:p w14:paraId="7EB0389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6,051</w:t>
            </w:r>
          </w:p>
        </w:tc>
        <w:tc>
          <w:tcPr>
            <w:tcW w:w="379" w:type="pct"/>
            <w:tcBorders>
              <w:top w:val="nil"/>
              <w:left w:val="nil"/>
              <w:bottom w:val="single" w:sz="4" w:space="0" w:color="auto"/>
              <w:right w:val="single" w:sz="4" w:space="0" w:color="auto"/>
            </w:tcBorders>
            <w:noWrap/>
            <w:vAlign w:val="bottom"/>
            <w:hideMark/>
          </w:tcPr>
          <w:p w14:paraId="49775FA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10,025</w:t>
            </w:r>
          </w:p>
        </w:tc>
        <w:tc>
          <w:tcPr>
            <w:tcW w:w="379" w:type="pct"/>
            <w:tcBorders>
              <w:top w:val="nil"/>
              <w:left w:val="nil"/>
              <w:bottom w:val="single" w:sz="4" w:space="0" w:color="auto"/>
              <w:right w:val="single" w:sz="4" w:space="0" w:color="auto"/>
            </w:tcBorders>
            <w:noWrap/>
            <w:vAlign w:val="bottom"/>
            <w:hideMark/>
          </w:tcPr>
          <w:p w14:paraId="039E6ED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15,255</w:t>
            </w:r>
          </w:p>
        </w:tc>
        <w:tc>
          <w:tcPr>
            <w:tcW w:w="421" w:type="pct"/>
            <w:tcBorders>
              <w:top w:val="nil"/>
              <w:left w:val="nil"/>
              <w:bottom w:val="single" w:sz="4" w:space="0" w:color="auto"/>
              <w:right w:val="single" w:sz="4" w:space="0" w:color="auto"/>
            </w:tcBorders>
            <w:noWrap/>
            <w:vAlign w:val="bottom"/>
            <w:hideMark/>
          </w:tcPr>
          <w:p w14:paraId="700F767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14,431</w:t>
            </w:r>
          </w:p>
        </w:tc>
        <w:tc>
          <w:tcPr>
            <w:tcW w:w="421" w:type="pct"/>
            <w:tcBorders>
              <w:top w:val="nil"/>
              <w:left w:val="nil"/>
              <w:bottom w:val="single" w:sz="4" w:space="0" w:color="auto"/>
              <w:right w:val="single" w:sz="4" w:space="0" w:color="auto"/>
            </w:tcBorders>
            <w:noWrap/>
            <w:vAlign w:val="bottom"/>
            <w:hideMark/>
          </w:tcPr>
          <w:p w14:paraId="1C4081D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12,474</w:t>
            </w:r>
          </w:p>
        </w:tc>
        <w:tc>
          <w:tcPr>
            <w:tcW w:w="84" w:type="pct"/>
            <w:vAlign w:val="center"/>
            <w:hideMark/>
          </w:tcPr>
          <w:p w14:paraId="71C190A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CE00912"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6F0B786D"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Cost of Sales ($m)</w:t>
            </w:r>
          </w:p>
        </w:tc>
        <w:tc>
          <w:tcPr>
            <w:tcW w:w="379" w:type="pct"/>
            <w:tcBorders>
              <w:top w:val="nil"/>
              <w:left w:val="nil"/>
              <w:bottom w:val="single" w:sz="4" w:space="0" w:color="auto"/>
              <w:right w:val="single" w:sz="4" w:space="0" w:color="auto"/>
            </w:tcBorders>
            <w:noWrap/>
            <w:vAlign w:val="bottom"/>
            <w:hideMark/>
          </w:tcPr>
          <w:p w14:paraId="2617D74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24,906</w:t>
            </w:r>
          </w:p>
        </w:tc>
        <w:tc>
          <w:tcPr>
            <w:tcW w:w="379" w:type="pct"/>
            <w:tcBorders>
              <w:top w:val="nil"/>
              <w:left w:val="nil"/>
              <w:bottom w:val="single" w:sz="4" w:space="0" w:color="auto"/>
              <w:right w:val="single" w:sz="4" w:space="0" w:color="auto"/>
            </w:tcBorders>
            <w:noWrap/>
            <w:vAlign w:val="bottom"/>
            <w:hideMark/>
          </w:tcPr>
          <w:p w14:paraId="7BA96A3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40,217</w:t>
            </w:r>
          </w:p>
        </w:tc>
        <w:tc>
          <w:tcPr>
            <w:tcW w:w="379" w:type="pct"/>
            <w:tcBorders>
              <w:top w:val="nil"/>
              <w:left w:val="nil"/>
              <w:bottom w:val="single" w:sz="4" w:space="0" w:color="auto"/>
              <w:right w:val="single" w:sz="4" w:space="0" w:color="auto"/>
            </w:tcBorders>
            <w:noWrap/>
            <w:vAlign w:val="bottom"/>
            <w:hideMark/>
          </w:tcPr>
          <w:p w14:paraId="2D5CDA7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60,609</w:t>
            </w:r>
          </w:p>
        </w:tc>
        <w:tc>
          <w:tcPr>
            <w:tcW w:w="421" w:type="pct"/>
            <w:tcBorders>
              <w:top w:val="nil"/>
              <w:left w:val="nil"/>
              <w:bottom w:val="single" w:sz="4" w:space="0" w:color="auto"/>
              <w:right w:val="single" w:sz="4" w:space="0" w:color="auto"/>
            </w:tcBorders>
            <w:noWrap/>
            <w:vAlign w:val="bottom"/>
            <w:hideMark/>
          </w:tcPr>
          <w:p w14:paraId="5E368F8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79,113</w:t>
            </w:r>
          </w:p>
        </w:tc>
        <w:tc>
          <w:tcPr>
            <w:tcW w:w="421" w:type="pct"/>
            <w:tcBorders>
              <w:top w:val="nil"/>
              <w:left w:val="nil"/>
              <w:bottom w:val="single" w:sz="4" w:space="0" w:color="auto"/>
              <w:right w:val="single" w:sz="4" w:space="0" w:color="auto"/>
            </w:tcBorders>
            <w:noWrap/>
            <w:vAlign w:val="bottom"/>
            <w:hideMark/>
          </w:tcPr>
          <w:p w14:paraId="6E2C142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80,240</w:t>
            </w:r>
          </w:p>
        </w:tc>
        <w:tc>
          <w:tcPr>
            <w:tcW w:w="84" w:type="pct"/>
            <w:vAlign w:val="center"/>
            <w:hideMark/>
          </w:tcPr>
          <w:p w14:paraId="2C0D7F7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52E1F99"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59C8AF49"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Payables Payment Period (Days) = (Trade Payables ÷ Cost of Goods Sold) × 365</w:t>
            </w:r>
          </w:p>
        </w:tc>
        <w:tc>
          <w:tcPr>
            <w:tcW w:w="379" w:type="pct"/>
            <w:tcBorders>
              <w:top w:val="nil"/>
              <w:left w:val="nil"/>
              <w:bottom w:val="single" w:sz="4" w:space="0" w:color="auto"/>
              <w:right w:val="single" w:sz="4" w:space="0" w:color="auto"/>
            </w:tcBorders>
            <w:noWrap/>
            <w:vAlign w:val="bottom"/>
            <w:hideMark/>
          </w:tcPr>
          <w:p w14:paraId="02F962C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89</w:t>
            </w:r>
          </w:p>
        </w:tc>
        <w:tc>
          <w:tcPr>
            <w:tcW w:w="379" w:type="pct"/>
            <w:tcBorders>
              <w:top w:val="nil"/>
              <w:left w:val="nil"/>
              <w:bottom w:val="single" w:sz="4" w:space="0" w:color="auto"/>
              <w:right w:val="single" w:sz="4" w:space="0" w:color="auto"/>
            </w:tcBorders>
            <w:noWrap/>
            <w:vAlign w:val="bottom"/>
            <w:hideMark/>
          </w:tcPr>
          <w:p w14:paraId="344E5AC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91</w:t>
            </w:r>
          </w:p>
        </w:tc>
        <w:tc>
          <w:tcPr>
            <w:tcW w:w="379" w:type="pct"/>
            <w:tcBorders>
              <w:top w:val="nil"/>
              <w:left w:val="nil"/>
              <w:bottom w:val="single" w:sz="4" w:space="0" w:color="auto"/>
              <w:right w:val="single" w:sz="4" w:space="0" w:color="auto"/>
            </w:tcBorders>
            <w:noWrap/>
            <w:vAlign w:val="bottom"/>
            <w:hideMark/>
          </w:tcPr>
          <w:p w14:paraId="3CFD8E3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92</w:t>
            </w:r>
          </w:p>
        </w:tc>
        <w:tc>
          <w:tcPr>
            <w:tcW w:w="421" w:type="pct"/>
            <w:tcBorders>
              <w:top w:val="nil"/>
              <w:left w:val="nil"/>
              <w:bottom w:val="single" w:sz="4" w:space="0" w:color="auto"/>
              <w:right w:val="single" w:sz="4" w:space="0" w:color="auto"/>
            </w:tcBorders>
            <w:noWrap/>
            <w:vAlign w:val="bottom"/>
            <w:hideMark/>
          </w:tcPr>
          <w:p w14:paraId="664693F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67</w:t>
            </w:r>
          </w:p>
        </w:tc>
        <w:tc>
          <w:tcPr>
            <w:tcW w:w="421" w:type="pct"/>
            <w:tcBorders>
              <w:top w:val="nil"/>
              <w:left w:val="nil"/>
              <w:bottom w:val="single" w:sz="4" w:space="0" w:color="auto"/>
              <w:right w:val="single" w:sz="4" w:space="0" w:color="auto"/>
            </w:tcBorders>
            <w:noWrap/>
            <w:vAlign w:val="bottom"/>
            <w:hideMark/>
          </w:tcPr>
          <w:p w14:paraId="3CA895A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57</w:t>
            </w:r>
          </w:p>
        </w:tc>
        <w:tc>
          <w:tcPr>
            <w:tcW w:w="84" w:type="pct"/>
            <w:vAlign w:val="center"/>
            <w:hideMark/>
          </w:tcPr>
          <w:p w14:paraId="2A82C0E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84D7A06" w14:textId="77777777" w:rsidTr="00FF05EF">
        <w:trPr>
          <w:trHeight w:val="300"/>
        </w:trPr>
        <w:tc>
          <w:tcPr>
            <w:tcW w:w="2936" w:type="pct"/>
            <w:tcBorders>
              <w:top w:val="nil"/>
              <w:left w:val="nil"/>
              <w:bottom w:val="nil"/>
              <w:right w:val="nil"/>
            </w:tcBorders>
            <w:noWrap/>
            <w:vAlign w:val="bottom"/>
            <w:hideMark/>
          </w:tcPr>
          <w:p w14:paraId="057F22B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79" w:type="pct"/>
            <w:tcBorders>
              <w:top w:val="nil"/>
              <w:left w:val="nil"/>
              <w:bottom w:val="nil"/>
              <w:right w:val="nil"/>
            </w:tcBorders>
            <w:noWrap/>
            <w:vAlign w:val="bottom"/>
            <w:hideMark/>
          </w:tcPr>
          <w:p w14:paraId="7962F91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4FA5C1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73ACBB7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449FE85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45A243F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4" w:type="pct"/>
            <w:vAlign w:val="center"/>
            <w:hideMark/>
          </w:tcPr>
          <w:p w14:paraId="7D16A1E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24956EB" w14:textId="77777777" w:rsidTr="00FF05EF">
        <w:trPr>
          <w:trHeight w:val="300"/>
        </w:trPr>
        <w:tc>
          <w:tcPr>
            <w:tcW w:w="2936" w:type="pct"/>
            <w:tcBorders>
              <w:top w:val="nil"/>
              <w:left w:val="nil"/>
              <w:bottom w:val="nil"/>
              <w:right w:val="nil"/>
            </w:tcBorders>
            <w:noWrap/>
            <w:vAlign w:val="bottom"/>
            <w:hideMark/>
          </w:tcPr>
          <w:p w14:paraId="7F4F1C0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18F44A2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ECDD12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79" w:type="pct"/>
            <w:tcBorders>
              <w:top w:val="nil"/>
              <w:left w:val="nil"/>
              <w:bottom w:val="nil"/>
              <w:right w:val="nil"/>
            </w:tcBorders>
            <w:noWrap/>
            <w:vAlign w:val="bottom"/>
            <w:hideMark/>
          </w:tcPr>
          <w:p w14:paraId="68DD78D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1372C36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421" w:type="pct"/>
            <w:tcBorders>
              <w:top w:val="nil"/>
              <w:left w:val="nil"/>
              <w:bottom w:val="nil"/>
              <w:right w:val="nil"/>
            </w:tcBorders>
            <w:noWrap/>
            <w:vAlign w:val="bottom"/>
            <w:hideMark/>
          </w:tcPr>
          <w:p w14:paraId="34BE14D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4" w:type="pct"/>
            <w:vAlign w:val="center"/>
            <w:hideMark/>
          </w:tcPr>
          <w:p w14:paraId="7B32433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32E8504" w14:textId="77777777" w:rsidTr="00FF05EF">
        <w:trPr>
          <w:trHeight w:val="300"/>
        </w:trPr>
        <w:tc>
          <w:tcPr>
            <w:tcW w:w="4916"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6298493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Total Asset Turnover</w:t>
            </w:r>
          </w:p>
        </w:tc>
        <w:tc>
          <w:tcPr>
            <w:tcW w:w="84" w:type="pct"/>
            <w:vAlign w:val="center"/>
            <w:hideMark/>
          </w:tcPr>
          <w:p w14:paraId="073DA6A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59C89B2"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0AB1E770"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79" w:type="pct"/>
            <w:tcBorders>
              <w:top w:val="nil"/>
              <w:left w:val="nil"/>
              <w:bottom w:val="single" w:sz="4" w:space="0" w:color="auto"/>
              <w:right w:val="single" w:sz="4" w:space="0" w:color="auto"/>
            </w:tcBorders>
            <w:noWrap/>
            <w:vAlign w:val="bottom"/>
            <w:hideMark/>
          </w:tcPr>
          <w:p w14:paraId="6608664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79" w:type="pct"/>
            <w:tcBorders>
              <w:top w:val="nil"/>
              <w:left w:val="nil"/>
              <w:bottom w:val="single" w:sz="4" w:space="0" w:color="auto"/>
              <w:right w:val="single" w:sz="4" w:space="0" w:color="auto"/>
            </w:tcBorders>
            <w:noWrap/>
            <w:vAlign w:val="bottom"/>
            <w:hideMark/>
          </w:tcPr>
          <w:p w14:paraId="6B48097B"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79" w:type="pct"/>
            <w:tcBorders>
              <w:top w:val="nil"/>
              <w:left w:val="nil"/>
              <w:bottom w:val="single" w:sz="4" w:space="0" w:color="auto"/>
              <w:right w:val="single" w:sz="4" w:space="0" w:color="auto"/>
            </w:tcBorders>
            <w:noWrap/>
            <w:vAlign w:val="bottom"/>
            <w:hideMark/>
          </w:tcPr>
          <w:p w14:paraId="45A0982A"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421" w:type="pct"/>
            <w:tcBorders>
              <w:top w:val="nil"/>
              <w:left w:val="nil"/>
              <w:bottom w:val="single" w:sz="4" w:space="0" w:color="auto"/>
              <w:right w:val="single" w:sz="4" w:space="0" w:color="auto"/>
            </w:tcBorders>
            <w:noWrap/>
            <w:vAlign w:val="bottom"/>
            <w:hideMark/>
          </w:tcPr>
          <w:p w14:paraId="3CFA4D10"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421" w:type="pct"/>
            <w:tcBorders>
              <w:top w:val="nil"/>
              <w:left w:val="nil"/>
              <w:bottom w:val="single" w:sz="4" w:space="0" w:color="auto"/>
              <w:right w:val="single" w:sz="4" w:space="0" w:color="auto"/>
            </w:tcBorders>
            <w:noWrap/>
            <w:vAlign w:val="bottom"/>
            <w:hideMark/>
          </w:tcPr>
          <w:p w14:paraId="696B356D"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4" w:type="pct"/>
            <w:vAlign w:val="center"/>
            <w:hideMark/>
          </w:tcPr>
          <w:p w14:paraId="50ED95E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3CB235D"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215B5625"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Revenue ($m)</w:t>
            </w:r>
          </w:p>
        </w:tc>
        <w:tc>
          <w:tcPr>
            <w:tcW w:w="379" w:type="pct"/>
            <w:tcBorders>
              <w:top w:val="nil"/>
              <w:left w:val="nil"/>
              <w:bottom w:val="single" w:sz="4" w:space="0" w:color="auto"/>
              <w:right w:val="single" w:sz="4" w:space="0" w:color="auto"/>
            </w:tcBorders>
            <w:noWrap/>
            <w:vAlign w:val="bottom"/>
            <w:hideMark/>
          </w:tcPr>
          <w:p w14:paraId="4804932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31,536</w:t>
            </w:r>
          </w:p>
        </w:tc>
        <w:tc>
          <w:tcPr>
            <w:tcW w:w="379" w:type="pct"/>
            <w:tcBorders>
              <w:top w:val="nil"/>
              <w:left w:val="nil"/>
              <w:bottom w:val="single" w:sz="4" w:space="0" w:color="auto"/>
              <w:right w:val="single" w:sz="4" w:space="0" w:color="auto"/>
            </w:tcBorders>
            <w:noWrap/>
            <w:vAlign w:val="bottom"/>
            <w:hideMark/>
          </w:tcPr>
          <w:p w14:paraId="728ECEA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53,823</w:t>
            </w:r>
          </w:p>
        </w:tc>
        <w:tc>
          <w:tcPr>
            <w:tcW w:w="379" w:type="pct"/>
            <w:tcBorders>
              <w:top w:val="nil"/>
              <w:left w:val="nil"/>
              <w:bottom w:val="single" w:sz="4" w:space="0" w:color="auto"/>
              <w:right w:val="single" w:sz="4" w:space="0" w:color="auto"/>
            </w:tcBorders>
            <w:noWrap/>
            <w:vAlign w:val="bottom"/>
            <w:hideMark/>
          </w:tcPr>
          <w:p w14:paraId="6B99F9E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81,462</w:t>
            </w:r>
          </w:p>
        </w:tc>
        <w:tc>
          <w:tcPr>
            <w:tcW w:w="421" w:type="pct"/>
            <w:tcBorders>
              <w:top w:val="nil"/>
              <w:left w:val="nil"/>
              <w:bottom w:val="single" w:sz="4" w:space="0" w:color="auto"/>
              <w:right w:val="single" w:sz="4" w:space="0" w:color="auto"/>
            </w:tcBorders>
            <w:noWrap/>
            <w:vAlign w:val="bottom"/>
            <w:hideMark/>
          </w:tcPr>
          <w:p w14:paraId="0D15509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96,773</w:t>
            </w:r>
          </w:p>
        </w:tc>
        <w:tc>
          <w:tcPr>
            <w:tcW w:w="421" w:type="pct"/>
            <w:tcBorders>
              <w:top w:val="nil"/>
              <w:left w:val="nil"/>
              <w:bottom w:val="single" w:sz="4" w:space="0" w:color="auto"/>
              <w:right w:val="single" w:sz="4" w:space="0" w:color="auto"/>
            </w:tcBorders>
            <w:noWrap/>
            <w:vAlign w:val="bottom"/>
            <w:hideMark/>
          </w:tcPr>
          <w:p w14:paraId="05C073F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97,690</w:t>
            </w:r>
          </w:p>
        </w:tc>
        <w:tc>
          <w:tcPr>
            <w:tcW w:w="84" w:type="pct"/>
            <w:vAlign w:val="center"/>
            <w:hideMark/>
          </w:tcPr>
          <w:p w14:paraId="432D816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536C4FF"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63188EC9"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Total Assets ($m)</w:t>
            </w:r>
          </w:p>
        </w:tc>
        <w:tc>
          <w:tcPr>
            <w:tcW w:w="379" w:type="pct"/>
            <w:tcBorders>
              <w:top w:val="nil"/>
              <w:left w:val="nil"/>
              <w:bottom w:val="single" w:sz="4" w:space="0" w:color="auto"/>
              <w:right w:val="single" w:sz="4" w:space="0" w:color="auto"/>
            </w:tcBorders>
            <w:noWrap/>
            <w:vAlign w:val="bottom"/>
            <w:hideMark/>
          </w:tcPr>
          <w:p w14:paraId="402A935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52,148</w:t>
            </w:r>
          </w:p>
        </w:tc>
        <w:tc>
          <w:tcPr>
            <w:tcW w:w="379" w:type="pct"/>
            <w:tcBorders>
              <w:top w:val="nil"/>
              <w:left w:val="nil"/>
              <w:bottom w:val="single" w:sz="4" w:space="0" w:color="auto"/>
              <w:right w:val="single" w:sz="4" w:space="0" w:color="auto"/>
            </w:tcBorders>
            <w:noWrap/>
            <w:vAlign w:val="bottom"/>
            <w:hideMark/>
          </w:tcPr>
          <w:p w14:paraId="3C63D7D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62,131</w:t>
            </w:r>
          </w:p>
        </w:tc>
        <w:tc>
          <w:tcPr>
            <w:tcW w:w="379" w:type="pct"/>
            <w:tcBorders>
              <w:top w:val="nil"/>
              <w:left w:val="nil"/>
              <w:bottom w:val="single" w:sz="4" w:space="0" w:color="auto"/>
              <w:right w:val="single" w:sz="4" w:space="0" w:color="auto"/>
            </w:tcBorders>
            <w:noWrap/>
            <w:vAlign w:val="bottom"/>
            <w:hideMark/>
          </w:tcPr>
          <w:p w14:paraId="5D5BF50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82,338</w:t>
            </w:r>
          </w:p>
        </w:tc>
        <w:tc>
          <w:tcPr>
            <w:tcW w:w="421" w:type="pct"/>
            <w:tcBorders>
              <w:top w:val="nil"/>
              <w:left w:val="nil"/>
              <w:bottom w:val="single" w:sz="4" w:space="0" w:color="auto"/>
              <w:right w:val="single" w:sz="4" w:space="0" w:color="auto"/>
            </w:tcBorders>
            <w:noWrap/>
            <w:vAlign w:val="bottom"/>
            <w:hideMark/>
          </w:tcPr>
          <w:p w14:paraId="2BD4B21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106,618</w:t>
            </w:r>
          </w:p>
        </w:tc>
        <w:tc>
          <w:tcPr>
            <w:tcW w:w="421" w:type="pct"/>
            <w:tcBorders>
              <w:top w:val="nil"/>
              <w:left w:val="nil"/>
              <w:bottom w:val="single" w:sz="4" w:space="0" w:color="auto"/>
              <w:right w:val="single" w:sz="4" w:space="0" w:color="auto"/>
            </w:tcBorders>
            <w:noWrap/>
            <w:vAlign w:val="bottom"/>
            <w:hideMark/>
          </w:tcPr>
          <w:p w14:paraId="19BFEE7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122,070</w:t>
            </w:r>
          </w:p>
        </w:tc>
        <w:tc>
          <w:tcPr>
            <w:tcW w:w="84" w:type="pct"/>
            <w:vAlign w:val="center"/>
            <w:hideMark/>
          </w:tcPr>
          <w:p w14:paraId="732B750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1524A1B" w14:textId="77777777" w:rsidTr="00FF05EF">
        <w:trPr>
          <w:trHeight w:val="300"/>
        </w:trPr>
        <w:tc>
          <w:tcPr>
            <w:tcW w:w="2936" w:type="pct"/>
            <w:tcBorders>
              <w:top w:val="nil"/>
              <w:left w:val="single" w:sz="4" w:space="0" w:color="auto"/>
              <w:bottom w:val="single" w:sz="4" w:space="0" w:color="auto"/>
              <w:right w:val="single" w:sz="4" w:space="0" w:color="auto"/>
            </w:tcBorders>
            <w:noWrap/>
            <w:vAlign w:val="bottom"/>
            <w:hideMark/>
          </w:tcPr>
          <w:p w14:paraId="013050EB"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lastRenderedPageBreak/>
              <w:t>Total Asset Turnover = Revenue ÷ Total Assets</w:t>
            </w:r>
          </w:p>
        </w:tc>
        <w:tc>
          <w:tcPr>
            <w:tcW w:w="379" w:type="pct"/>
            <w:tcBorders>
              <w:top w:val="nil"/>
              <w:left w:val="nil"/>
              <w:bottom w:val="single" w:sz="4" w:space="0" w:color="auto"/>
              <w:right w:val="single" w:sz="4" w:space="0" w:color="auto"/>
            </w:tcBorders>
            <w:noWrap/>
            <w:vAlign w:val="bottom"/>
            <w:hideMark/>
          </w:tcPr>
          <w:p w14:paraId="359CF88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0.60</w:t>
            </w:r>
          </w:p>
        </w:tc>
        <w:tc>
          <w:tcPr>
            <w:tcW w:w="379" w:type="pct"/>
            <w:tcBorders>
              <w:top w:val="nil"/>
              <w:left w:val="nil"/>
              <w:bottom w:val="single" w:sz="4" w:space="0" w:color="auto"/>
              <w:right w:val="single" w:sz="4" w:space="0" w:color="auto"/>
            </w:tcBorders>
            <w:noWrap/>
            <w:vAlign w:val="bottom"/>
            <w:hideMark/>
          </w:tcPr>
          <w:p w14:paraId="61F70C8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0.87</w:t>
            </w:r>
          </w:p>
        </w:tc>
        <w:tc>
          <w:tcPr>
            <w:tcW w:w="379" w:type="pct"/>
            <w:tcBorders>
              <w:top w:val="nil"/>
              <w:left w:val="nil"/>
              <w:bottom w:val="single" w:sz="4" w:space="0" w:color="auto"/>
              <w:right w:val="single" w:sz="4" w:space="0" w:color="auto"/>
            </w:tcBorders>
            <w:noWrap/>
            <w:vAlign w:val="bottom"/>
            <w:hideMark/>
          </w:tcPr>
          <w:p w14:paraId="5DA7EF1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0.99</w:t>
            </w:r>
          </w:p>
        </w:tc>
        <w:tc>
          <w:tcPr>
            <w:tcW w:w="421" w:type="pct"/>
            <w:tcBorders>
              <w:top w:val="nil"/>
              <w:left w:val="nil"/>
              <w:bottom w:val="single" w:sz="4" w:space="0" w:color="auto"/>
              <w:right w:val="single" w:sz="4" w:space="0" w:color="auto"/>
            </w:tcBorders>
            <w:noWrap/>
            <w:vAlign w:val="bottom"/>
            <w:hideMark/>
          </w:tcPr>
          <w:p w14:paraId="0E8CBFC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0.91</w:t>
            </w:r>
          </w:p>
        </w:tc>
        <w:tc>
          <w:tcPr>
            <w:tcW w:w="421" w:type="pct"/>
            <w:tcBorders>
              <w:top w:val="nil"/>
              <w:left w:val="nil"/>
              <w:bottom w:val="single" w:sz="4" w:space="0" w:color="auto"/>
              <w:right w:val="single" w:sz="4" w:space="0" w:color="auto"/>
            </w:tcBorders>
            <w:noWrap/>
            <w:vAlign w:val="bottom"/>
            <w:hideMark/>
          </w:tcPr>
          <w:p w14:paraId="48A59DB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0.80</w:t>
            </w:r>
          </w:p>
        </w:tc>
        <w:tc>
          <w:tcPr>
            <w:tcW w:w="84" w:type="pct"/>
            <w:vAlign w:val="center"/>
            <w:hideMark/>
          </w:tcPr>
          <w:p w14:paraId="149F60D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bl>
    <w:p w14:paraId="0F3BEF8B" w14:textId="77777777" w:rsidR="00FF05EF" w:rsidRDefault="00FF05EF" w:rsidP="008E7995"/>
    <w:p w14:paraId="06A9EEE6" w14:textId="563D1511" w:rsidR="00FF05EF" w:rsidRDefault="00FF05EF" w:rsidP="008E7995">
      <w:r w:rsidRPr="00FF05EF">
        <w:t>Gearing</w:t>
      </w:r>
    </w:p>
    <w:tbl>
      <w:tblPr>
        <w:tblW w:w="5000" w:type="pct"/>
        <w:tblLook w:val="04A0" w:firstRow="1" w:lastRow="0" w:firstColumn="1" w:lastColumn="0" w:noHBand="0" w:noVBand="1"/>
      </w:tblPr>
      <w:tblGrid>
        <w:gridCol w:w="5413"/>
        <w:gridCol w:w="746"/>
        <w:gridCol w:w="745"/>
        <w:gridCol w:w="745"/>
        <w:gridCol w:w="745"/>
        <w:gridCol w:w="745"/>
        <w:gridCol w:w="221"/>
      </w:tblGrid>
      <w:tr w:rsidR="00FF05EF" w:rsidRPr="00FF05EF" w14:paraId="580B8B51" w14:textId="77777777" w:rsidTr="00FF05EF">
        <w:trPr>
          <w:gridAfter w:val="1"/>
          <w:wAfter w:w="89" w:type="pct"/>
          <w:trHeight w:val="586"/>
        </w:trPr>
        <w:tc>
          <w:tcPr>
            <w:tcW w:w="4911" w:type="pct"/>
            <w:gridSpan w:val="6"/>
            <w:vMerge w:val="restart"/>
            <w:tcBorders>
              <w:top w:val="nil"/>
              <w:left w:val="nil"/>
              <w:bottom w:val="nil"/>
              <w:right w:val="nil"/>
            </w:tcBorders>
            <w:shd w:val="clear" w:color="000000" w:fill="7E350E"/>
            <w:noWrap/>
            <w:vAlign w:val="center"/>
            <w:hideMark/>
          </w:tcPr>
          <w:p w14:paraId="2FC9493E"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r w:rsidRPr="00FF05EF">
              <w:rPr>
                <w:rFonts w:ascii="Aptos Narrow" w:eastAsia="Times New Roman" w:hAnsi="Aptos Narrow" w:cs="Times New Roman"/>
                <w:b/>
                <w:bCs/>
                <w:color w:val="FFFFFF"/>
                <w:kern w:val="0"/>
                <w:sz w:val="48"/>
                <w:szCs w:val="48"/>
                <w14:ligatures w14:val="none"/>
              </w:rPr>
              <w:t>Tesla Inc.</w:t>
            </w:r>
          </w:p>
        </w:tc>
      </w:tr>
      <w:tr w:rsidR="00FF05EF" w:rsidRPr="00FF05EF" w14:paraId="73D5911B" w14:textId="77777777" w:rsidTr="00FF05EF">
        <w:trPr>
          <w:trHeight w:val="300"/>
        </w:trPr>
        <w:tc>
          <w:tcPr>
            <w:tcW w:w="4911" w:type="pct"/>
            <w:gridSpan w:val="6"/>
            <w:vMerge/>
            <w:tcBorders>
              <w:top w:val="nil"/>
              <w:left w:val="nil"/>
              <w:bottom w:val="nil"/>
              <w:right w:val="nil"/>
            </w:tcBorders>
            <w:vAlign w:val="center"/>
            <w:hideMark/>
          </w:tcPr>
          <w:p w14:paraId="4DEC7A51" w14:textId="77777777" w:rsidR="00FF05EF" w:rsidRPr="00FF05EF" w:rsidRDefault="00FF05EF" w:rsidP="00FF05EF">
            <w:pPr>
              <w:spacing w:after="0" w:line="240" w:lineRule="auto"/>
              <w:jc w:val="left"/>
              <w:rPr>
                <w:rFonts w:ascii="Aptos Narrow" w:eastAsia="Times New Roman" w:hAnsi="Aptos Narrow" w:cs="Times New Roman"/>
                <w:b/>
                <w:bCs/>
                <w:color w:val="FFFFFF"/>
                <w:kern w:val="0"/>
                <w:sz w:val="48"/>
                <w:szCs w:val="48"/>
                <w14:ligatures w14:val="none"/>
              </w:rPr>
            </w:pPr>
          </w:p>
        </w:tc>
        <w:tc>
          <w:tcPr>
            <w:tcW w:w="89" w:type="pct"/>
            <w:tcBorders>
              <w:top w:val="nil"/>
              <w:left w:val="nil"/>
              <w:bottom w:val="nil"/>
              <w:right w:val="nil"/>
            </w:tcBorders>
            <w:noWrap/>
            <w:vAlign w:val="bottom"/>
            <w:hideMark/>
          </w:tcPr>
          <w:p w14:paraId="041D51BE"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p>
        </w:tc>
      </w:tr>
      <w:tr w:rsidR="00FF05EF" w:rsidRPr="00FF05EF" w14:paraId="2BE94507" w14:textId="77777777" w:rsidTr="00FF05EF">
        <w:trPr>
          <w:trHeight w:val="300"/>
        </w:trPr>
        <w:tc>
          <w:tcPr>
            <w:tcW w:w="3206" w:type="pct"/>
            <w:tcBorders>
              <w:top w:val="nil"/>
              <w:left w:val="nil"/>
              <w:bottom w:val="nil"/>
              <w:right w:val="nil"/>
            </w:tcBorders>
            <w:noWrap/>
            <w:vAlign w:val="bottom"/>
            <w:hideMark/>
          </w:tcPr>
          <w:p w14:paraId="632CA3A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428F3EC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0C67E42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08A7BAA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25B06B6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7C14A32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9" w:type="pct"/>
            <w:vAlign w:val="center"/>
            <w:hideMark/>
          </w:tcPr>
          <w:p w14:paraId="3EC5235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68728AD" w14:textId="77777777" w:rsidTr="00FF05EF">
        <w:trPr>
          <w:trHeight w:val="300"/>
        </w:trPr>
        <w:tc>
          <w:tcPr>
            <w:tcW w:w="4911"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2F09EC85"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Debt to Equity Ratio</w:t>
            </w:r>
          </w:p>
        </w:tc>
        <w:tc>
          <w:tcPr>
            <w:tcW w:w="89" w:type="pct"/>
            <w:vAlign w:val="center"/>
            <w:hideMark/>
          </w:tcPr>
          <w:p w14:paraId="2AC36F0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9A65E37"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2A30331D"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 </w:t>
            </w:r>
          </w:p>
        </w:tc>
        <w:tc>
          <w:tcPr>
            <w:tcW w:w="341" w:type="pct"/>
            <w:tcBorders>
              <w:top w:val="nil"/>
              <w:left w:val="nil"/>
              <w:bottom w:val="single" w:sz="4" w:space="0" w:color="auto"/>
              <w:right w:val="single" w:sz="4" w:space="0" w:color="auto"/>
            </w:tcBorders>
            <w:noWrap/>
            <w:vAlign w:val="bottom"/>
            <w:hideMark/>
          </w:tcPr>
          <w:p w14:paraId="1625B734"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41" w:type="pct"/>
            <w:tcBorders>
              <w:top w:val="nil"/>
              <w:left w:val="nil"/>
              <w:bottom w:val="single" w:sz="4" w:space="0" w:color="auto"/>
              <w:right w:val="single" w:sz="4" w:space="0" w:color="auto"/>
            </w:tcBorders>
            <w:noWrap/>
            <w:vAlign w:val="bottom"/>
            <w:hideMark/>
          </w:tcPr>
          <w:p w14:paraId="3FF20D4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41" w:type="pct"/>
            <w:tcBorders>
              <w:top w:val="nil"/>
              <w:left w:val="nil"/>
              <w:bottom w:val="single" w:sz="4" w:space="0" w:color="auto"/>
              <w:right w:val="single" w:sz="4" w:space="0" w:color="auto"/>
            </w:tcBorders>
            <w:noWrap/>
            <w:vAlign w:val="bottom"/>
            <w:hideMark/>
          </w:tcPr>
          <w:p w14:paraId="43F4FA6B"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341" w:type="pct"/>
            <w:tcBorders>
              <w:top w:val="nil"/>
              <w:left w:val="nil"/>
              <w:bottom w:val="single" w:sz="4" w:space="0" w:color="auto"/>
              <w:right w:val="single" w:sz="4" w:space="0" w:color="auto"/>
            </w:tcBorders>
            <w:noWrap/>
            <w:vAlign w:val="bottom"/>
            <w:hideMark/>
          </w:tcPr>
          <w:p w14:paraId="2837C499"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341" w:type="pct"/>
            <w:tcBorders>
              <w:top w:val="nil"/>
              <w:left w:val="nil"/>
              <w:bottom w:val="single" w:sz="4" w:space="0" w:color="auto"/>
              <w:right w:val="single" w:sz="4" w:space="0" w:color="auto"/>
            </w:tcBorders>
            <w:noWrap/>
            <w:vAlign w:val="bottom"/>
            <w:hideMark/>
          </w:tcPr>
          <w:p w14:paraId="7E7DE05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9" w:type="pct"/>
            <w:vAlign w:val="center"/>
            <w:hideMark/>
          </w:tcPr>
          <w:p w14:paraId="3E157E9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E4CFF74"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5E794B61"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Total Liabilities ($m)</w:t>
            </w:r>
          </w:p>
        </w:tc>
        <w:tc>
          <w:tcPr>
            <w:tcW w:w="341" w:type="pct"/>
            <w:tcBorders>
              <w:top w:val="nil"/>
              <w:left w:val="nil"/>
              <w:bottom w:val="single" w:sz="4" w:space="0" w:color="auto"/>
              <w:right w:val="single" w:sz="4" w:space="0" w:color="auto"/>
            </w:tcBorders>
            <w:noWrap/>
            <w:vAlign w:val="bottom"/>
            <w:hideMark/>
          </w:tcPr>
          <w:p w14:paraId="6E4DBB8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28,418</w:t>
            </w:r>
          </w:p>
        </w:tc>
        <w:tc>
          <w:tcPr>
            <w:tcW w:w="341" w:type="pct"/>
            <w:tcBorders>
              <w:top w:val="nil"/>
              <w:left w:val="nil"/>
              <w:bottom w:val="single" w:sz="4" w:space="0" w:color="auto"/>
              <w:right w:val="single" w:sz="4" w:space="0" w:color="auto"/>
            </w:tcBorders>
            <w:noWrap/>
            <w:vAlign w:val="bottom"/>
            <w:hideMark/>
          </w:tcPr>
          <w:p w14:paraId="3720FEF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30,548</w:t>
            </w:r>
          </w:p>
        </w:tc>
        <w:tc>
          <w:tcPr>
            <w:tcW w:w="341" w:type="pct"/>
            <w:tcBorders>
              <w:top w:val="nil"/>
              <w:left w:val="nil"/>
              <w:bottom w:val="single" w:sz="4" w:space="0" w:color="auto"/>
              <w:right w:val="single" w:sz="4" w:space="0" w:color="auto"/>
            </w:tcBorders>
            <w:noWrap/>
            <w:vAlign w:val="bottom"/>
            <w:hideMark/>
          </w:tcPr>
          <w:p w14:paraId="07E2358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36,440</w:t>
            </w:r>
          </w:p>
        </w:tc>
        <w:tc>
          <w:tcPr>
            <w:tcW w:w="341" w:type="pct"/>
            <w:tcBorders>
              <w:top w:val="nil"/>
              <w:left w:val="nil"/>
              <w:bottom w:val="single" w:sz="4" w:space="0" w:color="auto"/>
              <w:right w:val="single" w:sz="4" w:space="0" w:color="auto"/>
            </w:tcBorders>
            <w:noWrap/>
            <w:vAlign w:val="bottom"/>
            <w:hideMark/>
          </w:tcPr>
          <w:p w14:paraId="0C2D4AA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43,009</w:t>
            </w:r>
          </w:p>
        </w:tc>
        <w:tc>
          <w:tcPr>
            <w:tcW w:w="341" w:type="pct"/>
            <w:tcBorders>
              <w:top w:val="nil"/>
              <w:left w:val="nil"/>
              <w:bottom w:val="single" w:sz="4" w:space="0" w:color="auto"/>
              <w:right w:val="single" w:sz="4" w:space="0" w:color="auto"/>
            </w:tcBorders>
            <w:noWrap/>
            <w:vAlign w:val="bottom"/>
            <w:hideMark/>
          </w:tcPr>
          <w:p w14:paraId="40968A4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48,390</w:t>
            </w:r>
          </w:p>
        </w:tc>
        <w:tc>
          <w:tcPr>
            <w:tcW w:w="89" w:type="pct"/>
            <w:vAlign w:val="center"/>
            <w:hideMark/>
          </w:tcPr>
          <w:p w14:paraId="6A432E1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99E6288"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5AF0D4B7"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Equity ($m)</w:t>
            </w:r>
          </w:p>
        </w:tc>
        <w:tc>
          <w:tcPr>
            <w:tcW w:w="341" w:type="pct"/>
            <w:tcBorders>
              <w:top w:val="nil"/>
              <w:left w:val="nil"/>
              <w:bottom w:val="single" w:sz="4" w:space="0" w:color="auto"/>
              <w:right w:val="single" w:sz="4" w:space="0" w:color="auto"/>
            </w:tcBorders>
            <w:noWrap/>
            <w:vAlign w:val="bottom"/>
            <w:hideMark/>
          </w:tcPr>
          <w:p w14:paraId="641D469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22,225</w:t>
            </w:r>
          </w:p>
        </w:tc>
        <w:tc>
          <w:tcPr>
            <w:tcW w:w="341" w:type="pct"/>
            <w:tcBorders>
              <w:top w:val="nil"/>
              <w:left w:val="nil"/>
              <w:bottom w:val="single" w:sz="4" w:space="0" w:color="auto"/>
              <w:right w:val="single" w:sz="4" w:space="0" w:color="auto"/>
            </w:tcBorders>
            <w:noWrap/>
            <w:vAlign w:val="bottom"/>
            <w:hideMark/>
          </w:tcPr>
          <w:p w14:paraId="522943E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30,189</w:t>
            </w:r>
          </w:p>
        </w:tc>
        <w:tc>
          <w:tcPr>
            <w:tcW w:w="341" w:type="pct"/>
            <w:tcBorders>
              <w:top w:val="nil"/>
              <w:left w:val="nil"/>
              <w:bottom w:val="single" w:sz="4" w:space="0" w:color="auto"/>
              <w:right w:val="single" w:sz="4" w:space="0" w:color="auto"/>
            </w:tcBorders>
            <w:noWrap/>
            <w:vAlign w:val="bottom"/>
            <w:hideMark/>
          </w:tcPr>
          <w:p w14:paraId="141FC2B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44,704</w:t>
            </w:r>
          </w:p>
        </w:tc>
        <w:tc>
          <w:tcPr>
            <w:tcW w:w="341" w:type="pct"/>
            <w:tcBorders>
              <w:top w:val="nil"/>
              <w:left w:val="nil"/>
              <w:bottom w:val="single" w:sz="4" w:space="0" w:color="auto"/>
              <w:right w:val="single" w:sz="4" w:space="0" w:color="auto"/>
            </w:tcBorders>
            <w:noWrap/>
            <w:vAlign w:val="bottom"/>
            <w:hideMark/>
          </w:tcPr>
          <w:p w14:paraId="217E151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62,634</w:t>
            </w:r>
          </w:p>
        </w:tc>
        <w:tc>
          <w:tcPr>
            <w:tcW w:w="341" w:type="pct"/>
            <w:tcBorders>
              <w:top w:val="nil"/>
              <w:left w:val="nil"/>
              <w:bottom w:val="single" w:sz="4" w:space="0" w:color="auto"/>
              <w:right w:val="single" w:sz="4" w:space="0" w:color="auto"/>
            </w:tcBorders>
            <w:noWrap/>
            <w:vAlign w:val="bottom"/>
            <w:hideMark/>
          </w:tcPr>
          <w:p w14:paraId="7CFAE93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72,913</w:t>
            </w:r>
          </w:p>
        </w:tc>
        <w:tc>
          <w:tcPr>
            <w:tcW w:w="89" w:type="pct"/>
            <w:vAlign w:val="center"/>
            <w:hideMark/>
          </w:tcPr>
          <w:p w14:paraId="40D0E99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BCD9708"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3C36CDFA"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Inventory Turnover =Total Debt ÷ Shareholders’ Equity</w:t>
            </w:r>
          </w:p>
        </w:tc>
        <w:tc>
          <w:tcPr>
            <w:tcW w:w="341" w:type="pct"/>
            <w:tcBorders>
              <w:top w:val="nil"/>
              <w:left w:val="nil"/>
              <w:bottom w:val="single" w:sz="4" w:space="0" w:color="auto"/>
              <w:right w:val="single" w:sz="4" w:space="0" w:color="auto"/>
            </w:tcBorders>
            <w:noWrap/>
            <w:vAlign w:val="bottom"/>
            <w:hideMark/>
          </w:tcPr>
          <w:p w14:paraId="1D88D01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1.28</w:t>
            </w:r>
          </w:p>
        </w:tc>
        <w:tc>
          <w:tcPr>
            <w:tcW w:w="341" w:type="pct"/>
            <w:tcBorders>
              <w:top w:val="nil"/>
              <w:left w:val="nil"/>
              <w:bottom w:val="single" w:sz="4" w:space="0" w:color="auto"/>
              <w:right w:val="single" w:sz="4" w:space="0" w:color="auto"/>
            </w:tcBorders>
            <w:noWrap/>
            <w:vAlign w:val="bottom"/>
            <w:hideMark/>
          </w:tcPr>
          <w:p w14:paraId="24A45EF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1.01</w:t>
            </w:r>
          </w:p>
        </w:tc>
        <w:tc>
          <w:tcPr>
            <w:tcW w:w="341" w:type="pct"/>
            <w:tcBorders>
              <w:top w:val="nil"/>
              <w:left w:val="nil"/>
              <w:bottom w:val="single" w:sz="4" w:space="0" w:color="auto"/>
              <w:right w:val="single" w:sz="4" w:space="0" w:color="auto"/>
            </w:tcBorders>
            <w:noWrap/>
            <w:vAlign w:val="bottom"/>
            <w:hideMark/>
          </w:tcPr>
          <w:p w14:paraId="50DB3A2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0.82</w:t>
            </w:r>
          </w:p>
        </w:tc>
        <w:tc>
          <w:tcPr>
            <w:tcW w:w="341" w:type="pct"/>
            <w:tcBorders>
              <w:top w:val="nil"/>
              <w:left w:val="nil"/>
              <w:bottom w:val="single" w:sz="4" w:space="0" w:color="auto"/>
              <w:right w:val="single" w:sz="4" w:space="0" w:color="auto"/>
            </w:tcBorders>
            <w:noWrap/>
            <w:vAlign w:val="bottom"/>
            <w:hideMark/>
          </w:tcPr>
          <w:p w14:paraId="0553255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0.69</w:t>
            </w:r>
          </w:p>
        </w:tc>
        <w:tc>
          <w:tcPr>
            <w:tcW w:w="341" w:type="pct"/>
            <w:tcBorders>
              <w:top w:val="nil"/>
              <w:left w:val="nil"/>
              <w:bottom w:val="single" w:sz="4" w:space="0" w:color="auto"/>
              <w:right w:val="single" w:sz="4" w:space="0" w:color="auto"/>
            </w:tcBorders>
            <w:noWrap/>
            <w:vAlign w:val="bottom"/>
            <w:hideMark/>
          </w:tcPr>
          <w:p w14:paraId="61CC4A6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0.66</w:t>
            </w:r>
          </w:p>
        </w:tc>
        <w:tc>
          <w:tcPr>
            <w:tcW w:w="89" w:type="pct"/>
            <w:vAlign w:val="center"/>
            <w:hideMark/>
          </w:tcPr>
          <w:p w14:paraId="754F3C6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08DF9D9" w14:textId="77777777" w:rsidTr="00FF05EF">
        <w:trPr>
          <w:trHeight w:val="300"/>
        </w:trPr>
        <w:tc>
          <w:tcPr>
            <w:tcW w:w="3206" w:type="pct"/>
            <w:tcBorders>
              <w:top w:val="nil"/>
              <w:left w:val="nil"/>
              <w:bottom w:val="nil"/>
              <w:right w:val="nil"/>
            </w:tcBorders>
            <w:noWrap/>
            <w:vAlign w:val="bottom"/>
            <w:hideMark/>
          </w:tcPr>
          <w:p w14:paraId="1927F6B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41" w:type="pct"/>
            <w:tcBorders>
              <w:top w:val="nil"/>
              <w:left w:val="nil"/>
              <w:bottom w:val="nil"/>
              <w:right w:val="nil"/>
            </w:tcBorders>
            <w:noWrap/>
            <w:vAlign w:val="bottom"/>
            <w:hideMark/>
          </w:tcPr>
          <w:p w14:paraId="2D31424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55C81ED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79540CC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287AECA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0ED4E17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9" w:type="pct"/>
            <w:vAlign w:val="center"/>
            <w:hideMark/>
          </w:tcPr>
          <w:p w14:paraId="17DB3BB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B5AF624" w14:textId="77777777" w:rsidTr="00FF05EF">
        <w:trPr>
          <w:trHeight w:val="300"/>
        </w:trPr>
        <w:tc>
          <w:tcPr>
            <w:tcW w:w="3206" w:type="pct"/>
            <w:tcBorders>
              <w:top w:val="nil"/>
              <w:left w:val="nil"/>
              <w:bottom w:val="nil"/>
              <w:right w:val="nil"/>
            </w:tcBorders>
            <w:noWrap/>
            <w:vAlign w:val="bottom"/>
            <w:hideMark/>
          </w:tcPr>
          <w:p w14:paraId="71B6E00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0FBD89D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755CFAF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0B144F4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25328C0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1" w:type="pct"/>
            <w:tcBorders>
              <w:top w:val="nil"/>
              <w:left w:val="nil"/>
              <w:bottom w:val="nil"/>
              <w:right w:val="nil"/>
            </w:tcBorders>
            <w:noWrap/>
            <w:vAlign w:val="bottom"/>
            <w:hideMark/>
          </w:tcPr>
          <w:p w14:paraId="1F336AC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89" w:type="pct"/>
            <w:vAlign w:val="center"/>
            <w:hideMark/>
          </w:tcPr>
          <w:p w14:paraId="1292F8A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04B2482" w14:textId="77777777" w:rsidTr="00FF05EF">
        <w:trPr>
          <w:trHeight w:val="300"/>
        </w:trPr>
        <w:tc>
          <w:tcPr>
            <w:tcW w:w="4911"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5BA18F21"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proofErr w:type="gramStart"/>
            <w:r w:rsidRPr="00FF05EF">
              <w:rPr>
                <w:rFonts w:ascii="Aptos Narrow" w:eastAsia="Times New Roman" w:hAnsi="Aptos Narrow" w:cs="Times New Roman"/>
                <w:b/>
                <w:bCs/>
                <w:color w:val="000000"/>
                <w:kern w:val="0"/>
                <w:sz w:val="22"/>
                <w:szCs w:val="22"/>
                <w14:ligatures w14:val="none"/>
              </w:rPr>
              <w:t>Interest</w:t>
            </w:r>
            <w:proofErr w:type="gramEnd"/>
            <w:r w:rsidRPr="00FF05EF">
              <w:rPr>
                <w:rFonts w:ascii="Aptos Narrow" w:eastAsia="Times New Roman" w:hAnsi="Aptos Narrow" w:cs="Times New Roman"/>
                <w:b/>
                <w:bCs/>
                <w:color w:val="000000"/>
                <w:kern w:val="0"/>
                <w:sz w:val="22"/>
                <w:szCs w:val="22"/>
                <w14:ligatures w14:val="none"/>
              </w:rPr>
              <w:t xml:space="preserve"> Coverage Ratio</w:t>
            </w:r>
          </w:p>
        </w:tc>
        <w:tc>
          <w:tcPr>
            <w:tcW w:w="89" w:type="pct"/>
            <w:vAlign w:val="center"/>
            <w:hideMark/>
          </w:tcPr>
          <w:p w14:paraId="5FFCCCD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231ED22"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5DC43EE1"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41" w:type="pct"/>
            <w:tcBorders>
              <w:top w:val="nil"/>
              <w:left w:val="nil"/>
              <w:bottom w:val="single" w:sz="4" w:space="0" w:color="auto"/>
              <w:right w:val="single" w:sz="4" w:space="0" w:color="auto"/>
            </w:tcBorders>
            <w:noWrap/>
            <w:vAlign w:val="bottom"/>
            <w:hideMark/>
          </w:tcPr>
          <w:p w14:paraId="4CAD2BA9"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41" w:type="pct"/>
            <w:tcBorders>
              <w:top w:val="nil"/>
              <w:left w:val="nil"/>
              <w:bottom w:val="single" w:sz="4" w:space="0" w:color="auto"/>
              <w:right w:val="single" w:sz="4" w:space="0" w:color="auto"/>
            </w:tcBorders>
            <w:noWrap/>
            <w:vAlign w:val="bottom"/>
            <w:hideMark/>
          </w:tcPr>
          <w:p w14:paraId="2A70C62A"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341" w:type="pct"/>
            <w:tcBorders>
              <w:top w:val="nil"/>
              <w:left w:val="nil"/>
              <w:bottom w:val="single" w:sz="4" w:space="0" w:color="auto"/>
              <w:right w:val="single" w:sz="4" w:space="0" w:color="auto"/>
            </w:tcBorders>
            <w:noWrap/>
            <w:vAlign w:val="bottom"/>
            <w:hideMark/>
          </w:tcPr>
          <w:p w14:paraId="436F15F2"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341" w:type="pct"/>
            <w:tcBorders>
              <w:top w:val="nil"/>
              <w:left w:val="nil"/>
              <w:bottom w:val="single" w:sz="4" w:space="0" w:color="auto"/>
              <w:right w:val="single" w:sz="4" w:space="0" w:color="auto"/>
            </w:tcBorders>
            <w:noWrap/>
            <w:vAlign w:val="bottom"/>
            <w:hideMark/>
          </w:tcPr>
          <w:p w14:paraId="17A9B2D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341" w:type="pct"/>
            <w:tcBorders>
              <w:top w:val="nil"/>
              <w:left w:val="nil"/>
              <w:bottom w:val="single" w:sz="4" w:space="0" w:color="auto"/>
              <w:right w:val="single" w:sz="4" w:space="0" w:color="auto"/>
            </w:tcBorders>
            <w:noWrap/>
            <w:vAlign w:val="bottom"/>
            <w:hideMark/>
          </w:tcPr>
          <w:p w14:paraId="643EB859"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89" w:type="pct"/>
            <w:vAlign w:val="center"/>
            <w:hideMark/>
          </w:tcPr>
          <w:p w14:paraId="55330AC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B3AA9C9"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7062ED97"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Operating Income ($m)</w:t>
            </w:r>
          </w:p>
        </w:tc>
        <w:tc>
          <w:tcPr>
            <w:tcW w:w="341" w:type="pct"/>
            <w:tcBorders>
              <w:top w:val="nil"/>
              <w:left w:val="nil"/>
              <w:bottom w:val="single" w:sz="4" w:space="0" w:color="auto"/>
              <w:right w:val="single" w:sz="4" w:space="0" w:color="auto"/>
            </w:tcBorders>
            <w:noWrap/>
            <w:vAlign w:val="bottom"/>
            <w:hideMark/>
          </w:tcPr>
          <w:p w14:paraId="1E41BB8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1,994</w:t>
            </w:r>
          </w:p>
        </w:tc>
        <w:tc>
          <w:tcPr>
            <w:tcW w:w="341" w:type="pct"/>
            <w:tcBorders>
              <w:top w:val="nil"/>
              <w:left w:val="nil"/>
              <w:bottom w:val="single" w:sz="4" w:space="0" w:color="auto"/>
              <w:right w:val="single" w:sz="4" w:space="0" w:color="auto"/>
            </w:tcBorders>
            <w:noWrap/>
            <w:vAlign w:val="bottom"/>
            <w:hideMark/>
          </w:tcPr>
          <w:p w14:paraId="5AC5209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6,523</w:t>
            </w:r>
          </w:p>
        </w:tc>
        <w:tc>
          <w:tcPr>
            <w:tcW w:w="341" w:type="pct"/>
            <w:tcBorders>
              <w:top w:val="nil"/>
              <w:left w:val="nil"/>
              <w:bottom w:val="single" w:sz="4" w:space="0" w:color="auto"/>
              <w:right w:val="single" w:sz="4" w:space="0" w:color="auto"/>
            </w:tcBorders>
            <w:noWrap/>
            <w:vAlign w:val="bottom"/>
            <w:hideMark/>
          </w:tcPr>
          <w:p w14:paraId="5780DB5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13,656</w:t>
            </w:r>
          </w:p>
        </w:tc>
        <w:tc>
          <w:tcPr>
            <w:tcW w:w="341" w:type="pct"/>
            <w:tcBorders>
              <w:top w:val="nil"/>
              <w:left w:val="nil"/>
              <w:bottom w:val="single" w:sz="4" w:space="0" w:color="auto"/>
              <w:right w:val="single" w:sz="4" w:space="0" w:color="auto"/>
            </w:tcBorders>
            <w:noWrap/>
            <w:vAlign w:val="bottom"/>
            <w:hideMark/>
          </w:tcPr>
          <w:p w14:paraId="056B43D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8,891</w:t>
            </w:r>
          </w:p>
        </w:tc>
        <w:tc>
          <w:tcPr>
            <w:tcW w:w="341" w:type="pct"/>
            <w:tcBorders>
              <w:top w:val="nil"/>
              <w:left w:val="nil"/>
              <w:bottom w:val="single" w:sz="4" w:space="0" w:color="auto"/>
              <w:right w:val="single" w:sz="4" w:space="0" w:color="auto"/>
            </w:tcBorders>
            <w:noWrap/>
            <w:vAlign w:val="bottom"/>
            <w:hideMark/>
          </w:tcPr>
          <w:p w14:paraId="7F16618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7,076</w:t>
            </w:r>
          </w:p>
        </w:tc>
        <w:tc>
          <w:tcPr>
            <w:tcW w:w="89" w:type="pct"/>
            <w:vAlign w:val="center"/>
            <w:hideMark/>
          </w:tcPr>
          <w:p w14:paraId="18A84A6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FA38648"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6490341F"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Interest Expense ($m)</w:t>
            </w:r>
          </w:p>
        </w:tc>
        <w:tc>
          <w:tcPr>
            <w:tcW w:w="341" w:type="pct"/>
            <w:tcBorders>
              <w:top w:val="nil"/>
              <w:left w:val="nil"/>
              <w:bottom w:val="single" w:sz="4" w:space="0" w:color="auto"/>
              <w:right w:val="single" w:sz="4" w:space="0" w:color="auto"/>
            </w:tcBorders>
            <w:noWrap/>
            <w:vAlign w:val="bottom"/>
            <w:hideMark/>
          </w:tcPr>
          <w:p w14:paraId="0B2C7AA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748</w:t>
            </w:r>
          </w:p>
        </w:tc>
        <w:tc>
          <w:tcPr>
            <w:tcW w:w="341" w:type="pct"/>
            <w:tcBorders>
              <w:top w:val="nil"/>
              <w:left w:val="nil"/>
              <w:bottom w:val="single" w:sz="4" w:space="0" w:color="auto"/>
              <w:right w:val="single" w:sz="4" w:space="0" w:color="auto"/>
            </w:tcBorders>
            <w:noWrap/>
            <w:vAlign w:val="bottom"/>
            <w:hideMark/>
          </w:tcPr>
          <w:p w14:paraId="4469458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371</w:t>
            </w:r>
          </w:p>
        </w:tc>
        <w:tc>
          <w:tcPr>
            <w:tcW w:w="341" w:type="pct"/>
            <w:tcBorders>
              <w:top w:val="nil"/>
              <w:left w:val="nil"/>
              <w:bottom w:val="single" w:sz="4" w:space="0" w:color="auto"/>
              <w:right w:val="single" w:sz="4" w:space="0" w:color="auto"/>
            </w:tcBorders>
            <w:noWrap/>
            <w:vAlign w:val="bottom"/>
            <w:hideMark/>
          </w:tcPr>
          <w:p w14:paraId="159C6FF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191</w:t>
            </w:r>
          </w:p>
        </w:tc>
        <w:tc>
          <w:tcPr>
            <w:tcW w:w="341" w:type="pct"/>
            <w:tcBorders>
              <w:top w:val="nil"/>
              <w:left w:val="nil"/>
              <w:bottom w:val="single" w:sz="4" w:space="0" w:color="auto"/>
              <w:right w:val="single" w:sz="4" w:space="0" w:color="auto"/>
            </w:tcBorders>
            <w:noWrap/>
            <w:vAlign w:val="bottom"/>
            <w:hideMark/>
          </w:tcPr>
          <w:p w14:paraId="2D7FDAC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156</w:t>
            </w:r>
          </w:p>
        </w:tc>
        <w:tc>
          <w:tcPr>
            <w:tcW w:w="341" w:type="pct"/>
            <w:tcBorders>
              <w:top w:val="nil"/>
              <w:left w:val="nil"/>
              <w:bottom w:val="single" w:sz="4" w:space="0" w:color="auto"/>
              <w:right w:val="single" w:sz="4" w:space="0" w:color="auto"/>
            </w:tcBorders>
            <w:noWrap/>
            <w:vAlign w:val="bottom"/>
            <w:hideMark/>
          </w:tcPr>
          <w:p w14:paraId="1CF8D6C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350</w:t>
            </w:r>
          </w:p>
        </w:tc>
        <w:tc>
          <w:tcPr>
            <w:tcW w:w="89" w:type="pct"/>
            <w:vAlign w:val="center"/>
            <w:hideMark/>
          </w:tcPr>
          <w:p w14:paraId="1154DCB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0421A7E" w14:textId="77777777" w:rsidTr="00FF05EF">
        <w:trPr>
          <w:trHeight w:val="300"/>
        </w:trPr>
        <w:tc>
          <w:tcPr>
            <w:tcW w:w="3206" w:type="pct"/>
            <w:tcBorders>
              <w:top w:val="nil"/>
              <w:left w:val="single" w:sz="4" w:space="0" w:color="auto"/>
              <w:bottom w:val="single" w:sz="4" w:space="0" w:color="auto"/>
              <w:right w:val="single" w:sz="4" w:space="0" w:color="auto"/>
            </w:tcBorders>
            <w:noWrap/>
            <w:vAlign w:val="bottom"/>
            <w:hideMark/>
          </w:tcPr>
          <w:p w14:paraId="3F636E65"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Interest Coverage Ratio = Operating Profit (EBIT) ÷ Interest Expense</w:t>
            </w:r>
          </w:p>
        </w:tc>
        <w:tc>
          <w:tcPr>
            <w:tcW w:w="341" w:type="pct"/>
            <w:tcBorders>
              <w:top w:val="nil"/>
              <w:left w:val="nil"/>
              <w:bottom w:val="single" w:sz="4" w:space="0" w:color="auto"/>
              <w:right w:val="single" w:sz="4" w:space="0" w:color="auto"/>
            </w:tcBorders>
            <w:noWrap/>
            <w:vAlign w:val="bottom"/>
            <w:hideMark/>
          </w:tcPr>
          <w:p w14:paraId="648EE47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2.67</w:t>
            </w:r>
          </w:p>
        </w:tc>
        <w:tc>
          <w:tcPr>
            <w:tcW w:w="341" w:type="pct"/>
            <w:tcBorders>
              <w:top w:val="nil"/>
              <w:left w:val="nil"/>
              <w:bottom w:val="single" w:sz="4" w:space="0" w:color="auto"/>
              <w:right w:val="single" w:sz="4" w:space="0" w:color="auto"/>
            </w:tcBorders>
            <w:noWrap/>
            <w:vAlign w:val="bottom"/>
            <w:hideMark/>
          </w:tcPr>
          <w:p w14:paraId="58DEB56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17.58</w:t>
            </w:r>
          </w:p>
        </w:tc>
        <w:tc>
          <w:tcPr>
            <w:tcW w:w="341" w:type="pct"/>
            <w:tcBorders>
              <w:top w:val="nil"/>
              <w:left w:val="nil"/>
              <w:bottom w:val="single" w:sz="4" w:space="0" w:color="auto"/>
              <w:right w:val="single" w:sz="4" w:space="0" w:color="auto"/>
            </w:tcBorders>
            <w:noWrap/>
            <w:vAlign w:val="bottom"/>
            <w:hideMark/>
          </w:tcPr>
          <w:p w14:paraId="72E19E3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71.50</w:t>
            </w:r>
          </w:p>
        </w:tc>
        <w:tc>
          <w:tcPr>
            <w:tcW w:w="341" w:type="pct"/>
            <w:tcBorders>
              <w:top w:val="nil"/>
              <w:left w:val="nil"/>
              <w:bottom w:val="single" w:sz="4" w:space="0" w:color="auto"/>
              <w:right w:val="single" w:sz="4" w:space="0" w:color="auto"/>
            </w:tcBorders>
            <w:noWrap/>
            <w:vAlign w:val="bottom"/>
            <w:hideMark/>
          </w:tcPr>
          <w:p w14:paraId="547F522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56.99</w:t>
            </w:r>
          </w:p>
        </w:tc>
        <w:tc>
          <w:tcPr>
            <w:tcW w:w="341" w:type="pct"/>
            <w:tcBorders>
              <w:top w:val="nil"/>
              <w:left w:val="nil"/>
              <w:bottom w:val="single" w:sz="4" w:space="0" w:color="auto"/>
              <w:right w:val="single" w:sz="4" w:space="0" w:color="auto"/>
            </w:tcBorders>
            <w:noWrap/>
            <w:vAlign w:val="bottom"/>
            <w:hideMark/>
          </w:tcPr>
          <w:p w14:paraId="337EDE5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20.22</w:t>
            </w:r>
          </w:p>
        </w:tc>
        <w:tc>
          <w:tcPr>
            <w:tcW w:w="89" w:type="pct"/>
            <w:vAlign w:val="center"/>
            <w:hideMark/>
          </w:tcPr>
          <w:p w14:paraId="25253A8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bl>
    <w:p w14:paraId="010DAAED" w14:textId="77777777" w:rsidR="00FF05EF" w:rsidRDefault="00FF05EF" w:rsidP="008E7995"/>
    <w:p w14:paraId="631BD8F0" w14:textId="7B4B432E" w:rsidR="00FF05EF" w:rsidRDefault="00FF05EF" w:rsidP="008E7995">
      <w:r w:rsidRPr="00FF05EF">
        <w:t>Investment</w:t>
      </w:r>
    </w:p>
    <w:tbl>
      <w:tblPr>
        <w:tblW w:w="5000" w:type="pct"/>
        <w:tblLook w:val="04A0" w:firstRow="1" w:lastRow="0" w:firstColumn="1" w:lastColumn="0" w:noHBand="0" w:noVBand="1"/>
      </w:tblPr>
      <w:tblGrid>
        <w:gridCol w:w="5592"/>
        <w:gridCol w:w="821"/>
        <w:gridCol w:w="728"/>
        <w:gridCol w:w="635"/>
        <w:gridCol w:w="635"/>
        <w:gridCol w:w="728"/>
        <w:gridCol w:w="221"/>
      </w:tblGrid>
      <w:tr w:rsidR="00FF05EF" w:rsidRPr="00FF05EF" w14:paraId="17CCDA44" w14:textId="77777777" w:rsidTr="00FF05EF">
        <w:trPr>
          <w:gridAfter w:val="1"/>
          <w:wAfter w:w="91" w:type="pct"/>
          <w:trHeight w:val="586"/>
        </w:trPr>
        <w:tc>
          <w:tcPr>
            <w:tcW w:w="4909" w:type="pct"/>
            <w:gridSpan w:val="6"/>
            <w:vMerge w:val="restart"/>
            <w:tcBorders>
              <w:top w:val="nil"/>
              <w:left w:val="nil"/>
              <w:bottom w:val="nil"/>
              <w:right w:val="nil"/>
            </w:tcBorders>
            <w:shd w:val="clear" w:color="000000" w:fill="7E350E"/>
            <w:noWrap/>
            <w:vAlign w:val="center"/>
            <w:hideMark/>
          </w:tcPr>
          <w:p w14:paraId="78EF84F6"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r w:rsidRPr="00FF05EF">
              <w:rPr>
                <w:rFonts w:ascii="Aptos Narrow" w:eastAsia="Times New Roman" w:hAnsi="Aptos Narrow" w:cs="Times New Roman"/>
                <w:b/>
                <w:bCs/>
                <w:color w:val="FFFFFF"/>
                <w:kern w:val="0"/>
                <w:sz w:val="48"/>
                <w:szCs w:val="48"/>
                <w14:ligatures w14:val="none"/>
              </w:rPr>
              <w:t>Tesla Inc.</w:t>
            </w:r>
          </w:p>
        </w:tc>
      </w:tr>
      <w:tr w:rsidR="00FF05EF" w:rsidRPr="00FF05EF" w14:paraId="511824DD" w14:textId="77777777" w:rsidTr="00FF05EF">
        <w:trPr>
          <w:trHeight w:val="300"/>
        </w:trPr>
        <w:tc>
          <w:tcPr>
            <w:tcW w:w="4909" w:type="pct"/>
            <w:gridSpan w:val="6"/>
            <w:vMerge/>
            <w:tcBorders>
              <w:top w:val="nil"/>
              <w:left w:val="nil"/>
              <w:bottom w:val="nil"/>
              <w:right w:val="nil"/>
            </w:tcBorders>
            <w:vAlign w:val="center"/>
            <w:hideMark/>
          </w:tcPr>
          <w:p w14:paraId="28DE10C9" w14:textId="77777777" w:rsidR="00FF05EF" w:rsidRPr="00FF05EF" w:rsidRDefault="00FF05EF" w:rsidP="00FF05EF">
            <w:pPr>
              <w:spacing w:after="0" w:line="240" w:lineRule="auto"/>
              <w:jc w:val="left"/>
              <w:rPr>
                <w:rFonts w:ascii="Aptos Narrow" w:eastAsia="Times New Roman" w:hAnsi="Aptos Narrow" w:cs="Times New Roman"/>
                <w:b/>
                <w:bCs/>
                <w:color w:val="FFFFFF"/>
                <w:kern w:val="0"/>
                <w:sz w:val="48"/>
                <w:szCs w:val="48"/>
                <w14:ligatures w14:val="none"/>
              </w:rPr>
            </w:pPr>
          </w:p>
        </w:tc>
        <w:tc>
          <w:tcPr>
            <w:tcW w:w="91" w:type="pct"/>
            <w:tcBorders>
              <w:top w:val="nil"/>
              <w:left w:val="nil"/>
              <w:bottom w:val="nil"/>
              <w:right w:val="nil"/>
            </w:tcBorders>
            <w:noWrap/>
            <w:vAlign w:val="bottom"/>
            <w:hideMark/>
          </w:tcPr>
          <w:p w14:paraId="6A36BDB1"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p>
        </w:tc>
      </w:tr>
      <w:tr w:rsidR="00FF05EF" w:rsidRPr="00FF05EF" w14:paraId="75A70569" w14:textId="77777777" w:rsidTr="00FF05EF">
        <w:trPr>
          <w:trHeight w:val="300"/>
        </w:trPr>
        <w:tc>
          <w:tcPr>
            <w:tcW w:w="3255" w:type="pct"/>
            <w:tcBorders>
              <w:top w:val="nil"/>
              <w:left w:val="nil"/>
              <w:bottom w:val="nil"/>
              <w:right w:val="nil"/>
            </w:tcBorders>
            <w:noWrap/>
            <w:vAlign w:val="bottom"/>
            <w:hideMark/>
          </w:tcPr>
          <w:p w14:paraId="264B0BE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6" w:type="pct"/>
            <w:tcBorders>
              <w:top w:val="nil"/>
              <w:left w:val="nil"/>
              <w:bottom w:val="nil"/>
              <w:right w:val="nil"/>
            </w:tcBorders>
            <w:noWrap/>
            <w:vAlign w:val="bottom"/>
            <w:hideMark/>
          </w:tcPr>
          <w:p w14:paraId="281459B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0" w:type="pct"/>
            <w:tcBorders>
              <w:top w:val="nil"/>
              <w:left w:val="nil"/>
              <w:bottom w:val="nil"/>
              <w:right w:val="nil"/>
            </w:tcBorders>
            <w:noWrap/>
            <w:vAlign w:val="bottom"/>
            <w:hideMark/>
          </w:tcPr>
          <w:p w14:paraId="2FC1745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4" w:type="pct"/>
            <w:tcBorders>
              <w:top w:val="nil"/>
              <w:left w:val="nil"/>
              <w:bottom w:val="nil"/>
              <w:right w:val="nil"/>
            </w:tcBorders>
            <w:noWrap/>
            <w:vAlign w:val="bottom"/>
            <w:hideMark/>
          </w:tcPr>
          <w:p w14:paraId="2B98879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4" w:type="pct"/>
            <w:tcBorders>
              <w:top w:val="nil"/>
              <w:left w:val="nil"/>
              <w:bottom w:val="nil"/>
              <w:right w:val="nil"/>
            </w:tcBorders>
            <w:noWrap/>
            <w:vAlign w:val="bottom"/>
            <w:hideMark/>
          </w:tcPr>
          <w:p w14:paraId="15978EB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0" w:type="pct"/>
            <w:tcBorders>
              <w:top w:val="nil"/>
              <w:left w:val="nil"/>
              <w:bottom w:val="nil"/>
              <w:right w:val="nil"/>
            </w:tcBorders>
            <w:noWrap/>
            <w:vAlign w:val="bottom"/>
            <w:hideMark/>
          </w:tcPr>
          <w:p w14:paraId="724AE5E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1" w:type="pct"/>
            <w:vAlign w:val="center"/>
            <w:hideMark/>
          </w:tcPr>
          <w:p w14:paraId="3E62F6E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1F1F916" w14:textId="77777777" w:rsidTr="00FF05EF">
        <w:trPr>
          <w:trHeight w:val="300"/>
        </w:trPr>
        <w:tc>
          <w:tcPr>
            <w:tcW w:w="4909"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238772E6"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Earnings per Share (EPS)</w:t>
            </w:r>
          </w:p>
        </w:tc>
        <w:tc>
          <w:tcPr>
            <w:tcW w:w="91" w:type="pct"/>
            <w:vAlign w:val="center"/>
            <w:hideMark/>
          </w:tcPr>
          <w:p w14:paraId="1E4FAEC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3AA5FED" w14:textId="77777777" w:rsidTr="00FF05EF">
        <w:trPr>
          <w:trHeight w:val="300"/>
        </w:trPr>
        <w:tc>
          <w:tcPr>
            <w:tcW w:w="3255" w:type="pct"/>
            <w:tcBorders>
              <w:top w:val="nil"/>
              <w:left w:val="single" w:sz="4" w:space="0" w:color="auto"/>
              <w:bottom w:val="single" w:sz="4" w:space="0" w:color="auto"/>
              <w:right w:val="single" w:sz="4" w:space="0" w:color="auto"/>
            </w:tcBorders>
            <w:noWrap/>
            <w:vAlign w:val="bottom"/>
            <w:hideMark/>
          </w:tcPr>
          <w:p w14:paraId="6AEDC28A"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 </w:t>
            </w:r>
          </w:p>
        </w:tc>
        <w:tc>
          <w:tcPr>
            <w:tcW w:w="386" w:type="pct"/>
            <w:tcBorders>
              <w:top w:val="nil"/>
              <w:left w:val="nil"/>
              <w:bottom w:val="single" w:sz="4" w:space="0" w:color="auto"/>
              <w:right w:val="single" w:sz="4" w:space="0" w:color="auto"/>
            </w:tcBorders>
            <w:noWrap/>
            <w:vAlign w:val="bottom"/>
            <w:hideMark/>
          </w:tcPr>
          <w:p w14:paraId="3E4D2A95"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40" w:type="pct"/>
            <w:tcBorders>
              <w:top w:val="nil"/>
              <w:left w:val="nil"/>
              <w:bottom w:val="single" w:sz="4" w:space="0" w:color="auto"/>
              <w:right w:val="single" w:sz="4" w:space="0" w:color="auto"/>
            </w:tcBorders>
            <w:noWrap/>
            <w:vAlign w:val="bottom"/>
            <w:hideMark/>
          </w:tcPr>
          <w:p w14:paraId="3167791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294" w:type="pct"/>
            <w:tcBorders>
              <w:top w:val="nil"/>
              <w:left w:val="nil"/>
              <w:bottom w:val="single" w:sz="4" w:space="0" w:color="auto"/>
              <w:right w:val="single" w:sz="4" w:space="0" w:color="auto"/>
            </w:tcBorders>
            <w:noWrap/>
            <w:vAlign w:val="bottom"/>
            <w:hideMark/>
          </w:tcPr>
          <w:p w14:paraId="699DFEF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294" w:type="pct"/>
            <w:tcBorders>
              <w:top w:val="nil"/>
              <w:left w:val="nil"/>
              <w:bottom w:val="single" w:sz="4" w:space="0" w:color="auto"/>
              <w:right w:val="single" w:sz="4" w:space="0" w:color="auto"/>
            </w:tcBorders>
            <w:noWrap/>
            <w:vAlign w:val="bottom"/>
            <w:hideMark/>
          </w:tcPr>
          <w:p w14:paraId="6D4C0540"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340" w:type="pct"/>
            <w:tcBorders>
              <w:top w:val="nil"/>
              <w:left w:val="nil"/>
              <w:bottom w:val="single" w:sz="4" w:space="0" w:color="auto"/>
              <w:right w:val="single" w:sz="4" w:space="0" w:color="auto"/>
            </w:tcBorders>
            <w:noWrap/>
            <w:vAlign w:val="bottom"/>
            <w:hideMark/>
          </w:tcPr>
          <w:p w14:paraId="1872642F"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91" w:type="pct"/>
            <w:vAlign w:val="center"/>
            <w:hideMark/>
          </w:tcPr>
          <w:p w14:paraId="777A235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0FE5FF1" w14:textId="77777777" w:rsidTr="00FF05EF">
        <w:trPr>
          <w:trHeight w:val="300"/>
        </w:trPr>
        <w:tc>
          <w:tcPr>
            <w:tcW w:w="3255" w:type="pct"/>
            <w:tcBorders>
              <w:top w:val="nil"/>
              <w:left w:val="single" w:sz="4" w:space="0" w:color="auto"/>
              <w:bottom w:val="single" w:sz="4" w:space="0" w:color="auto"/>
              <w:right w:val="single" w:sz="4" w:space="0" w:color="auto"/>
            </w:tcBorders>
            <w:noWrap/>
            <w:vAlign w:val="bottom"/>
            <w:hideMark/>
          </w:tcPr>
          <w:p w14:paraId="5A2EDE3D"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Basic EPS ($)</w:t>
            </w:r>
          </w:p>
        </w:tc>
        <w:tc>
          <w:tcPr>
            <w:tcW w:w="386" w:type="pct"/>
            <w:tcBorders>
              <w:top w:val="nil"/>
              <w:left w:val="nil"/>
              <w:bottom w:val="single" w:sz="4" w:space="0" w:color="auto"/>
              <w:right w:val="single" w:sz="4" w:space="0" w:color="auto"/>
            </w:tcBorders>
            <w:noWrap/>
            <w:vAlign w:val="bottom"/>
            <w:hideMark/>
          </w:tcPr>
          <w:p w14:paraId="5310AD8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0.25</w:t>
            </w:r>
          </w:p>
        </w:tc>
        <w:tc>
          <w:tcPr>
            <w:tcW w:w="340" w:type="pct"/>
            <w:tcBorders>
              <w:top w:val="nil"/>
              <w:left w:val="nil"/>
              <w:bottom w:val="single" w:sz="4" w:space="0" w:color="auto"/>
              <w:right w:val="single" w:sz="4" w:space="0" w:color="auto"/>
            </w:tcBorders>
            <w:noWrap/>
            <w:vAlign w:val="bottom"/>
            <w:hideMark/>
          </w:tcPr>
          <w:p w14:paraId="41DD753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1.87</w:t>
            </w:r>
          </w:p>
        </w:tc>
        <w:tc>
          <w:tcPr>
            <w:tcW w:w="294" w:type="pct"/>
            <w:tcBorders>
              <w:top w:val="nil"/>
              <w:left w:val="nil"/>
              <w:bottom w:val="single" w:sz="4" w:space="0" w:color="auto"/>
              <w:right w:val="single" w:sz="4" w:space="0" w:color="auto"/>
            </w:tcBorders>
            <w:noWrap/>
            <w:vAlign w:val="bottom"/>
            <w:hideMark/>
          </w:tcPr>
          <w:p w14:paraId="67E7D8F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4.02</w:t>
            </w:r>
          </w:p>
        </w:tc>
        <w:tc>
          <w:tcPr>
            <w:tcW w:w="294" w:type="pct"/>
            <w:tcBorders>
              <w:top w:val="nil"/>
              <w:left w:val="nil"/>
              <w:bottom w:val="single" w:sz="4" w:space="0" w:color="auto"/>
              <w:right w:val="single" w:sz="4" w:space="0" w:color="auto"/>
            </w:tcBorders>
            <w:noWrap/>
            <w:vAlign w:val="bottom"/>
            <w:hideMark/>
          </w:tcPr>
          <w:p w14:paraId="447C395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4.73</w:t>
            </w:r>
          </w:p>
        </w:tc>
        <w:tc>
          <w:tcPr>
            <w:tcW w:w="340" w:type="pct"/>
            <w:tcBorders>
              <w:top w:val="nil"/>
              <w:left w:val="nil"/>
              <w:bottom w:val="single" w:sz="4" w:space="0" w:color="auto"/>
              <w:right w:val="single" w:sz="4" w:space="0" w:color="auto"/>
            </w:tcBorders>
            <w:noWrap/>
            <w:vAlign w:val="bottom"/>
            <w:hideMark/>
          </w:tcPr>
          <w:p w14:paraId="6CB10A8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2.23</w:t>
            </w:r>
          </w:p>
        </w:tc>
        <w:tc>
          <w:tcPr>
            <w:tcW w:w="91" w:type="pct"/>
            <w:vAlign w:val="center"/>
            <w:hideMark/>
          </w:tcPr>
          <w:p w14:paraId="5EEEFA1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599C1F3" w14:textId="77777777" w:rsidTr="00FF05EF">
        <w:trPr>
          <w:trHeight w:val="300"/>
        </w:trPr>
        <w:tc>
          <w:tcPr>
            <w:tcW w:w="3255" w:type="pct"/>
            <w:tcBorders>
              <w:top w:val="nil"/>
              <w:left w:val="single" w:sz="4" w:space="0" w:color="auto"/>
              <w:bottom w:val="single" w:sz="4" w:space="0" w:color="auto"/>
              <w:right w:val="single" w:sz="4" w:space="0" w:color="auto"/>
            </w:tcBorders>
            <w:noWrap/>
            <w:vAlign w:val="bottom"/>
            <w:hideMark/>
          </w:tcPr>
          <w:p w14:paraId="09B34A84"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Diluted EPS ($)</w:t>
            </w:r>
          </w:p>
        </w:tc>
        <w:tc>
          <w:tcPr>
            <w:tcW w:w="386" w:type="pct"/>
            <w:tcBorders>
              <w:top w:val="nil"/>
              <w:left w:val="nil"/>
              <w:bottom w:val="single" w:sz="4" w:space="0" w:color="auto"/>
              <w:right w:val="single" w:sz="4" w:space="0" w:color="auto"/>
            </w:tcBorders>
            <w:noWrap/>
            <w:vAlign w:val="bottom"/>
            <w:hideMark/>
          </w:tcPr>
          <w:p w14:paraId="3E3E52A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0.21</w:t>
            </w:r>
          </w:p>
        </w:tc>
        <w:tc>
          <w:tcPr>
            <w:tcW w:w="340" w:type="pct"/>
            <w:tcBorders>
              <w:top w:val="nil"/>
              <w:left w:val="nil"/>
              <w:bottom w:val="single" w:sz="4" w:space="0" w:color="auto"/>
              <w:right w:val="single" w:sz="4" w:space="0" w:color="auto"/>
            </w:tcBorders>
            <w:noWrap/>
            <w:vAlign w:val="bottom"/>
            <w:hideMark/>
          </w:tcPr>
          <w:p w14:paraId="77F5294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1.63</w:t>
            </w:r>
          </w:p>
        </w:tc>
        <w:tc>
          <w:tcPr>
            <w:tcW w:w="294" w:type="pct"/>
            <w:tcBorders>
              <w:top w:val="nil"/>
              <w:left w:val="nil"/>
              <w:bottom w:val="single" w:sz="4" w:space="0" w:color="auto"/>
              <w:right w:val="single" w:sz="4" w:space="0" w:color="auto"/>
            </w:tcBorders>
            <w:noWrap/>
            <w:vAlign w:val="bottom"/>
            <w:hideMark/>
          </w:tcPr>
          <w:p w14:paraId="133C8DF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3.62</w:t>
            </w:r>
          </w:p>
        </w:tc>
        <w:tc>
          <w:tcPr>
            <w:tcW w:w="294" w:type="pct"/>
            <w:tcBorders>
              <w:top w:val="nil"/>
              <w:left w:val="nil"/>
              <w:bottom w:val="single" w:sz="4" w:space="0" w:color="auto"/>
              <w:right w:val="single" w:sz="4" w:space="0" w:color="auto"/>
            </w:tcBorders>
            <w:noWrap/>
            <w:vAlign w:val="bottom"/>
            <w:hideMark/>
          </w:tcPr>
          <w:p w14:paraId="151FE1A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4.3</w:t>
            </w:r>
          </w:p>
        </w:tc>
        <w:tc>
          <w:tcPr>
            <w:tcW w:w="340" w:type="pct"/>
            <w:tcBorders>
              <w:top w:val="nil"/>
              <w:left w:val="nil"/>
              <w:bottom w:val="single" w:sz="4" w:space="0" w:color="auto"/>
              <w:right w:val="single" w:sz="4" w:space="0" w:color="auto"/>
            </w:tcBorders>
            <w:noWrap/>
            <w:vAlign w:val="bottom"/>
            <w:hideMark/>
          </w:tcPr>
          <w:p w14:paraId="031F923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2.04</w:t>
            </w:r>
          </w:p>
        </w:tc>
        <w:tc>
          <w:tcPr>
            <w:tcW w:w="91" w:type="pct"/>
            <w:vAlign w:val="center"/>
            <w:hideMark/>
          </w:tcPr>
          <w:p w14:paraId="6D3A033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81D2A91" w14:textId="77777777" w:rsidTr="00FF05EF">
        <w:trPr>
          <w:trHeight w:val="300"/>
        </w:trPr>
        <w:tc>
          <w:tcPr>
            <w:tcW w:w="3255" w:type="pct"/>
            <w:tcBorders>
              <w:top w:val="nil"/>
              <w:left w:val="nil"/>
              <w:bottom w:val="nil"/>
              <w:right w:val="nil"/>
            </w:tcBorders>
            <w:noWrap/>
            <w:vAlign w:val="bottom"/>
            <w:hideMark/>
          </w:tcPr>
          <w:p w14:paraId="56B272F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386" w:type="pct"/>
            <w:tcBorders>
              <w:top w:val="nil"/>
              <w:left w:val="nil"/>
              <w:bottom w:val="nil"/>
              <w:right w:val="nil"/>
            </w:tcBorders>
            <w:noWrap/>
            <w:vAlign w:val="bottom"/>
            <w:hideMark/>
          </w:tcPr>
          <w:p w14:paraId="16F0AEC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0" w:type="pct"/>
            <w:tcBorders>
              <w:top w:val="nil"/>
              <w:left w:val="nil"/>
              <w:bottom w:val="nil"/>
              <w:right w:val="nil"/>
            </w:tcBorders>
            <w:noWrap/>
            <w:vAlign w:val="bottom"/>
            <w:hideMark/>
          </w:tcPr>
          <w:p w14:paraId="2A6E656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4" w:type="pct"/>
            <w:tcBorders>
              <w:top w:val="nil"/>
              <w:left w:val="nil"/>
              <w:bottom w:val="nil"/>
              <w:right w:val="nil"/>
            </w:tcBorders>
            <w:noWrap/>
            <w:vAlign w:val="bottom"/>
            <w:hideMark/>
          </w:tcPr>
          <w:p w14:paraId="6835217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4" w:type="pct"/>
            <w:tcBorders>
              <w:top w:val="nil"/>
              <w:left w:val="nil"/>
              <w:bottom w:val="nil"/>
              <w:right w:val="nil"/>
            </w:tcBorders>
            <w:noWrap/>
            <w:vAlign w:val="bottom"/>
            <w:hideMark/>
          </w:tcPr>
          <w:p w14:paraId="5950E40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0" w:type="pct"/>
            <w:tcBorders>
              <w:top w:val="nil"/>
              <w:left w:val="nil"/>
              <w:bottom w:val="nil"/>
              <w:right w:val="nil"/>
            </w:tcBorders>
            <w:noWrap/>
            <w:vAlign w:val="bottom"/>
            <w:hideMark/>
          </w:tcPr>
          <w:p w14:paraId="0F48198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1" w:type="pct"/>
            <w:vAlign w:val="center"/>
            <w:hideMark/>
          </w:tcPr>
          <w:p w14:paraId="5C0788E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1D47113" w14:textId="77777777" w:rsidTr="00FF05EF">
        <w:trPr>
          <w:trHeight w:val="300"/>
        </w:trPr>
        <w:tc>
          <w:tcPr>
            <w:tcW w:w="3255" w:type="pct"/>
            <w:tcBorders>
              <w:top w:val="nil"/>
              <w:left w:val="nil"/>
              <w:bottom w:val="nil"/>
              <w:right w:val="nil"/>
            </w:tcBorders>
            <w:noWrap/>
            <w:vAlign w:val="bottom"/>
            <w:hideMark/>
          </w:tcPr>
          <w:p w14:paraId="01F6CC2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86" w:type="pct"/>
            <w:tcBorders>
              <w:top w:val="nil"/>
              <w:left w:val="nil"/>
              <w:bottom w:val="nil"/>
              <w:right w:val="nil"/>
            </w:tcBorders>
            <w:noWrap/>
            <w:vAlign w:val="bottom"/>
            <w:hideMark/>
          </w:tcPr>
          <w:p w14:paraId="7403A97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0" w:type="pct"/>
            <w:tcBorders>
              <w:top w:val="nil"/>
              <w:left w:val="nil"/>
              <w:bottom w:val="nil"/>
              <w:right w:val="nil"/>
            </w:tcBorders>
            <w:noWrap/>
            <w:vAlign w:val="bottom"/>
            <w:hideMark/>
          </w:tcPr>
          <w:p w14:paraId="4B89599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4" w:type="pct"/>
            <w:tcBorders>
              <w:top w:val="nil"/>
              <w:left w:val="nil"/>
              <w:bottom w:val="nil"/>
              <w:right w:val="nil"/>
            </w:tcBorders>
            <w:noWrap/>
            <w:vAlign w:val="bottom"/>
            <w:hideMark/>
          </w:tcPr>
          <w:p w14:paraId="6F3F673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4" w:type="pct"/>
            <w:tcBorders>
              <w:top w:val="nil"/>
              <w:left w:val="nil"/>
              <w:bottom w:val="nil"/>
              <w:right w:val="nil"/>
            </w:tcBorders>
            <w:noWrap/>
            <w:vAlign w:val="bottom"/>
            <w:hideMark/>
          </w:tcPr>
          <w:p w14:paraId="6E66EBD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340" w:type="pct"/>
            <w:tcBorders>
              <w:top w:val="nil"/>
              <w:left w:val="nil"/>
              <w:bottom w:val="nil"/>
              <w:right w:val="nil"/>
            </w:tcBorders>
            <w:noWrap/>
            <w:vAlign w:val="bottom"/>
            <w:hideMark/>
          </w:tcPr>
          <w:p w14:paraId="7D72688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91" w:type="pct"/>
            <w:vAlign w:val="center"/>
            <w:hideMark/>
          </w:tcPr>
          <w:p w14:paraId="2921D42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EEC1F19" w14:textId="77777777" w:rsidTr="00FF05EF">
        <w:trPr>
          <w:trHeight w:val="300"/>
        </w:trPr>
        <w:tc>
          <w:tcPr>
            <w:tcW w:w="4909"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1E02B361"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Price/Earnings Ratio (P/E)</w:t>
            </w:r>
          </w:p>
        </w:tc>
        <w:tc>
          <w:tcPr>
            <w:tcW w:w="91" w:type="pct"/>
            <w:vAlign w:val="center"/>
            <w:hideMark/>
          </w:tcPr>
          <w:p w14:paraId="68A8630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E7CEBC1" w14:textId="77777777" w:rsidTr="00FF05EF">
        <w:trPr>
          <w:trHeight w:val="300"/>
        </w:trPr>
        <w:tc>
          <w:tcPr>
            <w:tcW w:w="3255" w:type="pct"/>
            <w:tcBorders>
              <w:top w:val="nil"/>
              <w:left w:val="single" w:sz="4" w:space="0" w:color="auto"/>
              <w:bottom w:val="single" w:sz="4" w:space="0" w:color="auto"/>
              <w:right w:val="single" w:sz="4" w:space="0" w:color="auto"/>
            </w:tcBorders>
            <w:noWrap/>
            <w:vAlign w:val="bottom"/>
            <w:hideMark/>
          </w:tcPr>
          <w:p w14:paraId="6371B8DA"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386" w:type="pct"/>
            <w:tcBorders>
              <w:top w:val="nil"/>
              <w:left w:val="nil"/>
              <w:bottom w:val="single" w:sz="4" w:space="0" w:color="auto"/>
              <w:right w:val="single" w:sz="4" w:space="0" w:color="auto"/>
            </w:tcBorders>
            <w:noWrap/>
            <w:vAlign w:val="bottom"/>
            <w:hideMark/>
          </w:tcPr>
          <w:p w14:paraId="1CCD7AEF"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340" w:type="pct"/>
            <w:tcBorders>
              <w:top w:val="nil"/>
              <w:left w:val="nil"/>
              <w:bottom w:val="single" w:sz="4" w:space="0" w:color="auto"/>
              <w:right w:val="single" w:sz="4" w:space="0" w:color="auto"/>
            </w:tcBorders>
            <w:noWrap/>
            <w:vAlign w:val="bottom"/>
            <w:hideMark/>
          </w:tcPr>
          <w:p w14:paraId="11F1E05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294" w:type="pct"/>
            <w:tcBorders>
              <w:top w:val="nil"/>
              <w:left w:val="nil"/>
              <w:bottom w:val="single" w:sz="4" w:space="0" w:color="auto"/>
              <w:right w:val="single" w:sz="4" w:space="0" w:color="auto"/>
            </w:tcBorders>
            <w:noWrap/>
            <w:vAlign w:val="bottom"/>
            <w:hideMark/>
          </w:tcPr>
          <w:p w14:paraId="07384852"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294" w:type="pct"/>
            <w:tcBorders>
              <w:top w:val="nil"/>
              <w:left w:val="nil"/>
              <w:bottom w:val="single" w:sz="4" w:space="0" w:color="auto"/>
              <w:right w:val="single" w:sz="4" w:space="0" w:color="auto"/>
            </w:tcBorders>
            <w:noWrap/>
            <w:vAlign w:val="bottom"/>
            <w:hideMark/>
          </w:tcPr>
          <w:p w14:paraId="153B15AF"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340" w:type="pct"/>
            <w:tcBorders>
              <w:top w:val="nil"/>
              <w:left w:val="nil"/>
              <w:bottom w:val="single" w:sz="4" w:space="0" w:color="auto"/>
              <w:right w:val="single" w:sz="4" w:space="0" w:color="auto"/>
            </w:tcBorders>
            <w:noWrap/>
            <w:vAlign w:val="bottom"/>
            <w:hideMark/>
          </w:tcPr>
          <w:p w14:paraId="16BB8E4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91" w:type="pct"/>
            <w:vAlign w:val="center"/>
            <w:hideMark/>
          </w:tcPr>
          <w:p w14:paraId="344DFA0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FB8F030" w14:textId="77777777" w:rsidTr="00FF05EF">
        <w:trPr>
          <w:trHeight w:val="300"/>
        </w:trPr>
        <w:tc>
          <w:tcPr>
            <w:tcW w:w="3255" w:type="pct"/>
            <w:tcBorders>
              <w:top w:val="nil"/>
              <w:left w:val="single" w:sz="4" w:space="0" w:color="auto"/>
              <w:bottom w:val="single" w:sz="4" w:space="0" w:color="auto"/>
              <w:right w:val="single" w:sz="4" w:space="0" w:color="auto"/>
            </w:tcBorders>
            <w:noWrap/>
            <w:vAlign w:val="bottom"/>
            <w:hideMark/>
          </w:tcPr>
          <w:p w14:paraId="096D1A77"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Share Price ($ approx.)</w:t>
            </w:r>
          </w:p>
        </w:tc>
        <w:tc>
          <w:tcPr>
            <w:tcW w:w="386" w:type="pct"/>
            <w:tcBorders>
              <w:top w:val="nil"/>
              <w:left w:val="nil"/>
              <w:bottom w:val="single" w:sz="4" w:space="0" w:color="auto"/>
              <w:right w:val="single" w:sz="4" w:space="0" w:color="auto"/>
            </w:tcBorders>
            <w:noWrap/>
            <w:vAlign w:val="bottom"/>
            <w:hideMark/>
          </w:tcPr>
          <w:p w14:paraId="399D086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705</w:t>
            </w:r>
          </w:p>
        </w:tc>
        <w:tc>
          <w:tcPr>
            <w:tcW w:w="340" w:type="pct"/>
            <w:tcBorders>
              <w:top w:val="nil"/>
              <w:left w:val="nil"/>
              <w:bottom w:val="single" w:sz="4" w:space="0" w:color="auto"/>
              <w:right w:val="single" w:sz="4" w:space="0" w:color="auto"/>
            </w:tcBorders>
            <w:noWrap/>
            <w:vAlign w:val="bottom"/>
            <w:hideMark/>
          </w:tcPr>
          <w:p w14:paraId="5858CBC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1,056</w:t>
            </w:r>
          </w:p>
        </w:tc>
        <w:tc>
          <w:tcPr>
            <w:tcW w:w="294" w:type="pct"/>
            <w:tcBorders>
              <w:top w:val="nil"/>
              <w:left w:val="nil"/>
              <w:bottom w:val="single" w:sz="4" w:space="0" w:color="auto"/>
              <w:right w:val="single" w:sz="4" w:space="0" w:color="auto"/>
            </w:tcBorders>
            <w:noWrap/>
            <w:vAlign w:val="bottom"/>
            <w:hideMark/>
          </w:tcPr>
          <w:p w14:paraId="618DB7F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123</w:t>
            </w:r>
          </w:p>
        </w:tc>
        <w:tc>
          <w:tcPr>
            <w:tcW w:w="294" w:type="pct"/>
            <w:tcBorders>
              <w:top w:val="nil"/>
              <w:left w:val="nil"/>
              <w:bottom w:val="single" w:sz="4" w:space="0" w:color="auto"/>
              <w:right w:val="single" w:sz="4" w:space="0" w:color="auto"/>
            </w:tcBorders>
            <w:noWrap/>
            <w:vAlign w:val="bottom"/>
            <w:hideMark/>
          </w:tcPr>
          <w:p w14:paraId="14D7DE3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248</w:t>
            </w:r>
          </w:p>
        </w:tc>
        <w:tc>
          <w:tcPr>
            <w:tcW w:w="340" w:type="pct"/>
            <w:tcBorders>
              <w:top w:val="nil"/>
              <w:left w:val="nil"/>
              <w:bottom w:val="single" w:sz="4" w:space="0" w:color="auto"/>
              <w:right w:val="single" w:sz="4" w:space="0" w:color="auto"/>
            </w:tcBorders>
            <w:noWrap/>
            <w:vAlign w:val="bottom"/>
            <w:hideMark/>
          </w:tcPr>
          <w:p w14:paraId="3875C3F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250</w:t>
            </w:r>
          </w:p>
        </w:tc>
        <w:tc>
          <w:tcPr>
            <w:tcW w:w="91" w:type="pct"/>
            <w:vAlign w:val="center"/>
            <w:hideMark/>
          </w:tcPr>
          <w:p w14:paraId="18ECCE7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23AC433" w14:textId="77777777" w:rsidTr="00FF05EF">
        <w:trPr>
          <w:trHeight w:val="300"/>
        </w:trPr>
        <w:tc>
          <w:tcPr>
            <w:tcW w:w="3255" w:type="pct"/>
            <w:tcBorders>
              <w:top w:val="nil"/>
              <w:left w:val="single" w:sz="4" w:space="0" w:color="auto"/>
              <w:bottom w:val="single" w:sz="4" w:space="0" w:color="auto"/>
              <w:right w:val="single" w:sz="4" w:space="0" w:color="auto"/>
            </w:tcBorders>
            <w:noWrap/>
            <w:vAlign w:val="bottom"/>
            <w:hideMark/>
          </w:tcPr>
          <w:p w14:paraId="04E3362F"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lastRenderedPageBreak/>
              <w:t>Diluted EPS ($)</w:t>
            </w:r>
          </w:p>
        </w:tc>
        <w:tc>
          <w:tcPr>
            <w:tcW w:w="386" w:type="pct"/>
            <w:tcBorders>
              <w:top w:val="nil"/>
              <w:left w:val="nil"/>
              <w:bottom w:val="single" w:sz="4" w:space="0" w:color="auto"/>
              <w:right w:val="single" w:sz="4" w:space="0" w:color="auto"/>
            </w:tcBorders>
            <w:noWrap/>
            <w:vAlign w:val="bottom"/>
            <w:hideMark/>
          </w:tcPr>
          <w:p w14:paraId="1BA26D4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0.21</w:t>
            </w:r>
          </w:p>
        </w:tc>
        <w:tc>
          <w:tcPr>
            <w:tcW w:w="340" w:type="pct"/>
            <w:tcBorders>
              <w:top w:val="nil"/>
              <w:left w:val="nil"/>
              <w:bottom w:val="single" w:sz="4" w:space="0" w:color="auto"/>
              <w:right w:val="single" w:sz="4" w:space="0" w:color="auto"/>
            </w:tcBorders>
            <w:noWrap/>
            <w:vAlign w:val="bottom"/>
            <w:hideMark/>
          </w:tcPr>
          <w:p w14:paraId="4146620E"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1.63</w:t>
            </w:r>
          </w:p>
        </w:tc>
        <w:tc>
          <w:tcPr>
            <w:tcW w:w="294" w:type="pct"/>
            <w:tcBorders>
              <w:top w:val="nil"/>
              <w:left w:val="nil"/>
              <w:bottom w:val="single" w:sz="4" w:space="0" w:color="auto"/>
              <w:right w:val="single" w:sz="4" w:space="0" w:color="auto"/>
            </w:tcBorders>
            <w:noWrap/>
            <w:vAlign w:val="bottom"/>
            <w:hideMark/>
          </w:tcPr>
          <w:p w14:paraId="442C8E3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3.62</w:t>
            </w:r>
          </w:p>
        </w:tc>
        <w:tc>
          <w:tcPr>
            <w:tcW w:w="294" w:type="pct"/>
            <w:tcBorders>
              <w:top w:val="nil"/>
              <w:left w:val="nil"/>
              <w:bottom w:val="single" w:sz="4" w:space="0" w:color="auto"/>
              <w:right w:val="single" w:sz="4" w:space="0" w:color="auto"/>
            </w:tcBorders>
            <w:noWrap/>
            <w:vAlign w:val="bottom"/>
            <w:hideMark/>
          </w:tcPr>
          <w:p w14:paraId="7C580F91"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4.30</w:t>
            </w:r>
          </w:p>
        </w:tc>
        <w:tc>
          <w:tcPr>
            <w:tcW w:w="340" w:type="pct"/>
            <w:tcBorders>
              <w:top w:val="nil"/>
              <w:left w:val="nil"/>
              <w:bottom w:val="single" w:sz="4" w:space="0" w:color="auto"/>
              <w:right w:val="single" w:sz="4" w:space="0" w:color="auto"/>
            </w:tcBorders>
            <w:noWrap/>
            <w:vAlign w:val="bottom"/>
            <w:hideMark/>
          </w:tcPr>
          <w:p w14:paraId="595A341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2.04</w:t>
            </w:r>
          </w:p>
        </w:tc>
        <w:tc>
          <w:tcPr>
            <w:tcW w:w="91" w:type="pct"/>
            <w:vAlign w:val="center"/>
            <w:hideMark/>
          </w:tcPr>
          <w:p w14:paraId="748D77D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DC73A17" w14:textId="77777777" w:rsidTr="00FF05EF">
        <w:trPr>
          <w:trHeight w:val="300"/>
        </w:trPr>
        <w:tc>
          <w:tcPr>
            <w:tcW w:w="3255" w:type="pct"/>
            <w:tcBorders>
              <w:top w:val="nil"/>
              <w:left w:val="single" w:sz="4" w:space="0" w:color="auto"/>
              <w:bottom w:val="single" w:sz="4" w:space="0" w:color="auto"/>
              <w:right w:val="single" w:sz="4" w:space="0" w:color="auto"/>
            </w:tcBorders>
            <w:noWrap/>
            <w:vAlign w:val="bottom"/>
            <w:hideMark/>
          </w:tcPr>
          <w:p w14:paraId="5385BDC1"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Price/Earnings Ratio (P/E) = Market Price per Share ÷ Earnings per Share</w:t>
            </w:r>
          </w:p>
        </w:tc>
        <w:tc>
          <w:tcPr>
            <w:tcW w:w="386" w:type="pct"/>
            <w:tcBorders>
              <w:top w:val="nil"/>
              <w:left w:val="nil"/>
              <w:bottom w:val="single" w:sz="4" w:space="0" w:color="auto"/>
              <w:right w:val="single" w:sz="4" w:space="0" w:color="auto"/>
            </w:tcBorders>
            <w:noWrap/>
            <w:vAlign w:val="bottom"/>
            <w:hideMark/>
          </w:tcPr>
          <w:p w14:paraId="4CCD7E3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3357.14</w:t>
            </w:r>
          </w:p>
        </w:tc>
        <w:tc>
          <w:tcPr>
            <w:tcW w:w="340" w:type="pct"/>
            <w:tcBorders>
              <w:top w:val="nil"/>
              <w:left w:val="nil"/>
              <w:bottom w:val="single" w:sz="4" w:space="0" w:color="auto"/>
              <w:right w:val="single" w:sz="4" w:space="0" w:color="auto"/>
            </w:tcBorders>
            <w:noWrap/>
            <w:vAlign w:val="bottom"/>
            <w:hideMark/>
          </w:tcPr>
          <w:p w14:paraId="0270BDE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647.85</w:t>
            </w:r>
          </w:p>
        </w:tc>
        <w:tc>
          <w:tcPr>
            <w:tcW w:w="294" w:type="pct"/>
            <w:tcBorders>
              <w:top w:val="nil"/>
              <w:left w:val="nil"/>
              <w:bottom w:val="single" w:sz="4" w:space="0" w:color="auto"/>
              <w:right w:val="single" w:sz="4" w:space="0" w:color="auto"/>
            </w:tcBorders>
            <w:noWrap/>
            <w:vAlign w:val="bottom"/>
            <w:hideMark/>
          </w:tcPr>
          <w:p w14:paraId="3A33302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33.98</w:t>
            </w:r>
          </w:p>
        </w:tc>
        <w:tc>
          <w:tcPr>
            <w:tcW w:w="294" w:type="pct"/>
            <w:tcBorders>
              <w:top w:val="nil"/>
              <w:left w:val="nil"/>
              <w:bottom w:val="single" w:sz="4" w:space="0" w:color="auto"/>
              <w:right w:val="single" w:sz="4" w:space="0" w:color="auto"/>
            </w:tcBorders>
            <w:noWrap/>
            <w:vAlign w:val="bottom"/>
            <w:hideMark/>
          </w:tcPr>
          <w:p w14:paraId="58CAEFB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57.67</w:t>
            </w:r>
          </w:p>
        </w:tc>
        <w:tc>
          <w:tcPr>
            <w:tcW w:w="340" w:type="pct"/>
            <w:tcBorders>
              <w:top w:val="nil"/>
              <w:left w:val="nil"/>
              <w:bottom w:val="single" w:sz="4" w:space="0" w:color="auto"/>
              <w:right w:val="single" w:sz="4" w:space="0" w:color="auto"/>
            </w:tcBorders>
            <w:noWrap/>
            <w:vAlign w:val="bottom"/>
            <w:hideMark/>
          </w:tcPr>
          <w:p w14:paraId="7C5BC62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122.55</w:t>
            </w:r>
          </w:p>
        </w:tc>
        <w:tc>
          <w:tcPr>
            <w:tcW w:w="91" w:type="pct"/>
            <w:vAlign w:val="center"/>
            <w:hideMark/>
          </w:tcPr>
          <w:p w14:paraId="67CEA61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bl>
    <w:p w14:paraId="21015486" w14:textId="77777777" w:rsidR="00FF05EF" w:rsidRDefault="00FF05EF" w:rsidP="008E7995"/>
    <w:p w14:paraId="6713312C" w14:textId="09E6F19F" w:rsidR="00FF05EF" w:rsidRDefault="00FF05EF" w:rsidP="008E7995">
      <w:r w:rsidRPr="00FF05EF">
        <w:t>Cash Flow</w:t>
      </w:r>
    </w:p>
    <w:tbl>
      <w:tblPr>
        <w:tblW w:w="5000" w:type="pct"/>
        <w:tblLook w:val="04A0" w:firstRow="1" w:lastRow="0" w:firstColumn="1" w:lastColumn="0" w:noHBand="0" w:noVBand="1"/>
      </w:tblPr>
      <w:tblGrid>
        <w:gridCol w:w="5968"/>
        <w:gridCol w:w="572"/>
        <w:gridCol w:w="650"/>
        <w:gridCol w:w="650"/>
        <w:gridCol w:w="650"/>
        <w:gridCol w:w="650"/>
        <w:gridCol w:w="220"/>
      </w:tblGrid>
      <w:tr w:rsidR="00FF05EF" w:rsidRPr="00FF05EF" w14:paraId="6B3C17C6" w14:textId="77777777" w:rsidTr="00FF05EF">
        <w:trPr>
          <w:gridAfter w:val="1"/>
          <w:wAfter w:w="78" w:type="pct"/>
          <w:trHeight w:val="586"/>
        </w:trPr>
        <w:tc>
          <w:tcPr>
            <w:tcW w:w="4922" w:type="pct"/>
            <w:gridSpan w:val="6"/>
            <w:vMerge w:val="restart"/>
            <w:tcBorders>
              <w:top w:val="nil"/>
              <w:left w:val="nil"/>
              <w:bottom w:val="nil"/>
              <w:right w:val="nil"/>
            </w:tcBorders>
            <w:shd w:val="clear" w:color="000000" w:fill="7E350E"/>
            <w:noWrap/>
            <w:vAlign w:val="center"/>
            <w:hideMark/>
          </w:tcPr>
          <w:p w14:paraId="68F71DB8"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r w:rsidRPr="00FF05EF">
              <w:rPr>
                <w:rFonts w:ascii="Aptos Narrow" w:eastAsia="Times New Roman" w:hAnsi="Aptos Narrow" w:cs="Times New Roman"/>
                <w:b/>
                <w:bCs/>
                <w:color w:val="FFFFFF"/>
                <w:kern w:val="0"/>
                <w:sz w:val="48"/>
                <w:szCs w:val="48"/>
                <w14:ligatures w14:val="none"/>
              </w:rPr>
              <w:t>Tesla Inc.</w:t>
            </w:r>
          </w:p>
        </w:tc>
      </w:tr>
      <w:tr w:rsidR="00FF05EF" w:rsidRPr="00FF05EF" w14:paraId="562C2C39" w14:textId="77777777" w:rsidTr="00FF05EF">
        <w:trPr>
          <w:trHeight w:val="300"/>
        </w:trPr>
        <w:tc>
          <w:tcPr>
            <w:tcW w:w="4922" w:type="pct"/>
            <w:gridSpan w:val="6"/>
            <w:vMerge/>
            <w:tcBorders>
              <w:top w:val="nil"/>
              <w:left w:val="nil"/>
              <w:bottom w:val="nil"/>
              <w:right w:val="nil"/>
            </w:tcBorders>
            <w:vAlign w:val="center"/>
            <w:hideMark/>
          </w:tcPr>
          <w:p w14:paraId="7B68F166" w14:textId="77777777" w:rsidR="00FF05EF" w:rsidRPr="00FF05EF" w:rsidRDefault="00FF05EF" w:rsidP="00FF05EF">
            <w:pPr>
              <w:spacing w:after="0" w:line="240" w:lineRule="auto"/>
              <w:jc w:val="left"/>
              <w:rPr>
                <w:rFonts w:ascii="Aptos Narrow" w:eastAsia="Times New Roman" w:hAnsi="Aptos Narrow" w:cs="Times New Roman"/>
                <w:b/>
                <w:bCs/>
                <w:color w:val="FFFFFF"/>
                <w:kern w:val="0"/>
                <w:sz w:val="48"/>
                <w:szCs w:val="48"/>
                <w14:ligatures w14:val="none"/>
              </w:rPr>
            </w:pPr>
          </w:p>
        </w:tc>
        <w:tc>
          <w:tcPr>
            <w:tcW w:w="78" w:type="pct"/>
            <w:tcBorders>
              <w:top w:val="nil"/>
              <w:left w:val="nil"/>
              <w:bottom w:val="nil"/>
              <w:right w:val="nil"/>
            </w:tcBorders>
            <w:noWrap/>
            <w:vAlign w:val="bottom"/>
            <w:hideMark/>
          </w:tcPr>
          <w:p w14:paraId="0401DA9B" w14:textId="77777777" w:rsidR="00FF05EF" w:rsidRPr="00FF05EF" w:rsidRDefault="00FF05EF" w:rsidP="00FF05EF">
            <w:pPr>
              <w:spacing w:after="0" w:line="240" w:lineRule="auto"/>
              <w:jc w:val="center"/>
              <w:rPr>
                <w:rFonts w:ascii="Aptos Narrow" w:eastAsia="Times New Roman" w:hAnsi="Aptos Narrow" w:cs="Times New Roman"/>
                <w:b/>
                <w:bCs/>
                <w:color w:val="FFFFFF"/>
                <w:kern w:val="0"/>
                <w:sz w:val="48"/>
                <w:szCs w:val="48"/>
                <w14:ligatures w14:val="none"/>
              </w:rPr>
            </w:pPr>
          </w:p>
        </w:tc>
      </w:tr>
      <w:tr w:rsidR="00FF05EF" w:rsidRPr="00FF05EF" w14:paraId="53209F41" w14:textId="77777777" w:rsidTr="00FF05EF">
        <w:trPr>
          <w:trHeight w:val="300"/>
        </w:trPr>
        <w:tc>
          <w:tcPr>
            <w:tcW w:w="3494" w:type="pct"/>
            <w:tcBorders>
              <w:top w:val="nil"/>
              <w:left w:val="nil"/>
              <w:bottom w:val="nil"/>
              <w:right w:val="nil"/>
            </w:tcBorders>
            <w:noWrap/>
            <w:vAlign w:val="bottom"/>
            <w:hideMark/>
          </w:tcPr>
          <w:p w14:paraId="77A95E3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54" w:type="pct"/>
            <w:tcBorders>
              <w:top w:val="nil"/>
              <w:left w:val="nil"/>
              <w:bottom w:val="nil"/>
              <w:right w:val="nil"/>
            </w:tcBorders>
            <w:noWrap/>
            <w:vAlign w:val="bottom"/>
            <w:hideMark/>
          </w:tcPr>
          <w:p w14:paraId="3790908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4005E44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3D12A7E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0FC0CA7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72235CB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78" w:type="pct"/>
            <w:vAlign w:val="center"/>
            <w:hideMark/>
          </w:tcPr>
          <w:p w14:paraId="51A8C87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B523711" w14:textId="77777777" w:rsidTr="00FF05EF">
        <w:trPr>
          <w:trHeight w:val="300"/>
        </w:trPr>
        <w:tc>
          <w:tcPr>
            <w:tcW w:w="4922"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258A68C4"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Operating Cash Flow (OCF)</w:t>
            </w:r>
          </w:p>
        </w:tc>
        <w:tc>
          <w:tcPr>
            <w:tcW w:w="78" w:type="pct"/>
            <w:vAlign w:val="center"/>
            <w:hideMark/>
          </w:tcPr>
          <w:p w14:paraId="49E1ED1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718588AF"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1C177699"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 </w:t>
            </w:r>
          </w:p>
        </w:tc>
        <w:tc>
          <w:tcPr>
            <w:tcW w:w="254" w:type="pct"/>
            <w:tcBorders>
              <w:top w:val="nil"/>
              <w:left w:val="nil"/>
              <w:bottom w:val="single" w:sz="4" w:space="0" w:color="auto"/>
              <w:right w:val="single" w:sz="4" w:space="0" w:color="auto"/>
            </w:tcBorders>
            <w:noWrap/>
            <w:vAlign w:val="bottom"/>
            <w:hideMark/>
          </w:tcPr>
          <w:p w14:paraId="4B2D82F4"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293" w:type="pct"/>
            <w:tcBorders>
              <w:top w:val="nil"/>
              <w:left w:val="nil"/>
              <w:bottom w:val="single" w:sz="4" w:space="0" w:color="auto"/>
              <w:right w:val="single" w:sz="4" w:space="0" w:color="auto"/>
            </w:tcBorders>
            <w:noWrap/>
            <w:vAlign w:val="bottom"/>
            <w:hideMark/>
          </w:tcPr>
          <w:p w14:paraId="2C05AD66"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293" w:type="pct"/>
            <w:tcBorders>
              <w:top w:val="nil"/>
              <w:left w:val="nil"/>
              <w:bottom w:val="single" w:sz="4" w:space="0" w:color="auto"/>
              <w:right w:val="single" w:sz="4" w:space="0" w:color="auto"/>
            </w:tcBorders>
            <w:noWrap/>
            <w:vAlign w:val="bottom"/>
            <w:hideMark/>
          </w:tcPr>
          <w:p w14:paraId="70D9E4F7"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293" w:type="pct"/>
            <w:tcBorders>
              <w:top w:val="nil"/>
              <w:left w:val="nil"/>
              <w:bottom w:val="single" w:sz="4" w:space="0" w:color="auto"/>
              <w:right w:val="single" w:sz="4" w:space="0" w:color="auto"/>
            </w:tcBorders>
            <w:noWrap/>
            <w:vAlign w:val="bottom"/>
            <w:hideMark/>
          </w:tcPr>
          <w:p w14:paraId="7231B96F"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293" w:type="pct"/>
            <w:tcBorders>
              <w:top w:val="nil"/>
              <w:left w:val="nil"/>
              <w:bottom w:val="single" w:sz="4" w:space="0" w:color="auto"/>
              <w:right w:val="single" w:sz="4" w:space="0" w:color="auto"/>
            </w:tcBorders>
            <w:noWrap/>
            <w:vAlign w:val="bottom"/>
            <w:hideMark/>
          </w:tcPr>
          <w:p w14:paraId="78A3D221"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78" w:type="pct"/>
            <w:vAlign w:val="center"/>
            <w:hideMark/>
          </w:tcPr>
          <w:p w14:paraId="3FC1311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FC6AF17"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2AD9A467"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Operating Cash Flow ($m)</w:t>
            </w:r>
          </w:p>
        </w:tc>
        <w:tc>
          <w:tcPr>
            <w:tcW w:w="254" w:type="pct"/>
            <w:tcBorders>
              <w:top w:val="nil"/>
              <w:left w:val="nil"/>
              <w:bottom w:val="single" w:sz="4" w:space="0" w:color="auto"/>
              <w:right w:val="single" w:sz="4" w:space="0" w:color="auto"/>
            </w:tcBorders>
            <w:noWrap/>
            <w:vAlign w:val="bottom"/>
            <w:hideMark/>
          </w:tcPr>
          <w:p w14:paraId="7A84BC9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5,943</w:t>
            </w:r>
          </w:p>
        </w:tc>
        <w:tc>
          <w:tcPr>
            <w:tcW w:w="293" w:type="pct"/>
            <w:tcBorders>
              <w:top w:val="nil"/>
              <w:left w:val="nil"/>
              <w:bottom w:val="single" w:sz="4" w:space="0" w:color="auto"/>
              <w:right w:val="single" w:sz="4" w:space="0" w:color="auto"/>
            </w:tcBorders>
            <w:noWrap/>
            <w:vAlign w:val="bottom"/>
            <w:hideMark/>
          </w:tcPr>
          <w:p w14:paraId="5143B70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11,497</w:t>
            </w:r>
          </w:p>
        </w:tc>
        <w:tc>
          <w:tcPr>
            <w:tcW w:w="293" w:type="pct"/>
            <w:tcBorders>
              <w:top w:val="nil"/>
              <w:left w:val="nil"/>
              <w:bottom w:val="single" w:sz="4" w:space="0" w:color="auto"/>
              <w:right w:val="single" w:sz="4" w:space="0" w:color="auto"/>
            </w:tcBorders>
            <w:noWrap/>
            <w:vAlign w:val="bottom"/>
            <w:hideMark/>
          </w:tcPr>
          <w:p w14:paraId="2DD1A78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14,724</w:t>
            </w:r>
          </w:p>
        </w:tc>
        <w:tc>
          <w:tcPr>
            <w:tcW w:w="293" w:type="pct"/>
            <w:tcBorders>
              <w:top w:val="nil"/>
              <w:left w:val="nil"/>
              <w:bottom w:val="single" w:sz="4" w:space="0" w:color="auto"/>
              <w:right w:val="single" w:sz="4" w:space="0" w:color="auto"/>
            </w:tcBorders>
            <w:noWrap/>
            <w:vAlign w:val="bottom"/>
            <w:hideMark/>
          </w:tcPr>
          <w:p w14:paraId="5F14453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13,256</w:t>
            </w:r>
          </w:p>
        </w:tc>
        <w:tc>
          <w:tcPr>
            <w:tcW w:w="293" w:type="pct"/>
            <w:tcBorders>
              <w:top w:val="nil"/>
              <w:left w:val="nil"/>
              <w:bottom w:val="single" w:sz="4" w:space="0" w:color="auto"/>
              <w:right w:val="single" w:sz="4" w:space="0" w:color="auto"/>
            </w:tcBorders>
            <w:noWrap/>
            <w:vAlign w:val="bottom"/>
            <w:hideMark/>
          </w:tcPr>
          <w:p w14:paraId="27B0867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13,740</w:t>
            </w:r>
          </w:p>
        </w:tc>
        <w:tc>
          <w:tcPr>
            <w:tcW w:w="78" w:type="pct"/>
            <w:vAlign w:val="center"/>
            <w:hideMark/>
          </w:tcPr>
          <w:p w14:paraId="3A23F04E"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E0BF8A6" w14:textId="77777777" w:rsidTr="00FF05EF">
        <w:trPr>
          <w:trHeight w:val="300"/>
        </w:trPr>
        <w:tc>
          <w:tcPr>
            <w:tcW w:w="3494" w:type="pct"/>
            <w:tcBorders>
              <w:top w:val="nil"/>
              <w:left w:val="nil"/>
              <w:bottom w:val="nil"/>
              <w:right w:val="nil"/>
            </w:tcBorders>
            <w:noWrap/>
            <w:vAlign w:val="bottom"/>
            <w:hideMark/>
          </w:tcPr>
          <w:p w14:paraId="5437B52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254" w:type="pct"/>
            <w:tcBorders>
              <w:top w:val="nil"/>
              <w:left w:val="nil"/>
              <w:bottom w:val="nil"/>
              <w:right w:val="nil"/>
            </w:tcBorders>
            <w:noWrap/>
            <w:vAlign w:val="bottom"/>
            <w:hideMark/>
          </w:tcPr>
          <w:p w14:paraId="782DBB6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0D7AA87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359DE5D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0586AE8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1AE1AFC8"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78" w:type="pct"/>
            <w:vAlign w:val="center"/>
            <w:hideMark/>
          </w:tcPr>
          <w:p w14:paraId="5F215D7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813A89A" w14:textId="77777777" w:rsidTr="00FF05EF">
        <w:trPr>
          <w:trHeight w:val="300"/>
        </w:trPr>
        <w:tc>
          <w:tcPr>
            <w:tcW w:w="3494" w:type="pct"/>
            <w:tcBorders>
              <w:top w:val="nil"/>
              <w:left w:val="nil"/>
              <w:bottom w:val="nil"/>
              <w:right w:val="nil"/>
            </w:tcBorders>
            <w:noWrap/>
            <w:vAlign w:val="bottom"/>
            <w:hideMark/>
          </w:tcPr>
          <w:p w14:paraId="4C4EBE4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54" w:type="pct"/>
            <w:tcBorders>
              <w:top w:val="nil"/>
              <w:left w:val="nil"/>
              <w:bottom w:val="nil"/>
              <w:right w:val="nil"/>
            </w:tcBorders>
            <w:noWrap/>
            <w:vAlign w:val="bottom"/>
            <w:hideMark/>
          </w:tcPr>
          <w:p w14:paraId="03E6E963"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4C943FE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6E64389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15DBD120"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2CF26B3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78" w:type="pct"/>
            <w:vAlign w:val="center"/>
            <w:hideMark/>
          </w:tcPr>
          <w:p w14:paraId="6B0774A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1E546817" w14:textId="77777777" w:rsidTr="00FF05EF">
        <w:trPr>
          <w:trHeight w:val="300"/>
        </w:trPr>
        <w:tc>
          <w:tcPr>
            <w:tcW w:w="4922"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4537E5C0"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Free Cash Flow (FCF)</w:t>
            </w:r>
          </w:p>
        </w:tc>
        <w:tc>
          <w:tcPr>
            <w:tcW w:w="78" w:type="pct"/>
            <w:vAlign w:val="center"/>
            <w:hideMark/>
          </w:tcPr>
          <w:p w14:paraId="0C75CD5F"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8507DF7"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272A0523"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254" w:type="pct"/>
            <w:tcBorders>
              <w:top w:val="nil"/>
              <w:left w:val="nil"/>
              <w:bottom w:val="single" w:sz="4" w:space="0" w:color="auto"/>
              <w:right w:val="single" w:sz="4" w:space="0" w:color="auto"/>
            </w:tcBorders>
            <w:noWrap/>
            <w:vAlign w:val="bottom"/>
            <w:hideMark/>
          </w:tcPr>
          <w:p w14:paraId="1213CDD5"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293" w:type="pct"/>
            <w:tcBorders>
              <w:top w:val="nil"/>
              <w:left w:val="nil"/>
              <w:bottom w:val="single" w:sz="4" w:space="0" w:color="auto"/>
              <w:right w:val="single" w:sz="4" w:space="0" w:color="auto"/>
            </w:tcBorders>
            <w:noWrap/>
            <w:vAlign w:val="bottom"/>
            <w:hideMark/>
          </w:tcPr>
          <w:p w14:paraId="1CCC2E1C"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293" w:type="pct"/>
            <w:tcBorders>
              <w:top w:val="nil"/>
              <w:left w:val="nil"/>
              <w:bottom w:val="single" w:sz="4" w:space="0" w:color="auto"/>
              <w:right w:val="single" w:sz="4" w:space="0" w:color="auto"/>
            </w:tcBorders>
            <w:noWrap/>
            <w:vAlign w:val="bottom"/>
            <w:hideMark/>
          </w:tcPr>
          <w:p w14:paraId="6011B7D2"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293" w:type="pct"/>
            <w:tcBorders>
              <w:top w:val="nil"/>
              <w:left w:val="nil"/>
              <w:bottom w:val="single" w:sz="4" w:space="0" w:color="auto"/>
              <w:right w:val="single" w:sz="4" w:space="0" w:color="auto"/>
            </w:tcBorders>
            <w:noWrap/>
            <w:vAlign w:val="bottom"/>
            <w:hideMark/>
          </w:tcPr>
          <w:p w14:paraId="22C5D05A"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293" w:type="pct"/>
            <w:tcBorders>
              <w:top w:val="nil"/>
              <w:left w:val="nil"/>
              <w:bottom w:val="single" w:sz="4" w:space="0" w:color="auto"/>
              <w:right w:val="single" w:sz="4" w:space="0" w:color="auto"/>
            </w:tcBorders>
            <w:noWrap/>
            <w:vAlign w:val="bottom"/>
            <w:hideMark/>
          </w:tcPr>
          <w:p w14:paraId="19D6D71A"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78" w:type="pct"/>
            <w:vAlign w:val="center"/>
            <w:hideMark/>
          </w:tcPr>
          <w:p w14:paraId="6206C21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A848B0C"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02FD3A83"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OCF ($m)</w:t>
            </w:r>
          </w:p>
        </w:tc>
        <w:tc>
          <w:tcPr>
            <w:tcW w:w="254" w:type="pct"/>
            <w:tcBorders>
              <w:top w:val="nil"/>
              <w:left w:val="nil"/>
              <w:bottom w:val="single" w:sz="4" w:space="0" w:color="auto"/>
              <w:right w:val="single" w:sz="4" w:space="0" w:color="auto"/>
            </w:tcBorders>
            <w:noWrap/>
            <w:vAlign w:val="bottom"/>
            <w:hideMark/>
          </w:tcPr>
          <w:p w14:paraId="47BA558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5,943</w:t>
            </w:r>
          </w:p>
        </w:tc>
        <w:tc>
          <w:tcPr>
            <w:tcW w:w="293" w:type="pct"/>
            <w:tcBorders>
              <w:top w:val="nil"/>
              <w:left w:val="nil"/>
              <w:bottom w:val="single" w:sz="4" w:space="0" w:color="auto"/>
              <w:right w:val="single" w:sz="4" w:space="0" w:color="auto"/>
            </w:tcBorders>
            <w:noWrap/>
            <w:vAlign w:val="bottom"/>
            <w:hideMark/>
          </w:tcPr>
          <w:p w14:paraId="5270271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11,497</w:t>
            </w:r>
          </w:p>
        </w:tc>
        <w:tc>
          <w:tcPr>
            <w:tcW w:w="293" w:type="pct"/>
            <w:tcBorders>
              <w:top w:val="nil"/>
              <w:left w:val="nil"/>
              <w:bottom w:val="single" w:sz="4" w:space="0" w:color="auto"/>
              <w:right w:val="single" w:sz="4" w:space="0" w:color="auto"/>
            </w:tcBorders>
            <w:noWrap/>
            <w:vAlign w:val="bottom"/>
            <w:hideMark/>
          </w:tcPr>
          <w:p w14:paraId="339952C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14,724</w:t>
            </w:r>
          </w:p>
        </w:tc>
        <w:tc>
          <w:tcPr>
            <w:tcW w:w="293" w:type="pct"/>
            <w:tcBorders>
              <w:top w:val="nil"/>
              <w:left w:val="nil"/>
              <w:bottom w:val="single" w:sz="4" w:space="0" w:color="auto"/>
              <w:right w:val="single" w:sz="4" w:space="0" w:color="auto"/>
            </w:tcBorders>
            <w:noWrap/>
            <w:vAlign w:val="bottom"/>
            <w:hideMark/>
          </w:tcPr>
          <w:p w14:paraId="1C0AAFC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13,256</w:t>
            </w:r>
          </w:p>
        </w:tc>
        <w:tc>
          <w:tcPr>
            <w:tcW w:w="293" w:type="pct"/>
            <w:tcBorders>
              <w:top w:val="nil"/>
              <w:left w:val="nil"/>
              <w:bottom w:val="single" w:sz="4" w:space="0" w:color="auto"/>
              <w:right w:val="single" w:sz="4" w:space="0" w:color="auto"/>
            </w:tcBorders>
            <w:noWrap/>
            <w:vAlign w:val="bottom"/>
            <w:hideMark/>
          </w:tcPr>
          <w:p w14:paraId="61066AA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13,740</w:t>
            </w:r>
          </w:p>
        </w:tc>
        <w:tc>
          <w:tcPr>
            <w:tcW w:w="78" w:type="pct"/>
            <w:vAlign w:val="center"/>
            <w:hideMark/>
          </w:tcPr>
          <w:p w14:paraId="4E36E1E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61FE03E"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39D70D12"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proofErr w:type="spellStart"/>
            <w:r w:rsidRPr="00FF05EF">
              <w:rPr>
                <w:rFonts w:ascii="Aptos Narrow" w:eastAsia="Times New Roman" w:hAnsi="Aptos Narrow" w:cs="Times New Roman"/>
                <w:b/>
                <w:bCs/>
                <w:color w:val="000000"/>
                <w:kern w:val="0"/>
                <w:sz w:val="22"/>
                <w:szCs w:val="22"/>
                <w14:ligatures w14:val="none"/>
              </w:rPr>
              <w:t>CapEx</w:t>
            </w:r>
            <w:proofErr w:type="spellEnd"/>
            <w:r w:rsidRPr="00FF05EF">
              <w:rPr>
                <w:rFonts w:ascii="Aptos Narrow" w:eastAsia="Times New Roman" w:hAnsi="Aptos Narrow" w:cs="Times New Roman"/>
                <w:b/>
                <w:bCs/>
                <w:color w:val="000000"/>
                <w:kern w:val="0"/>
                <w:sz w:val="22"/>
                <w:szCs w:val="22"/>
                <w14:ligatures w14:val="none"/>
              </w:rPr>
              <w:t xml:space="preserve"> ($m)</w:t>
            </w:r>
          </w:p>
        </w:tc>
        <w:tc>
          <w:tcPr>
            <w:tcW w:w="254" w:type="pct"/>
            <w:tcBorders>
              <w:top w:val="nil"/>
              <w:left w:val="nil"/>
              <w:bottom w:val="single" w:sz="4" w:space="0" w:color="auto"/>
              <w:right w:val="single" w:sz="4" w:space="0" w:color="auto"/>
            </w:tcBorders>
            <w:noWrap/>
            <w:vAlign w:val="bottom"/>
            <w:hideMark/>
          </w:tcPr>
          <w:p w14:paraId="0A1D50D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3,132</w:t>
            </w:r>
          </w:p>
        </w:tc>
        <w:tc>
          <w:tcPr>
            <w:tcW w:w="293" w:type="pct"/>
            <w:tcBorders>
              <w:top w:val="nil"/>
              <w:left w:val="nil"/>
              <w:bottom w:val="single" w:sz="4" w:space="0" w:color="auto"/>
              <w:right w:val="single" w:sz="4" w:space="0" w:color="auto"/>
            </w:tcBorders>
            <w:noWrap/>
            <w:vAlign w:val="bottom"/>
            <w:hideMark/>
          </w:tcPr>
          <w:p w14:paraId="21B33820"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6,482</w:t>
            </w:r>
          </w:p>
        </w:tc>
        <w:tc>
          <w:tcPr>
            <w:tcW w:w="293" w:type="pct"/>
            <w:tcBorders>
              <w:top w:val="nil"/>
              <w:left w:val="nil"/>
              <w:bottom w:val="single" w:sz="4" w:space="0" w:color="auto"/>
              <w:right w:val="single" w:sz="4" w:space="0" w:color="auto"/>
            </w:tcBorders>
            <w:noWrap/>
            <w:vAlign w:val="bottom"/>
            <w:hideMark/>
          </w:tcPr>
          <w:p w14:paraId="737CEC4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7,158</w:t>
            </w:r>
          </w:p>
        </w:tc>
        <w:tc>
          <w:tcPr>
            <w:tcW w:w="293" w:type="pct"/>
            <w:tcBorders>
              <w:top w:val="nil"/>
              <w:left w:val="nil"/>
              <w:bottom w:val="single" w:sz="4" w:space="0" w:color="auto"/>
              <w:right w:val="single" w:sz="4" w:space="0" w:color="auto"/>
            </w:tcBorders>
            <w:noWrap/>
            <w:vAlign w:val="bottom"/>
            <w:hideMark/>
          </w:tcPr>
          <w:p w14:paraId="1A824D8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8,899</w:t>
            </w:r>
          </w:p>
        </w:tc>
        <w:tc>
          <w:tcPr>
            <w:tcW w:w="293" w:type="pct"/>
            <w:tcBorders>
              <w:top w:val="nil"/>
              <w:left w:val="nil"/>
              <w:bottom w:val="single" w:sz="4" w:space="0" w:color="auto"/>
              <w:right w:val="single" w:sz="4" w:space="0" w:color="auto"/>
            </w:tcBorders>
            <w:noWrap/>
            <w:vAlign w:val="bottom"/>
            <w:hideMark/>
          </w:tcPr>
          <w:p w14:paraId="13E4B16C"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9,189</w:t>
            </w:r>
          </w:p>
        </w:tc>
        <w:tc>
          <w:tcPr>
            <w:tcW w:w="78" w:type="pct"/>
            <w:vAlign w:val="center"/>
            <w:hideMark/>
          </w:tcPr>
          <w:p w14:paraId="4777485D"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487358E6"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4FEA76CD"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Free Cash Flow (FCF) = Operating Cash Flow − Capital Expenditure</w:t>
            </w:r>
          </w:p>
        </w:tc>
        <w:tc>
          <w:tcPr>
            <w:tcW w:w="254" w:type="pct"/>
            <w:tcBorders>
              <w:top w:val="nil"/>
              <w:left w:val="nil"/>
              <w:bottom w:val="single" w:sz="4" w:space="0" w:color="auto"/>
              <w:right w:val="single" w:sz="4" w:space="0" w:color="auto"/>
            </w:tcBorders>
            <w:noWrap/>
            <w:vAlign w:val="bottom"/>
            <w:hideMark/>
          </w:tcPr>
          <w:p w14:paraId="70DC6CD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2811</w:t>
            </w:r>
          </w:p>
        </w:tc>
        <w:tc>
          <w:tcPr>
            <w:tcW w:w="293" w:type="pct"/>
            <w:tcBorders>
              <w:top w:val="nil"/>
              <w:left w:val="nil"/>
              <w:bottom w:val="single" w:sz="4" w:space="0" w:color="auto"/>
              <w:right w:val="single" w:sz="4" w:space="0" w:color="auto"/>
            </w:tcBorders>
            <w:noWrap/>
            <w:vAlign w:val="bottom"/>
            <w:hideMark/>
          </w:tcPr>
          <w:p w14:paraId="534944A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5015</w:t>
            </w:r>
          </w:p>
        </w:tc>
        <w:tc>
          <w:tcPr>
            <w:tcW w:w="293" w:type="pct"/>
            <w:tcBorders>
              <w:top w:val="nil"/>
              <w:left w:val="nil"/>
              <w:bottom w:val="single" w:sz="4" w:space="0" w:color="auto"/>
              <w:right w:val="single" w:sz="4" w:space="0" w:color="auto"/>
            </w:tcBorders>
            <w:noWrap/>
            <w:vAlign w:val="bottom"/>
            <w:hideMark/>
          </w:tcPr>
          <w:p w14:paraId="3CDCC4B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7566</w:t>
            </w:r>
          </w:p>
        </w:tc>
        <w:tc>
          <w:tcPr>
            <w:tcW w:w="293" w:type="pct"/>
            <w:tcBorders>
              <w:top w:val="nil"/>
              <w:left w:val="nil"/>
              <w:bottom w:val="single" w:sz="4" w:space="0" w:color="auto"/>
              <w:right w:val="single" w:sz="4" w:space="0" w:color="auto"/>
            </w:tcBorders>
            <w:noWrap/>
            <w:vAlign w:val="bottom"/>
            <w:hideMark/>
          </w:tcPr>
          <w:p w14:paraId="7C7383D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4357</w:t>
            </w:r>
          </w:p>
        </w:tc>
        <w:tc>
          <w:tcPr>
            <w:tcW w:w="293" w:type="pct"/>
            <w:tcBorders>
              <w:top w:val="nil"/>
              <w:left w:val="nil"/>
              <w:bottom w:val="single" w:sz="4" w:space="0" w:color="auto"/>
              <w:right w:val="single" w:sz="4" w:space="0" w:color="auto"/>
            </w:tcBorders>
            <w:noWrap/>
            <w:vAlign w:val="bottom"/>
            <w:hideMark/>
          </w:tcPr>
          <w:p w14:paraId="76957D09"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4551</w:t>
            </w:r>
          </w:p>
        </w:tc>
        <w:tc>
          <w:tcPr>
            <w:tcW w:w="78" w:type="pct"/>
            <w:vAlign w:val="center"/>
            <w:hideMark/>
          </w:tcPr>
          <w:p w14:paraId="5FEAA97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DC520A3" w14:textId="77777777" w:rsidTr="00FF05EF">
        <w:trPr>
          <w:trHeight w:val="300"/>
        </w:trPr>
        <w:tc>
          <w:tcPr>
            <w:tcW w:w="3494" w:type="pct"/>
            <w:tcBorders>
              <w:top w:val="nil"/>
              <w:left w:val="nil"/>
              <w:bottom w:val="nil"/>
              <w:right w:val="nil"/>
            </w:tcBorders>
            <w:noWrap/>
            <w:vAlign w:val="bottom"/>
            <w:hideMark/>
          </w:tcPr>
          <w:p w14:paraId="0C264B45"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p>
        </w:tc>
        <w:tc>
          <w:tcPr>
            <w:tcW w:w="254" w:type="pct"/>
            <w:tcBorders>
              <w:top w:val="nil"/>
              <w:left w:val="nil"/>
              <w:bottom w:val="nil"/>
              <w:right w:val="nil"/>
            </w:tcBorders>
            <w:noWrap/>
            <w:vAlign w:val="bottom"/>
            <w:hideMark/>
          </w:tcPr>
          <w:p w14:paraId="34225622"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244F157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08F667A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6FF2E561"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54569C2B"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78" w:type="pct"/>
            <w:vAlign w:val="center"/>
            <w:hideMark/>
          </w:tcPr>
          <w:p w14:paraId="19B2070C"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081A5C42" w14:textId="77777777" w:rsidTr="00FF05EF">
        <w:trPr>
          <w:trHeight w:val="300"/>
        </w:trPr>
        <w:tc>
          <w:tcPr>
            <w:tcW w:w="3494" w:type="pct"/>
            <w:tcBorders>
              <w:top w:val="nil"/>
              <w:left w:val="nil"/>
              <w:bottom w:val="nil"/>
              <w:right w:val="nil"/>
            </w:tcBorders>
            <w:noWrap/>
            <w:vAlign w:val="bottom"/>
            <w:hideMark/>
          </w:tcPr>
          <w:p w14:paraId="6E81FFC7"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54" w:type="pct"/>
            <w:tcBorders>
              <w:top w:val="nil"/>
              <w:left w:val="nil"/>
              <w:bottom w:val="nil"/>
              <w:right w:val="nil"/>
            </w:tcBorders>
            <w:noWrap/>
            <w:vAlign w:val="bottom"/>
            <w:hideMark/>
          </w:tcPr>
          <w:p w14:paraId="0C3E6B1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519ECCC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542311C9"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606E32E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293" w:type="pct"/>
            <w:tcBorders>
              <w:top w:val="nil"/>
              <w:left w:val="nil"/>
              <w:bottom w:val="nil"/>
              <w:right w:val="nil"/>
            </w:tcBorders>
            <w:noWrap/>
            <w:vAlign w:val="bottom"/>
            <w:hideMark/>
          </w:tcPr>
          <w:p w14:paraId="7EA36416"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c>
          <w:tcPr>
            <w:tcW w:w="78" w:type="pct"/>
            <w:vAlign w:val="center"/>
            <w:hideMark/>
          </w:tcPr>
          <w:p w14:paraId="5D43AB95"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3C0A65E2" w14:textId="77777777" w:rsidTr="00FF05EF">
        <w:trPr>
          <w:trHeight w:val="300"/>
        </w:trPr>
        <w:tc>
          <w:tcPr>
            <w:tcW w:w="4922"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7651FD61"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Cash Flow Adequacy Ratio</w:t>
            </w:r>
          </w:p>
        </w:tc>
        <w:tc>
          <w:tcPr>
            <w:tcW w:w="78" w:type="pct"/>
            <w:vAlign w:val="center"/>
            <w:hideMark/>
          </w:tcPr>
          <w:p w14:paraId="4272754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2FF1D09F"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75F36C4F" w14:textId="77777777" w:rsidR="00FF05EF" w:rsidRPr="00FF05EF" w:rsidRDefault="00FF05EF" w:rsidP="00FF05EF">
            <w:pPr>
              <w:spacing w:after="0" w:line="240" w:lineRule="auto"/>
              <w:jc w:val="lef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 </w:t>
            </w:r>
          </w:p>
        </w:tc>
        <w:tc>
          <w:tcPr>
            <w:tcW w:w="254" w:type="pct"/>
            <w:tcBorders>
              <w:top w:val="nil"/>
              <w:left w:val="nil"/>
              <w:bottom w:val="single" w:sz="4" w:space="0" w:color="auto"/>
              <w:right w:val="single" w:sz="4" w:space="0" w:color="auto"/>
            </w:tcBorders>
            <w:noWrap/>
            <w:vAlign w:val="bottom"/>
            <w:hideMark/>
          </w:tcPr>
          <w:p w14:paraId="168F1168"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2020</w:t>
            </w:r>
          </w:p>
        </w:tc>
        <w:tc>
          <w:tcPr>
            <w:tcW w:w="293" w:type="pct"/>
            <w:tcBorders>
              <w:top w:val="nil"/>
              <w:left w:val="nil"/>
              <w:bottom w:val="single" w:sz="4" w:space="0" w:color="auto"/>
              <w:right w:val="single" w:sz="4" w:space="0" w:color="auto"/>
            </w:tcBorders>
            <w:noWrap/>
            <w:vAlign w:val="bottom"/>
            <w:hideMark/>
          </w:tcPr>
          <w:p w14:paraId="099B7C41"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2021</w:t>
            </w:r>
          </w:p>
        </w:tc>
        <w:tc>
          <w:tcPr>
            <w:tcW w:w="293" w:type="pct"/>
            <w:tcBorders>
              <w:top w:val="nil"/>
              <w:left w:val="nil"/>
              <w:bottom w:val="single" w:sz="4" w:space="0" w:color="auto"/>
              <w:right w:val="single" w:sz="4" w:space="0" w:color="auto"/>
            </w:tcBorders>
            <w:noWrap/>
            <w:vAlign w:val="bottom"/>
            <w:hideMark/>
          </w:tcPr>
          <w:p w14:paraId="2CFA894E"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2022</w:t>
            </w:r>
          </w:p>
        </w:tc>
        <w:tc>
          <w:tcPr>
            <w:tcW w:w="293" w:type="pct"/>
            <w:tcBorders>
              <w:top w:val="nil"/>
              <w:left w:val="nil"/>
              <w:bottom w:val="single" w:sz="4" w:space="0" w:color="auto"/>
              <w:right w:val="single" w:sz="4" w:space="0" w:color="auto"/>
            </w:tcBorders>
            <w:noWrap/>
            <w:vAlign w:val="bottom"/>
            <w:hideMark/>
          </w:tcPr>
          <w:p w14:paraId="227237F3"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2023</w:t>
            </w:r>
          </w:p>
        </w:tc>
        <w:tc>
          <w:tcPr>
            <w:tcW w:w="293" w:type="pct"/>
            <w:tcBorders>
              <w:top w:val="nil"/>
              <w:left w:val="nil"/>
              <w:bottom w:val="single" w:sz="4" w:space="0" w:color="auto"/>
              <w:right w:val="single" w:sz="4" w:space="0" w:color="auto"/>
            </w:tcBorders>
            <w:noWrap/>
            <w:vAlign w:val="bottom"/>
            <w:hideMark/>
          </w:tcPr>
          <w:p w14:paraId="12D92B1D" w14:textId="77777777" w:rsidR="00FF05EF" w:rsidRPr="00FF05EF" w:rsidRDefault="00FF05EF" w:rsidP="00FF05EF">
            <w:pPr>
              <w:spacing w:after="0" w:line="240" w:lineRule="auto"/>
              <w:jc w:val="center"/>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2024</w:t>
            </w:r>
          </w:p>
        </w:tc>
        <w:tc>
          <w:tcPr>
            <w:tcW w:w="78" w:type="pct"/>
            <w:vAlign w:val="center"/>
            <w:hideMark/>
          </w:tcPr>
          <w:p w14:paraId="3057B61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7E9D380"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6ADD410C"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OCF ($m)</w:t>
            </w:r>
          </w:p>
        </w:tc>
        <w:tc>
          <w:tcPr>
            <w:tcW w:w="254" w:type="pct"/>
            <w:tcBorders>
              <w:top w:val="nil"/>
              <w:left w:val="nil"/>
              <w:bottom w:val="single" w:sz="4" w:space="0" w:color="auto"/>
              <w:right w:val="single" w:sz="4" w:space="0" w:color="auto"/>
            </w:tcBorders>
            <w:noWrap/>
            <w:vAlign w:val="bottom"/>
            <w:hideMark/>
          </w:tcPr>
          <w:p w14:paraId="451548AB"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5,943</w:t>
            </w:r>
          </w:p>
        </w:tc>
        <w:tc>
          <w:tcPr>
            <w:tcW w:w="293" w:type="pct"/>
            <w:tcBorders>
              <w:top w:val="nil"/>
              <w:left w:val="nil"/>
              <w:bottom w:val="single" w:sz="4" w:space="0" w:color="auto"/>
              <w:right w:val="single" w:sz="4" w:space="0" w:color="auto"/>
            </w:tcBorders>
            <w:noWrap/>
            <w:vAlign w:val="bottom"/>
            <w:hideMark/>
          </w:tcPr>
          <w:p w14:paraId="5C91A3C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11,497</w:t>
            </w:r>
          </w:p>
        </w:tc>
        <w:tc>
          <w:tcPr>
            <w:tcW w:w="293" w:type="pct"/>
            <w:tcBorders>
              <w:top w:val="nil"/>
              <w:left w:val="nil"/>
              <w:bottom w:val="single" w:sz="4" w:space="0" w:color="auto"/>
              <w:right w:val="single" w:sz="4" w:space="0" w:color="auto"/>
            </w:tcBorders>
            <w:noWrap/>
            <w:vAlign w:val="bottom"/>
            <w:hideMark/>
          </w:tcPr>
          <w:p w14:paraId="5A4428E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14,724</w:t>
            </w:r>
          </w:p>
        </w:tc>
        <w:tc>
          <w:tcPr>
            <w:tcW w:w="293" w:type="pct"/>
            <w:tcBorders>
              <w:top w:val="nil"/>
              <w:left w:val="nil"/>
              <w:bottom w:val="single" w:sz="4" w:space="0" w:color="auto"/>
              <w:right w:val="single" w:sz="4" w:space="0" w:color="auto"/>
            </w:tcBorders>
            <w:noWrap/>
            <w:vAlign w:val="bottom"/>
            <w:hideMark/>
          </w:tcPr>
          <w:p w14:paraId="03E34267"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13,256</w:t>
            </w:r>
          </w:p>
        </w:tc>
        <w:tc>
          <w:tcPr>
            <w:tcW w:w="293" w:type="pct"/>
            <w:tcBorders>
              <w:top w:val="nil"/>
              <w:left w:val="nil"/>
              <w:bottom w:val="single" w:sz="4" w:space="0" w:color="auto"/>
              <w:right w:val="single" w:sz="4" w:space="0" w:color="auto"/>
            </w:tcBorders>
            <w:noWrap/>
            <w:vAlign w:val="bottom"/>
            <w:hideMark/>
          </w:tcPr>
          <w:p w14:paraId="40771A46"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13,740</w:t>
            </w:r>
          </w:p>
        </w:tc>
        <w:tc>
          <w:tcPr>
            <w:tcW w:w="78" w:type="pct"/>
            <w:vAlign w:val="center"/>
            <w:hideMark/>
          </w:tcPr>
          <w:p w14:paraId="3437B364"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5CDE589F"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4063BCFA"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proofErr w:type="spellStart"/>
            <w:r w:rsidRPr="00FF05EF">
              <w:rPr>
                <w:rFonts w:ascii="Aptos Narrow" w:eastAsia="Times New Roman" w:hAnsi="Aptos Narrow" w:cs="Times New Roman"/>
                <w:b/>
                <w:bCs/>
                <w:color w:val="000000"/>
                <w:kern w:val="0"/>
                <w:sz w:val="22"/>
                <w:szCs w:val="22"/>
                <w14:ligatures w14:val="none"/>
              </w:rPr>
              <w:t>CapEx</w:t>
            </w:r>
            <w:proofErr w:type="spellEnd"/>
            <w:r w:rsidRPr="00FF05EF">
              <w:rPr>
                <w:rFonts w:ascii="Aptos Narrow" w:eastAsia="Times New Roman" w:hAnsi="Aptos Narrow" w:cs="Times New Roman"/>
                <w:b/>
                <w:bCs/>
                <w:color w:val="000000"/>
                <w:kern w:val="0"/>
                <w:sz w:val="22"/>
                <w:szCs w:val="22"/>
                <w14:ligatures w14:val="none"/>
              </w:rPr>
              <w:t xml:space="preserve"> ($m)</w:t>
            </w:r>
          </w:p>
        </w:tc>
        <w:tc>
          <w:tcPr>
            <w:tcW w:w="254" w:type="pct"/>
            <w:tcBorders>
              <w:top w:val="nil"/>
              <w:left w:val="nil"/>
              <w:bottom w:val="single" w:sz="4" w:space="0" w:color="auto"/>
              <w:right w:val="single" w:sz="4" w:space="0" w:color="auto"/>
            </w:tcBorders>
            <w:noWrap/>
            <w:vAlign w:val="bottom"/>
            <w:hideMark/>
          </w:tcPr>
          <w:p w14:paraId="4D5596BD"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3,132</w:t>
            </w:r>
          </w:p>
        </w:tc>
        <w:tc>
          <w:tcPr>
            <w:tcW w:w="293" w:type="pct"/>
            <w:tcBorders>
              <w:top w:val="nil"/>
              <w:left w:val="nil"/>
              <w:bottom w:val="single" w:sz="4" w:space="0" w:color="auto"/>
              <w:right w:val="single" w:sz="4" w:space="0" w:color="auto"/>
            </w:tcBorders>
            <w:noWrap/>
            <w:vAlign w:val="bottom"/>
            <w:hideMark/>
          </w:tcPr>
          <w:p w14:paraId="6784BB4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6,482</w:t>
            </w:r>
          </w:p>
        </w:tc>
        <w:tc>
          <w:tcPr>
            <w:tcW w:w="293" w:type="pct"/>
            <w:tcBorders>
              <w:top w:val="nil"/>
              <w:left w:val="nil"/>
              <w:bottom w:val="single" w:sz="4" w:space="0" w:color="auto"/>
              <w:right w:val="single" w:sz="4" w:space="0" w:color="auto"/>
            </w:tcBorders>
            <w:noWrap/>
            <w:vAlign w:val="bottom"/>
            <w:hideMark/>
          </w:tcPr>
          <w:p w14:paraId="6A11A53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7,158</w:t>
            </w:r>
          </w:p>
        </w:tc>
        <w:tc>
          <w:tcPr>
            <w:tcW w:w="293" w:type="pct"/>
            <w:tcBorders>
              <w:top w:val="nil"/>
              <w:left w:val="nil"/>
              <w:bottom w:val="single" w:sz="4" w:space="0" w:color="auto"/>
              <w:right w:val="single" w:sz="4" w:space="0" w:color="auto"/>
            </w:tcBorders>
            <w:noWrap/>
            <w:vAlign w:val="bottom"/>
            <w:hideMark/>
          </w:tcPr>
          <w:p w14:paraId="41FB92E2"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8,899</w:t>
            </w:r>
          </w:p>
        </w:tc>
        <w:tc>
          <w:tcPr>
            <w:tcW w:w="293" w:type="pct"/>
            <w:tcBorders>
              <w:top w:val="nil"/>
              <w:left w:val="nil"/>
              <w:bottom w:val="single" w:sz="4" w:space="0" w:color="auto"/>
              <w:right w:val="single" w:sz="4" w:space="0" w:color="auto"/>
            </w:tcBorders>
            <w:noWrap/>
            <w:vAlign w:val="bottom"/>
            <w:hideMark/>
          </w:tcPr>
          <w:p w14:paraId="6B3EBD84"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9,189</w:t>
            </w:r>
          </w:p>
        </w:tc>
        <w:tc>
          <w:tcPr>
            <w:tcW w:w="78" w:type="pct"/>
            <w:vAlign w:val="center"/>
            <w:hideMark/>
          </w:tcPr>
          <w:p w14:paraId="60F973D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r w:rsidR="00FF05EF" w:rsidRPr="00FF05EF" w14:paraId="6917FC1E" w14:textId="77777777" w:rsidTr="00FF05EF">
        <w:trPr>
          <w:trHeight w:val="300"/>
        </w:trPr>
        <w:tc>
          <w:tcPr>
            <w:tcW w:w="3494" w:type="pct"/>
            <w:tcBorders>
              <w:top w:val="nil"/>
              <w:left w:val="single" w:sz="4" w:space="0" w:color="auto"/>
              <w:bottom w:val="single" w:sz="4" w:space="0" w:color="auto"/>
              <w:right w:val="single" w:sz="4" w:space="0" w:color="auto"/>
            </w:tcBorders>
            <w:noWrap/>
            <w:vAlign w:val="bottom"/>
            <w:hideMark/>
          </w:tcPr>
          <w:p w14:paraId="58FAB137" w14:textId="77777777" w:rsidR="00FF05EF" w:rsidRPr="00FF05EF" w:rsidRDefault="00FF05EF" w:rsidP="00FF05EF">
            <w:pPr>
              <w:spacing w:after="0" w:line="240" w:lineRule="auto"/>
              <w:jc w:val="left"/>
              <w:rPr>
                <w:rFonts w:ascii="Aptos Narrow" w:eastAsia="Times New Roman" w:hAnsi="Aptos Narrow" w:cs="Times New Roman"/>
                <w:b/>
                <w:bCs/>
                <w:color w:val="000000"/>
                <w:kern w:val="0"/>
                <w:sz w:val="22"/>
                <w:szCs w:val="22"/>
                <w14:ligatures w14:val="none"/>
              </w:rPr>
            </w:pPr>
            <w:r w:rsidRPr="00FF05EF">
              <w:rPr>
                <w:rFonts w:ascii="Aptos Narrow" w:eastAsia="Times New Roman" w:hAnsi="Aptos Narrow" w:cs="Times New Roman"/>
                <w:b/>
                <w:bCs/>
                <w:color w:val="000000"/>
                <w:kern w:val="0"/>
                <w:sz w:val="22"/>
                <w:szCs w:val="22"/>
                <w14:ligatures w14:val="none"/>
              </w:rPr>
              <w:t>Cash Flow Adequacy Ratio = Operating Cash Flow ÷ (</w:t>
            </w:r>
            <w:proofErr w:type="spellStart"/>
            <w:r w:rsidRPr="00FF05EF">
              <w:rPr>
                <w:rFonts w:ascii="Aptos Narrow" w:eastAsia="Times New Roman" w:hAnsi="Aptos Narrow" w:cs="Times New Roman"/>
                <w:b/>
                <w:bCs/>
                <w:color w:val="000000"/>
                <w:kern w:val="0"/>
                <w:sz w:val="22"/>
                <w:szCs w:val="22"/>
                <w14:ligatures w14:val="none"/>
              </w:rPr>
              <w:t>CapEx</w:t>
            </w:r>
            <w:proofErr w:type="spellEnd"/>
            <w:r w:rsidRPr="00FF05EF">
              <w:rPr>
                <w:rFonts w:ascii="Aptos Narrow" w:eastAsia="Times New Roman" w:hAnsi="Aptos Narrow" w:cs="Times New Roman"/>
                <w:b/>
                <w:bCs/>
                <w:color w:val="000000"/>
                <w:kern w:val="0"/>
                <w:sz w:val="22"/>
                <w:szCs w:val="22"/>
                <w14:ligatures w14:val="none"/>
              </w:rPr>
              <w:t xml:space="preserve"> + Debt Repayment + Dividends)</w:t>
            </w:r>
          </w:p>
        </w:tc>
        <w:tc>
          <w:tcPr>
            <w:tcW w:w="254" w:type="pct"/>
            <w:tcBorders>
              <w:top w:val="nil"/>
              <w:left w:val="nil"/>
              <w:bottom w:val="single" w:sz="4" w:space="0" w:color="auto"/>
              <w:right w:val="single" w:sz="4" w:space="0" w:color="auto"/>
            </w:tcBorders>
            <w:noWrap/>
            <w:vAlign w:val="bottom"/>
            <w:hideMark/>
          </w:tcPr>
          <w:p w14:paraId="246D629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1.90</w:t>
            </w:r>
          </w:p>
        </w:tc>
        <w:tc>
          <w:tcPr>
            <w:tcW w:w="293" w:type="pct"/>
            <w:tcBorders>
              <w:top w:val="nil"/>
              <w:left w:val="nil"/>
              <w:bottom w:val="single" w:sz="4" w:space="0" w:color="auto"/>
              <w:right w:val="single" w:sz="4" w:space="0" w:color="auto"/>
            </w:tcBorders>
            <w:noWrap/>
            <w:vAlign w:val="bottom"/>
            <w:hideMark/>
          </w:tcPr>
          <w:p w14:paraId="136B61D8"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1.77</w:t>
            </w:r>
          </w:p>
        </w:tc>
        <w:tc>
          <w:tcPr>
            <w:tcW w:w="293" w:type="pct"/>
            <w:tcBorders>
              <w:top w:val="nil"/>
              <w:left w:val="nil"/>
              <w:bottom w:val="single" w:sz="4" w:space="0" w:color="auto"/>
              <w:right w:val="single" w:sz="4" w:space="0" w:color="auto"/>
            </w:tcBorders>
            <w:noWrap/>
            <w:vAlign w:val="bottom"/>
            <w:hideMark/>
          </w:tcPr>
          <w:p w14:paraId="1995570A"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2.06</w:t>
            </w:r>
          </w:p>
        </w:tc>
        <w:tc>
          <w:tcPr>
            <w:tcW w:w="293" w:type="pct"/>
            <w:tcBorders>
              <w:top w:val="nil"/>
              <w:left w:val="nil"/>
              <w:bottom w:val="single" w:sz="4" w:space="0" w:color="auto"/>
              <w:right w:val="single" w:sz="4" w:space="0" w:color="auto"/>
            </w:tcBorders>
            <w:noWrap/>
            <w:vAlign w:val="bottom"/>
            <w:hideMark/>
          </w:tcPr>
          <w:p w14:paraId="1138DD9F"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1.49</w:t>
            </w:r>
          </w:p>
        </w:tc>
        <w:tc>
          <w:tcPr>
            <w:tcW w:w="293" w:type="pct"/>
            <w:tcBorders>
              <w:top w:val="nil"/>
              <w:left w:val="nil"/>
              <w:bottom w:val="single" w:sz="4" w:space="0" w:color="auto"/>
              <w:right w:val="single" w:sz="4" w:space="0" w:color="auto"/>
            </w:tcBorders>
            <w:noWrap/>
            <w:vAlign w:val="bottom"/>
            <w:hideMark/>
          </w:tcPr>
          <w:p w14:paraId="4D9ADF13" w14:textId="77777777" w:rsidR="00FF05EF" w:rsidRPr="00FF05EF" w:rsidRDefault="00FF05EF" w:rsidP="00FF05EF">
            <w:pPr>
              <w:spacing w:after="0" w:line="240" w:lineRule="auto"/>
              <w:jc w:val="right"/>
              <w:rPr>
                <w:rFonts w:ascii="Aptos Narrow" w:eastAsia="Times New Roman" w:hAnsi="Aptos Narrow" w:cs="Times New Roman"/>
                <w:color w:val="000000"/>
                <w:kern w:val="0"/>
                <w:sz w:val="22"/>
                <w:szCs w:val="22"/>
                <w14:ligatures w14:val="none"/>
              </w:rPr>
            </w:pPr>
            <w:r w:rsidRPr="00FF05EF">
              <w:rPr>
                <w:rFonts w:ascii="Aptos Narrow" w:eastAsia="Times New Roman" w:hAnsi="Aptos Narrow" w:cs="Times New Roman"/>
                <w:color w:val="000000"/>
                <w:kern w:val="0"/>
                <w:sz w:val="22"/>
                <w:szCs w:val="22"/>
                <w14:ligatures w14:val="none"/>
              </w:rPr>
              <w:t>1.50</w:t>
            </w:r>
          </w:p>
        </w:tc>
        <w:tc>
          <w:tcPr>
            <w:tcW w:w="78" w:type="pct"/>
            <w:vAlign w:val="center"/>
            <w:hideMark/>
          </w:tcPr>
          <w:p w14:paraId="496CAC3A" w14:textId="77777777" w:rsidR="00FF05EF" w:rsidRPr="00FF05EF" w:rsidRDefault="00FF05EF" w:rsidP="00FF05EF">
            <w:pPr>
              <w:spacing w:after="0" w:line="240" w:lineRule="auto"/>
              <w:jc w:val="left"/>
              <w:rPr>
                <w:rFonts w:ascii="Times New Roman" w:eastAsia="Times New Roman" w:hAnsi="Times New Roman" w:cs="Times New Roman"/>
                <w:kern w:val="0"/>
                <w:sz w:val="20"/>
                <w:szCs w:val="20"/>
                <w14:ligatures w14:val="none"/>
              </w:rPr>
            </w:pPr>
          </w:p>
        </w:tc>
      </w:tr>
    </w:tbl>
    <w:p w14:paraId="4E4E40B8" w14:textId="77777777" w:rsidR="00FF05EF" w:rsidRDefault="00FF05EF" w:rsidP="008E7995"/>
    <w:p w14:paraId="766C136F" w14:textId="77777777" w:rsidR="00FF05EF" w:rsidRPr="008E7995" w:rsidRDefault="00FF05EF" w:rsidP="008E7995"/>
    <w:p w14:paraId="28DFB452" w14:textId="6A7768CA" w:rsidR="008E7995" w:rsidRDefault="008E7995" w:rsidP="008E7995">
      <w:pPr>
        <w:pStyle w:val="Heading2"/>
      </w:pPr>
      <w:bookmarkStart w:id="139" w:name="_Toc227659718"/>
      <w:r w:rsidRPr="008E7995">
        <w:lastRenderedPageBreak/>
        <w:t>Graphs (Trend Analysis)</w:t>
      </w:r>
      <w:bookmarkEnd w:id="139"/>
    </w:p>
    <w:p w14:paraId="0ABE3BF5" w14:textId="1095A709" w:rsidR="00403DD3" w:rsidRDefault="00403DD3" w:rsidP="00403DD3">
      <w:pPr>
        <w:jc w:val="center"/>
      </w:pPr>
      <w:r>
        <w:rPr>
          <w:noProof/>
        </w:rPr>
        <w:drawing>
          <wp:inline distT="0" distB="0" distL="0" distR="0" wp14:anchorId="5835AD1B" wp14:editId="1E3EBE6D">
            <wp:extent cx="4572000" cy="2743200"/>
            <wp:effectExtent l="0" t="0" r="0" b="0"/>
            <wp:docPr id="885594543" name="Chart 1">
              <a:extLst xmlns:a="http://schemas.openxmlformats.org/drawingml/2006/main">
                <a:ext uri="{FF2B5EF4-FFF2-40B4-BE49-F238E27FC236}">
                  <a16:creationId xmlns:a16="http://schemas.microsoft.com/office/drawing/2014/main" id="{B8565FB7-F0A9-EF00-70E8-240888AAE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14:paraId="7CFC0980" w14:textId="0D4D8235" w:rsidR="00403DD3" w:rsidRDefault="00403DD3" w:rsidP="00403DD3">
      <w:pPr>
        <w:jc w:val="center"/>
      </w:pPr>
      <w:r>
        <w:rPr>
          <w:noProof/>
        </w:rPr>
        <w:drawing>
          <wp:inline distT="0" distB="0" distL="0" distR="0" wp14:anchorId="7188E3D2" wp14:editId="2B98F4D0">
            <wp:extent cx="4572000" cy="2743200"/>
            <wp:effectExtent l="0" t="0" r="0" b="0"/>
            <wp:docPr id="194402866" name="Chart 1">
              <a:extLst xmlns:a="http://schemas.openxmlformats.org/drawingml/2006/main">
                <a:ext uri="{FF2B5EF4-FFF2-40B4-BE49-F238E27FC236}">
                  <a16:creationId xmlns:a16="http://schemas.microsoft.com/office/drawing/2014/main" id="{46F9A1C2-F715-4D16-D777-F450B0028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inline>
        </w:drawing>
      </w:r>
    </w:p>
    <w:p w14:paraId="2F5667FE" w14:textId="7A4098DC" w:rsidR="00403DD3" w:rsidRDefault="00403DD3" w:rsidP="00403DD3">
      <w:pPr>
        <w:jc w:val="center"/>
      </w:pPr>
      <w:r>
        <w:rPr>
          <w:noProof/>
        </w:rPr>
        <w:lastRenderedPageBreak/>
        <w:drawing>
          <wp:inline distT="0" distB="0" distL="0" distR="0" wp14:anchorId="1B35245D" wp14:editId="60C0C1C0">
            <wp:extent cx="4572000" cy="2743200"/>
            <wp:effectExtent l="0" t="0" r="0" b="0"/>
            <wp:docPr id="796129728" name="Chart 1">
              <a:extLst xmlns:a="http://schemas.openxmlformats.org/drawingml/2006/main">
                <a:ext uri="{FF2B5EF4-FFF2-40B4-BE49-F238E27FC236}">
                  <a16:creationId xmlns:a16="http://schemas.microsoft.com/office/drawing/2014/main" id="{74BB3CBA-918D-98B4-3E97-F69D08A5F4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14:paraId="07F73943" w14:textId="569E112B" w:rsidR="00403DD3" w:rsidRDefault="00403DD3" w:rsidP="00403DD3">
      <w:pPr>
        <w:jc w:val="center"/>
      </w:pPr>
      <w:r>
        <w:rPr>
          <w:noProof/>
        </w:rPr>
        <w:drawing>
          <wp:inline distT="0" distB="0" distL="0" distR="0" wp14:anchorId="09057EAF" wp14:editId="32D9ADCE">
            <wp:extent cx="4572000" cy="2743200"/>
            <wp:effectExtent l="0" t="0" r="0" b="0"/>
            <wp:docPr id="619539644" name="Chart 1">
              <a:extLst xmlns:a="http://schemas.openxmlformats.org/drawingml/2006/main">
                <a:ext uri="{FF2B5EF4-FFF2-40B4-BE49-F238E27FC236}">
                  <a16:creationId xmlns:a16="http://schemas.microsoft.com/office/drawing/2014/main" id="{74BB3CBA-918D-98B4-3E97-F69D08A5F4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inline>
        </w:drawing>
      </w:r>
    </w:p>
    <w:p w14:paraId="412581C1" w14:textId="4D2A68E5" w:rsidR="00403DD3" w:rsidRDefault="00403DD3" w:rsidP="00403DD3">
      <w:pPr>
        <w:jc w:val="center"/>
      </w:pPr>
      <w:r>
        <w:rPr>
          <w:noProof/>
        </w:rPr>
        <w:lastRenderedPageBreak/>
        <w:drawing>
          <wp:inline distT="0" distB="0" distL="0" distR="0" wp14:anchorId="6F06FE7E" wp14:editId="7A5E17CA">
            <wp:extent cx="4572000" cy="2743200"/>
            <wp:effectExtent l="0" t="0" r="0" b="0"/>
            <wp:docPr id="2015787104" name="Chart 1">
              <a:extLst xmlns:a="http://schemas.openxmlformats.org/drawingml/2006/main">
                <a:ext uri="{FF2B5EF4-FFF2-40B4-BE49-F238E27FC236}">
                  <a16:creationId xmlns:a16="http://schemas.microsoft.com/office/drawing/2014/main" id="{5AE9C86F-D700-8086-08C0-3F2FEE3946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14:paraId="38A96166" w14:textId="631A1CBC" w:rsidR="00403DD3" w:rsidRDefault="00403DD3" w:rsidP="00403DD3">
      <w:pPr>
        <w:jc w:val="center"/>
      </w:pPr>
      <w:r>
        <w:rPr>
          <w:noProof/>
        </w:rPr>
        <w:drawing>
          <wp:inline distT="0" distB="0" distL="0" distR="0" wp14:anchorId="7BCD4B4F" wp14:editId="0DCF0EF0">
            <wp:extent cx="4572000" cy="2743200"/>
            <wp:effectExtent l="0" t="0" r="0" b="0"/>
            <wp:docPr id="1230991558" name="Chart 1">
              <a:extLst xmlns:a="http://schemas.openxmlformats.org/drawingml/2006/main">
                <a:ext uri="{FF2B5EF4-FFF2-40B4-BE49-F238E27FC236}">
                  <a16:creationId xmlns:a16="http://schemas.microsoft.com/office/drawing/2014/main" id="{1F08228A-E158-8C30-6F2B-C11C1CD18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14:paraId="2A71515A" w14:textId="260B5D2B" w:rsidR="00403DD3" w:rsidRDefault="00403DD3" w:rsidP="00403DD3">
      <w:pPr>
        <w:jc w:val="center"/>
      </w:pPr>
      <w:r>
        <w:rPr>
          <w:noProof/>
        </w:rPr>
        <w:lastRenderedPageBreak/>
        <w:drawing>
          <wp:inline distT="0" distB="0" distL="0" distR="0" wp14:anchorId="1D021044" wp14:editId="7336CBC7">
            <wp:extent cx="4572000" cy="2743200"/>
            <wp:effectExtent l="0" t="0" r="0" b="0"/>
            <wp:docPr id="755176496" name="Chart 1">
              <a:extLst xmlns:a="http://schemas.openxmlformats.org/drawingml/2006/main">
                <a:ext uri="{FF2B5EF4-FFF2-40B4-BE49-F238E27FC236}">
                  <a16:creationId xmlns:a16="http://schemas.microsoft.com/office/drawing/2014/main" id="{C60619EA-64AA-5B36-5FE5-04E775084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14:paraId="36DD47B2" w14:textId="6DBD3346" w:rsidR="00403DD3" w:rsidRDefault="00403DD3" w:rsidP="00403DD3">
      <w:pPr>
        <w:jc w:val="center"/>
      </w:pPr>
      <w:r>
        <w:rPr>
          <w:noProof/>
        </w:rPr>
        <w:drawing>
          <wp:inline distT="0" distB="0" distL="0" distR="0" wp14:anchorId="0E64F726" wp14:editId="526A23E0">
            <wp:extent cx="4572000" cy="2743200"/>
            <wp:effectExtent l="0" t="0" r="0" b="0"/>
            <wp:docPr id="1323461999" name="Chart 1">
              <a:extLst xmlns:a="http://schemas.openxmlformats.org/drawingml/2006/main">
                <a:ext uri="{FF2B5EF4-FFF2-40B4-BE49-F238E27FC236}">
                  <a16:creationId xmlns:a16="http://schemas.microsoft.com/office/drawing/2014/main" id="{EE9A42F6-F9F0-AED5-72AB-90C71D632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14:paraId="53C53834" w14:textId="0092CCF7" w:rsidR="00403DD3" w:rsidRDefault="00403DD3" w:rsidP="00403DD3">
      <w:pPr>
        <w:jc w:val="center"/>
      </w:pPr>
      <w:r>
        <w:rPr>
          <w:noProof/>
        </w:rPr>
        <w:lastRenderedPageBreak/>
        <w:drawing>
          <wp:inline distT="0" distB="0" distL="0" distR="0" wp14:anchorId="1ACDCEF0" wp14:editId="6488914C">
            <wp:extent cx="4572000" cy="2743200"/>
            <wp:effectExtent l="0" t="0" r="0" b="0"/>
            <wp:docPr id="603323411" name="Chart 1">
              <a:extLst xmlns:a="http://schemas.openxmlformats.org/drawingml/2006/main">
                <a:ext uri="{FF2B5EF4-FFF2-40B4-BE49-F238E27FC236}">
                  <a16:creationId xmlns:a16="http://schemas.microsoft.com/office/drawing/2014/main" id="{8DF3994D-F5F1-2B62-69FD-3047ADF011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inline>
        </w:drawing>
      </w:r>
    </w:p>
    <w:p w14:paraId="54655DA5" w14:textId="7157D70A" w:rsidR="00403DD3" w:rsidRDefault="00403DD3" w:rsidP="00403DD3">
      <w:pPr>
        <w:jc w:val="center"/>
      </w:pPr>
      <w:r>
        <w:rPr>
          <w:noProof/>
        </w:rPr>
        <w:drawing>
          <wp:inline distT="0" distB="0" distL="0" distR="0" wp14:anchorId="51E189AD" wp14:editId="546B932E">
            <wp:extent cx="4572000" cy="2743200"/>
            <wp:effectExtent l="0" t="0" r="0" b="0"/>
            <wp:docPr id="1709613134" name="Chart 1">
              <a:extLst xmlns:a="http://schemas.openxmlformats.org/drawingml/2006/main">
                <a:ext uri="{FF2B5EF4-FFF2-40B4-BE49-F238E27FC236}">
                  <a16:creationId xmlns:a16="http://schemas.microsoft.com/office/drawing/2014/main" id="{55F6AE90-B68C-6059-C12A-95042D6F57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14:paraId="2803E1E5" w14:textId="775ABFCA" w:rsidR="00403DD3" w:rsidRDefault="00403DD3" w:rsidP="00403DD3">
      <w:pPr>
        <w:jc w:val="center"/>
      </w:pPr>
      <w:r>
        <w:rPr>
          <w:noProof/>
        </w:rPr>
        <w:lastRenderedPageBreak/>
        <w:drawing>
          <wp:inline distT="0" distB="0" distL="0" distR="0" wp14:anchorId="6F7CAA1E" wp14:editId="1C972AA0">
            <wp:extent cx="4572000" cy="2743200"/>
            <wp:effectExtent l="0" t="0" r="0" b="0"/>
            <wp:docPr id="2067811742" name="Chart 1">
              <a:extLst xmlns:a="http://schemas.openxmlformats.org/drawingml/2006/main">
                <a:ext uri="{FF2B5EF4-FFF2-40B4-BE49-F238E27FC236}">
                  <a16:creationId xmlns:a16="http://schemas.microsoft.com/office/drawing/2014/main" id="{DBB50AE5-071D-F285-05D0-956910CA7C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p w14:paraId="3E589B98" w14:textId="05688630" w:rsidR="00403DD3" w:rsidRDefault="00403DD3" w:rsidP="00403DD3">
      <w:pPr>
        <w:jc w:val="center"/>
      </w:pPr>
      <w:r>
        <w:rPr>
          <w:noProof/>
        </w:rPr>
        <w:drawing>
          <wp:inline distT="0" distB="0" distL="0" distR="0" wp14:anchorId="15F09C48" wp14:editId="4AA83C83">
            <wp:extent cx="4572000" cy="2743200"/>
            <wp:effectExtent l="0" t="0" r="0" b="0"/>
            <wp:docPr id="281175763" name="Chart 1">
              <a:extLst xmlns:a="http://schemas.openxmlformats.org/drawingml/2006/main">
                <a:ext uri="{FF2B5EF4-FFF2-40B4-BE49-F238E27FC236}">
                  <a16:creationId xmlns:a16="http://schemas.microsoft.com/office/drawing/2014/main" id="{3FFA4D90-DDC4-1A99-4691-DD8DD9EDCE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inline>
        </w:drawing>
      </w:r>
    </w:p>
    <w:p w14:paraId="343EAC4B" w14:textId="4EBCA033" w:rsidR="00403DD3" w:rsidRDefault="00403DD3" w:rsidP="00403DD3">
      <w:pPr>
        <w:jc w:val="center"/>
      </w:pPr>
      <w:r>
        <w:rPr>
          <w:noProof/>
        </w:rPr>
        <w:lastRenderedPageBreak/>
        <w:drawing>
          <wp:inline distT="0" distB="0" distL="0" distR="0" wp14:anchorId="355AACFA" wp14:editId="72AAD499">
            <wp:extent cx="4572000" cy="2743200"/>
            <wp:effectExtent l="0" t="0" r="0" b="0"/>
            <wp:docPr id="1295282856" name="Chart 1">
              <a:extLst xmlns:a="http://schemas.openxmlformats.org/drawingml/2006/main">
                <a:ext uri="{FF2B5EF4-FFF2-40B4-BE49-F238E27FC236}">
                  <a16:creationId xmlns:a16="http://schemas.microsoft.com/office/drawing/2014/main" id="{90508744-6903-09F7-7C6D-1593E9569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inline>
        </w:drawing>
      </w:r>
    </w:p>
    <w:p w14:paraId="4DF1D33E" w14:textId="5AF32A5F" w:rsidR="00403DD3" w:rsidRDefault="00403DD3" w:rsidP="00403DD3">
      <w:pPr>
        <w:jc w:val="center"/>
      </w:pPr>
      <w:r>
        <w:rPr>
          <w:noProof/>
        </w:rPr>
        <w:drawing>
          <wp:inline distT="0" distB="0" distL="0" distR="0" wp14:anchorId="3DAD7340" wp14:editId="422B37F0">
            <wp:extent cx="4572000" cy="2743200"/>
            <wp:effectExtent l="0" t="0" r="0" b="0"/>
            <wp:docPr id="1291652809" name="Chart 1">
              <a:extLst xmlns:a="http://schemas.openxmlformats.org/drawingml/2006/main">
                <a:ext uri="{FF2B5EF4-FFF2-40B4-BE49-F238E27FC236}">
                  <a16:creationId xmlns:a16="http://schemas.microsoft.com/office/drawing/2014/main" id="{932F901B-593B-B429-FE29-915B314791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inline>
        </w:drawing>
      </w:r>
    </w:p>
    <w:p w14:paraId="1AD1A74C" w14:textId="614F0C40" w:rsidR="00403DD3" w:rsidRDefault="00403DD3" w:rsidP="00403DD3">
      <w:pPr>
        <w:jc w:val="center"/>
      </w:pPr>
      <w:r>
        <w:rPr>
          <w:noProof/>
        </w:rPr>
        <w:lastRenderedPageBreak/>
        <w:drawing>
          <wp:inline distT="0" distB="0" distL="0" distR="0" wp14:anchorId="3095CCA4" wp14:editId="7DD87DCD">
            <wp:extent cx="4572000" cy="2743200"/>
            <wp:effectExtent l="0" t="0" r="0" b="0"/>
            <wp:docPr id="358729101" name="Chart 1">
              <a:extLst xmlns:a="http://schemas.openxmlformats.org/drawingml/2006/main">
                <a:ext uri="{FF2B5EF4-FFF2-40B4-BE49-F238E27FC236}">
                  <a16:creationId xmlns:a16="http://schemas.microsoft.com/office/drawing/2014/main" id="{CA611992-85AC-5233-8CF5-E70CB0D186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inline>
        </w:drawing>
      </w:r>
    </w:p>
    <w:p w14:paraId="059A591E" w14:textId="4173BE24" w:rsidR="00403DD3" w:rsidRDefault="00403DD3" w:rsidP="00403DD3">
      <w:pPr>
        <w:jc w:val="center"/>
      </w:pPr>
      <w:r>
        <w:rPr>
          <w:noProof/>
        </w:rPr>
        <w:drawing>
          <wp:inline distT="0" distB="0" distL="0" distR="0" wp14:anchorId="105248BE" wp14:editId="3FBD5673">
            <wp:extent cx="4572000" cy="2743200"/>
            <wp:effectExtent l="0" t="0" r="0" b="0"/>
            <wp:docPr id="1388731651" name="Chart 1">
              <a:extLst xmlns:a="http://schemas.openxmlformats.org/drawingml/2006/main">
                <a:ext uri="{FF2B5EF4-FFF2-40B4-BE49-F238E27FC236}">
                  <a16:creationId xmlns:a16="http://schemas.microsoft.com/office/drawing/2014/main" id="{5947B4DB-2FC1-2F50-324A-FC476A62FE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6"/>
              </a:graphicData>
            </a:graphic>
          </wp:inline>
        </w:drawing>
      </w:r>
    </w:p>
    <w:p w14:paraId="20A48FDF" w14:textId="285495DF" w:rsidR="00403DD3" w:rsidRDefault="00403DD3" w:rsidP="00403DD3">
      <w:pPr>
        <w:jc w:val="center"/>
      </w:pPr>
      <w:r>
        <w:rPr>
          <w:noProof/>
        </w:rPr>
        <w:lastRenderedPageBreak/>
        <w:drawing>
          <wp:inline distT="0" distB="0" distL="0" distR="0" wp14:anchorId="500652D1" wp14:editId="1DA40EB8">
            <wp:extent cx="4572000" cy="2743200"/>
            <wp:effectExtent l="0" t="0" r="0" b="0"/>
            <wp:docPr id="1029099093" name="Chart 1">
              <a:extLst xmlns:a="http://schemas.openxmlformats.org/drawingml/2006/main">
                <a:ext uri="{FF2B5EF4-FFF2-40B4-BE49-F238E27FC236}">
                  <a16:creationId xmlns:a16="http://schemas.microsoft.com/office/drawing/2014/main" id="{22CF2E93-84E9-D625-A7EE-7C7FCFDFE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7"/>
              </a:graphicData>
            </a:graphic>
          </wp:inline>
        </w:drawing>
      </w:r>
    </w:p>
    <w:p w14:paraId="47809F5E" w14:textId="5BC197B4" w:rsidR="00403DD3" w:rsidRDefault="00403DD3" w:rsidP="00403DD3">
      <w:pPr>
        <w:jc w:val="center"/>
      </w:pPr>
      <w:r>
        <w:rPr>
          <w:noProof/>
        </w:rPr>
        <w:drawing>
          <wp:inline distT="0" distB="0" distL="0" distR="0" wp14:anchorId="2CE5BC51" wp14:editId="047646CC">
            <wp:extent cx="4572000" cy="2743200"/>
            <wp:effectExtent l="0" t="0" r="0" b="0"/>
            <wp:docPr id="493759574" name="Chart 1">
              <a:extLst xmlns:a="http://schemas.openxmlformats.org/drawingml/2006/main">
                <a:ext uri="{FF2B5EF4-FFF2-40B4-BE49-F238E27FC236}">
                  <a16:creationId xmlns:a16="http://schemas.microsoft.com/office/drawing/2014/main" id="{180DE5DF-5F44-A37E-9F81-75E5A544C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8"/>
              </a:graphicData>
            </a:graphic>
          </wp:inline>
        </w:drawing>
      </w:r>
    </w:p>
    <w:p w14:paraId="24D7C06F" w14:textId="77777777" w:rsidR="00403DD3" w:rsidRPr="00403DD3" w:rsidRDefault="00403DD3" w:rsidP="00403DD3">
      <w:pPr>
        <w:jc w:val="center"/>
      </w:pPr>
    </w:p>
    <w:p w14:paraId="02D254BF" w14:textId="405C605B" w:rsidR="008E7995" w:rsidRDefault="008E7995" w:rsidP="008E7995">
      <w:pPr>
        <w:pStyle w:val="Heading2"/>
      </w:pPr>
      <w:bookmarkStart w:id="140" w:name="_Toc227659719"/>
      <w:r w:rsidRPr="008E7995">
        <w:t xml:space="preserve">Cash </w:t>
      </w:r>
      <w:r w:rsidR="00403DD3">
        <w:t>Conversion</w:t>
      </w:r>
      <w:r w:rsidRPr="008E7995">
        <w:t xml:space="preserve"> Calculations</w:t>
      </w:r>
      <w:bookmarkEnd w:id="140"/>
    </w:p>
    <w:tbl>
      <w:tblPr>
        <w:tblW w:w="5000" w:type="pct"/>
        <w:tblLook w:val="04A0" w:firstRow="1" w:lastRow="0" w:firstColumn="1" w:lastColumn="0" w:noHBand="0" w:noVBand="1"/>
      </w:tblPr>
      <w:tblGrid>
        <w:gridCol w:w="6007"/>
        <w:gridCol w:w="656"/>
        <w:gridCol w:w="656"/>
        <w:gridCol w:w="656"/>
        <w:gridCol w:w="560"/>
        <w:gridCol w:w="604"/>
        <w:gridCol w:w="221"/>
      </w:tblGrid>
      <w:tr w:rsidR="00403DD3" w:rsidRPr="00403DD3" w14:paraId="7045C0DC" w14:textId="77777777" w:rsidTr="00403DD3">
        <w:trPr>
          <w:gridAfter w:val="1"/>
          <w:wAfter w:w="83" w:type="pct"/>
          <w:trHeight w:val="586"/>
        </w:trPr>
        <w:tc>
          <w:tcPr>
            <w:tcW w:w="4917" w:type="pct"/>
            <w:gridSpan w:val="6"/>
            <w:vMerge w:val="restart"/>
            <w:tcBorders>
              <w:top w:val="nil"/>
              <w:left w:val="nil"/>
              <w:bottom w:val="nil"/>
              <w:right w:val="nil"/>
            </w:tcBorders>
            <w:shd w:val="clear" w:color="000000" w:fill="7E350E"/>
            <w:noWrap/>
            <w:vAlign w:val="center"/>
            <w:hideMark/>
          </w:tcPr>
          <w:p w14:paraId="4C1582BF" w14:textId="77777777" w:rsidR="00403DD3" w:rsidRPr="00403DD3" w:rsidRDefault="00403DD3" w:rsidP="00403DD3">
            <w:pPr>
              <w:spacing w:after="0" w:line="240" w:lineRule="auto"/>
              <w:jc w:val="center"/>
              <w:rPr>
                <w:rFonts w:ascii="Aptos Narrow" w:eastAsia="Times New Roman" w:hAnsi="Aptos Narrow" w:cs="Times New Roman"/>
                <w:b/>
                <w:bCs/>
                <w:color w:val="FFFFFF"/>
                <w:kern w:val="0"/>
                <w:sz w:val="48"/>
                <w:szCs w:val="48"/>
                <w14:ligatures w14:val="none"/>
              </w:rPr>
            </w:pPr>
            <w:r w:rsidRPr="00403DD3">
              <w:rPr>
                <w:rFonts w:ascii="Aptos Narrow" w:eastAsia="Times New Roman" w:hAnsi="Aptos Narrow" w:cs="Times New Roman"/>
                <w:b/>
                <w:bCs/>
                <w:color w:val="FFFFFF"/>
                <w:kern w:val="0"/>
                <w:sz w:val="48"/>
                <w:szCs w:val="48"/>
                <w14:ligatures w14:val="none"/>
              </w:rPr>
              <w:t>Tesla Inc.</w:t>
            </w:r>
          </w:p>
        </w:tc>
      </w:tr>
      <w:tr w:rsidR="00403DD3" w:rsidRPr="00403DD3" w14:paraId="449E10A3" w14:textId="77777777" w:rsidTr="00403DD3">
        <w:trPr>
          <w:trHeight w:val="300"/>
        </w:trPr>
        <w:tc>
          <w:tcPr>
            <w:tcW w:w="4917" w:type="pct"/>
            <w:gridSpan w:val="6"/>
            <w:vMerge/>
            <w:tcBorders>
              <w:top w:val="nil"/>
              <w:left w:val="nil"/>
              <w:bottom w:val="nil"/>
              <w:right w:val="nil"/>
            </w:tcBorders>
            <w:vAlign w:val="center"/>
            <w:hideMark/>
          </w:tcPr>
          <w:p w14:paraId="3F04B235" w14:textId="77777777" w:rsidR="00403DD3" w:rsidRPr="00403DD3" w:rsidRDefault="00403DD3" w:rsidP="00403DD3">
            <w:pPr>
              <w:spacing w:after="0" w:line="240" w:lineRule="auto"/>
              <w:jc w:val="left"/>
              <w:rPr>
                <w:rFonts w:ascii="Aptos Narrow" w:eastAsia="Times New Roman" w:hAnsi="Aptos Narrow" w:cs="Times New Roman"/>
                <w:b/>
                <w:bCs/>
                <w:color w:val="FFFFFF"/>
                <w:kern w:val="0"/>
                <w:sz w:val="48"/>
                <w:szCs w:val="48"/>
                <w14:ligatures w14:val="none"/>
              </w:rPr>
            </w:pPr>
          </w:p>
        </w:tc>
        <w:tc>
          <w:tcPr>
            <w:tcW w:w="83" w:type="pct"/>
            <w:tcBorders>
              <w:top w:val="nil"/>
              <w:left w:val="nil"/>
              <w:bottom w:val="nil"/>
              <w:right w:val="nil"/>
            </w:tcBorders>
            <w:noWrap/>
            <w:vAlign w:val="bottom"/>
            <w:hideMark/>
          </w:tcPr>
          <w:p w14:paraId="32355F84" w14:textId="77777777" w:rsidR="00403DD3" w:rsidRPr="00403DD3" w:rsidRDefault="00403DD3" w:rsidP="00403DD3">
            <w:pPr>
              <w:spacing w:after="0" w:line="240" w:lineRule="auto"/>
              <w:jc w:val="center"/>
              <w:rPr>
                <w:rFonts w:ascii="Aptos Narrow" w:eastAsia="Times New Roman" w:hAnsi="Aptos Narrow" w:cs="Times New Roman"/>
                <w:b/>
                <w:bCs/>
                <w:color w:val="FFFFFF"/>
                <w:kern w:val="0"/>
                <w:sz w:val="48"/>
                <w:szCs w:val="48"/>
                <w14:ligatures w14:val="none"/>
              </w:rPr>
            </w:pPr>
          </w:p>
        </w:tc>
      </w:tr>
      <w:tr w:rsidR="00403DD3" w:rsidRPr="00403DD3" w14:paraId="3BE61302" w14:textId="77777777" w:rsidTr="00403DD3">
        <w:trPr>
          <w:trHeight w:val="300"/>
        </w:trPr>
        <w:tc>
          <w:tcPr>
            <w:tcW w:w="3550" w:type="pct"/>
            <w:tcBorders>
              <w:top w:val="nil"/>
              <w:left w:val="nil"/>
              <w:bottom w:val="nil"/>
              <w:right w:val="nil"/>
            </w:tcBorders>
            <w:noWrap/>
            <w:vAlign w:val="bottom"/>
            <w:hideMark/>
          </w:tcPr>
          <w:p w14:paraId="7EF11434"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c>
          <w:tcPr>
            <w:tcW w:w="283" w:type="pct"/>
            <w:tcBorders>
              <w:top w:val="nil"/>
              <w:left w:val="nil"/>
              <w:bottom w:val="nil"/>
              <w:right w:val="nil"/>
            </w:tcBorders>
            <w:noWrap/>
            <w:vAlign w:val="bottom"/>
            <w:hideMark/>
          </w:tcPr>
          <w:p w14:paraId="01A10AAD"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c>
          <w:tcPr>
            <w:tcW w:w="283" w:type="pct"/>
            <w:tcBorders>
              <w:top w:val="nil"/>
              <w:left w:val="nil"/>
              <w:bottom w:val="nil"/>
              <w:right w:val="nil"/>
            </w:tcBorders>
            <w:noWrap/>
            <w:vAlign w:val="bottom"/>
            <w:hideMark/>
          </w:tcPr>
          <w:p w14:paraId="1A234506"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c>
          <w:tcPr>
            <w:tcW w:w="283" w:type="pct"/>
            <w:tcBorders>
              <w:top w:val="nil"/>
              <w:left w:val="nil"/>
              <w:bottom w:val="nil"/>
              <w:right w:val="nil"/>
            </w:tcBorders>
            <w:noWrap/>
            <w:vAlign w:val="bottom"/>
            <w:hideMark/>
          </w:tcPr>
          <w:p w14:paraId="561BB72B"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c>
          <w:tcPr>
            <w:tcW w:w="249" w:type="pct"/>
            <w:tcBorders>
              <w:top w:val="nil"/>
              <w:left w:val="nil"/>
              <w:bottom w:val="nil"/>
              <w:right w:val="nil"/>
            </w:tcBorders>
            <w:noWrap/>
            <w:vAlign w:val="bottom"/>
            <w:hideMark/>
          </w:tcPr>
          <w:p w14:paraId="004ED69D"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c>
          <w:tcPr>
            <w:tcW w:w="270" w:type="pct"/>
            <w:tcBorders>
              <w:top w:val="nil"/>
              <w:left w:val="nil"/>
              <w:bottom w:val="nil"/>
              <w:right w:val="nil"/>
            </w:tcBorders>
            <w:noWrap/>
            <w:vAlign w:val="bottom"/>
            <w:hideMark/>
          </w:tcPr>
          <w:p w14:paraId="6B8BE2B4"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c>
          <w:tcPr>
            <w:tcW w:w="83" w:type="pct"/>
            <w:vAlign w:val="center"/>
            <w:hideMark/>
          </w:tcPr>
          <w:p w14:paraId="708510E5"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r w:rsidR="00403DD3" w:rsidRPr="00403DD3" w14:paraId="030C0D89" w14:textId="77777777" w:rsidTr="00403DD3">
        <w:trPr>
          <w:trHeight w:val="300"/>
        </w:trPr>
        <w:tc>
          <w:tcPr>
            <w:tcW w:w="4917" w:type="pct"/>
            <w:gridSpan w:val="6"/>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04740A46" w14:textId="77777777" w:rsidR="00403DD3" w:rsidRPr="00403DD3" w:rsidRDefault="00403DD3" w:rsidP="00403DD3">
            <w:pPr>
              <w:spacing w:after="0" w:line="240" w:lineRule="auto"/>
              <w:jc w:val="center"/>
              <w:rPr>
                <w:rFonts w:ascii="Aptos Narrow" w:eastAsia="Times New Roman" w:hAnsi="Aptos Narrow" w:cs="Times New Roman"/>
                <w:b/>
                <w:bCs/>
                <w:kern w:val="0"/>
                <w:sz w:val="22"/>
                <w:szCs w:val="22"/>
                <w14:ligatures w14:val="none"/>
              </w:rPr>
            </w:pPr>
            <w:r w:rsidRPr="00403DD3">
              <w:rPr>
                <w:rFonts w:ascii="Aptos Narrow" w:eastAsia="Times New Roman" w:hAnsi="Aptos Narrow" w:cs="Times New Roman"/>
                <w:b/>
                <w:bCs/>
                <w:kern w:val="0"/>
                <w:sz w:val="22"/>
                <w:szCs w:val="22"/>
                <w14:ligatures w14:val="none"/>
              </w:rPr>
              <w:t>Cash Conversion Cycle (CCC)</w:t>
            </w:r>
          </w:p>
        </w:tc>
        <w:tc>
          <w:tcPr>
            <w:tcW w:w="83" w:type="pct"/>
            <w:vAlign w:val="center"/>
            <w:hideMark/>
          </w:tcPr>
          <w:p w14:paraId="72BACB09"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r w:rsidR="00403DD3" w:rsidRPr="00403DD3" w14:paraId="132ED739" w14:textId="77777777" w:rsidTr="00403DD3">
        <w:trPr>
          <w:trHeight w:val="300"/>
        </w:trPr>
        <w:tc>
          <w:tcPr>
            <w:tcW w:w="3550" w:type="pct"/>
            <w:tcBorders>
              <w:top w:val="nil"/>
              <w:left w:val="single" w:sz="4" w:space="0" w:color="auto"/>
              <w:bottom w:val="single" w:sz="4" w:space="0" w:color="auto"/>
              <w:right w:val="single" w:sz="4" w:space="0" w:color="auto"/>
            </w:tcBorders>
            <w:noWrap/>
            <w:vAlign w:val="bottom"/>
            <w:hideMark/>
          </w:tcPr>
          <w:p w14:paraId="006FFE97" w14:textId="77777777" w:rsidR="00403DD3" w:rsidRPr="00403DD3" w:rsidRDefault="00403DD3" w:rsidP="00403DD3">
            <w:pPr>
              <w:spacing w:after="0" w:line="240" w:lineRule="auto"/>
              <w:jc w:val="center"/>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 </w:t>
            </w:r>
          </w:p>
        </w:tc>
        <w:tc>
          <w:tcPr>
            <w:tcW w:w="283" w:type="pct"/>
            <w:tcBorders>
              <w:top w:val="nil"/>
              <w:left w:val="nil"/>
              <w:bottom w:val="single" w:sz="4" w:space="0" w:color="auto"/>
              <w:right w:val="single" w:sz="4" w:space="0" w:color="auto"/>
            </w:tcBorders>
            <w:noWrap/>
            <w:vAlign w:val="bottom"/>
            <w:hideMark/>
          </w:tcPr>
          <w:p w14:paraId="638694B6" w14:textId="77777777" w:rsidR="00403DD3" w:rsidRPr="00403DD3" w:rsidRDefault="00403DD3" w:rsidP="00403DD3">
            <w:pPr>
              <w:spacing w:after="0" w:line="240" w:lineRule="auto"/>
              <w:jc w:val="center"/>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2020</w:t>
            </w:r>
          </w:p>
        </w:tc>
        <w:tc>
          <w:tcPr>
            <w:tcW w:w="283" w:type="pct"/>
            <w:tcBorders>
              <w:top w:val="nil"/>
              <w:left w:val="nil"/>
              <w:bottom w:val="single" w:sz="4" w:space="0" w:color="auto"/>
              <w:right w:val="single" w:sz="4" w:space="0" w:color="auto"/>
            </w:tcBorders>
            <w:noWrap/>
            <w:vAlign w:val="bottom"/>
            <w:hideMark/>
          </w:tcPr>
          <w:p w14:paraId="3D04013F" w14:textId="77777777" w:rsidR="00403DD3" w:rsidRPr="00403DD3" w:rsidRDefault="00403DD3" w:rsidP="00403DD3">
            <w:pPr>
              <w:spacing w:after="0" w:line="240" w:lineRule="auto"/>
              <w:jc w:val="center"/>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2021</w:t>
            </w:r>
          </w:p>
        </w:tc>
        <w:tc>
          <w:tcPr>
            <w:tcW w:w="283" w:type="pct"/>
            <w:tcBorders>
              <w:top w:val="nil"/>
              <w:left w:val="nil"/>
              <w:bottom w:val="single" w:sz="4" w:space="0" w:color="auto"/>
              <w:right w:val="single" w:sz="4" w:space="0" w:color="auto"/>
            </w:tcBorders>
            <w:noWrap/>
            <w:vAlign w:val="bottom"/>
            <w:hideMark/>
          </w:tcPr>
          <w:p w14:paraId="5DB0B3A3" w14:textId="77777777" w:rsidR="00403DD3" w:rsidRPr="00403DD3" w:rsidRDefault="00403DD3" w:rsidP="00403DD3">
            <w:pPr>
              <w:spacing w:after="0" w:line="240" w:lineRule="auto"/>
              <w:jc w:val="center"/>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2022</w:t>
            </w:r>
          </w:p>
        </w:tc>
        <w:tc>
          <w:tcPr>
            <w:tcW w:w="249" w:type="pct"/>
            <w:tcBorders>
              <w:top w:val="nil"/>
              <w:left w:val="nil"/>
              <w:bottom w:val="single" w:sz="4" w:space="0" w:color="auto"/>
              <w:right w:val="single" w:sz="4" w:space="0" w:color="auto"/>
            </w:tcBorders>
            <w:noWrap/>
            <w:vAlign w:val="bottom"/>
            <w:hideMark/>
          </w:tcPr>
          <w:p w14:paraId="5EE867AE" w14:textId="77777777" w:rsidR="00403DD3" w:rsidRPr="00403DD3" w:rsidRDefault="00403DD3" w:rsidP="00403DD3">
            <w:pPr>
              <w:spacing w:after="0" w:line="240" w:lineRule="auto"/>
              <w:jc w:val="center"/>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2023</w:t>
            </w:r>
          </w:p>
        </w:tc>
        <w:tc>
          <w:tcPr>
            <w:tcW w:w="270" w:type="pct"/>
            <w:tcBorders>
              <w:top w:val="nil"/>
              <w:left w:val="nil"/>
              <w:bottom w:val="single" w:sz="4" w:space="0" w:color="auto"/>
              <w:right w:val="single" w:sz="4" w:space="0" w:color="auto"/>
            </w:tcBorders>
            <w:noWrap/>
            <w:vAlign w:val="bottom"/>
            <w:hideMark/>
          </w:tcPr>
          <w:p w14:paraId="14DE5488" w14:textId="77777777" w:rsidR="00403DD3" w:rsidRPr="00403DD3" w:rsidRDefault="00403DD3" w:rsidP="00403DD3">
            <w:pPr>
              <w:spacing w:after="0" w:line="240" w:lineRule="auto"/>
              <w:jc w:val="center"/>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2024</w:t>
            </w:r>
          </w:p>
        </w:tc>
        <w:tc>
          <w:tcPr>
            <w:tcW w:w="83" w:type="pct"/>
            <w:vAlign w:val="center"/>
            <w:hideMark/>
          </w:tcPr>
          <w:p w14:paraId="305DA279"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r w:rsidR="00403DD3" w:rsidRPr="00403DD3" w14:paraId="59B47358" w14:textId="77777777" w:rsidTr="00403DD3">
        <w:trPr>
          <w:trHeight w:val="300"/>
        </w:trPr>
        <w:tc>
          <w:tcPr>
            <w:tcW w:w="3550" w:type="pct"/>
            <w:tcBorders>
              <w:top w:val="nil"/>
              <w:left w:val="single" w:sz="4" w:space="0" w:color="auto"/>
              <w:bottom w:val="single" w:sz="4" w:space="0" w:color="auto"/>
              <w:right w:val="single" w:sz="4" w:space="0" w:color="auto"/>
            </w:tcBorders>
            <w:noWrap/>
            <w:vAlign w:val="bottom"/>
            <w:hideMark/>
          </w:tcPr>
          <w:p w14:paraId="07036254" w14:textId="77777777" w:rsidR="00403DD3" w:rsidRPr="00403DD3" w:rsidRDefault="00403DD3" w:rsidP="00403DD3">
            <w:pPr>
              <w:spacing w:after="0" w:line="240" w:lineRule="auto"/>
              <w:jc w:val="left"/>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lastRenderedPageBreak/>
              <w:t>Inventory Turnover (Times)</w:t>
            </w:r>
          </w:p>
        </w:tc>
        <w:tc>
          <w:tcPr>
            <w:tcW w:w="283" w:type="pct"/>
            <w:tcBorders>
              <w:top w:val="nil"/>
              <w:left w:val="nil"/>
              <w:bottom w:val="single" w:sz="4" w:space="0" w:color="auto"/>
              <w:right w:val="single" w:sz="4" w:space="0" w:color="auto"/>
            </w:tcBorders>
            <w:noWrap/>
            <w:vAlign w:val="bottom"/>
            <w:hideMark/>
          </w:tcPr>
          <w:p w14:paraId="27DFE1F8"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6.51</w:t>
            </w:r>
          </w:p>
        </w:tc>
        <w:tc>
          <w:tcPr>
            <w:tcW w:w="283" w:type="pct"/>
            <w:tcBorders>
              <w:top w:val="nil"/>
              <w:left w:val="nil"/>
              <w:bottom w:val="single" w:sz="4" w:space="0" w:color="auto"/>
              <w:right w:val="single" w:sz="4" w:space="0" w:color="auto"/>
            </w:tcBorders>
            <w:noWrap/>
            <w:vAlign w:val="bottom"/>
            <w:hideMark/>
          </w:tcPr>
          <w:p w14:paraId="52ECBC70"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8.16</w:t>
            </w:r>
          </w:p>
        </w:tc>
        <w:tc>
          <w:tcPr>
            <w:tcW w:w="283" w:type="pct"/>
            <w:tcBorders>
              <w:top w:val="nil"/>
              <w:left w:val="nil"/>
              <w:bottom w:val="single" w:sz="4" w:space="0" w:color="auto"/>
              <w:right w:val="single" w:sz="4" w:space="0" w:color="auto"/>
            </w:tcBorders>
            <w:noWrap/>
            <w:vAlign w:val="bottom"/>
            <w:hideMark/>
          </w:tcPr>
          <w:p w14:paraId="5F05EA41"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6.52</w:t>
            </w:r>
          </w:p>
        </w:tc>
        <w:tc>
          <w:tcPr>
            <w:tcW w:w="249" w:type="pct"/>
            <w:tcBorders>
              <w:top w:val="nil"/>
              <w:left w:val="nil"/>
              <w:bottom w:val="single" w:sz="4" w:space="0" w:color="auto"/>
              <w:right w:val="single" w:sz="4" w:space="0" w:color="auto"/>
            </w:tcBorders>
            <w:noWrap/>
            <w:vAlign w:val="bottom"/>
            <w:hideMark/>
          </w:tcPr>
          <w:p w14:paraId="00F8AA17"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5.98</w:t>
            </w:r>
          </w:p>
        </w:tc>
        <w:tc>
          <w:tcPr>
            <w:tcW w:w="270" w:type="pct"/>
            <w:tcBorders>
              <w:top w:val="nil"/>
              <w:left w:val="nil"/>
              <w:bottom w:val="single" w:sz="4" w:space="0" w:color="auto"/>
              <w:right w:val="single" w:sz="4" w:space="0" w:color="auto"/>
            </w:tcBorders>
            <w:noWrap/>
            <w:vAlign w:val="bottom"/>
            <w:hideMark/>
          </w:tcPr>
          <w:p w14:paraId="5EA1EC1A"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6.26</w:t>
            </w:r>
          </w:p>
        </w:tc>
        <w:tc>
          <w:tcPr>
            <w:tcW w:w="83" w:type="pct"/>
            <w:vAlign w:val="center"/>
            <w:hideMark/>
          </w:tcPr>
          <w:p w14:paraId="04EB80AF"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r w:rsidR="00403DD3" w:rsidRPr="00403DD3" w14:paraId="59A609C7" w14:textId="77777777" w:rsidTr="00403DD3">
        <w:trPr>
          <w:trHeight w:val="300"/>
        </w:trPr>
        <w:tc>
          <w:tcPr>
            <w:tcW w:w="3550" w:type="pct"/>
            <w:tcBorders>
              <w:top w:val="nil"/>
              <w:left w:val="single" w:sz="4" w:space="0" w:color="auto"/>
              <w:bottom w:val="single" w:sz="4" w:space="0" w:color="auto"/>
              <w:right w:val="single" w:sz="4" w:space="0" w:color="auto"/>
            </w:tcBorders>
            <w:noWrap/>
            <w:vAlign w:val="bottom"/>
            <w:hideMark/>
          </w:tcPr>
          <w:p w14:paraId="7AB9D287" w14:textId="77777777" w:rsidR="00403DD3" w:rsidRPr="00403DD3" w:rsidRDefault="00403DD3" w:rsidP="00403DD3">
            <w:pPr>
              <w:spacing w:after="0" w:line="240" w:lineRule="auto"/>
              <w:jc w:val="left"/>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Inventory Days (365 ÷ Turnover)</w:t>
            </w:r>
          </w:p>
        </w:tc>
        <w:tc>
          <w:tcPr>
            <w:tcW w:w="283" w:type="pct"/>
            <w:tcBorders>
              <w:top w:val="nil"/>
              <w:left w:val="nil"/>
              <w:bottom w:val="single" w:sz="4" w:space="0" w:color="auto"/>
              <w:right w:val="single" w:sz="4" w:space="0" w:color="auto"/>
            </w:tcBorders>
            <w:noWrap/>
            <w:vAlign w:val="bottom"/>
            <w:hideMark/>
          </w:tcPr>
          <w:p w14:paraId="45CE83E6"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56</w:t>
            </w:r>
          </w:p>
        </w:tc>
        <w:tc>
          <w:tcPr>
            <w:tcW w:w="283" w:type="pct"/>
            <w:tcBorders>
              <w:top w:val="nil"/>
              <w:left w:val="nil"/>
              <w:bottom w:val="single" w:sz="4" w:space="0" w:color="auto"/>
              <w:right w:val="single" w:sz="4" w:space="0" w:color="auto"/>
            </w:tcBorders>
            <w:noWrap/>
            <w:vAlign w:val="bottom"/>
            <w:hideMark/>
          </w:tcPr>
          <w:p w14:paraId="1EA6D5F7"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45</w:t>
            </w:r>
          </w:p>
        </w:tc>
        <w:tc>
          <w:tcPr>
            <w:tcW w:w="283" w:type="pct"/>
            <w:tcBorders>
              <w:top w:val="nil"/>
              <w:left w:val="nil"/>
              <w:bottom w:val="single" w:sz="4" w:space="0" w:color="auto"/>
              <w:right w:val="single" w:sz="4" w:space="0" w:color="auto"/>
            </w:tcBorders>
            <w:noWrap/>
            <w:vAlign w:val="bottom"/>
            <w:hideMark/>
          </w:tcPr>
          <w:p w14:paraId="016B1C2E"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56</w:t>
            </w:r>
          </w:p>
        </w:tc>
        <w:tc>
          <w:tcPr>
            <w:tcW w:w="249" w:type="pct"/>
            <w:tcBorders>
              <w:top w:val="nil"/>
              <w:left w:val="nil"/>
              <w:bottom w:val="single" w:sz="4" w:space="0" w:color="auto"/>
              <w:right w:val="single" w:sz="4" w:space="0" w:color="auto"/>
            </w:tcBorders>
            <w:noWrap/>
            <w:vAlign w:val="bottom"/>
            <w:hideMark/>
          </w:tcPr>
          <w:p w14:paraId="0524D413"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61</w:t>
            </w:r>
          </w:p>
        </w:tc>
        <w:tc>
          <w:tcPr>
            <w:tcW w:w="270" w:type="pct"/>
            <w:tcBorders>
              <w:top w:val="nil"/>
              <w:left w:val="nil"/>
              <w:bottom w:val="single" w:sz="4" w:space="0" w:color="auto"/>
              <w:right w:val="single" w:sz="4" w:space="0" w:color="auto"/>
            </w:tcBorders>
            <w:noWrap/>
            <w:vAlign w:val="bottom"/>
            <w:hideMark/>
          </w:tcPr>
          <w:p w14:paraId="70E89BB1"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58</w:t>
            </w:r>
          </w:p>
        </w:tc>
        <w:tc>
          <w:tcPr>
            <w:tcW w:w="83" w:type="pct"/>
            <w:vAlign w:val="center"/>
            <w:hideMark/>
          </w:tcPr>
          <w:p w14:paraId="26A9C2E1"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r w:rsidR="00403DD3" w:rsidRPr="00403DD3" w14:paraId="122FF0C9" w14:textId="77777777" w:rsidTr="00403DD3">
        <w:trPr>
          <w:trHeight w:val="300"/>
        </w:trPr>
        <w:tc>
          <w:tcPr>
            <w:tcW w:w="3550" w:type="pct"/>
            <w:tcBorders>
              <w:top w:val="nil"/>
              <w:left w:val="single" w:sz="4" w:space="0" w:color="auto"/>
              <w:bottom w:val="single" w:sz="4" w:space="0" w:color="auto"/>
              <w:right w:val="single" w:sz="4" w:space="0" w:color="auto"/>
            </w:tcBorders>
            <w:noWrap/>
            <w:vAlign w:val="bottom"/>
            <w:hideMark/>
          </w:tcPr>
          <w:p w14:paraId="51D2018A" w14:textId="77777777" w:rsidR="00403DD3" w:rsidRPr="00403DD3" w:rsidRDefault="00403DD3" w:rsidP="00403DD3">
            <w:pPr>
              <w:spacing w:after="0" w:line="240" w:lineRule="auto"/>
              <w:jc w:val="left"/>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Receivables Days</w:t>
            </w:r>
          </w:p>
        </w:tc>
        <w:tc>
          <w:tcPr>
            <w:tcW w:w="283" w:type="pct"/>
            <w:tcBorders>
              <w:top w:val="nil"/>
              <w:left w:val="nil"/>
              <w:bottom w:val="single" w:sz="4" w:space="0" w:color="auto"/>
              <w:right w:val="single" w:sz="4" w:space="0" w:color="auto"/>
            </w:tcBorders>
            <w:noWrap/>
            <w:vAlign w:val="bottom"/>
            <w:hideMark/>
          </w:tcPr>
          <w:p w14:paraId="0091FAB5"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22</w:t>
            </w:r>
          </w:p>
        </w:tc>
        <w:tc>
          <w:tcPr>
            <w:tcW w:w="283" w:type="pct"/>
            <w:tcBorders>
              <w:top w:val="nil"/>
              <w:left w:val="nil"/>
              <w:bottom w:val="single" w:sz="4" w:space="0" w:color="auto"/>
              <w:right w:val="single" w:sz="4" w:space="0" w:color="auto"/>
            </w:tcBorders>
            <w:noWrap/>
            <w:vAlign w:val="bottom"/>
            <w:hideMark/>
          </w:tcPr>
          <w:p w14:paraId="7B4B909F"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13</w:t>
            </w:r>
          </w:p>
        </w:tc>
        <w:tc>
          <w:tcPr>
            <w:tcW w:w="283" w:type="pct"/>
            <w:tcBorders>
              <w:top w:val="nil"/>
              <w:left w:val="nil"/>
              <w:bottom w:val="single" w:sz="4" w:space="0" w:color="auto"/>
              <w:right w:val="single" w:sz="4" w:space="0" w:color="auto"/>
            </w:tcBorders>
            <w:noWrap/>
            <w:vAlign w:val="bottom"/>
            <w:hideMark/>
          </w:tcPr>
          <w:p w14:paraId="1CF81DAC"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13</w:t>
            </w:r>
          </w:p>
        </w:tc>
        <w:tc>
          <w:tcPr>
            <w:tcW w:w="249" w:type="pct"/>
            <w:tcBorders>
              <w:top w:val="nil"/>
              <w:left w:val="nil"/>
              <w:bottom w:val="single" w:sz="4" w:space="0" w:color="auto"/>
              <w:right w:val="single" w:sz="4" w:space="0" w:color="auto"/>
            </w:tcBorders>
            <w:noWrap/>
            <w:vAlign w:val="bottom"/>
            <w:hideMark/>
          </w:tcPr>
          <w:p w14:paraId="759722E0"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13</w:t>
            </w:r>
          </w:p>
        </w:tc>
        <w:tc>
          <w:tcPr>
            <w:tcW w:w="270" w:type="pct"/>
            <w:tcBorders>
              <w:top w:val="nil"/>
              <w:left w:val="nil"/>
              <w:bottom w:val="single" w:sz="4" w:space="0" w:color="auto"/>
              <w:right w:val="single" w:sz="4" w:space="0" w:color="auto"/>
            </w:tcBorders>
            <w:noWrap/>
            <w:vAlign w:val="bottom"/>
            <w:hideMark/>
          </w:tcPr>
          <w:p w14:paraId="4221F1F2"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17</w:t>
            </w:r>
          </w:p>
        </w:tc>
        <w:tc>
          <w:tcPr>
            <w:tcW w:w="83" w:type="pct"/>
            <w:vAlign w:val="center"/>
            <w:hideMark/>
          </w:tcPr>
          <w:p w14:paraId="2B4BB372"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r w:rsidR="00403DD3" w:rsidRPr="00403DD3" w14:paraId="5F16F40F" w14:textId="77777777" w:rsidTr="00403DD3">
        <w:trPr>
          <w:trHeight w:val="300"/>
        </w:trPr>
        <w:tc>
          <w:tcPr>
            <w:tcW w:w="3550" w:type="pct"/>
            <w:tcBorders>
              <w:top w:val="nil"/>
              <w:left w:val="single" w:sz="4" w:space="0" w:color="auto"/>
              <w:bottom w:val="single" w:sz="4" w:space="0" w:color="auto"/>
              <w:right w:val="single" w:sz="4" w:space="0" w:color="auto"/>
            </w:tcBorders>
            <w:noWrap/>
            <w:vAlign w:val="bottom"/>
            <w:hideMark/>
          </w:tcPr>
          <w:p w14:paraId="543516BA" w14:textId="77777777" w:rsidR="00403DD3" w:rsidRPr="00403DD3" w:rsidRDefault="00403DD3" w:rsidP="00403DD3">
            <w:pPr>
              <w:spacing w:after="0" w:line="240" w:lineRule="auto"/>
              <w:jc w:val="left"/>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Payables Days</w:t>
            </w:r>
          </w:p>
        </w:tc>
        <w:tc>
          <w:tcPr>
            <w:tcW w:w="283" w:type="pct"/>
            <w:tcBorders>
              <w:top w:val="nil"/>
              <w:left w:val="nil"/>
              <w:bottom w:val="single" w:sz="4" w:space="0" w:color="auto"/>
              <w:right w:val="single" w:sz="4" w:space="0" w:color="auto"/>
            </w:tcBorders>
            <w:noWrap/>
            <w:vAlign w:val="bottom"/>
            <w:hideMark/>
          </w:tcPr>
          <w:p w14:paraId="13B5B0E5"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89</w:t>
            </w:r>
          </w:p>
        </w:tc>
        <w:tc>
          <w:tcPr>
            <w:tcW w:w="283" w:type="pct"/>
            <w:tcBorders>
              <w:top w:val="nil"/>
              <w:left w:val="nil"/>
              <w:bottom w:val="single" w:sz="4" w:space="0" w:color="auto"/>
              <w:right w:val="single" w:sz="4" w:space="0" w:color="auto"/>
            </w:tcBorders>
            <w:noWrap/>
            <w:vAlign w:val="bottom"/>
            <w:hideMark/>
          </w:tcPr>
          <w:p w14:paraId="3C4FF411"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91</w:t>
            </w:r>
          </w:p>
        </w:tc>
        <w:tc>
          <w:tcPr>
            <w:tcW w:w="283" w:type="pct"/>
            <w:tcBorders>
              <w:top w:val="nil"/>
              <w:left w:val="nil"/>
              <w:bottom w:val="single" w:sz="4" w:space="0" w:color="auto"/>
              <w:right w:val="single" w:sz="4" w:space="0" w:color="auto"/>
            </w:tcBorders>
            <w:noWrap/>
            <w:vAlign w:val="bottom"/>
            <w:hideMark/>
          </w:tcPr>
          <w:p w14:paraId="625316D3"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92</w:t>
            </w:r>
          </w:p>
        </w:tc>
        <w:tc>
          <w:tcPr>
            <w:tcW w:w="249" w:type="pct"/>
            <w:tcBorders>
              <w:top w:val="nil"/>
              <w:left w:val="nil"/>
              <w:bottom w:val="single" w:sz="4" w:space="0" w:color="auto"/>
              <w:right w:val="single" w:sz="4" w:space="0" w:color="auto"/>
            </w:tcBorders>
            <w:noWrap/>
            <w:vAlign w:val="bottom"/>
            <w:hideMark/>
          </w:tcPr>
          <w:p w14:paraId="289F9703"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67</w:t>
            </w:r>
          </w:p>
        </w:tc>
        <w:tc>
          <w:tcPr>
            <w:tcW w:w="270" w:type="pct"/>
            <w:tcBorders>
              <w:top w:val="nil"/>
              <w:left w:val="nil"/>
              <w:bottom w:val="single" w:sz="4" w:space="0" w:color="auto"/>
              <w:right w:val="single" w:sz="4" w:space="0" w:color="auto"/>
            </w:tcBorders>
            <w:noWrap/>
            <w:vAlign w:val="bottom"/>
            <w:hideMark/>
          </w:tcPr>
          <w:p w14:paraId="0D711952"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57</w:t>
            </w:r>
          </w:p>
        </w:tc>
        <w:tc>
          <w:tcPr>
            <w:tcW w:w="83" w:type="pct"/>
            <w:vAlign w:val="center"/>
            <w:hideMark/>
          </w:tcPr>
          <w:p w14:paraId="46E5205A"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r w:rsidR="00403DD3" w:rsidRPr="00403DD3" w14:paraId="4426C942" w14:textId="77777777" w:rsidTr="00403DD3">
        <w:trPr>
          <w:trHeight w:val="300"/>
        </w:trPr>
        <w:tc>
          <w:tcPr>
            <w:tcW w:w="3550" w:type="pct"/>
            <w:tcBorders>
              <w:top w:val="nil"/>
              <w:left w:val="single" w:sz="4" w:space="0" w:color="auto"/>
              <w:bottom w:val="single" w:sz="4" w:space="0" w:color="auto"/>
              <w:right w:val="single" w:sz="4" w:space="0" w:color="auto"/>
            </w:tcBorders>
            <w:noWrap/>
            <w:vAlign w:val="bottom"/>
            <w:hideMark/>
          </w:tcPr>
          <w:p w14:paraId="0E9DDBB6" w14:textId="77777777" w:rsidR="00403DD3" w:rsidRPr="00403DD3" w:rsidRDefault="00403DD3" w:rsidP="00403DD3">
            <w:pPr>
              <w:spacing w:after="0" w:line="240" w:lineRule="auto"/>
              <w:jc w:val="left"/>
              <w:rPr>
                <w:rFonts w:ascii="Aptos Narrow" w:eastAsia="Times New Roman" w:hAnsi="Aptos Narrow" w:cs="Times New Roman"/>
                <w:b/>
                <w:bCs/>
                <w:color w:val="000000"/>
                <w:kern w:val="0"/>
                <w:sz w:val="22"/>
                <w:szCs w:val="22"/>
                <w14:ligatures w14:val="none"/>
              </w:rPr>
            </w:pPr>
            <w:r w:rsidRPr="00403DD3">
              <w:rPr>
                <w:rFonts w:ascii="Aptos Narrow" w:eastAsia="Times New Roman" w:hAnsi="Aptos Narrow" w:cs="Times New Roman"/>
                <w:b/>
                <w:bCs/>
                <w:color w:val="000000"/>
                <w:kern w:val="0"/>
                <w:sz w:val="22"/>
                <w:szCs w:val="22"/>
                <w14:ligatures w14:val="none"/>
              </w:rPr>
              <w:t>Cash Conversion Cycle (CCC) = Inventory Days + Receivables Days − Payables Days</w:t>
            </w:r>
          </w:p>
        </w:tc>
        <w:tc>
          <w:tcPr>
            <w:tcW w:w="283" w:type="pct"/>
            <w:tcBorders>
              <w:top w:val="nil"/>
              <w:left w:val="nil"/>
              <w:bottom w:val="single" w:sz="4" w:space="0" w:color="auto"/>
              <w:right w:val="single" w:sz="4" w:space="0" w:color="auto"/>
            </w:tcBorders>
            <w:noWrap/>
            <w:vAlign w:val="bottom"/>
            <w:hideMark/>
          </w:tcPr>
          <w:p w14:paraId="59029D0C"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-10.77</w:t>
            </w:r>
          </w:p>
        </w:tc>
        <w:tc>
          <w:tcPr>
            <w:tcW w:w="283" w:type="pct"/>
            <w:tcBorders>
              <w:top w:val="nil"/>
              <w:left w:val="nil"/>
              <w:bottom w:val="single" w:sz="4" w:space="0" w:color="auto"/>
              <w:right w:val="single" w:sz="4" w:space="0" w:color="auto"/>
            </w:tcBorders>
            <w:noWrap/>
            <w:vAlign w:val="bottom"/>
            <w:hideMark/>
          </w:tcPr>
          <w:p w14:paraId="544FBD95"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-33.28</w:t>
            </w:r>
          </w:p>
        </w:tc>
        <w:tc>
          <w:tcPr>
            <w:tcW w:w="283" w:type="pct"/>
            <w:tcBorders>
              <w:top w:val="nil"/>
              <w:left w:val="nil"/>
              <w:bottom w:val="single" w:sz="4" w:space="0" w:color="auto"/>
              <w:right w:val="single" w:sz="4" w:space="0" w:color="auto"/>
            </w:tcBorders>
            <w:noWrap/>
            <w:vAlign w:val="bottom"/>
            <w:hideMark/>
          </w:tcPr>
          <w:p w14:paraId="1228F05F"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-22.65</w:t>
            </w:r>
          </w:p>
        </w:tc>
        <w:tc>
          <w:tcPr>
            <w:tcW w:w="249" w:type="pct"/>
            <w:tcBorders>
              <w:top w:val="nil"/>
              <w:left w:val="nil"/>
              <w:bottom w:val="single" w:sz="4" w:space="0" w:color="auto"/>
              <w:right w:val="single" w:sz="4" w:space="0" w:color="auto"/>
            </w:tcBorders>
            <w:noWrap/>
            <w:vAlign w:val="bottom"/>
            <w:hideMark/>
          </w:tcPr>
          <w:p w14:paraId="479A2DED"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7.70</w:t>
            </w:r>
          </w:p>
        </w:tc>
        <w:tc>
          <w:tcPr>
            <w:tcW w:w="270" w:type="pct"/>
            <w:tcBorders>
              <w:top w:val="nil"/>
              <w:left w:val="nil"/>
              <w:bottom w:val="single" w:sz="4" w:space="0" w:color="auto"/>
              <w:right w:val="single" w:sz="4" w:space="0" w:color="auto"/>
            </w:tcBorders>
            <w:noWrap/>
            <w:vAlign w:val="bottom"/>
            <w:hideMark/>
          </w:tcPr>
          <w:p w14:paraId="00E0A688" w14:textId="77777777" w:rsidR="00403DD3" w:rsidRPr="00403DD3" w:rsidRDefault="00403DD3" w:rsidP="00403DD3">
            <w:pPr>
              <w:spacing w:after="0" w:line="240" w:lineRule="auto"/>
              <w:jc w:val="right"/>
              <w:rPr>
                <w:rFonts w:ascii="Aptos Narrow" w:eastAsia="Times New Roman" w:hAnsi="Aptos Narrow" w:cs="Times New Roman"/>
                <w:color w:val="000000"/>
                <w:kern w:val="0"/>
                <w:sz w:val="22"/>
                <w:szCs w:val="22"/>
                <w14:ligatures w14:val="none"/>
              </w:rPr>
            </w:pPr>
            <w:r w:rsidRPr="00403DD3">
              <w:rPr>
                <w:rFonts w:ascii="Aptos Narrow" w:eastAsia="Times New Roman" w:hAnsi="Aptos Narrow" w:cs="Times New Roman"/>
                <w:color w:val="000000"/>
                <w:kern w:val="0"/>
                <w:sz w:val="22"/>
                <w:szCs w:val="22"/>
                <w14:ligatures w14:val="none"/>
              </w:rPr>
              <w:t>18.09</w:t>
            </w:r>
          </w:p>
        </w:tc>
        <w:tc>
          <w:tcPr>
            <w:tcW w:w="83" w:type="pct"/>
            <w:vAlign w:val="center"/>
            <w:hideMark/>
          </w:tcPr>
          <w:p w14:paraId="4561632F" w14:textId="77777777" w:rsidR="00403DD3" w:rsidRPr="00403DD3" w:rsidRDefault="00403DD3" w:rsidP="00403DD3">
            <w:pPr>
              <w:spacing w:after="0" w:line="240" w:lineRule="auto"/>
              <w:jc w:val="left"/>
              <w:rPr>
                <w:rFonts w:ascii="Times New Roman" w:eastAsia="Times New Roman" w:hAnsi="Times New Roman" w:cs="Times New Roman"/>
                <w:kern w:val="0"/>
                <w:sz w:val="20"/>
                <w:szCs w:val="20"/>
                <w14:ligatures w14:val="none"/>
              </w:rPr>
            </w:pPr>
          </w:p>
        </w:tc>
      </w:tr>
    </w:tbl>
    <w:p w14:paraId="3B141274" w14:textId="77777777" w:rsidR="00403DD3" w:rsidRDefault="00403DD3" w:rsidP="00403DD3"/>
    <w:p w14:paraId="2CD09832" w14:textId="62012743" w:rsidR="00403DD3" w:rsidRDefault="00403DD3" w:rsidP="00403DD3">
      <w:pPr>
        <w:jc w:val="center"/>
      </w:pPr>
      <w:r>
        <w:rPr>
          <w:noProof/>
        </w:rPr>
        <w:drawing>
          <wp:inline distT="0" distB="0" distL="0" distR="0" wp14:anchorId="614C14B9" wp14:editId="3EC3EB47">
            <wp:extent cx="4572000" cy="2743200"/>
            <wp:effectExtent l="0" t="0" r="0" b="0"/>
            <wp:docPr id="1872523037" name="Chart 1">
              <a:extLst xmlns:a="http://schemas.openxmlformats.org/drawingml/2006/main">
                <a:ext uri="{FF2B5EF4-FFF2-40B4-BE49-F238E27FC236}">
                  <a16:creationId xmlns:a16="http://schemas.microsoft.com/office/drawing/2014/main" id="{BCC0B05E-D904-C399-CF21-314FAAE01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9"/>
              </a:graphicData>
            </a:graphic>
          </wp:inline>
        </w:drawing>
      </w:r>
    </w:p>
    <w:p w14:paraId="666E6F56" w14:textId="77777777" w:rsidR="00403DD3" w:rsidRPr="00403DD3" w:rsidRDefault="00403DD3" w:rsidP="00403DD3">
      <w:pPr>
        <w:jc w:val="center"/>
      </w:pPr>
    </w:p>
    <w:p w14:paraId="3C16DEB0" w14:textId="10BD06A4" w:rsidR="008E7995" w:rsidRDefault="008E7995" w:rsidP="008E7995">
      <w:pPr>
        <w:pStyle w:val="Heading2"/>
      </w:pPr>
      <w:bookmarkStart w:id="141" w:name="_Toc227659720"/>
      <w:r w:rsidRPr="008E7995">
        <w:t>Investment Appraisal Calculations</w:t>
      </w:r>
      <w:bookmarkEnd w:id="141"/>
    </w:p>
    <w:p w14:paraId="2D939965" w14:textId="69936AF4" w:rsidR="00403DD3" w:rsidRDefault="006A0D55" w:rsidP="00403DD3">
      <w:r w:rsidRPr="006A0D55">
        <w:t>Payback Period (PBP)</w:t>
      </w:r>
    </w:p>
    <w:tbl>
      <w:tblPr>
        <w:tblW w:w="5000" w:type="pct"/>
        <w:tblLook w:val="04A0" w:firstRow="1" w:lastRow="0" w:firstColumn="1" w:lastColumn="0" w:noHBand="0" w:noVBand="1"/>
      </w:tblPr>
      <w:tblGrid>
        <w:gridCol w:w="696"/>
        <w:gridCol w:w="1105"/>
        <w:gridCol w:w="1169"/>
        <w:gridCol w:w="220"/>
        <w:gridCol w:w="696"/>
        <w:gridCol w:w="1105"/>
        <w:gridCol w:w="1169"/>
        <w:gridCol w:w="220"/>
        <w:gridCol w:w="696"/>
        <w:gridCol w:w="1105"/>
        <w:gridCol w:w="1169"/>
      </w:tblGrid>
      <w:tr w:rsidR="006A0D55" w:rsidRPr="006A0D55" w14:paraId="0F79786A" w14:textId="77777777" w:rsidTr="006A0D55">
        <w:trPr>
          <w:trHeight w:val="300"/>
        </w:trPr>
        <w:tc>
          <w:tcPr>
            <w:tcW w:w="1588" w:type="pct"/>
            <w:gridSpan w:val="3"/>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BFA5D1E"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Payback Period (PBP) = Project A</w:t>
            </w:r>
          </w:p>
        </w:tc>
        <w:tc>
          <w:tcPr>
            <w:tcW w:w="118" w:type="pct"/>
            <w:tcBorders>
              <w:top w:val="nil"/>
              <w:left w:val="nil"/>
              <w:bottom w:val="nil"/>
              <w:right w:val="nil"/>
            </w:tcBorders>
            <w:noWrap/>
            <w:vAlign w:val="bottom"/>
            <w:hideMark/>
          </w:tcPr>
          <w:p w14:paraId="2ED32EA0"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p>
        </w:tc>
        <w:tc>
          <w:tcPr>
            <w:tcW w:w="1588" w:type="pct"/>
            <w:gridSpan w:val="3"/>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6B08B16" w14:textId="6D663709"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 xml:space="preserve">Payback Period (PBP) = Project </w:t>
            </w:r>
            <w:r>
              <w:rPr>
                <w:rFonts w:ascii="Aptos Narrow" w:eastAsia="Times New Roman" w:hAnsi="Aptos Narrow" w:cs="Times New Roman"/>
                <w:b/>
                <w:bCs/>
                <w:color w:val="000000"/>
                <w:kern w:val="0"/>
                <w:sz w:val="22"/>
                <w:szCs w:val="22"/>
                <w14:ligatures w14:val="none"/>
              </w:rPr>
              <w:t>B</w:t>
            </w:r>
          </w:p>
        </w:tc>
        <w:tc>
          <w:tcPr>
            <w:tcW w:w="118" w:type="pct"/>
            <w:tcBorders>
              <w:top w:val="nil"/>
              <w:left w:val="nil"/>
              <w:bottom w:val="nil"/>
              <w:right w:val="nil"/>
            </w:tcBorders>
            <w:noWrap/>
            <w:vAlign w:val="bottom"/>
            <w:hideMark/>
          </w:tcPr>
          <w:p w14:paraId="6DD4B876"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p>
        </w:tc>
        <w:tc>
          <w:tcPr>
            <w:tcW w:w="1588" w:type="pct"/>
            <w:gridSpan w:val="3"/>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4B56F3F" w14:textId="71540692"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 xml:space="preserve">Payback Period (PBP) = Project </w:t>
            </w:r>
            <w:r>
              <w:rPr>
                <w:rFonts w:ascii="Aptos Narrow" w:eastAsia="Times New Roman" w:hAnsi="Aptos Narrow" w:cs="Times New Roman"/>
                <w:b/>
                <w:bCs/>
                <w:color w:val="000000"/>
                <w:kern w:val="0"/>
                <w:sz w:val="22"/>
                <w:szCs w:val="22"/>
                <w14:ligatures w14:val="none"/>
              </w:rPr>
              <w:t>C</w:t>
            </w:r>
          </w:p>
        </w:tc>
      </w:tr>
      <w:tr w:rsidR="006A0D55" w:rsidRPr="006A0D55" w14:paraId="2D790851"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420D3AA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Year</w:t>
            </w:r>
          </w:p>
        </w:tc>
        <w:tc>
          <w:tcPr>
            <w:tcW w:w="591" w:type="pct"/>
            <w:tcBorders>
              <w:top w:val="nil"/>
              <w:left w:val="nil"/>
              <w:bottom w:val="single" w:sz="4" w:space="0" w:color="auto"/>
              <w:right w:val="single" w:sz="4" w:space="0" w:color="auto"/>
            </w:tcBorders>
            <w:noWrap/>
            <w:vAlign w:val="bottom"/>
            <w:hideMark/>
          </w:tcPr>
          <w:p w14:paraId="108FB85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Cash Flow (£m)</w:t>
            </w:r>
          </w:p>
        </w:tc>
        <w:tc>
          <w:tcPr>
            <w:tcW w:w="625" w:type="pct"/>
            <w:tcBorders>
              <w:top w:val="nil"/>
              <w:left w:val="nil"/>
              <w:bottom w:val="single" w:sz="4" w:space="0" w:color="auto"/>
              <w:right w:val="single" w:sz="4" w:space="0" w:color="auto"/>
            </w:tcBorders>
            <w:noWrap/>
            <w:vAlign w:val="bottom"/>
            <w:hideMark/>
          </w:tcPr>
          <w:p w14:paraId="74A09B4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Cumulative (£m)</w:t>
            </w:r>
          </w:p>
        </w:tc>
        <w:tc>
          <w:tcPr>
            <w:tcW w:w="118" w:type="pct"/>
            <w:tcBorders>
              <w:top w:val="nil"/>
              <w:left w:val="nil"/>
              <w:bottom w:val="nil"/>
              <w:right w:val="nil"/>
            </w:tcBorders>
            <w:noWrap/>
            <w:vAlign w:val="bottom"/>
            <w:hideMark/>
          </w:tcPr>
          <w:p w14:paraId="5070F3CA"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18456ADF"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Year</w:t>
            </w:r>
          </w:p>
        </w:tc>
        <w:tc>
          <w:tcPr>
            <w:tcW w:w="591" w:type="pct"/>
            <w:tcBorders>
              <w:top w:val="nil"/>
              <w:left w:val="nil"/>
              <w:bottom w:val="single" w:sz="4" w:space="0" w:color="auto"/>
              <w:right w:val="single" w:sz="4" w:space="0" w:color="auto"/>
            </w:tcBorders>
            <w:noWrap/>
            <w:vAlign w:val="bottom"/>
            <w:hideMark/>
          </w:tcPr>
          <w:p w14:paraId="3A21A25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Cash Flow (£m)</w:t>
            </w:r>
          </w:p>
        </w:tc>
        <w:tc>
          <w:tcPr>
            <w:tcW w:w="625" w:type="pct"/>
            <w:tcBorders>
              <w:top w:val="nil"/>
              <w:left w:val="nil"/>
              <w:bottom w:val="single" w:sz="4" w:space="0" w:color="auto"/>
              <w:right w:val="single" w:sz="4" w:space="0" w:color="auto"/>
            </w:tcBorders>
            <w:noWrap/>
            <w:vAlign w:val="bottom"/>
            <w:hideMark/>
          </w:tcPr>
          <w:p w14:paraId="375E89DA"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Cumulative (£m)</w:t>
            </w:r>
          </w:p>
        </w:tc>
        <w:tc>
          <w:tcPr>
            <w:tcW w:w="118" w:type="pct"/>
            <w:tcBorders>
              <w:top w:val="nil"/>
              <w:left w:val="nil"/>
              <w:bottom w:val="nil"/>
              <w:right w:val="nil"/>
            </w:tcBorders>
            <w:noWrap/>
            <w:vAlign w:val="bottom"/>
            <w:hideMark/>
          </w:tcPr>
          <w:p w14:paraId="40DB2F4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33B1DB1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Year</w:t>
            </w:r>
          </w:p>
        </w:tc>
        <w:tc>
          <w:tcPr>
            <w:tcW w:w="591" w:type="pct"/>
            <w:tcBorders>
              <w:top w:val="nil"/>
              <w:left w:val="nil"/>
              <w:bottom w:val="single" w:sz="4" w:space="0" w:color="auto"/>
              <w:right w:val="single" w:sz="4" w:space="0" w:color="auto"/>
            </w:tcBorders>
            <w:noWrap/>
            <w:vAlign w:val="bottom"/>
            <w:hideMark/>
          </w:tcPr>
          <w:p w14:paraId="492FA7F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Cash Flow (£m)</w:t>
            </w:r>
          </w:p>
        </w:tc>
        <w:tc>
          <w:tcPr>
            <w:tcW w:w="625" w:type="pct"/>
            <w:tcBorders>
              <w:top w:val="nil"/>
              <w:left w:val="nil"/>
              <w:bottom w:val="single" w:sz="4" w:space="0" w:color="auto"/>
              <w:right w:val="single" w:sz="4" w:space="0" w:color="auto"/>
            </w:tcBorders>
            <w:noWrap/>
            <w:vAlign w:val="bottom"/>
            <w:hideMark/>
          </w:tcPr>
          <w:p w14:paraId="444BDD6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Cumulative (£m)</w:t>
            </w:r>
          </w:p>
        </w:tc>
      </w:tr>
      <w:tr w:rsidR="006A0D55" w:rsidRPr="006A0D55" w14:paraId="6CDEEF90"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1740CDB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w:t>
            </w:r>
          </w:p>
        </w:tc>
        <w:tc>
          <w:tcPr>
            <w:tcW w:w="591" w:type="pct"/>
            <w:tcBorders>
              <w:top w:val="nil"/>
              <w:left w:val="nil"/>
              <w:bottom w:val="single" w:sz="4" w:space="0" w:color="auto"/>
              <w:right w:val="single" w:sz="4" w:space="0" w:color="auto"/>
            </w:tcBorders>
            <w:noWrap/>
            <w:vAlign w:val="bottom"/>
            <w:hideMark/>
          </w:tcPr>
          <w:p w14:paraId="2C219BF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625" w:type="pct"/>
            <w:tcBorders>
              <w:top w:val="nil"/>
              <w:left w:val="nil"/>
              <w:bottom w:val="single" w:sz="4" w:space="0" w:color="auto"/>
              <w:right w:val="single" w:sz="4" w:space="0" w:color="auto"/>
            </w:tcBorders>
            <w:noWrap/>
            <w:vAlign w:val="bottom"/>
            <w:hideMark/>
          </w:tcPr>
          <w:p w14:paraId="2069E19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118" w:type="pct"/>
            <w:tcBorders>
              <w:top w:val="nil"/>
              <w:left w:val="nil"/>
              <w:bottom w:val="nil"/>
              <w:right w:val="nil"/>
            </w:tcBorders>
            <w:noWrap/>
            <w:vAlign w:val="bottom"/>
            <w:hideMark/>
          </w:tcPr>
          <w:p w14:paraId="1900764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41C5AD5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w:t>
            </w:r>
          </w:p>
        </w:tc>
        <w:tc>
          <w:tcPr>
            <w:tcW w:w="591" w:type="pct"/>
            <w:tcBorders>
              <w:top w:val="nil"/>
              <w:left w:val="nil"/>
              <w:bottom w:val="single" w:sz="4" w:space="0" w:color="auto"/>
              <w:right w:val="single" w:sz="4" w:space="0" w:color="auto"/>
            </w:tcBorders>
            <w:noWrap/>
            <w:vAlign w:val="bottom"/>
            <w:hideMark/>
          </w:tcPr>
          <w:p w14:paraId="5798145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625" w:type="pct"/>
            <w:tcBorders>
              <w:top w:val="nil"/>
              <w:left w:val="nil"/>
              <w:bottom w:val="single" w:sz="4" w:space="0" w:color="auto"/>
              <w:right w:val="single" w:sz="4" w:space="0" w:color="auto"/>
            </w:tcBorders>
            <w:noWrap/>
            <w:vAlign w:val="bottom"/>
            <w:hideMark/>
          </w:tcPr>
          <w:p w14:paraId="0050FB64"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118" w:type="pct"/>
            <w:tcBorders>
              <w:top w:val="nil"/>
              <w:left w:val="nil"/>
              <w:bottom w:val="nil"/>
              <w:right w:val="nil"/>
            </w:tcBorders>
            <w:noWrap/>
            <w:vAlign w:val="bottom"/>
            <w:hideMark/>
          </w:tcPr>
          <w:p w14:paraId="3DC8DE2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5DFE77A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w:t>
            </w:r>
          </w:p>
        </w:tc>
        <w:tc>
          <w:tcPr>
            <w:tcW w:w="591" w:type="pct"/>
            <w:tcBorders>
              <w:top w:val="nil"/>
              <w:left w:val="nil"/>
              <w:bottom w:val="single" w:sz="4" w:space="0" w:color="auto"/>
              <w:right w:val="single" w:sz="4" w:space="0" w:color="auto"/>
            </w:tcBorders>
            <w:noWrap/>
            <w:vAlign w:val="bottom"/>
            <w:hideMark/>
          </w:tcPr>
          <w:p w14:paraId="0641E7F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625" w:type="pct"/>
            <w:tcBorders>
              <w:top w:val="nil"/>
              <w:left w:val="nil"/>
              <w:bottom w:val="single" w:sz="4" w:space="0" w:color="auto"/>
              <w:right w:val="single" w:sz="4" w:space="0" w:color="auto"/>
            </w:tcBorders>
            <w:noWrap/>
            <w:vAlign w:val="bottom"/>
            <w:hideMark/>
          </w:tcPr>
          <w:p w14:paraId="296D9AF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r>
      <w:tr w:rsidR="006A0D55" w:rsidRPr="006A0D55" w14:paraId="57D4C364"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3F994E7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591" w:type="pct"/>
            <w:tcBorders>
              <w:top w:val="nil"/>
              <w:left w:val="nil"/>
              <w:bottom w:val="single" w:sz="4" w:space="0" w:color="auto"/>
              <w:right w:val="single" w:sz="4" w:space="0" w:color="auto"/>
            </w:tcBorders>
            <w:noWrap/>
            <w:vAlign w:val="bottom"/>
            <w:hideMark/>
          </w:tcPr>
          <w:p w14:paraId="7764EFE4"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625" w:type="pct"/>
            <w:tcBorders>
              <w:top w:val="nil"/>
              <w:left w:val="nil"/>
              <w:bottom w:val="single" w:sz="4" w:space="0" w:color="auto"/>
              <w:right w:val="single" w:sz="4" w:space="0" w:color="auto"/>
            </w:tcBorders>
            <w:noWrap/>
            <w:vAlign w:val="bottom"/>
            <w:hideMark/>
          </w:tcPr>
          <w:p w14:paraId="7653FFE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-40</w:t>
            </w:r>
          </w:p>
        </w:tc>
        <w:tc>
          <w:tcPr>
            <w:tcW w:w="118" w:type="pct"/>
            <w:tcBorders>
              <w:top w:val="nil"/>
              <w:left w:val="nil"/>
              <w:bottom w:val="nil"/>
              <w:right w:val="nil"/>
            </w:tcBorders>
            <w:noWrap/>
            <w:vAlign w:val="bottom"/>
            <w:hideMark/>
          </w:tcPr>
          <w:p w14:paraId="0F8D275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352B407F"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591" w:type="pct"/>
            <w:tcBorders>
              <w:top w:val="nil"/>
              <w:left w:val="nil"/>
              <w:bottom w:val="single" w:sz="4" w:space="0" w:color="auto"/>
              <w:right w:val="single" w:sz="4" w:space="0" w:color="auto"/>
            </w:tcBorders>
            <w:noWrap/>
            <w:vAlign w:val="bottom"/>
            <w:hideMark/>
          </w:tcPr>
          <w:p w14:paraId="575626B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625" w:type="pct"/>
            <w:tcBorders>
              <w:top w:val="nil"/>
              <w:left w:val="nil"/>
              <w:bottom w:val="single" w:sz="4" w:space="0" w:color="auto"/>
              <w:right w:val="single" w:sz="4" w:space="0" w:color="auto"/>
            </w:tcBorders>
            <w:noWrap/>
            <w:vAlign w:val="bottom"/>
            <w:hideMark/>
          </w:tcPr>
          <w:p w14:paraId="1F175D5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-39</w:t>
            </w:r>
          </w:p>
        </w:tc>
        <w:tc>
          <w:tcPr>
            <w:tcW w:w="118" w:type="pct"/>
            <w:tcBorders>
              <w:top w:val="nil"/>
              <w:left w:val="nil"/>
              <w:bottom w:val="nil"/>
              <w:right w:val="nil"/>
            </w:tcBorders>
            <w:noWrap/>
            <w:vAlign w:val="bottom"/>
            <w:hideMark/>
          </w:tcPr>
          <w:p w14:paraId="5E64DB4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5E3CF24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591" w:type="pct"/>
            <w:tcBorders>
              <w:top w:val="nil"/>
              <w:left w:val="nil"/>
              <w:bottom w:val="single" w:sz="4" w:space="0" w:color="auto"/>
              <w:right w:val="single" w:sz="4" w:space="0" w:color="auto"/>
            </w:tcBorders>
            <w:noWrap/>
            <w:vAlign w:val="bottom"/>
            <w:hideMark/>
          </w:tcPr>
          <w:p w14:paraId="6326A20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625" w:type="pct"/>
            <w:tcBorders>
              <w:top w:val="nil"/>
              <w:left w:val="nil"/>
              <w:bottom w:val="single" w:sz="4" w:space="0" w:color="auto"/>
              <w:right w:val="single" w:sz="4" w:space="0" w:color="auto"/>
            </w:tcBorders>
            <w:noWrap/>
            <w:vAlign w:val="bottom"/>
            <w:hideMark/>
          </w:tcPr>
          <w:p w14:paraId="5C23788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-45</w:t>
            </w:r>
          </w:p>
        </w:tc>
      </w:tr>
      <w:tr w:rsidR="006A0D55" w:rsidRPr="006A0D55" w14:paraId="6B1236D6"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1858AB1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c>
          <w:tcPr>
            <w:tcW w:w="591" w:type="pct"/>
            <w:tcBorders>
              <w:top w:val="nil"/>
              <w:left w:val="nil"/>
              <w:bottom w:val="single" w:sz="4" w:space="0" w:color="auto"/>
              <w:right w:val="single" w:sz="4" w:space="0" w:color="auto"/>
            </w:tcBorders>
            <w:noWrap/>
            <w:vAlign w:val="bottom"/>
            <w:hideMark/>
          </w:tcPr>
          <w:p w14:paraId="1CA79FE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12</w:t>
            </w:r>
          </w:p>
        </w:tc>
        <w:tc>
          <w:tcPr>
            <w:tcW w:w="625" w:type="pct"/>
            <w:tcBorders>
              <w:top w:val="nil"/>
              <w:left w:val="nil"/>
              <w:bottom w:val="single" w:sz="4" w:space="0" w:color="auto"/>
              <w:right w:val="single" w:sz="4" w:space="0" w:color="auto"/>
            </w:tcBorders>
            <w:noWrap/>
            <w:vAlign w:val="bottom"/>
            <w:hideMark/>
          </w:tcPr>
          <w:p w14:paraId="65AEADB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-28</w:t>
            </w:r>
          </w:p>
        </w:tc>
        <w:tc>
          <w:tcPr>
            <w:tcW w:w="118" w:type="pct"/>
            <w:tcBorders>
              <w:top w:val="nil"/>
              <w:left w:val="nil"/>
              <w:bottom w:val="nil"/>
              <w:right w:val="nil"/>
            </w:tcBorders>
            <w:noWrap/>
            <w:vAlign w:val="bottom"/>
            <w:hideMark/>
          </w:tcPr>
          <w:p w14:paraId="794A6FC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37AE6D7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c>
          <w:tcPr>
            <w:tcW w:w="591" w:type="pct"/>
            <w:tcBorders>
              <w:top w:val="nil"/>
              <w:left w:val="nil"/>
              <w:bottom w:val="single" w:sz="4" w:space="0" w:color="auto"/>
              <w:right w:val="single" w:sz="4" w:space="0" w:color="auto"/>
            </w:tcBorders>
            <w:noWrap/>
            <w:vAlign w:val="bottom"/>
            <w:hideMark/>
          </w:tcPr>
          <w:p w14:paraId="39AA888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625" w:type="pct"/>
            <w:tcBorders>
              <w:top w:val="nil"/>
              <w:left w:val="nil"/>
              <w:bottom w:val="single" w:sz="4" w:space="0" w:color="auto"/>
              <w:right w:val="single" w:sz="4" w:space="0" w:color="auto"/>
            </w:tcBorders>
            <w:noWrap/>
            <w:vAlign w:val="bottom"/>
            <w:hideMark/>
          </w:tcPr>
          <w:p w14:paraId="5E43BCF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-28</w:t>
            </w:r>
          </w:p>
        </w:tc>
        <w:tc>
          <w:tcPr>
            <w:tcW w:w="118" w:type="pct"/>
            <w:tcBorders>
              <w:top w:val="nil"/>
              <w:left w:val="nil"/>
              <w:bottom w:val="nil"/>
              <w:right w:val="nil"/>
            </w:tcBorders>
            <w:noWrap/>
            <w:vAlign w:val="bottom"/>
            <w:hideMark/>
          </w:tcPr>
          <w:p w14:paraId="67B626FA"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52022254"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c>
          <w:tcPr>
            <w:tcW w:w="591" w:type="pct"/>
            <w:tcBorders>
              <w:top w:val="nil"/>
              <w:left w:val="nil"/>
              <w:bottom w:val="single" w:sz="4" w:space="0" w:color="auto"/>
              <w:right w:val="single" w:sz="4" w:space="0" w:color="auto"/>
            </w:tcBorders>
            <w:noWrap/>
            <w:vAlign w:val="bottom"/>
            <w:hideMark/>
          </w:tcPr>
          <w:p w14:paraId="36EBE4B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625" w:type="pct"/>
            <w:tcBorders>
              <w:top w:val="nil"/>
              <w:left w:val="nil"/>
              <w:bottom w:val="single" w:sz="4" w:space="0" w:color="auto"/>
              <w:right w:val="single" w:sz="4" w:space="0" w:color="auto"/>
            </w:tcBorders>
            <w:noWrap/>
            <w:vAlign w:val="bottom"/>
            <w:hideMark/>
          </w:tcPr>
          <w:p w14:paraId="12B2A93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-35</w:t>
            </w:r>
          </w:p>
        </w:tc>
      </w:tr>
      <w:tr w:rsidR="006A0D55" w:rsidRPr="006A0D55" w14:paraId="4329CB8E"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34CE8EC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591" w:type="pct"/>
            <w:tcBorders>
              <w:top w:val="nil"/>
              <w:left w:val="nil"/>
              <w:bottom w:val="single" w:sz="4" w:space="0" w:color="auto"/>
              <w:right w:val="single" w:sz="4" w:space="0" w:color="auto"/>
            </w:tcBorders>
            <w:noWrap/>
            <w:vAlign w:val="bottom"/>
            <w:hideMark/>
          </w:tcPr>
          <w:p w14:paraId="734741E0"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14</w:t>
            </w:r>
          </w:p>
        </w:tc>
        <w:tc>
          <w:tcPr>
            <w:tcW w:w="625" w:type="pct"/>
            <w:tcBorders>
              <w:top w:val="nil"/>
              <w:left w:val="nil"/>
              <w:bottom w:val="single" w:sz="4" w:space="0" w:color="auto"/>
              <w:right w:val="single" w:sz="4" w:space="0" w:color="auto"/>
            </w:tcBorders>
            <w:noWrap/>
            <w:vAlign w:val="bottom"/>
            <w:hideMark/>
          </w:tcPr>
          <w:p w14:paraId="0FB71E5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-14</w:t>
            </w:r>
          </w:p>
        </w:tc>
        <w:tc>
          <w:tcPr>
            <w:tcW w:w="118" w:type="pct"/>
            <w:tcBorders>
              <w:top w:val="nil"/>
              <w:left w:val="nil"/>
              <w:bottom w:val="nil"/>
              <w:right w:val="nil"/>
            </w:tcBorders>
            <w:noWrap/>
            <w:vAlign w:val="bottom"/>
            <w:hideMark/>
          </w:tcPr>
          <w:p w14:paraId="7F12F1A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14CD608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591" w:type="pct"/>
            <w:tcBorders>
              <w:top w:val="nil"/>
              <w:left w:val="nil"/>
              <w:bottom w:val="single" w:sz="4" w:space="0" w:color="auto"/>
              <w:right w:val="single" w:sz="4" w:space="0" w:color="auto"/>
            </w:tcBorders>
            <w:noWrap/>
            <w:vAlign w:val="bottom"/>
            <w:hideMark/>
          </w:tcPr>
          <w:p w14:paraId="25FD9C6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625" w:type="pct"/>
            <w:tcBorders>
              <w:top w:val="nil"/>
              <w:left w:val="nil"/>
              <w:bottom w:val="single" w:sz="4" w:space="0" w:color="auto"/>
              <w:right w:val="single" w:sz="4" w:space="0" w:color="auto"/>
            </w:tcBorders>
            <w:noWrap/>
            <w:vAlign w:val="bottom"/>
            <w:hideMark/>
          </w:tcPr>
          <w:p w14:paraId="0D66B29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-17</w:t>
            </w:r>
          </w:p>
        </w:tc>
        <w:tc>
          <w:tcPr>
            <w:tcW w:w="118" w:type="pct"/>
            <w:tcBorders>
              <w:top w:val="nil"/>
              <w:left w:val="nil"/>
              <w:bottom w:val="nil"/>
              <w:right w:val="nil"/>
            </w:tcBorders>
            <w:noWrap/>
            <w:vAlign w:val="bottom"/>
            <w:hideMark/>
          </w:tcPr>
          <w:p w14:paraId="37DE8FD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7041196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591" w:type="pct"/>
            <w:tcBorders>
              <w:top w:val="nil"/>
              <w:left w:val="nil"/>
              <w:bottom w:val="single" w:sz="4" w:space="0" w:color="auto"/>
              <w:right w:val="single" w:sz="4" w:space="0" w:color="auto"/>
            </w:tcBorders>
            <w:noWrap/>
            <w:vAlign w:val="bottom"/>
            <w:hideMark/>
          </w:tcPr>
          <w:p w14:paraId="0C78464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20</w:t>
            </w:r>
          </w:p>
        </w:tc>
        <w:tc>
          <w:tcPr>
            <w:tcW w:w="625" w:type="pct"/>
            <w:tcBorders>
              <w:top w:val="nil"/>
              <w:left w:val="nil"/>
              <w:bottom w:val="single" w:sz="4" w:space="0" w:color="auto"/>
              <w:right w:val="single" w:sz="4" w:space="0" w:color="auto"/>
            </w:tcBorders>
            <w:noWrap/>
            <w:vAlign w:val="bottom"/>
            <w:hideMark/>
          </w:tcPr>
          <w:p w14:paraId="7D2D051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-15</w:t>
            </w:r>
          </w:p>
        </w:tc>
      </w:tr>
      <w:tr w:rsidR="006A0D55" w:rsidRPr="006A0D55" w14:paraId="778380FD"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3572CC0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591" w:type="pct"/>
            <w:tcBorders>
              <w:top w:val="nil"/>
              <w:left w:val="nil"/>
              <w:bottom w:val="single" w:sz="4" w:space="0" w:color="auto"/>
              <w:right w:val="single" w:sz="4" w:space="0" w:color="auto"/>
            </w:tcBorders>
            <w:noWrap/>
            <w:vAlign w:val="bottom"/>
            <w:hideMark/>
          </w:tcPr>
          <w:p w14:paraId="100AAA7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625" w:type="pct"/>
            <w:tcBorders>
              <w:top w:val="nil"/>
              <w:left w:val="nil"/>
              <w:bottom w:val="single" w:sz="4" w:space="0" w:color="auto"/>
              <w:right w:val="single" w:sz="4" w:space="0" w:color="auto"/>
            </w:tcBorders>
            <w:noWrap/>
            <w:vAlign w:val="bottom"/>
            <w:hideMark/>
          </w:tcPr>
          <w:p w14:paraId="0439B93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118" w:type="pct"/>
            <w:tcBorders>
              <w:top w:val="nil"/>
              <w:left w:val="nil"/>
              <w:bottom w:val="nil"/>
              <w:right w:val="nil"/>
            </w:tcBorders>
            <w:noWrap/>
            <w:vAlign w:val="bottom"/>
            <w:hideMark/>
          </w:tcPr>
          <w:p w14:paraId="35828E94"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6CA48E5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591" w:type="pct"/>
            <w:tcBorders>
              <w:top w:val="nil"/>
              <w:left w:val="nil"/>
              <w:bottom w:val="single" w:sz="4" w:space="0" w:color="auto"/>
              <w:right w:val="single" w:sz="4" w:space="0" w:color="auto"/>
            </w:tcBorders>
            <w:noWrap/>
            <w:vAlign w:val="bottom"/>
            <w:hideMark/>
          </w:tcPr>
          <w:p w14:paraId="7FF4AF5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625" w:type="pct"/>
            <w:tcBorders>
              <w:top w:val="nil"/>
              <w:left w:val="nil"/>
              <w:bottom w:val="single" w:sz="4" w:space="0" w:color="auto"/>
              <w:right w:val="single" w:sz="4" w:space="0" w:color="auto"/>
            </w:tcBorders>
            <w:noWrap/>
            <w:vAlign w:val="bottom"/>
            <w:hideMark/>
          </w:tcPr>
          <w:p w14:paraId="68F8590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-6</w:t>
            </w:r>
          </w:p>
        </w:tc>
        <w:tc>
          <w:tcPr>
            <w:tcW w:w="118" w:type="pct"/>
            <w:tcBorders>
              <w:top w:val="nil"/>
              <w:left w:val="nil"/>
              <w:bottom w:val="nil"/>
              <w:right w:val="nil"/>
            </w:tcBorders>
            <w:noWrap/>
            <w:vAlign w:val="bottom"/>
            <w:hideMark/>
          </w:tcPr>
          <w:p w14:paraId="1A7C3E15"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2B666B9F"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591" w:type="pct"/>
            <w:tcBorders>
              <w:top w:val="nil"/>
              <w:left w:val="nil"/>
              <w:bottom w:val="single" w:sz="4" w:space="0" w:color="auto"/>
              <w:right w:val="single" w:sz="4" w:space="0" w:color="auto"/>
            </w:tcBorders>
            <w:noWrap/>
            <w:vAlign w:val="bottom"/>
            <w:hideMark/>
          </w:tcPr>
          <w:p w14:paraId="133B6AE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25</w:t>
            </w:r>
          </w:p>
        </w:tc>
        <w:tc>
          <w:tcPr>
            <w:tcW w:w="625" w:type="pct"/>
            <w:tcBorders>
              <w:top w:val="nil"/>
              <w:left w:val="nil"/>
              <w:bottom w:val="single" w:sz="4" w:space="0" w:color="auto"/>
              <w:right w:val="single" w:sz="4" w:space="0" w:color="auto"/>
            </w:tcBorders>
            <w:noWrap/>
            <w:vAlign w:val="bottom"/>
            <w:hideMark/>
          </w:tcPr>
          <w:p w14:paraId="69803BD0"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r>
      <w:tr w:rsidR="006A0D55" w:rsidRPr="006A0D55" w14:paraId="2F7C42AC"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0AF84F5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591" w:type="pct"/>
            <w:tcBorders>
              <w:top w:val="nil"/>
              <w:left w:val="nil"/>
              <w:bottom w:val="single" w:sz="4" w:space="0" w:color="auto"/>
              <w:right w:val="single" w:sz="4" w:space="0" w:color="auto"/>
            </w:tcBorders>
            <w:noWrap/>
            <w:vAlign w:val="bottom"/>
            <w:hideMark/>
          </w:tcPr>
          <w:p w14:paraId="73097A8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w:t>
            </w:r>
          </w:p>
        </w:tc>
        <w:tc>
          <w:tcPr>
            <w:tcW w:w="625" w:type="pct"/>
            <w:tcBorders>
              <w:top w:val="nil"/>
              <w:left w:val="nil"/>
              <w:bottom w:val="single" w:sz="4" w:space="0" w:color="auto"/>
              <w:right w:val="single" w:sz="4" w:space="0" w:color="auto"/>
            </w:tcBorders>
            <w:noWrap/>
            <w:vAlign w:val="bottom"/>
            <w:hideMark/>
          </w:tcPr>
          <w:p w14:paraId="4DAE5B6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118" w:type="pct"/>
            <w:tcBorders>
              <w:top w:val="nil"/>
              <w:left w:val="nil"/>
              <w:bottom w:val="nil"/>
              <w:right w:val="nil"/>
            </w:tcBorders>
            <w:noWrap/>
            <w:vAlign w:val="bottom"/>
            <w:hideMark/>
          </w:tcPr>
          <w:p w14:paraId="34F5F1B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5A46A4CA"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591" w:type="pct"/>
            <w:tcBorders>
              <w:top w:val="nil"/>
              <w:left w:val="nil"/>
              <w:bottom w:val="single" w:sz="4" w:space="0" w:color="auto"/>
              <w:right w:val="single" w:sz="4" w:space="0" w:color="auto"/>
            </w:tcBorders>
            <w:noWrap/>
            <w:vAlign w:val="bottom"/>
            <w:hideMark/>
          </w:tcPr>
          <w:p w14:paraId="632CB2C5"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625" w:type="pct"/>
            <w:tcBorders>
              <w:top w:val="nil"/>
              <w:left w:val="nil"/>
              <w:bottom w:val="single" w:sz="4" w:space="0" w:color="auto"/>
              <w:right w:val="single" w:sz="4" w:space="0" w:color="auto"/>
            </w:tcBorders>
            <w:noWrap/>
            <w:vAlign w:val="bottom"/>
            <w:hideMark/>
          </w:tcPr>
          <w:p w14:paraId="44D3242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118" w:type="pct"/>
            <w:tcBorders>
              <w:top w:val="nil"/>
              <w:left w:val="nil"/>
              <w:bottom w:val="nil"/>
              <w:right w:val="nil"/>
            </w:tcBorders>
            <w:noWrap/>
            <w:vAlign w:val="bottom"/>
            <w:hideMark/>
          </w:tcPr>
          <w:p w14:paraId="731EDE4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02426280"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591" w:type="pct"/>
            <w:tcBorders>
              <w:top w:val="nil"/>
              <w:left w:val="nil"/>
              <w:bottom w:val="single" w:sz="4" w:space="0" w:color="auto"/>
              <w:right w:val="single" w:sz="4" w:space="0" w:color="auto"/>
            </w:tcBorders>
            <w:noWrap/>
            <w:vAlign w:val="bottom"/>
            <w:hideMark/>
          </w:tcPr>
          <w:p w14:paraId="47C9832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w:t>
            </w:r>
          </w:p>
        </w:tc>
        <w:tc>
          <w:tcPr>
            <w:tcW w:w="625" w:type="pct"/>
            <w:tcBorders>
              <w:top w:val="nil"/>
              <w:left w:val="nil"/>
              <w:bottom w:val="single" w:sz="4" w:space="0" w:color="auto"/>
              <w:right w:val="single" w:sz="4" w:space="0" w:color="auto"/>
            </w:tcBorders>
            <w:noWrap/>
            <w:vAlign w:val="bottom"/>
            <w:hideMark/>
          </w:tcPr>
          <w:p w14:paraId="18B9EB15"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r>
      <w:tr w:rsidR="006A0D55" w:rsidRPr="006A0D55" w14:paraId="250E2A94" w14:textId="77777777" w:rsidTr="006A0D55">
        <w:trPr>
          <w:trHeight w:val="300"/>
        </w:trPr>
        <w:tc>
          <w:tcPr>
            <w:tcW w:w="372" w:type="pct"/>
            <w:tcBorders>
              <w:top w:val="nil"/>
              <w:left w:val="single" w:sz="4" w:space="0" w:color="auto"/>
              <w:bottom w:val="single" w:sz="4" w:space="0" w:color="auto"/>
              <w:right w:val="single" w:sz="4" w:space="0" w:color="auto"/>
            </w:tcBorders>
            <w:noWrap/>
            <w:vAlign w:val="bottom"/>
            <w:hideMark/>
          </w:tcPr>
          <w:p w14:paraId="4D16833F"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Payback</w:t>
            </w:r>
          </w:p>
        </w:tc>
        <w:tc>
          <w:tcPr>
            <w:tcW w:w="591" w:type="pct"/>
            <w:tcBorders>
              <w:top w:val="nil"/>
              <w:left w:val="nil"/>
              <w:bottom w:val="single" w:sz="4" w:space="0" w:color="auto"/>
              <w:right w:val="single" w:sz="4" w:space="0" w:color="auto"/>
            </w:tcBorders>
            <w:noWrap/>
            <w:vAlign w:val="bottom"/>
            <w:hideMark/>
          </w:tcPr>
          <w:p w14:paraId="73B5DBA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 + (4/8)</w:t>
            </w:r>
          </w:p>
        </w:tc>
        <w:tc>
          <w:tcPr>
            <w:tcW w:w="625" w:type="pct"/>
            <w:tcBorders>
              <w:top w:val="nil"/>
              <w:left w:val="nil"/>
              <w:bottom w:val="single" w:sz="4" w:space="0" w:color="auto"/>
              <w:right w:val="single" w:sz="4" w:space="0" w:color="auto"/>
            </w:tcBorders>
            <w:noWrap/>
            <w:vAlign w:val="bottom"/>
            <w:hideMark/>
          </w:tcPr>
          <w:p w14:paraId="22B898B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4.50</w:t>
            </w:r>
          </w:p>
        </w:tc>
        <w:tc>
          <w:tcPr>
            <w:tcW w:w="118" w:type="pct"/>
            <w:tcBorders>
              <w:top w:val="nil"/>
              <w:left w:val="nil"/>
              <w:bottom w:val="nil"/>
              <w:right w:val="nil"/>
            </w:tcBorders>
            <w:noWrap/>
            <w:vAlign w:val="bottom"/>
            <w:hideMark/>
          </w:tcPr>
          <w:p w14:paraId="1EC798D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6A3F73A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Payback</w:t>
            </w:r>
          </w:p>
        </w:tc>
        <w:tc>
          <w:tcPr>
            <w:tcW w:w="591" w:type="pct"/>
            <w:tcBorders>
              <w:top w:val="nil"/>
              <w:left w:val="nil"/>
              <w:bottom w:val="single" w:sz="4" w:space="0" w:color="auto"/>
              <w:right w:val="single" w:sz="4" w:space="0" w:color="auto"/>
            </w:tcBorders>
            <w:noWrap/>
            <w:vAlign w:val="bottom"/>
            <w:hideMark/>
          </w:tcPr>
          <w:p w14:paraId="1F45B28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 + (6/11)</w:t>
            </w:r>
          </w:p>
        </w:tc>
        <w:tc>
          <w:tcPr>
            <w:tcW w:w="625" w:type="pct"/>
            <w:tcBorders>
              <w:top w:val="nil"/>
              <w:left w:val="nil"/>
              <w:bottom w:val="single" w:sz="4" w:space="0" w:color="auto"/>
              <w:right w:val="single" w:sz="4" w:space="0" w:color="auto"/>
            </w:tcBorders>
            <w:noWrap/>
            <w:vAlign w:val="bottom"/>
            <w:hideMark/>
          </w:tcPr>
          <w:p w14:paraId="4FDFAAF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4.55</w:t>
            </w:r>
          </w:p>
        </w:tc>
        <w:tc>
          <w:tcPr>
            <w:tcW w:w="118" w:type="pct"/>
            <w:tcBorders>
              <w:top w:val="nil"/>
              <w:left w:val="nil"/>
              <w:bottom w:val="nil"/>
              <w:right w:val="nil"/>
            </w:tcBorders>
            <w:noWrap/>
            <w:vAlign w:val="bottom"/>
            <w:hideMark/>
          </w:tcPr>
          <w:p w14:paraId="52AF3E44"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372" w:type="pct"/>
            <w:tcBorders>
              <w:top w:val="nil"/>
              <w:left w:val="single" w:sz="4" w:space="0" w:color="auto"/>
              <w:bottom w:val="single" w:sz="4" w:space="0" w:color="auto"/>
              <w:right w:val="single" w:sz="4" w:space="0" w:color="auto"/>
            </w:tcBorders>
            <w:noWrap/>
            <w:vAlign w:val="bottom"/>
            <w:hideMark/>
          </w:tcPr>
          <w:p w14:paraId="27F4A3C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Payback</w:t>
            </w:r>
          </w:p>
        </w:tc>
        <w:tc>
          <w:tcPr>
            <w:tcW w:w="591" w:type="pct"/>
            <w:tcBorders>
              <w:top w:val="nil"/>
              <w:left w:val="nil"/>
              <w:bottom w:val="single" w:sz="4" w:space="0" w:color="auto"/>
              <w:right w:val="single" w:sz="4" w:space="0" w:color="auto"/>
            </w:tcBorders>
            <w:noWrap/>
            <w:vAlign w:val="bottom"/>
            <w:hideMark/>
          </w:tcPr>
          <w:p w14:paraId="6F3CB4E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 + (15/25)</w:t>
            </w:r>
          </w:p>
        </w:tc>
        <w:tc>
          <w:tcPr>
            <w:tcW w:w="625" w:type="pct"/>
            <w:tcBorders>
              <w:top w:val="nil"/>
              <w:left w:val="nil"/>
              <w:bottom w:val="single" w:sz="4" w:space="0" w:color="auto"/>
              <w:right w:val="single" w:sz="4" w:space="0" w:color="auto"/>
            </w:tcBorders>
            <w:noWrap/>
            <w:vAlign w:val="bottom"/>
            <w:hideMark/>
          </w:tcPr>
          <w:p w14:paraId="06F5F6EA"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3.60</w:t>
            </w:r>
          </w:p>
        </w:tc>
      </w:tr>
    </w:tbl>
    <w:p w14:paraId="2439008D" w14:textId="65F1EDFB" w:rsidR="006A0D55" w:rsidRDefault="006A0D55" w:rsidP="00403DD3">
      <w:r w:rsidRPr="006A0D55">
        <w:lastRenderedPageBreak/>
        <w:t>Accounting Rate of Return (ARR)</w:t>
      </w:r>
    </w:p>
    <w:tbl>
      <w:tblPr>
        <w:tblW w:w="5000" w:type="pct"/>
        <w:tblLook w:val="04A0" w:firstRow="1" w:lastRow="0" w:firstColumn="1" w:lastColumn="0" w:noHBand="0" w:noVBand="1"/>
      </w:tblPr>
      <w:tblGrid>
        <w:gridCol w:w="3097"/>
        <w:gridCol w:w="2409"/>
        <w:gridCol w:w="1707"/>
        <w:gridCol w:w="1398"/>
        <w:gridCol w:w="739"/>
      </w:tblGrid>
      <w:tr w:rsidR="006A0D55" w:rsidRPr="006A0D55" w14:paraId="64CD88E2" w14:textId="77777777" w:rsidTr="006A0D55">
        <w:trPr>
          <w:trHeight w:val="300"/>
        </w:trPr>
        <w:tc>
          <w:tcPr>
            <w:tcW w:w="5000" w:type="pct"/>
            <w:gridSpan w:val="5"/>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7A0F46C"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ARR = (Average Annual Profit ÷ Initial Investment) × 100</w:t>
            </w:r>
          </w:p>
        </w:tc>
      </w:tr>
      <w:tr w:rsidR="006A0D55" w:rsidRPr="006A0D55" w14:paraId="7740D47F" w14:textId="77777777" w:rsidTr="006A0D55">
        <w:trPr>
          <w:trHeight w:val="300"/>
        </w:trPr>
        <w:tc>
          <w:tcPr>
            <w:tcW w:w="1719" w:type="pct"/>
            <w:tcBorders>
              <w:top w:val="nil"/>
              <w:left w:val="single" w:sz="4" w:space="0" w:color="auto"/>
              <w:bottom w:val="single" w:sz="4" w:space="0" w:color="auto"/>
              <w:right w:val="single" w:sz="4" w:space="0" w:color="auto"/>
            </w:tcBorders>
            <w:noWrap/>
            <w:vAlign w:val="bottom"/>
            <w:hideMark/>
          </w:tcPr>
          <w:p w14:paraId="3C09220A"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Depreciation = 50 ÷ 5 = 10 per year</w:t>
            </w:r>
          </w:p>
        </w:tc>
        <w:tc>
          <w:tcPr>
            <w:tcW w:w="1312" w:type="pct"/>
            <w:tcBorders>
              <w:top w:val="nil"/>
              <w:left w:val="nil"/>
              <w:bottom w:val="single" w:sz="4" w:space="0" w:color="auto"/>
              <w:right w:val="single" w:sz="4" w:space="0" w:color="auto"/>
            </w:tcBorders>
            <w:noWrap/>
            <w:vAlign w:val="bottom"/>
            <w:hideMark/>
          </w:tcPr>
          <w:p w14:paraId="456BAE9A"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 </w:t>
            </w:r>
          </w:p>
        </w:tc>
        <w:tc>
          <w:tcPr>
            <w:tcW w:w="898" w:type="pct"/>
            <w:tcBorders>
              <w:top w:val="nil"/>
              <w:left w:val="nil"/>
              <w:bottom w:val="single" w:sz="4" w:space="0" w:color="auto"/>
              <w:right w:val="single" w:sz="4" w:space="0" w:color="auto"/>
            </w:tcBorders>
            <w:noWrap/>
            <w:vAlign w:val="bottom"/>
            <w:hideMark/>
          </w:tcPr>
          <w:p w14:paraId="4F162309"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 </w:t>
            </w:r>
          </w:p>
        </w:tc>
        <w:tc>
          <w:tcPr>
            <w:tcW w:w="715" w:type="pct"/>
            <w:tcBorders>
              <w:top w:val="nil"/>
              <w:left w:val="nil"/>
              <w:bottom w:val="single" w:sz="4" w:space="0" w:color="auto"/>
              <w:right w:val="single" w:sz="4" w:space="0" w:color="auto"/>
            </w:tcBorders>
            <w:noWrap/>
            <w:vAlign w:val="bottom"/>
            <w:hideMark/>
          </w:tcPr>
          <w:p w14:paraId="1F4AE8FD"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356" w:type="pct"/>
            <w:tcBorders>
              <w:top w:val="nil"/>
              <w:left w:val="nil"/>
              <w:bottom w:val="single" w:sz="4" w:space="0" w:color="auto"/>
              <w:right w:val="single" w:sz="4" w:space="0" w:color="auto"/>
            </w:tcBorders>
            <w:noWrap/>
            <w:vAlign w:val="bottom"/>
            <w:hideMark/>
          </w:tcPr>
          <w:p w14:paraId="17D8E7C9"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r>
      <w:tr w:rsidR="006A0D55" w:rsidRPr="006A0D55" w14:paraId="329B0070" w14:textId="77777777" w:rsidTr="006A0D55">
        <w:trPr>
          <w:trHeight w:val="300"/>
        </w:trPr>
        <w:tc>
          <w:tcPr>
            <w:tcW w:w="1719" w:type="pct"/>
            <w:tcBorders>
              <w:top w:val="nil"/>
              <w:left w:val="single" w:sz="4" w:space="0" w:color="auto"/>
              <w:bottom w:val="single" w:sz="4" w:space="0" w:color="auto"/>
              <w:right w:val="single" w:sz="4" w:space="0" w:color="auto"/>
            </w:tcBorders>
            <w:noWrap/>
            <w:vAlign w:val="bottom"/>
            <w:hideMark/>
          </w:tcPr>
          <w:p w14:paraId="0D24FB1C"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Project</w:t>
            </w:r>
          </w:p>
        </w:tc>
        <w:tc>
          <w:tcPr>
            <w:tcW w:w="1312" w:type="pct"/>
            <w:tcBorders>
              <w:top w:val="nil"/>
              <w:left w:val="nil"/>
              <w:bottom w:val="single" w:sz="4" w:space="0" w:color="auto"/>
              <w:right w:val="single" w:sz="4" w:space="0" w:color="auto"/>
            </w:tcBorders>
            <w:noWrap/>
            <w:vAlign w:val="bottom"/>
            <w:hideMark/>
          </w:tcPr>
          <w:p w14:paraId="5EC21518"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Average Cash Flow</w:t>
            </w:r>
          </w:p>
        </w:tc>
        <w:tc>
          <w:tcPr>
            <w:tcW w:w="898" w:type="pct"/>
            <w:tcBorders>
              <w:top w:val="nil"/>
              <w:left w:val="nil"/>
              <w:bottom w:val="single" w:sz="4" w:space="0" w:color="auto"/>
              <w:right w:val="single" w:sz="4" w:space="0" w:color="auto"/>
            </w:tcBorders>
            <w:noWrap/>
            <w:vAlign w:val="bottom"/>
            <w:hideMark/>
          </w:tcPr>
          <w:p w14:paraId="56B03533"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Profit Calculation</w:t>
            </w:r>
          </w:p>
        </w:tc>
        <w:tc>
          <w:tcPr>
            <w:tcW w:w="715" w:type="pct"/>
            <w:tcBorders>
              <w:top w:val="nil"/>
              <w:left w:val="nil"/>
              <w:bottom w:val="single" w:sz="4" w:space="0" w:color="auto"/>
              <w:right w:val="single" w:sz="4" w:space="0" w:color="auto"/>
            </w:tcBorders>
            <w:noWrap/>
            <w:vAlign w:val="bottom"/>
            <w:hideMark/>
          </w:tcPr>
          <w:p w14:paraId="40F5CC8E"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Average Profit</w:t>
            </w:r>
          </w:p>
        </w:tc>
        <w:tc>
          <w:tcPr>
            <w:tcW w:w="356" w:type="pct"/>
            <w:tcBorders>
              <w:top w:val="nil"/>
              <w:left w:val="nil"/>
              <w:bottom w:val="single" w:sz="4" w:space="0" w:color="auto"/>
              <w:right w:val="single" w:sz="4" w:space="0" w:color="auto"/>
            </w:tcBorders>
            <w:noWrap/>
            <w:vAlign w:val="bottom"/>
            <w:hideMark/>
          </w:tcPr>
          <w:p w14:paraId="30B5340F"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ARR</w:t>
            </w:r>
          </w:p>
        </w:tc>
      </w:tr>
      <w:tr w:rsidR="006A0D55" w:rsidRPr="006A0D55" w14:paraId="525A3375" w14:textId="77777777" w:rsidTr="006A0D55">
        <w:trPr>
          <w:trHeight w:val="300"/>
        </w:trPr>
        <w:tc>
          <w:tcPr>
            <w:tcW w:w="1719" w:type="pct"/>
            <w:tcBorders>
              <w:top w:val="nil"/>
              <w:left w:val="single" w:sz="4" w:space="0" w:color="auto"/>
              <w:bottom w:val="single" w:sz="4" w:space="0" w:color="auto"/>
              <w:right w:val="single" w:sz="4" w:space="0" w:color="auto"/>
            </w:tcBorders>
            <w:noWrap/>
            <w:vAlign w:val="bottom"/>
            <w:hideMark/>
          </w:tcPr>
          <w:p w14:paraId="7F6C8C1F" w14:textId="77777777" w:rsidR="006A0D55" w:rsidRPr="006A0D55" w:rsidRDefault="006A0D55" w:rsidP="006A0D55">
            <w:pPr>
              <w:spacing w:after="0" w:line="240" w:lineRule="auto"/>
              <w:jc w:val="left"/>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w:t>
            </w:r>
          </w:p>
        </w:tc>
        <w:tc>
          <w:tcPr>
            <w:tcW w:w="1312" w:type="pct"/>
            <w:tcBorders>
              <w:top w:val="nil"/>
              <w:left w:val="nil"/>
              <w:bottom w:val="single" w:sz="4" w:space="0" w:color="auto"/>
              <w:right w:val="single" w:sz="4" w:space="0" w:color="auto"/>
            </w:tcBorders>
            <w:noWrap/>
            <w:vAlign w:val="bottom"/>
            <w:hideMark/>
          </w:tcPr>
          <w:p w14:paraId="02486D6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(10+12+14+10+8)/5 = 10.8</w:t>
            </w:r>
          </w:p>
        </w:tc>
        <w:tc>
          <w:tcPr>
            <w:tcW w:w="898" w:type="pct"/>
            <w:tcBorders>
              <w:top w:val="nil"/>
              <w:left w:val="nil"/>
              <w:bottom w:val="single" w:sz="4" w:space="0" w:color="auto"/>
              <w:right w:val="single" w:sz="4" w:space="0" w:color="auto"/>
            </w:tcBorders>
            <w:noWrap/>
            <w:vAlign w:val="bottom"/>
            <w:hideMark/>
          </w:tcPr>
          <w:p w14:paraId="2F9926A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10.8 − 10</w:t>
            </w:r>
          </w:p>
        </w:tc>
        <w:tc>
          <w:tcPr>
            <w:tcW w:w="715" w:type="pct"/>
            <w:tcBorders>
              <w:top w:val="nil"/>
              <w:left w:val="nil"/>
              <w:bottom w:val="single" w:sz="4" w:space="0" w:color="auto"/>
              <w:right w:val="single" w:sz="4" w:space="0" w:color="auto"/>
            </w:tcBorders>
            <w:noWrap/>
            <w:vAlign w:val="bottom"/>
            <w:hideMark/>
          </w:tcPr>
          <w:p w14:paraId="216C137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0.8</w:t>
            </w:r>
          </w:p>
        </w:tc>
        <w:tc>
          <w:tcPr>
            <w:tcW w:w="356" w:type="pct"/>
            <w:tcBorders>
              <w:top w:val="nil"/>
              <w:left w:val="nil"/>
              <w:bottom w:val="single" w:sz="4" w:space="0" w:color="auto"/>
              <w:right w:val="single" w:sz="4" w:space="0" w:color="auto"/>
            </w:tcBorders>
            <w:noWrap/>
            <w:vAlign w:val="bottom"/>
            <w:hideMark/>
          </w:tcPr>
          <w:p w14:paraId="4A34457A"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1.60%</w:t>
            </w:r>
          </w:p>
        </w:tc>
      </w:tr>
      <w:tr w:rsidR="006A0D55" w:rsidRPr="006A0D55" w14:paraId="2CD357DE" w14:textId="77777777" w:rsidTr="006A0D55">
        <w:trPr>
          <w:trHeight w:val="300"/>
        </w:trPr>
        <w:tc>
          <w:tcPr>
            <w:tcW w:w="1719" w:type="pct"/>
            <w:tcBorders>
              <w:top w:val="nil"/>
              <w:left w:val="single" w:sz="4" w:space="0" w:color="auto"/>
              <w:bottom w:val="single" w:sz="4" w:space="0" w:color="auto"/>
              <w:right w:val="single" w:sz="4" w:space="0" w:color="auto"/>
            </w:tcBorders>
            <w:noWrap/>
            <w:vAlign w:val="bottom"/>
            <w:hideMark/>
          </w:tcPr>
          <w:p w14:paraId="6974FD0C" w14:textId="77777777" w:rsidR="006A0D55" w:rsidRPr="006A0D55" w:rsidRDefault="006A0D55" w:rsidP="006A0D55">
            <w:pPr>
              <w:spacing w:after="0" w:line="240" w:lineRule="auto"/>
              <w:jc w:val="left"/>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B</w:t>
            </w:r>
          </w:p>
        </w:tc>
        <w:tc>
          <w:tcPr>
            <w:tcW w:w="1312" w:type="pct"/>
            <w:tcBorders>
              <w:top w:val="nil"/>
              <w:left w:val="nil"/>
              <w:bottom w:val="single" w:sz="4" w:space="0" w:color="auto"/>
              <w:right w:val="single" w:sz="4" w:space="0" w:color="auto"/>
            </w:tcBorders>
            <w:noWrap/>
            <w:vAlign w:val="bottom"/>
            <w:hideMark/>
          </w:tcPr>
          <w:p w14:paraId="481CA4A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898" w:type="pct"/>
            <w:tcBorders>
              <w:top w:val="nil"/>
              <w:left w:val="nil"/>
              <w:bottom w:val="single" w:sz="4" w:space="0" w:color="auto"/>
              <w:right w:val="single" w:sz="4" w:space="0" w:color="auto"/>
            </w:tcBorders>
            <w:noWrap/>
            <w:vAlign w:val="bottom"/>
            <w:hideMark/>
          </w:tcPr>
          <w:p w14:paraId="0DE4843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11 − 10</w:t>
            </w:r>
          </w:p>
        </w:tc>
        <w:tc>
          <w:tcPr>
            <w:tcW w:w="715" w:type="pct"/>
            <w:tcBorders>
              <w:top w:val="nil"/>
              <w:left w:val="nil"/>
              <w:bottom w:val="single" w:sz="4" w:space="0" w:color="auto"/>
              <w:right w:val="single" w:sz="4" w:space="0" w:color="auto"/>
            </w:tcBorders>
            <w:noWrap/>
            <w:vAlign w:val="bottom"/>
            <w:hideMark/>
          </w:tcPr>
          <w:p w14:paraId="12B0EFA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356" w:type="pct"/>
            <w:tcBorders>
              <w:top w:val="nil"/>
              <w:left w:val="nil"/>
              <w:bottom w:val="single" w:sz="4" w:space="0" w:color="auto"/>
              <w:right w:val="single" w:sz="4" w:space="0" w:color="auto"/>
            </w:tcBorders>
            <w:noWrap/>
            <w:vAlign w:val="bottom"/>
            <w:hideMark/>
          </w:tcPr>
          <w:p w14:paraId="28E6799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r>
      <w:tr w:rsidR="006A0D55" w:rsidRPr="006A0D55" w14:paraId="2F79B34B" w14:textId="77777777" w:rsidTr="006A0D55">
        <w:trPr>
          <w:trHeight w:val="300"/>
        </w:trPr>
        <w:tc>
          <w:tcPr>
            <w:tcW w:w="1719" w:type="pct"/>
            <w:tcBorders>
              <w:top w:val="nil"/>
              <w:left w:val="single" w:sz="4" w:space="0" w:color="auto"/>
              <w:bottom w:val="single" w:sz="4" w:space="0" w:color="auto"/>
              <w:right w:val="single" w:sz="4" w:space="0" w:color="auto"/>
            </w:tcBorders>
            <w:noWrap/>
            <w:vAlign w:val="bottom"/>
            <w:hideMark/>
          </w:tcPr>
          <w:p w14:paraId="42DEBA76" w14:textId="77777777" w:rsidR="006A0D55" w:rsidRPr="006A0D55" w:rsidRDefault="006A0D55" w:rsidP="006A0D55">
            <w:pPr>
              <w:spacing w:after="0" w:line="240" w:lineRule="auto"/>
              <w:jc w:val="left"/>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C</w:t>
            </w:r>
          </w:p>
        </w:tc>
        <w:tc>
          <w:tcPr>
            <w:tcW w:w="1312" w:type="pct"/>
            <w:tcBorders>
              <w:top w:val="nil"/>
              <w:left w:val="nil"/>
              <w:bottom w:val="single" w:sz="4" w:space="0" w:color="auto"/>
              <w:right w:val="single" w:sz="4" w:space="0" w:color="auto"/>
            </w:tcBorders>
            <w:noWrap/>
            <w:vAlign w:val="bottom"/>
            <w:hideMark/>
          </w:tcPr>
          <w:p w14:paraId="75A4206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(5+10+20+25+5)/5 = 13</w:t>
            </w:r>
          </w:p>
        </w:tc>
        <w:tc>
          <w:tcPr>
            <w:tcW w:w="898" w:type="pct"/>
            <w:tcBorders>
              <w:top w:val="nil"/>
              <w:left w:val="nil"/>
              <w:bottom w:val="single" w:sz="4" w:space="0" w:color="auto"/>
              <w:right w:val="single" w:sz="4" w:space="0" w:color="auto"/>
            </w:tcBorders>
            <w:noWrap/>
            <w:vAlign w:val="bottom"/>
            <w:hideMark/>
          </w:tcPr>
          <w:p w14:paraId="347BD99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13 − 10</w:t>
            </w:r>
          </w:p>
        </w:tc>
        <w:tc>
          <w:tcPr>
            <w:tcW w:w="715" w:type="pct"/>
            <w:tcBorders>
              <w:top w:val="nil"/>
              <w:left w:val="nil"/>
              <w:bottom w:val="single" w:sz="4" w:space="0" w:color="auto"/>
              <w:right w:val="single" w:sz="4" w:space="0" w:color="auto"/>
            </w:tcBorders>
            <w:noWrap/>
            <w:vAlign w:val="bottom"/>
            <w:hideMark/>
          </w:tcPr>
          <w:p w14:paraId="0E5795D5"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356" w:type="pct"/>
            <w:tcBorders>
              <w:top w:val="nil"/>
              <w:left w:val="nil"/>
              <w:bottom w:val="single" w:sz="4" w:space="0" w:color="auto"/>
              <w:right w:val="single" w:sz="4" w:space="0" w:color="auto"/>
            </w:tcBorders>
            <w:noWrap/>
            <w:vAlign w:val="bottom"/>
            <w:hideMark/>
          </w:tcPr>
          <w:p w14:paraId="511BB84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6%</w:t>
            </w:r>
          </w:p>
        </w:tc>
      </w:tr>
    </w:tbl>
    <w:p w14:paraId="77D2FB7D" w14:textId="77777777" w:rsidR="006A0D55" w:rsidRDefault="006A0D55" w:rsidP="00403DD3"/>
    <w:p w14:paraId="4AECA193" w14:textId="14837FB0" w:rsidR="006A0D55" w:rsidRDefault="006A0D55" w:rsidP="00403DD3">
      <w:r w:rsidRPr="006A0D55">
        <w:t>NPV (10% Discount Rate)</w:t>
      </w:r>
    </w:p>
    <w:tbl>
      <w:tblPr>
        <w:tblW w:w="5000" w:type="pct"/>
        <w:tblLook w:val="04A0" w:firstRow="1" w:lastRow="0" w:firstColumn="1" w:lastColumn="0" w:noHBand="0" w:noVBand="1"/>
      </w:tblPr>
      <w:tblGrid>
        <w:gridCol w:w="3401"/>
        <w:gridCol w:w="2465"/>
        <w:gridCol w:w="1812"/>
        <w:gridCol w:w="1672"/>
      </w:tblGrid>
      <w:tr w:rsidR="006A0D55" w:rsidRPr="006A0D55" w14:paraId="07E87345" w14:textId="77777777" w:rsidTr="006A0D55">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690465F"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NPV (10% Discount Rate) = Project A</w:t>
            </w:r>
          </w:p>
        </w:tc>
      </w:tr>
      <w:tr w:rsidR="006A0D55" w:rsidRPr="006A0D55" w14:paraId="3332476C" w14:textId="77777777" w:rsidTr="006A0D55">
        <w:trPr>
          <w:trHeight w:val="300"/>
        </w:trPr>
        <w:tc>
          <w:tcPr>
            <w:tcW w:w="1819" w:type="pct"/>
            <w:tcBorders>
              <w:top w:val="nil"/>
              <w:left w:val="single" w:sz="4" w:space="0" w:color="auto"/>
              <w:bottom w:val="single" w:sz="4" w:space="0" w:color="auto"/>
              <w:right w:val="single" w:sz="4" w:space="0" w:color="auto"/>
            </w:tcBorders>
            <w:vAlign w:val="center"/>
            <w:hideMark/>
          </w:tcPr>
          <w:p w14:paraId="7B9ADFDA"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Year</w:t>
            </w:r>
          </w:p>
        </w:tc>
        <w:tc>
          <w:tcPr>
            <w:tcW w:w="1318" w:type="pct"/>
            <w:tcBorders>
              <w:top w:val="nil"/>
              <w:left w:val="nil"/>
              <w:bottom w:val="single" w:sz="4" w:space="0" w:color="auto"/>
              <w:right w:val="single" w:sz="4" w:space="0" w:color="auto"/>
            </w:tcBorders>
            <w:vAlign w:val="center"/>
            <w:hideMark/>
          </w:tcPr>
          <w:p w14:paraId="7F8A9A77"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Cash Flow</w:t>
            </w:r>
          </w:p>
        </w:tc>
        <w:tc>
          <w:tcPr>
            <w:tcW w:w="969" w:type="pct"/>
            <w:tcBorders>
              <w:top w:val="nil"/>
              <w:left w:val="nil"/>
              <w:bottom w:val="single" w:sz="4" w:space="0" w:color="auto"/>
              <w:right w:val="single" w:sz="4" w:space="0" w:color="auto"/>
            </w:tcBorders>
            <w:vAlign w:val="center"/>
            <w:hideMark/>
          </w:tcPr>
          <w:p w14:paraId="0354B335"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DF</w:t>
            </w:r>
          </w:p>
        </w:tc>
        <w:tc>
          <w:tcPr>
            <w:tcW w:w="893" w:type="pct"/>
            <w:tcBorders>
              <w:top w:val="nil"/>
              <w:left w:val="nil"/>
              <w:bottom w:val="single" w:sz="4" w:space="0" w:color="auto"/>
              <w:right w:val="single" w:sz="4" w:space="0" w:color="auto"/>
            </w:tcBorders>
            <w:vAlign w:val="center"/>
            <w:hideMark/>
          </w:tcPr>
          <w:p w14:paraId="636BA1FD"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PV</w:t>
            </w:r>
          </w:p>
        </w:tc>
      </w:tr>
      <w:tr w:rsidR="006A0D55" w:rsidRPr="006A0D55" w14:paraId="0B5E6FB7" w14:textId="77777777" w:rsidTr="006A0D55">
        <w:trPr>
          <w:trHeight w:val="300"/>
        </w:trPr>
        <w:tc>
          <w:tcPr>
            <w:tcW w:w="1819" w:type="pct"/>
            <w:tcBorders>
              <w:top w:val="nil"/>
              <w:left w:val="single" w:sz="4" w:space="0" w:color="auto"/>
              <w:bottom w:val="single" w:sz="4" w:space="0" w:color="auto"/>
              <w:right w:val="single" w:sz="4" w:space="0" w:color="auto"/>
            </w:tcBorders>
            <w:vAlign w:val="center"/>
            <w:hideMark/>
          </w:tcPr>
          <w:p w14:paraId="2AEAC2E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1318" w:type="pct"/>
            <w:tcBorders>
              <w:top w:val="nil"/>
              <w:left w:val="nil"/>
              <w:bottom w:val="single" w:sz="4" w:space="0" w:color="auto"/>
              <w:right w:val="single" w:sz="4" w:space="0" w:color="auto"/>
            </w:tcBorders>
            <w:vAlign w:val="center"/>
            <w:hideMark/>
          </w:tcPr>
          <w:p w14:paraId="0B446C31"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969" w:type="pct"/>
            <w:tcBorders>
              <w:top w:val="nil"/>
              <w:left w:val="nil"/>
              <w:bottom w:val="single" w:sz="4" w:space="0" w:color="auto"/>
              <w:right w:val="single" w:sz="4" w:space="0" w:color="auto"/>
            </w:tcBorders>
            <w:vAlign w:val="center"/>
            <w:hideMark/>
          </w:tcPr>
          <w:p w14:paraId="5AF75DD4"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0.9091</w:t>
            </w:r>
          </w:p>
        </w:tc>
        <w:tc>
          <w:tcPr>
            <w:tcW w:w="893" w:type="pct"/>
            <w:tcBorders>
              <w:top w:val="nil"/>
              <w:left w:val="nil"/>
              <w:bottom w:val="single" w:sz="4" w:space="0" w:color="auto"/>
              <w:right w:val="single" w:sz="4" w:space="0" w:color="auto"/>
            </w:tcBorders>
            <w:vAlign w:val="center"/>
            <w:hideMark/>
          </w:tcPr>
          <w:p w14:paraId="5ED77989"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9.09</w:t>
            </w:r>
          </w:p>
        </w:tc>
      </w:tr>
      <w:tr w:rsidR="006A0D55" w:rsidRPr="006A0D55" w14:paraId="63264115" w14:textId="77777777" w:rsidTr="006A0D55">
        <w:trPr>
          <w:trHeight w:val="300"/>
        </w:trPr>
        <w:tc>
          <w:tcPr>
            <w:tcW w:w="1819" w:type="pct"/>
            <w:tcBorders>
              <w:top w:val="nil"/>
              <w:left w:val="single" w:sz="4" w:space="0" w:color="auto"/>
              <w:bottom w:val="single" w:sz="4" w:space="0" w:color="auto"/>
              <w:right w:val="single" w:sz="4" w:space="0" w:color="auto"/>
            </w:tcBorders>
            <w:vAlign w:val="center"/>
            <w:hideMark/>
          </w:tcPr>
          <w:p w14:paraId="40F06505"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c>
          <w:tcPr>
            <w:tcW w:w="1318" w:type="pct"/>
            <w:tcBorders>
              <w:top w:val="nil"/>
              <w:left w:val="nil"/>
              <w:bottom w:val="single" w:sz="4" w:space="0" w:color="auto"/>
              <w:right w:val="single" w:sz="4" w:space="0" w:color="auto"/>
            </w:tcBorders>
            <w:vAlign w:val="center"/>
            <w:hideMark/>
          </w:tcPr>
          <w:p w14:paraId="61604ABB"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12</w:t>
            </w:r>
          </w:p>
        </w:tc>
        <w:tc>
          <w:tcPr>
            <w:tcW w:w="969" w:type="pct"/>
            <w:tcBorders>
              <w:top w:val="nil"/>
              <w:left w:val="nil"/>
              <w:bottom w:val="single" w:sz="4" w:space="0" w:color="auto"/>
              <w:right w:val="single" w:sz="4" w:space="0" w:color="auto"/>
            </w:tcBorders>
            <w:vAlign w:val="center"/>
            <w:hideMark/>
          </w:tcPr>
          <w:p w14:paraId="461FC093"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0.8264</w:t>
            </w:r>
          </w:p>
        </w:tc>
        <w:tc>
          <w:tcPr>
            <w:tcW w:w="893" w:type="pct"/>
            <w:tcBorders>
              <w:top w:val="nil"/>
              <w:left w:val="nil"/>
              <w:bottom w:val="single" w:sz="4" w:space="0" w:color="auto"/>
              <w:right w:val="single" w:sz="4" w:space="0" w:color="auto"/>
            </w:tcBorders>
            <w:vAlign w:val="center"/>
            <w:hideMark/>
          </w:tcPr>
          <w:p w14:paraId="4B2B9CAC"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9.92</w:t>
            </w:r>
          </w:p>
        </w:tc>
      </w:tr>
      <w:tr w:rsidR="006A0D55" w:rsidRPr="006A0D55" w14:paraId="4F5C5DE1" w14:textId="77777777" w:rsidTr="006A0D55">
        <w:trPr>
          <w:trHeight w:val="300"/>
        </w:trPr>
        <w:tc>
          <w:tcPr>
            <w:tcW w:w="1819" w:type="pct"/>
            <w:tcBorders>
              <w:top w:val="nil"/>
              <w:left w:val="single" w:sz="4" w:space="0" w:color="auto"/>
              <w:bottom w:val="single" w:sz="4" w:space="0" w:color="auto"/>
              <w:right w:val="single" w:sz="4" w:space="0" w:color="auto"/>
            </w:tcBorders>
            <w:vAlign w:val="center"/>
            <w:hideMark/>
          </w:tcPr>
          <w:p w14:paraId="4D9BB13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1318" w:type="pct"/>
            <w:tcBorders>
              <w:top w:val="nil"/>
              <w:left w:val="nil"/>
              <w:bottom w:val="single" w:sz="4" w:space="0" w:color="auto"/>
              <w:right w:val="single" w:sz="4" w:space="0" w:color="auto"/>
            </w:tcBorders>
            <w:vAlign w:val="center"/>
            <w:hideMark/>
          </w:tcPr>
          <w:p w14:paraId="68EAB571"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14</w:t>
            </w:r>
          </w:p>
        </w:tc>
        <w:tc>
          <w:tcPr>
            <w:tcW w:w="969" w:type="pct"/>
            <w:tcBorders>
              <w:top w:val="nil"/>
              <w:left w:val="nil"/>
              <w:bottom w:val="single" w:sz="4" w:space="0" w:color="auto"/>
              <w:right w:val="single" w:sz="4" w:space="0" w:color="auto"/>
            </w:tcBorders>
            <w:vAlign w:val="center"/>
            <w:hideMark/>
          </w:tcPr>
          <w:p w14:paraId="0F3F92CF"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0.7513</w:t>
            </w:r>
          </w:p>
        </w:tc>
        <w:tc>
          <w:tcPr>
            <w:tcW w:w="893" w:type="pct"/>
            <w:tcBorders>
              <w:top w:val="nil"/>
              <w:left w:val="nil"/>
              <w:bottom w:val="single" w:sz="4" w:space="0" w:color="auto"/>
              <w:right w:val="single" w:sz="4" w:space="0" w:color="auto"/>
            </w:tcBorders>
            <w:vAlign w:val="center"/>
            <w:hideMark/>
          </w:tcPr>
          <w:p w14:paraId="14EFD21D"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10.52</w:t>
            </w:r>
          </w:p>
        </w:tc>
      </w:tr>
      <w:tr w:rsidR="006A0D55" w:rsidRPr="006A0D55" w14:paraId="0FFD3AF6" w14:textId="77777777" w:rsidTr="006A0D55">
        <w:trPr>
          <w:trHeight w:val="300"/>
        </w:trPr>
        <w:tc>
          <w:tcPr>
            <w:tcW w:w="1819" w:type="pct"/>
            <w:tcBorders>
              <w:top w:val="nil"/>
              <w:left w:val="single" w:sz="4" w:space="0" w:color="auto"/>
              <w:bottom w:val="single" w:sz="4" w:space="0" w:color="auto"/>
              <w:right w:val="single" w:sz="4" w:space="0" w:color="auto"/>
            </w:tcBorders>
            <w:vAlign w:val="center"/>
            <w:hideMark/>
          </w:tcPr>
          <w:p w14:paraId="258A552F"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1318" w:type="pct"/>
            <w:tcBorders>
              <w:top w:val="nil"/>
              <w:left w:val="nil"/>
              <w:bottom w:val="single" w:sz="4" w:space="0" w:color="auto"/>
              <w:right w:val="single" w:sz="4" w:space="0" w:color="auto"/>
            </w:tcBorders>
            <w:vAlign w:val="center"/>
            <w:hideMark/>
          </w:tcPr>
          <w:p w14:paraId="46F2BAC0"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969" w:type="pct"/>
            <w:tcBorders>
              <w:top w:val="nil"/>
              <w:left w:val="nil"/>
              <w:bottom w:val="single" w:sz="4" w:space="0" w:color="auto"/>
              <w:right w:val="single" w:sz="4" w:space="0" w:color="auto"/>
            </w:tcBorders>
            <w:vAlign w:val="center"/>
            <w:hideMark/>
          </w:tcPr>
          <w:p w14:paraId="68F326F2"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0.6830</w:t>
            </w:r>
          </w:p>
        </w:tc>
        <w:tc>
          <w:tcPr>
            <w:tcW w:w="893" w:type="pct"/>
            <w:tcBorders>
              <w:top w:val="nil"/>
              <w:left w:val="nil"/>
              <w:bottom w:val="single" w:sz="4" w:space="0" w:color="auto"/>
              <w:right w:val="single" w:sz="4" w:space="0" w:color="auto"/>
            </w:tcBorders>
            <w:vAlign w:val="center"/>
            <w:hideMark/>
          </w:tcPr>
          <w:p w14:paraId="532A11E4"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6.83</w:t>
            </w:r>
          </w:p>
        </w:tc>
      </w:tr>
      <w:tr w:rsidR="006A0D55" w:rsidRPr="006A0D55" w14:paraId="5BB828DD" w14:textId="77777777" w:rsidTr="006A0D55">
        <w:trPr>
          <w:trHeight w:val="300"/>
        </w:trPr>
        <w:tc>
          <w:tcPr>
            <w:tcW w:w="1819" w:type="pct"/>
            <w:tcBorders>
              <w:top w:val="nil"/>
              <w:left w:val="single" w:sz="4" w:space="0" w:color="auto"/>
              <w:bottom w:val="single" w:sz="4" w:space="0" w:color="auto"/>
              <w:right w:val="single" w:sz="4" w:space="0" w:color="auto"/>
            </w:tcBorders>
            <w:vAlign w:val="center"/>
            <w:hideMark/>
          </w:tcPr>
          <w:p w14:paraId="00CBAEC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1318" w:type="pct"/>
            <w:tcBorders>
              <w:top w:val="nil"/>
              <w:left w:val="nil"/>
              <w:bottom w:val="single" w:sz="4" w:space="0" w:color="auto"/>
              <w:right w:val="single" w:sz="4" w:space="0" w:color="auto"/>
            </w:tcBorders>
            <w:vAlign w:val="center"/>
            <w:hideMark/>
          </w:tcPr>
          <w:p w14:paraId="20FC1594"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w:t>
            </w:r>
          </w:p>
        </w:tc>
        <w:tc>
          <w:tcPr>
            <w:tcW w:w="969" w:type="pct"/>
            <w:tcBorders>
              <w:top w:val="nil"/>
              <w:left w:val="nil"/>
              <w:bottom w:val="single" w:sz="4" w:space="0" w:color="auto"/>
              <w:right w:val="single" w:sz="4" w:space="0" w:color="auto"/>
            </w:tcBorders>
            <w:vAlign w:val="center"/>
            <w:hideMark/>
          </w:tcPr>
          <w:p w14:paraId="01D4A517"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0.6209</w:t>
            </w:r>
          </w:p>
        </w:tc>
        <w:tc>
          <w:tcPr>
            <w:tcW w:w="893" w:type="pct"/>
            <w:tcBorders>
              <w:top w:val="nil"/>
              <w:left w:val="nil"/>
              <w:bottom w:val="single" w:sz="4" w:space="0" w:color="auto"/>
              <w:right w:val="single" w:sz="4" w:space="0" w:color="auto"/>
            </w:tcBorders>
            <w:vAlign w:val="center"/>
            <w:hideMark/>
          </w:tcPr>
          <w:p w14:paraId="55CE058F"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4.97</w:t>
            </w:r>
          </w:p>
        </w:tc>
      </w:tr>
      <w:tr w:rsidR="006A0D55" w:rsidRPr="006A0D55" w14:paraId="358C2A0B" w14:textId="77777777" w:rsidTr="006A0D55">
        <w:trPr>
          <w:trHeight w:val="300"/>
        </w:trPr>
        <w:tc>
          <w:tcPr>
            <w:tcW w:w="1819" w:type="pct"/>
            <w:tcBorders>
              <w:top w:val="nil"/>
              <w:left w:val="single" w:sz="4" w:space="0" w:color="auto"/>
              <w:bottom w:val="single" w:sz="4" w:space="0" w:color="auto"/>
              <w:right w:val="single" w:sz="4" w:space="0" w:color="auto"/>
            </w:tcBorders>
            <w:noWrap/>
            <w:vAlign w:val="bottom"/>
            <w:hideMark/>
          </w:tcPr>
          <w:p w14:paraId="43047A4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Total PV</w:t>
            </w:r>
          </w:p>
        </w:tc>
        <w:tc>
          <w:tcPr>
            <w:tcW w:w="1318" w:type="pct"/>
            <w:tcBorders>
              <w:top w:val="nil"/>
              <w:left w:val="nil"/>
              <w:bottom w:val="single" w:sz="4" w:space="0" w:color="auto"/>
              <w:right w:val="single" w:sz="4" w:space="0" w:color="auto"/>
            </w:tcBorders>
            <w:noWrap/>
            <w:vAlign w:val="bottom"/>
            <w:hideMark/>
          </w:tcPr>
          <w:p w14:paraId="1DD3E76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969" w:type="pct"/>
            <w:tcBorders>
              <w:top w:val="nil"/>
              <w:left w:val="nil"/>
              <w:bottom w:val="single" w:sz="4" w:space="0" w:color="auto"/>
              <w:right w:val="single" w:sz="4" w:space="0" w:color="auto"/>
            </w:tcBorders>
            <w:noWrap/>
            <w:vAlign w:val="bottom"/>
            <w:hideMark/>
          </w:tcPr>
          <w:p w14:paraId="6560828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893" w:type="pct"/>
            <w:tcBorders>
              <w:top w:val="nil"/>
              <w:left w:val="nil"/>
              <w:bottom w:val="single" w:sz="4" w:space="0" w:color="auto"/>
              <w:right w:val="single" w:sz="4" w:space="0" w:color="auto"/>
            </w:tcBorders>
            <w:noWrap/>
            <w:vAlign w:val="bottom"/>
            <w:hideMark/>
          </w:tcPr>
          <w:p w14:paraId="427C4C6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41.32</w:t>
            </w:r>
          </w:p>
        </w:tc>
      </w:tr>
      <w:tr w:rsidR="006A0D55" w:rsidRPr="006A0D55" w14:paraId="5FD156F5" w14:textId="77777777" w:rsidTr="006A0D55">
        <w:trPr>
          <w:trHeight w:val="300"/>
        </w:trPr>
        <w:tc>
          <w:tcPr>
            <w:tcW w:w="1819" w:type="pct"/>
            <w:tcBorders>
              <w:top w:val="nil"/>
              <w:left w:val="single" w:sz="4" w:space="0" w:color="auto"/>
              <w:bottom w:val="single" w:sz="4" w:space="0" w:color="auto"/>
              <w:right w:val="single" w:sz="4" w:space="0" w:color="auto"/>
            </w:tcBorders>
            <w:noWrap/>
            <w:vAlign w:val="bottom"/>
            <w:hideMark/>
          </w:tcPr>
          <w:p w14:paraId="5D35AFE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NPV = 41.32 − 50</w:t>
            </w:r>
          </w:p>
        </w:tc>
        <w:tc>
          <w:tcPr>
            <w:tcW w:w="1318" w:type="pct"/>
            <w:tcBorders>
              <w:top w:val="nil"/>
              <w:left w:val="nil"/>
              <w:bottom w:val="single" w:sz="4" w:space="0" w:color="auto"/>
              <w:right w:val="single" w:sz="4" w:space="0" w:color="auto"/>
            </w:tcBorders>
            <w:noWrap/>
            <w:vAlign w:val="bottom"/>
            <w:hideMark/>
          </w:tcPr>
          <w:p w14:paraId="6FAAFF5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969" w:type="pct"/>
            <w:tcBorders>
              <w:top w:val="nil"/>
              <w:left w:val="nil"/>
              <w:bottom w:val="single" w:sz="4" w:space="0" w:color="auto"/>
              <w:right w:val="single" w:sz="4" w:space="0" w:color="auto"/>
            </w:tcBorders>
            <w:noWrap/>
            <w:vAlign w:val="bottom"/>
            <w:hideMark/>
          </w:tcPr>
          <w:p w14:paraId="0E11E00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893" w:type="pct"/>
            <w:tcBorders>
              <w:top w:val="nil"/>
              <w:left w:val="nil"/>
              <w:bottom w:val="single" w:sz="4" w:space="0" w:color="auto"/>
              <w:right w:val="single" w:sz="4" w:space="0" w:color="auto"/>
            </w:tcBorders>
            <w:noWrap/>
            <w:vAlign w:val="bottom"/>
            <w:hideMark/>
          </w:tcPr>
          <w:p w14:paraId="5ECC547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-8.68</w:t>
            </w:r>
          </w:p>
        </w:tc>
      </w:tr>
    </w:tbl>
    <w:p w14:paraId="3980AB62" w14:textId="77777777" w:rsidR="006A0D55" w:rsidRDefault="006A0D55" w:rsidP="00403DD3"/>
    <w:tbl>
      <w:tblPr>
        <w:tblW w:w="5000" w:type="pct"/>
        <w:tblLook w:val="04A0" w:firstRow="1" w:lastRow="0" w:firstColumn="1" w:lastColumn="0" w:noHBand="0" w:noVBand="1"/>
      </w:tblPr>
      <w:tblGrid>
        <w:gridCol w:w="3902"/>
        <w:gridCol w:w="2418"/>
        <w:gridCol w:w="1657"/>
        <w:gridCol w:w="1373"/>
      </w:tblGrid>
      <w:tr w:rsidR="006A0D55" w:rsidRPr="006A0D55" w14:paraId="65F3A8FB" w14:textId="77777777" w:rsidTr="006A0D55">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D99F25E"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NPV (10% Discount Rate) = Project B</w:t>
            </w:r>
          </w:p>
        </w:tc>
      </w:tr>
      <w:tr w:rsidR="006A0D55" w:rsidRPr="006A0D55" w14:paraId="45E9A37D"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4FA6A52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Year</w:t>
            </w:r>
          </w:p>
        </w:tc>
        <w:tc>
          <w:tcPr>
            <w:tcW w:w="1293" w:type="pct"/>
            <w:tcBorders>
              <w:top w:val="nil"/>
              <w:left w:val="nil"/>
              <w:bottom w:val="single" w:sz="4" w:space="0" w:color="auto"/>
              <w:right w:val="single" w:sz="4" w:space="0" w:color="auto"/>
            </w:tcBorders>
            <w:noWrap/>
            <w:vAlign w:val="bottom"/>
            <w:hideMark/>
          </w:tcPr>
          <w:p w14:paraId="471AF906"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xml:space="preserve">Cash Flow </w:t>
            </w:r>
          </w:p>
        </w:tc>
        <w:tc>
          <w:tcPr>
            <w:tcW w:w="886" w:type="pct"/>
            <w:tcBorders>
              <w:top w:val="nil"/>
              <w:left w:val="nil"/>
              <w:bottom w:val="single" w:sz="4" w:space="0" w:color="auto"/>
              <w:right w:val="single" w:sz="4" w:space="0" w:color="auto"/>
            </w:tcBorders>
            <w:noWrap/>
            <w:vAlign w:val="bottom"/>
            <w:hideMark/>
          </w:tcPr>
          <w:p w14:paraId="70D040EE"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xml:space="preserve">DF </w:t>
            </w:r>
          </w:p>
        </w:tc>
        <w:tc>
          <w:tcPr>
            <w:tcW w:w="734" w:type="pct"/>
            <w:tcBorders>
              <w:top w:val="nil"/>
              <w:left w:val="nil"/>
              <w:bottom w:val="single" w:sz="4" w:space="0" w:color="auto"/>
              <w:right w:val="single" w:sz="4" w:space="0" w:color="auto"/>
            </w:tcBorders>
            <w:noWrap/>
            <w:vAlign w:val="bottom"/>
            <w:hideMark/>
          </w:tcPr>
          <w:p w14:paraId="0057DDEE"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xml:space="preserve">PV </w:t>
            </w:r>
          </w:p>
        </w:tc>
      </w:tr>
      <w:tr w:rsidR="006A0D55" w:rsidRPr="006A0D55" w14:paraId="0B3FE26F"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2F31DCD0"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1293" w:type="pct"/>
            <w:tcBorders>
              <w:top w:val="nil"/>
              <w:left w:val="nil"/>
              <w:bottom w:val="single" w:sz="4" w:space="0" w:color="auto"/>
              <w:right w:val="single" w:sz="4" w:space="0" w:color="auto"/>
            </w:tcBorders>
            <w:noWrap/>
            <w:vAlign w:val="bottom"/>
            <w:hideMark/>
          </w:tcPr>
          <w:p w14:paraId="26F0D6BB"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886" w:type="pct"/>
            <w:tcBorders>
              <w:top w:val="nil"/>
              <w:left w:val="nil"/>
              <w:bottom w:val="single" w:sz="4" w:space="0" w:color="auto"/>
              <w:right w:val="single" w:sz="4" w:space="0" w:color="auto"/>
            </w:tcBorders>
            <w:noWrap/>
            <w:vAlign w:val="bottom"/>
            <w:hideMark/>
          </w:tcPr>
          <w:p w14:paraId="006A7C22"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0.9091</w:t>
            </w:r>
          </w:p>
        </w:tc>
        <w:tc>
          <w:tcPr>
            <w:tcW w:w="734" w:type="pct"/>
            <w:tcBorders>
              <w:top w:val="nil"/>
              <w:left w:val="nil"/>
              <w:bottom w:val="single" w:sz="4" w:space="0" w:color="auto"/>
              <w:right w:val="single" w:sz="4" w:space="0" w:color="auto"/>
            </w:tcBorders>
            <w:noWrap/>
            <w:vAlign w:val="bottom"/>
            <w:hideMark/>
          </w:tcPr>
          <w:p w14:paraId="1028E0AC"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10.00</w:t>
            </w:r>
          </w:p>
        </w:tc>
      </w:tr>
      <w:tr w:rsidR="006A0D55" w:rsidRPr="006A0D55" w14:paraId="35538140"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2CDE60E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c>
          <w:tcPr>
            <w:tcW w:w="1293" w:type="pct"/>
            <w:tcBorders>
              <w:top w:val="nil"/>
              <w:left w:val="nil"/>
              <w:bottom w:val="single" w:sz="4" w:space="0" w:color="auto"/>
              <w:right w:val="single" w:sz="4" w:space="0" w:color="auto"/>
            </w:tcBorders>
            <w:noWrap/>
            <w:vAlign w:val="bottom"/>
            <w:hideMark/>
          </w:tcPr>
          <w:p w14:paraId="6A3946D0"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886" w:type="pct"/>
            <w:tcBorders>
              <w:top w:val="nil"/>
              <w:left w:val="nil"/>
              <w:bottom w:val="single" w:sz="4" w:space="0" w:color="auto"/>
              <w:right w:val="single" w:sz="4" w:space="0" w:color="auto"/>
            </w:tcBorders>
            <w:noWrap/>
            <w:vAlign w:val="bottom"/>
            <w:hideMark/>
          </w:tcPr>
          <w:p w14:paraId="325E9289"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0.8264</w:t>
            </w:r>
          </w:p>
        </w:tc>
        <w:tc>
          <w:tcPr>
            <w:tcW w:w="734" w:type="pct"/>
            <w:tcBorders>
              <w:top w:val="nil"/>
              <w:left w:val="nil"/>
              <w:bottom w:val="single" w:sz="4" w:space="0" w:color="auto"/>
              <w:right w:val="single" w:sz="4" w:space="0" w:color="auto"/>
            </w:tcBorders>
            <w:noWrap/>
            <w:vAlign w:val="bottom"/>
            <w:hideMark/>
          </w:tcPr>
          <w:p w14:paraId="71286264"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9.09</w:t>
            </w:r>
          </w:p>
        </w:tc>
      </w:tr>
      <w:tr w:rsidR="006A0D55" w:rsidRPr="006A0D55" w14:paraId="2BE8CEDA"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5F9255E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1293" w:type="pct"/>
            <w:tcBorders>
              <w:top w:val="nil"/>
              <w:left w:val="nil"/>
              <w:bottom w:val="single" w:sz="4" w:space="0" w:color="auto"/>
              <w:right w:val="single" w:sz="4" w:space="0" w:color="auto"/>
            </w:tcBorders>
            <w:noWrap/>
            <w:vAlign w:val="bottom"/>
            <w:hideMark/>
          </w:tcPr>
          <w:p w14:paraId="0BF58C95"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886" w:type="pct"/>
            <w:tcBorders>
              <w:top w:val="nil"/>
              <w:left w:val="nil"/>
              <w:bottom w:val="single" w:sz="4" w:space="0" w:color="auto"/>
              <w:right w:val="single" w:sz="4" w:space="0" w:color="auto"/>
            </w:tcBorders>
            <w:noWrap/>
            <w:vAlign w:val="bottom"/>
            <w:hideMark/>
          </w:tcPr>
          <w:p w14:paraId="661EDC8F"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0.7513</w:t>
            </w:r>
          </w:p>
        </w:tc>
        <w:tc>
          <w:tcPr>
            <w:tcW w:w="734" w:type="pct"/>
            <w:tcBorders>
              <w:top w:val="nil"/>
              <w:left w:val="nil"/>
              <w:bottom w:val="single" w:sz="4" w:space="0" w:color="auto"/>
              <w:right w:val="single" w:sz="4" w:space="0" w:color="auto"/>
            </w:tcBorders>
            <w:noWrap/>
            <w:vAlign w:val="bottom"/>
            <w:hideMark/>
          </w:tcPr>
          <w:p w14:paraId="49004F23"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8.26</w:t>
            </w:r>
          </w:p>
        </w:tc>
      </w:tr>
      <w:tr w:rsidR="006A0D55" w:rsidRPr="006A0D55" w14:paraId="53742F59"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1D54529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1293" w:type="pct"/>
            <w:tcBorders>
              <w:top w:val="nil"/>
              <w:left w:val="nil"/>
              <w:bottom w:val="single" w:sz="4" w:space="0" w:color="auto"/>
              <w:right w:val="single" w:sz="4" w:space="0" w:color="auto"/>
            </w:tcBorders>
            <w:noWrap/>
            <w:vAlign w:val="bottom"/>
            <w:hideMark/>
          </w:tcPr>
          <w:p w14:paraId="46F0688E"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886" w:type="pct"/>
            <w:tcBorders>
              <w:top w:val="nil"/>
              <w:left w:val="nil"/>
              <w:bottom w:val="single" w:sz="4" w:space="0" w:color="auto"/>
              <w:right w:val="single" w:sz="4" w:space="0" w:color="auto"/>
            </w:tcBorders>
            <w:noWrap/>
            <w:vAlign w:val="bottom"/>
            <w:hideMark/>
          </w:tcPr>
          <w:p w14:paraId="0FE7EE4C"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0.6830</w:t>
            </w:r>
          </w:p>
        </w:tc>
        <w:tc>
          <w:tcPr>
            <w:tcW w:w="734" w:type="pct"/>
            <w:tcBorders>
              <w:top w:val="nil"/>
              <w:left w:val="nil"/>
              <w:bottom w:val="single" w:sz="4" w:space="0" w:color="auto"/>
              <w:right w:val="single" w:sz="4" w:space="0" w:color="auto"/>
            </w:tcBorders>
            <w:noWrap/>
            <w:vAlign w:val="bottom"/>
            <w:hideMark/>
          </w:tcPr>
          <w:p w14:paraId="4FADA3DD"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7.51</w:t>
            </w:r>
          </w:p>
        </w:tc>
      </w:tr>
      <w:tr w:rsidR="006A0D55" w:rsidRPr="006A0D55" w14:paraId="7379DE59"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2B494FE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1293" w:type="pct"/>
            <w:tcBorders>
              <w:top w:val="nil"/>
              <w:left w:val="nil"/>
              <w:bottom w:val="single" w:sz="4" w:space="0" w:color="auto"/>
              <w:right w:val="single" w:sz="4" w:space="0" w:color="auto"/>
            </w:tcBorders>
            <w:noWrap/>
            <w:vAlign w:val="bottom"/>
            <w:hideMark/>
          </w:tcPr>
          <w:p w14:paraId="368B6AAC"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886" w:type="pct"/>
            <w:tcBorders>
              <w:top w:val="nil"/>
              <w:left w:val="nil"/>
              <w:bottom w:val="single" w:sz="4" w:space="0" w:color="auto"/>
              <w:right w:val="single" w:sz="4" w:space="0" w:color="auto"/>
            </w:tcBorders>
            <w:noWrap/>
            <w:vAlign w:val="bottom"/>
            <w:hideMark/>
          </w:tcPr>
          <w:p w14:paraId="1D8817D6"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0.6209</w:t>
            </w:r>
          </w:p>
        </w:tc>
        <w:tc>
          <w:tcPr>
            <w:tcW w:w="734" w:type="pct"/>
            <w:tcBorders>
              <w:top w:val="nil"/>
              <w:left w:val="nil"/>
              <w:bottom w:val="single" w:sz="4" w:space="0" w:color="auto"/>
              <w:right w:val="single" w:sz="4" w:space="0" w:color="auto"/>
            </w:tcBorders>
            <w:noWrap/>
            <w:vAlign w:val="bottom"/>
            <w:hideMark/>
          </w:tcPr>
          <w:p w14:paraId="09072DEF"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6.83</w:t>
            </w:r>
          </w:p>
        </w:tc>
      </w:tr>
      <w:tr w:rsidR="006A0D55" w:rsidRPr="006A0D55" w14:paraId="30A00A0E"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2553E2D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Total PV</w:t>
            </w:r>
          </w:p>
        </w:tc>
        <w:tc>
          <w:tcPr>
            <w:tcW w:w="1293" w:type="pct"/>
            <w:tcBorders>
              <w:top w:val="nil"/>
              <w:left w:val="nil"/>
              <w:bottom w:val="single" w:sz="4" w:space="0" w:color="auto"/>
              <w:right w:val="single" w:sz="4" w:space="0" w:color="auto"/>
            </w:tcBorders>
            <w:noWrap/>
            <w:vAlign w:val="bottom"/>
            <w:hideMark/>
          </w:tcPr>
          <w:p w14:paraId="1E31F1CD"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886" w:type="pct"/>
            <w:tcBorders>
              <w:top w:val="nil"/>
              <w:left w:val="nil"/>
              <w:bottom w:val="single" w:sz="4" w:space="0" w:color="auto"/>
              <w:right w:val="single" w:sz="4" w:space="0" w:color="auto"/>
            </w:tcBorders>
            <w:noWrap/>
            <w:vAlign w:val="bottom"/>
            <w:hideMark/>
          </w:tcPr>
          <w:p w14:paraId="7D1618F0"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734" w:type="pct"/>
            <w:tcBorders>
              <w:top w:val="nil"/>
              <w:left w:val="nil"/>
              <w:bottom w:val="single" w:sz="4" w:space="0" w:color="auto"/>
              <w:right w:val="single" w:sz="4" w:space="0" w:color="auto"/>
            </w:tcBorders>
            <w:noWrap/>
            <w:vAlign w:val="bottom"/>
            <w:hideMark/>
          </w:tcPr>
          <w:p w14:paraId="53C7BCBA"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41.70</w:t>
            </w:r>
          </w:p>
        </w:tc>
      </w:tr>
      <w:tr w:rsidR="006A0D55" w:rsidRPr="006A0D55" w14:paraId="44A2073A"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06AE96C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NPV = 41.70 − 50</w:t>
            </w:r>
          </w:p>
        </w:tc>
        <w:tc>
          <w:tcPr>
            <w:tcW w:w="1293" w:type="pct"/>
            <w:tcBorders>
              <w:top w:val="nil"/>
              <w:left w:val="nil"/>
              <w:bottom w:val="single" w:sz="4" w:space="0" w:color="auto"/>
              <w:right w:val="single" w:sz="4" w:space="0" w:color="auto"/>
            </w:tcBorders>
            <w:noWrap/>
            <w:vAlign w:val="bottom"/>
            <w:hideMark/>
          </w:tcPr>
          <w:p w14:paraId="72DBF689"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886" w:type="pct"/>
            <w:tcBorders>
              <w:top w:val="nil"/>
              <w:left w:val="nil"/>
              <w:bottom w:val="single" w:sz="4" w:space="0" w:color="auto"/>
              <w:right w:val="single" w:sz="4" w:space="0" w:color="auto"/>
            </w:tcBorders>
            <w:noWrap/>
            <w:vAlign w:val="bottom"/>
            <w:hideMark/>
          </w:tcPr>
          <w:p w14:paraId="7B8DCB38"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734" w:type="pct"/>
            <w:tcBorders>
              <w:top w:val="nil"/>
              <w:left w:val="nil"/>
              <w:bottom w:val="single" w:sz="4" w:space="0" w:color="auto"/>
              <w:right w:val="single" w:sz="4" w:space="0" w:color="auto"/>
            </w:tcBorders>
            <w:noWrap/>
            <w:vAlign w:val="bottom"/>
            <w:hideMark/>
          </w:tcPr>
          <w:p w14:paraId="09BA2174"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-8.30</w:t>
            </w:r>
          </w:p>
        </w:tc>
      </w:tr>
    </w:tbl>
    <w:p w14:paraId="2CED2EFD" w14:textId="77777777" w:rsidR="006A0D55" w:rsidRDefault="006A0D55" w:rsidP="00403DD3"/>
    <w:tbl>
      <w:tblPr>
        <w:tblW w:w="5000" w:type="pct"/>
        <w:tblLook w:val="04A0" w:firstRow="1" w:lastRow="0" w:firstColumn="1" w:lastColumn="0" w:noHBand="0" w:noVBand="1"/>
      </w:tblPr>
      <w:tblGrid>
        <w:gridCol w:w="3902"/>
        <w:gridCol w:w="2418"/>
        <w:gridCol w:w="1657"/>
        <w:gridCol w:w="1373"/>
      </w:tblGrid>
      <w:tr w:rsidR="006A0D55" w:rsidRPr="006A0D55" w14:paraId="6B95B78C" w14:textId="77777777" w:rsidTr="006A0D55">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8FC2149"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NPV (10% Discount Rate) = Project C</w:t>
            </w:r>
          </w:p>
        </w:tc>
      </w:tr>
      <w:tr w:rsidR="006A0D55" w:rsidRPr="006A0D55" w14:paraId="28F8401F"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69AF616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Year</w:t>
            </w:r>
          </w:p>
        </w:tc>
        <w:tc>
          <w:tcPr>
            <w:tcW w:w="1293" w:type="pct"/>
            <w:tcBorders>
              <w:top w:val="nil"/>
              <w:left w:val="nil"/>
              <w:bottom w:val="single" w:sz="4" w:space="0" w:color="auto"/>
              <w:right w:val="single" w:sz="4" w:space="0" w:color="auto"/>
            </w:tcBorders>
            <w:noWrap/>
            <w:vAlign w:val="bottom"/>
            <w:hideMark/>
          </w:tcPr>
          <w:p w14:paraId="0837B942"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Cash Flow</w:t>
            </w:r>
          </w:p>
        </w:tc>
        <w:tc>
          <w:tcPr>
            <w:tcW w:w="886" w:type="pct"/>
            <w:tcBorders>
              <w:top w:val="nil"/>
              <w:left w:val="nil"/>
              <w:bottom w:val="single" w:sz="4" w:space="0" w:color="auto"/>
              <w:right w:val="single" w:sz="4" w:space="0" w:color="auto"/>
            </w:tcBorders>
            <w:noWrap/>
            <w:vAlign w:val="bottom"/>
            <w:hideMark/>
          </w:tcPr>
          <w:p w14:paraId="5CCAC57C"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DF</w:t>
            </w:r>
          </w:p>
        </w:tc>
        <w:tc>
          <w:tcPr>
            <w:tcW w:w="734" w:type="pct"/>
            <w:tcBorders>
              <w:top w:val="nil"/>
              <w:left w:val="nil"/>
              <w:bottom w:val="single" w:sz="4" w:space="0" w:color="auto"/>
              <w:right w:val="single" w:sz="4" w:space="0" w:color="auto"/>
            </w:tcBorders>
            <w:noWrap/>
            <w:vAlign w:val="bottom"/>
            <w:hideMark/>
          </w:tcPr>
          <w:p w14:paraId="6A06FBD6"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PV</w:t>
            </w:r>
          </w:p>
        </w:tc>
      </w:tr>
      <w:tr w:rsidR="006A0D55" w:rsidRPr="006A0D55" w14:paraId="14F8ED13"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56C0B70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1293" w:type="pct"/>
            <w:tcBorders>
              <w:top w:val="nil"/>
              <w:left w:val="nil"/>
              <w:bottom w:val="single" w:sz="4" w:space="0" w:color="auto"/>
              <w:right w:val="single" w:sz="4" w:space="0" w:color="auto"/>
            </w:tcBorders>
            <w:noWrap/>
            <w:vAlign w:val="bottom"/>
            <w:hideMark/>
          </w:tcPr>
          <w:p w14:paraId="3A39A816"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886" w:type="pct"/>
            <w:tcBorders>
              <w:top w:val="nil"/>
              <w:left w:val="nil"/>
              <w:bottom w:val="single" w:sz="4" w:space="0" w:color="auto"/>
              <w:right w:val="single" w:sz="4" w:space="0" w:color="auto"/>
            </w:tcBorders>
            <w:noWrap/>
            <w:vAlign w:val="bottom"/>
            <w:hideMark/>
          </w:tcPr>
          <w:p w14:paraId="50F21E18"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0.9091</w:t>
            </w:r>
          </w:p>
        </w:tc>
        <w:tc>
          <w:tcPr>
            <w:tcW w:w="734" w:type="pct"/>
            <w:tcBorders>
              <w:top w:val="nil"/>
              <w:left w:val="nil"/>
              <w:bottom w:val="single" w:sz="4" w:space="0" w:color="auto"/>
              <w:right w:val="single" w:sz="4" w:space="0" w:color="auto"/>
            </w:tcBorders>
            <w:noWrap/>
            <w:vAlign w:val="bottom"/>
            <w:hideMark/>
          </w:tcPr>
          <w:p w14:paraId="73797135"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4.55</w:t>
            </w:r>
          </w:p>
        </w:tc>
      </w:tr>
      <w:tr w:rsidR="006A0D55" w:rsidRPr="006A0D55" w14:paraId="3537A866"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2CABBE4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c>
          <w:tcPr>
            <w:tcW w:w="1293" w:type="pct"/>
            <w:tcBorders>
              <w:top w:val="nil"/>
              <w:left w:val="nil"/>
              <w:bottom w:val="single" w:sz="4" w:space="0" w:color="auto"/>
              <w:right w:val="single" w:sz="4" w:space="0" w:color="auto"/>
            </w:tcBorders>
            <w:noWrap/>
            <w:vAlign w:val="bottom"/>
            <w:hideMark/>
          </w:tcPr>
          <w:p w14:paraId="53AEA0F9"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886" w:type="pct"/>
            <w:tcBorders>
              <w:top w:val="nil"/>
              <w:left w:val="nil"/>
              <w:bottom w:val="single" w:sz="4" w:space="0" w:color="auto"/>
              <w:right w:val="single" w:sz="4" w:space="0" w:color="auto"/>
            </w:tcBorders>
            <w:noWrap/>
            <w:vAlign w:val="bottom"/>
            <w:hideMark/>
          </w:tcPr>
          <w:p w14:paraId="6D6256BB"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0.8264</w:t>
            </w:r>
          </w:p>
        </w:tc>
        <w:tc>
          <w:tcPr>
            <w:tcW w:w="734" w:type="pct"/>
            <w:tcBorders>
              <w:top w:val="nil"/>
              <w:left w:val="nil"/>
              <w:bottom w:val="single" w:sz="4" w:space="0" w:color="auto"/>
              <w:right w:val="single" w:sz="4" w:space="0" w:color="auto"/>
            </w:tcBorders>
            <w:noWrap/>
            <w:vAlign w:val="bottom"/>
            <w:hideMark/>
          </w:tcPr>
          <w:p w14:paraId="70A641CF"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8.26</w:t>
            </w:r>
          </w:p>
        </w:tc>
      </w:tr>
      <w:tr w:rsidR="006A0D55" w:rsidRPr="006A0D55" w14:paraId="2CB8B23F"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334410D2"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1293" w:type="pct"/>
            <w:tcBorders>
              <w:top w:val="nil"/>
              <w:left w:val="nil"/>
              <w:bottom w:val="single" w:sz="4" w:space="0" w:color="auto"/>
              <w:right w:val="single" w:sz="4" w:space="0" w:color="auto"/>
            </w:tcBorders>
            <w:noWrap/>
            <w:vAlign w:val="bottom"/>
            <w:hideMark/>
          </w:tcPr>
          <w:p w14:paraId="554611DE"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20</w:t>
            </w:r>
          </w:p>
        </w:tc>
        <w:tc>
          <w:tcPr>
            <w:tcW w:w="886" w:type="pct"/>
            <w:tcBorders>
              <w:top w:val="nil"/>
              <w:left w:val="nil"/>
              <w:bottom w:val="single" w:sz="4" w:space="0" w:color="auto"/>
              <w:right w:val="single" w:sz="4" w:space="0" w:color="auto"/>
            </w:tcBorders>
            <w:noWrap/>
            <w:vAlign w:val="bottom"/>
            <w:hideMark/>
          </w:tcPr>
          <w:p w14:paraId="7C2859B8"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0.7513</w:t>
            </w:r>
          </w:p>
        </w:tc>
        <w:tc>
          <w:tcPr>
            <w:tcW w:w="734" w:type="pct"/>
            <w:tcBorders>
              <w:top w:val="nil"/>
              <w:left w:val="nil"/>
              <w:bottom w:val="single" w:sz="4" w:space="0" w:color="auto"/>
              <w:right w:val="single" w:sz="4" w:space="0" w:color="auto"/>
            </w:tcBorders>
            <w:noWrap/>
            <w:vAlign w:val="bottom"/>
            <w:hideMark/>
          </w:tcPr>
          <w:p w14:paraId="3306F383"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15.02</w:t>
            </w:r>
          </w:p>
        </w:tc>
      </w:tr>
      <w:tr w:rsidR="006A0D55" w:rsidRPr="006A0D55" w14:paraId="71AC490C"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449AE39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1293" w:type="pct"/>
            <w:tcBorders>
              <w:top w:val="nil"/>
              <w:left w:val="nil"/>
              <w:bottom w:val="single" w:sz="4" w:space="0" w:color="auto"/>
              <w:right w:val="single" w:sz="4" w:space="0" w:color="auto"/>
            </w:tcBorders>
            <w:noWrap/>
            <w:vAlign w:val="bottom"/>
            <w:hideMark/>
          </w:tcPr>
          <w:p w14:paraId="051912DD"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25</w:t>
            </w:r>
          </w:p>
        </w:tc>
        <w:tc>
          <w:tcPr>
            <w:tcW w:w="886" w:type="pct"/>
            <w:tcBorders>
              <w:top w:val="nil"/>
              <w:left w:val="nil"/>
              <w:bottom w:val="single" w:sz="4" w:space="0" w:color="auto"/>
              <w:right w:val="single" w:sz="4" w:space="0" w:color="auto"/>
            </w:tcBorders>
            <w:noWrap/>
            <w:vAlign w:val="bottom"/>
            <w:hideMark/>
          </w:tcPr>
          <w:p w14:paraId="2DF54BF4"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0.6830</w:t>
            </w:r>
          </w:p>
        </w:tc>
        <w:tc>
          <w:tcPr>
            <w:tcW w:w="734" w:type="pct"/>
            <w:tcBorders>
              <w:top w:val="nil"/>
              <w:left w:val="nil"/>
              <w:bottom w:val="single" w:sz="4" w:space="0" w:color="auto"/>
              <w:right w:val="single" w:sz="4" w:space="0" w:color="auto"/>
            </w:tcBorders>
            <w:noWrap/>
            <w:vAlign w:val="bottom"/>
            <w:hideMark/>
          </w:tcPr>
          <w:p w14:paraId="366F94CD"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17.08</w:t>
            </w:r>
          </w:p>
        </w:tc>
      </w:tr>
      <w:tr w:rsidR="006A0D55" w:rsidRPr="006A0D55" w14:paraId="068914B9"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797B439F"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lastRenderedPageBreak/>
              <w:t>5</w:t>
            </w:r>
          </w:p>
        </w:tc>
        <w:tc>
          <w:tcPr>
            <w:tcW w:w="1293" w:type="pct"/>
            <w:tcBorders>
              <w:top w:val="nil"/>
              <w:left w:val="nil"/>
              <w:bottom w:val="single" w:sz="4" w:space="0" w:color="auto"/>
              <w:right w:val="single" w:sz="4" w:space="0" w:color="auto"/>
            </w:tcBorders>
            <w:noWrap/>
            <w:vAlign w:val="bottom"/>
            <w:hideMark/>
          </w:tcPr>
          <w:p w14:paraId="08DE2B1E"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886" w:type="pct"/>
            <w:tcBorders>
              <w:top w:val="nil"/>
              <w:left w:val="nil"/>
              <w:bottom w:val="single" w:sz="4" w:space="0" w:color="auto"/>
              <w:right w:val="single" w:sz="4" w:space="0" w:color="auto"/>
            </w:tcBorders>
            <w:noWrap/>
            <w:vAlign w:val="bottom"/>
            <w:hideMark/>
          </w:tcPr>
          <w:p w14:paraId="4E28D738"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0.6209</w:t>
            </w:r>
          </w:p>
        </w:tc>
        <w:tc>
          <w:tcPr>
            <w:tcW w:w="734" w:type="pct"/>
            <w:tcBorders>
              <w:top w:val="nil"/>
              <w:left w:val="nil"/>
              <w:bottom w:val="single" w:sz="4" w:space="0" w:color="auto"/>
              <w:right w:val="single" w:sz="4" w:space="0" w:color="auto"/>
            </w:tcBorders>
            <w:noWrap/>
            <w:vAlign w:val="bottom"/>
            <w:hideMark/>
          </w:tcPr>
          <w:p w14:paraId="0FD55776"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3.11</w:t>
            </w:r>
          </w:p>
        </w:tc>
      </w:tr>
      <w:tr w:rsidR="006A0D55" w:rsidRPr="006A0D55" w14:paraId="4AACAA5C"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53ECC24A"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Total PV</w:t>
            </w:r>
          </w:p>
        </w:tc>
        <w:tc>
          <w:tcPr>
            <w:tcW w:w="1293" w:type="pct"/>
            <w:tcBorders>
              <w:top w:val="nil"/>
              <w:left w:val="nil"/>
              <w:bottom w:val="single" w:sz="4" w:space="0" w:color="auto"/>
              <w:right w:val="single" w:sz="4" w:space="0" w:color="auto"/>
            </w:tcBorders>
            <w:noWrap/>
            <w:vAlign w:val="bottom"/>
            <w:hideMark/>
          </w:tcPr>
          <w:p w14:paraId="3CE67CDB"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886" w:type="pct"/>
            <w:tcBorders>
              <w:top w:val="nil"/>
              <w:left w:val="nil"/>
              <w:bottom w:val="single" w:sz="4" w:space="0" w:color="auto"/>
              <w:right w:val="single" w:sz="4" w:space="0" w:color="auto"/>
            </w:tcBorders>
            <w:noWrap/>
            <w:vAlign w:val="bottom"/>
            <w:hideMark/>
          </w:tcPr>
          <w:p w14:paraId="7150AD94"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734" w:type="pct"/>
            <w:tcBorders>
              <w:top w:val="nil"/>
              <w:left w:val="nil"/>
              <w:bottom w:val="single" w:sz="4" w:space="0" w:color="auto"/>
              <w:right w:val="single" w:sz="4" w:space="0" w:color="auto"/>
            </w:tcBorders>
            <w:noWrap/>
            <w:vAlign w:val="bottom"/>
            <w:hideMark/>
          </w:tcPr>
          <w:p w14:paraId="3F2006AB"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48.02</w:t>
            </w:r>
          </w:p>
        </w:tc>
      </w:tr>
      <w:tr w:rsidR="006A0D55" w:rsidRPr="006A0D55" w14:paraId="768878C0" w14:textId="77777777" w:rsidTr="006A0D55">
        <w:trPr>
          <w:trHeight w:val="300"/>
        </w:trPr>
        <w:tc>
          <w:tcPr>
            <w:tcW w:w="2087" w:type="pct"/>
            <w:tcBorders>
              <w:top w:val="nil"/>
              <w:left w:val="single" w:sz="4" w:space="0" w:color="auto"/>
              <w:bottom w:val="single" w:sz="4" w:space="0" w:color="auto"/>
              <w:right w:val="single" w:sz="4" w:space="0" w:color="auto"/>
            </w:tcBorders>
            <w:noWrap/>
            <w:vAlign w:val="bottom"/>
            <w:hideMark/>
          </w:tcPr>
          <w:p w14:paraId="5D1055E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NPV = 48.02 − 50</w:t>
            </w:r>
          </w:p>
        </w:tc>
        <w:tc>
          <w:tcPr>
            <w:tcW w:w="1293" w:type="pct"/>
            <w:tcBorders>
              <w:top w:val="nil"/>
              <w:left w:val="nil"/>
              <w:bottom w:val="single" w:sz="4" w:space="0" w:color="auto"/>
              <w:right w:val="single" w:sz="4" w:space="0" w:color="auto"/>
            </w:tcBorders>
            <w:noWrap/>
            <w:vAlign w:val="bottom"/>
            <w:hideMark/>
          </w:tcPr>
          <w:p w14:paraId="56BC4786"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886" w:type="pct"/>
            <w:tcBorders>
              <w:top w:val="nil"/>
              <w:left w:val="nil"/>
              <w:bottom w:val="single" w:sz="4" w:space="0" w:color="auto"/>
              <w:right w:val="single" w:sz="4" w:space="0" w:color="auto"/>
            </w:tcBorders>
            <w:noWrap/>
            <w:vAlign w:val="bottom"/>
            <w:hideMark/>
          </w:tcPr>
          <w:p w14:paraId="1010B9E6"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w:t>
            </w:r>
          </w:p>
        </w:tc>
        <w:tc>
          <w:tcPr>
            <w:tcW w:w="734" w:type="pct"/>
            <w:tcBorders>
              <w:top w:val="nil"/>
              <w:left w:val="nil"/>
              <w:bottom w:val="single" w:sz="4" w:space="0" w:color="auto"/>
              <w:right w:val="single" w:sz="4" w:space="0" w:color="auto"/>
            </w:tcBorders>
            <w:noWrap/>
            <w:vAlign w:val="bottom"/>
            <w:hideMark/>
          </w:tcPr>
          <w:p w14:paraId="6CB85457"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-1.98</w:t>
            </w:r>
          </w:p>
        </w:tc>
      </w:tr>
    </w:tbl>
    <w:p w14:paraId="0E8B2233" w14:textId="77777777" w:rsidR="006A0D55" w:rsidRDefault="006A0D55" w:rsidP="00403DD3"/>
    <w:p w14:paraId="53DED371" w14:textId="3FF1C07D" w:rsidR="006A0D55" w:rsidRDefault="006A0D55" w:rsidP="00403DD3">
      <w:r w:rsidRPr="006A0D55">
        <w:t>Profitability Index (PI)</w:t>
      </w:r>
    </w:p>
    <w:tbl>
      <w:tblPr>
        <w:tblW w:w="5000" w:type="pct"/>
        <w:tblLook w:val="04A0" w:firstRow="1" w:lastRow="0" w:firstColumn="1" w:lastColumn="0" w:noHBand="0" w:noVBand="1"/>
      </w:tblPr>
      <w:tblGrid>
        <w:gridCol w:w="3406"/>
        <w:gridCol w:w="2468"/>
        <w:gridCol w:w="1814"/>
        <w:gridCol w:w="1672"/>
      </w:tblGrid>
      <w:tr w:rsidR="006A0D55" w:rsidRPr="006A0D55" w14:paraId="146E0A38" w14:textId="77777777" w:rsidTr="006A0D55">
        <w:trPr>
          <w:trHeight w:val="300"/>
        </w:trPr>
        <w:tc>
          <w:tcPr>
            <w:tcW w:w="1819" w:type="pct"/>
            <w:tcBorders>
              <w:top w:val="nil"/>
              <w:left w:val="nil"/>
              <w:bottom w:val="nil"/>
              <w:right w:val="nil"/>
            </w:tcBorders>
            <w:noWrap/>
            <w:vAlign w:val="bottom"/>
            <w:hideMark/>
          </w:tcPr>
          <w:p w14:paraId="36C2CB04"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PI = PV / Initial Investment</w:t>
            </w:r>
          </w:p>
        </w:tc>
        <w:tc>
          <w:tcPr>
            <w:tcW w:w="1318" w:type="pct"/>
            <w:tcBorders>
              <w:top w:val="nil"/>
              <w:left w:val="nil"/>
              <w:bottom w:val="nil"/>
              <w:right w:val="nil"/>
            </w:tcBorders>
            <w:noWrap/>
            <w:vAlign w:val="bottom"/>
            <w:hideMark/>
          </w:tcPr>
          <w:p w14:paraId="69F33669"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p>
        </w:tc>
        <w:tc>
          <w:tcPr>
            <w:tcW w:w="969" w:type="pct"/>
            <w:tcBorders>
              <w:top w:val="nil"/>
              <w:left w:val="nil"/>
              <w:bottom w:val="nil"/>
              <w:right w:val="nil"/>
            </w:tcBorders>
            <w:noWrap/>
            <w:vAlign w:val="bottom"/>
            <w:hideMark/>
          </w:tcPr>
          <w:p w14:paraId="327B51CE" w14:textId="77777777" w:rsidR="006A0D55" w:rsidRPr="006A0D55" w:rsidRDefault="006A0D55" w:rsidP="006A0D55">
            <w:pPr>
              <w:spacing w:after="0" w:line="240" w:lineRule="auto"/>
              <w:jc w:val="left"/>
              <w:rPr>
                <w:rFonts w:ascii="Times New Roman" w:eastAsia="Times New Roman" w:hAnsi="Times New Roman" w:cs="Times New Roman"/>
                <w:kern w:val="0"/>
                <w:sz w:val="20"/>
                <w:szCs w:val="20"/>
                <w14:ligatures w14:val="none"/>
              </w:rPr>
            </w:pPr>
          </w:p>
        </w:tc>
        <w:tc>
          <w:tcPr>
            <w:tcW w:w="893" w:type="pct"/>
            <w:tcBorders>
              <w:top w:val="nil"/>
              <w:left w:val="nil"/>
              <w:bottom w:val="nil"/>
              <w:right w:val="nil"/>
            </w:tcBorders>
            <w:noWrap/>
            <w:vAlign w:val="bottom"/>
            <w:hideMark/>
          </w:tcPr>
          <w:p w14:paraId="3FFE28BF" w14:textId="77777777" w:rsidR="006A0D55" w:rsidRPr="006A0D55" w:rsidRDefault="006A0D55" w:rsidP="006A0D55">
            <w:pPr>
              <w:spacing w:after="0" w:line="240" w:lineRule="auto"/>
              <w:jc w:val="left"/>
              <w:rPr>
                <w:rFonts w:ascii="Times New Roman" w:eastAsia="Times New Roman" w:hAnsi="Times New Roman" w:cs="Times New Roman"/>
                <w:kern w:val="0"/>
                <w:sz w:val="20"/>
                <w:szCs w:val="20"/>
                <w14:ligatures w14:val="none"/>
              </w:rPr>
            </w:pPr>
          </w:p>
        </w:tc>
      </w:tr>
      <w:tr w:rsidR="006A0D55" w:rsidRPr="006A0D55" w14:paraId="0F750C8D" w14:textId="77777777" w:rsidTr="006A0D55">
        <w:trPr>
          <w:trHeight w:val="300"/>
        </w:trPr>
        <w:tc>
          <w:tcPr>
            <w:tcW w:w="1819" w:type="pct"/>
            <w:tcBorders>
              <w:top w:val="single" w:sz="4" w:space="0" w:color="auto"/>
              <w:left w:val="single" w:sz="4" w:space="0" w:color="auto"/>
              <w:bottom w:val="single" w:sz="4" w:space="0" w:color="auto"/>
              <w:right w:val="single" w:sz="4" w:space="0" w:color="auto"/>
            </w:tcBorders>
            <w:noWrap/>
            <w:vAlign w:val="bottom"/>
            <w:hideMark/>
          </w:tcPr>
          <w:p w14:paraId="5C8AD039"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Project</w:t>
            </w:r>
          </w:p>
        </w:tc>
        <w:tc>
          <w:tcPr>
            <w:tcW w:w="1318" w:type="pct"/>
            <w:tcBorders>
              <w:top w:val="single" w:sz="4" w:space="0" w:color="auto"/>
              <w:left w:val="nil"/>
              <w:bottom w:val="single" w:sz="4" w:space="0" w:color="auto"/>
              <w:right w:val="single" w:sz="4" w:space="0" w:color="auto"/>
            </w:tcBorders>
            <w:noWrap/>
            <w:vAlign w:val="bottom"/>
            <w:hideMark/>
          </w:tcPr>
          <w:p w14:paraId="5462F84B" w14:textId="77777777" w:rsidR="006A0D55" w:rsidRPr="006A0D55" w:rsidRDefault="006A0D55" w:rsidP="006A0D55">
            <w:pPr>
              <w:spacing w:after="0" w:line="240" w:lineRule="auto"/>
              <w:jc w:val="left"/>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PV</w:t>
            </w:r>
          </w:p>
        </w:tc>
        <w:tc>
          <w:tcPr>
            <w:tcW w:w="969" w:type="pct"/>
            <w:tcBorders>
              <w:top w:val="single" w:sz="4" w:space="0" w:color="auto"/>
              <w:left w:val="nil"/>
              <w:bottom w:val="single" w:sz="4" w:space="0" w:color="auto"/>
              <w:right w:val="single" w:sz="4" w:space="0" w:color="auto"/>
            </w:tcBorders>
            <w:noWrap/>
            <w:vAlign w:val="bottom"/>
            <w:hideMark/>
          </w:tcPr>
          <w:p w14:paraId="73DC2A10" w14:textId="77777777" w:rsidR="006A0D55" w:rsidRPr="006A0D55" w:rsidRDefault="006A0D55" w:rsidP="006A0D55">
            <w:pPr>
              <w:spacing w:after="0" w:line="240" w:lineRule="auto"/>
              <w:jc w:val="left"/>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Initial Investment</w:t>
            </w:r>
          </w:p>
        </w:tc>
        <w:tc>
          <w:tcPr>
            <w:tcW w:w="893" w:type="pct"/>
            <w:tcBorders>
              <w:top w:val="single" w:sz="4" w:space="0" w:color="auto"/>
              <w:left w:val="nil"/>
              <w:bottom w:val="single" w:sz="4" w:space="0" w:color="auto"/>
              <w:right w:val="single" w:sz="4" w:space="0" w:color="auto"/>
            </w:tcBorders>
            <w:noWrap/>
            <w:vAlign w:val="bottom"/>
            <w:hideMark/>
          </w:tcPr>
          <w:p w14:paraId="60469954" w14:textId="77777777" w:rsidR="006A0D55" w:rsidRPr="006A0D55" w:rsidRDefault="006A0D55" w:rsidP="006A0D55">
            <w:pPr>
              <w:spacing w:after="0" w:line="240" w:lineRule="auto"/>
              <w:jc w:val="left"/>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PI</w:t>
            </w:r>
          </w:p>
        </w:tc>
      </w:tr>
      <w:tr w:rsidR="006A0D55" w:rsidRPr="006A0D55" w14:paraId="01D3D559" w14:textId="77777777" w:rsidTr="006A0D55">
        <w:trPr>
          <w:trHeight w:val="300"/>
        </w:trPr>
        <w:tc>
          <w:tcPr>
            <w:tcW w:w="1819" w:type="pct"/>
            <w:tcBorders>
              <w:top w:val="nil"/>
              <w:left w:val="single" w:sz="4" w:space="0" w:color="auto"/>
              <w:bottom w:val="single" w:sz="4" w:space="0" w:color="auto"/>
              <w:right w:val="single" w:sz="4" w:space="0" w:color="auto"/>
            </w:tcBorders>
            <w:noWrap/>
            <w:vAlign w:val="bottom"/>
            <w:hideMark/>
          </w:tcPr>
          <w:p w14:paraId="186F3951"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w:t>
            </w:r>
          </w:p>
        </w:tc>
        <w:tc>
          <w:tcPr>
            <w:tcW w:w="1318" w:type="pct"/>
            <w:tcBorders>
              <w:top w:val="nil"/>
              <w:left w:val="nil"/>
              <w:bottom w:val="single" w:sz="4" w:space="0" w:color="auto"/>
              <w:right w:val="single" w:sz="4" w:space="0" w:color="auto"/>
            </w:tcBorders>
            <w:noWrap/>
            <w:vAlign w:val="bottom"/>
            <w:hideMark/>
          </w:tcPr>
          <w:p w14:paraId="7DF6A5D3"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41.32</w:t>
            </w:r>
          </w:p>
        </w:tc>
        <w:tc>
          <w:tcPr>
            <w:tcW w:w="969" w:type="pct"/>
            <w:tcBorders>
              <w:top w:val="nil"/>
              <w:left w:val="nil"/>
              <w:bottom w:val="single" w:sz="4" w:space="0" w:color="auto"/>
              <w:right w:val="single" w:sz="4" w:space="0" w:color="auto"/>
            </w:tcBorders>
            <w:noWrap/>
            <w:vAlign w:val="bottom"/>
            <w:hideMark/>
          </w:tcPr>
          <w:p w14:paraId="7A4481D7"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893" w:type="pct"/>
            <w:tcBorders>
              <w:top w:val="nil"/>
              <w:left w:val="nil"/>
              <w:bottom w:val="single" w:sz="4" w:space="0" w:color="auto"/>
              <w:right w:val="single" w:sz="4" w:space="0" w:color="auto"/>
            </w:tcBorders>
            <w:noWrap/>
            <w:vAlign w:val="bottom"/>
            <w:hideMark/>
          </w:tcPr>
          <w:p w14:paraId="31360E6A"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0.83</w:t>
            </w:r>
          </w:p>
        </w:tc>
      </w:tr>
      <w:tr w:rsidR="006A0D55" w:rsidRPr="006A0D55" w14:paraId="3CD87E3E" w14:textId="77777777" w:rsidTr="006A0D55">
        <w:trPr>
          <w:trHeight w:val="300"/>
        </w:trPr>
        <w:tc>
          <w:tcPr>
            <w:tcW w:w="1819" w:type="pct"/>
            <w:tcBorders>
              <w:top w:val="nil"/>
              <w:left w:val="single" w:sz="4" w:space="0" w:color="auto"/>
              <w:bottom w:val="single" w:sz="4" w:space="0" w:color="auto"/>
              <w:right w:val="single" w:sz="4" w:space="0" w:color="auto"/>
            </w:tcBorders>
            <w:noWrap/>
            <w:vAlign w:val="bottom"/>
            <w:hideMark/>
          </w:tcPr>
          <w:p w14:paraId="36AC6CD5"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B</w:t>
            </w:r>
          </w:p>
        </w:tc>
        <w:tc>
          <w:tcPr>
            <w:tcW w:w="1318" w:type="pct"/>
            <w:tcBorders>
              <w:top w:val="nil"/>
              <w:left w:val="nil"/>
              <w:bottom w:val="single" w:sz="4" w:space="0" w:color="auto"/>
              <w:right w:val="single" w:sz="4" w:space="0" w:color="auto"/>
            </w:tcBorders>
            <w:noWrap/>
            <w:vAlign w:val="bottom"/>
            <w:hideMark/>
          </w:tcPr>
          <w:p w14:paraId="0FD7F563"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41.70</w:t>
            </w:r>
          </w:p>
        </w:tc>
        <w:tc>
          <w:tcPr>
            <w:tcW w:w="969" w:type="pct"/>
            <w:tcBorders>
              <w:top w:val="nil"/>
              <w:left w:val="nil"/>
              <w:bottom w:val="single" w:sz="4" w:space="0" w:color="auto"/>
              <w:right w:val="single" w:sz="4" w:space="0" w:color="auto"/>
            </w:tcBorders>
            <w:noWrap/>
            <w:vAlign w:val="bottom"/>
            <w:hideMark/>
          </w:tcPr>
          <w:p w14:paraId="6AED7E73"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893" w:type="pct"/>
            <w:tcBorders>
              <w:top w:val="nil"/>
              <w:left w:val="nil"/>
              <w:bottom w:val="single" w:sz="4" w:space="0" w:color="auto"/>
              <w:right w:val="single" w:sz="4" w:space="0" w:color="auto"/>
            </w:tcBorders>
            <w:noWrap/>
            <w:vAlign w:val="bottom"/>
            <w:hideMark/>
          </w:tcPr>
          <w:p w14:paraId="3418F76A"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0.83</w:t>
            </w:r>
          </w:p>
        </w:tc>
      </w:tr>
      <w:tr w:rsidR="006A0D55" w:rsidRPr="006A0D55" w14:paraId="65A5D9CA" w14:textId="77777777" w:rsidTr="006A0D55">
        <w:trPr>
          <w:trHeight w:val="300"/>
        </w:trPr>
        <w:tc>
          <w:tcPr>
            <w:tcW w:w="1819" w:type="pct"/>
            <w:tcBorders>
              <w:top w:val="nil"/>
              <w:left w:val="single" w:sz="4" w:space="0" w:color="auto"/>
              <w:bottom w:val="single" w:sz="4" w:space="0" w:color="auto"/>
              <w:right w:val="single" w:sz="4" w:space="0" w:color="auto"/>
            </w:tcBorders>
            <w:noWrap/>
            <w:vAlign w:val="bottom"/>
            <w:hideMark/>
          </w:tcPr>
          <w:p w14:paraId="586FD71B"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C</w:t>
            </w:r>
          </w:p>
        </w:tc>
        <w:tc>
          <w:tcPr>
            <w:tcW w:w="1318" w:type="pct"/>
            <w:tcBorders>
              <w:top w:val="nil"/>
              <w:left w:val="nil"/>
              <w:bottom w:val="single" w:sz="4" w:space="0" w:color="auto"/>
              <w:right w:val="single" w:sz="4" w:space="0" w:color="auto"/>
            </w:tcBorders>
            <w:noWrap/>
            <w:vAlign w:val="bottom"/>
            <w:hideMark/>
          </w:tcPr>
          <w:p w14:paraId="559C04B1"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48.02</w:t>
            </w:r>
          </w:p>
        </w:tc>
        <w:tc>
          <w:tcPr>
            <w:tcW w:w="969" w:type="pct"/>
            <w:tcBorders>
              <w:top w:val="nil"/>
              <w:left w:val="nil"/>
              <w:bottom w:val="single" w:sz="4" w:space="0" w:color="auto"/>
              <w:right w:val="single" w:sz="4" w:space="0" w:color="auto"/>
            </w:tcBorders>
            <w:noWrap/>
            <w:vAlign w:val="bottom"/>
            <w:hideMark/>
          </w:tcPr>
          <w:p w14:paraId="5D6CEAFE"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893" w:type="pct"/>
            <w:tcBorders>
              <w:top w:val="nil"/>
              <w:left w:val="nil"/>
              <w:bottom w:val="single" w:sz="4" w:space="0" w:color="auto"/>
              <w:right w:val="single" w:sz="4" w:space="0" w:color="auto"/>
            </w:tcBorders>
            <w:noWrap/>
            <w:vAlign w:val="bottom"/>
            <w:hideMark/>
          </w:tcPr>
          <w:p w14:paraId="367FF34E"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0.96</w:t>
            </w:r>
          </w:p>
        </w:tc>
      </w:tr>
    </w:tbl>
    <w:p w14:paraId="1418171E" w14:textId="77777777" w:rsidR="006A0D55" w:rsidRDefault="006A0D55" w:rsidP="00403DD3"/>
    <w:p w14:paraId="25AC5768" w14:textId="00B33271" w:rsidR="006A0D55" w:rsidRDefault="006A0D55" w:rsidP="00403DD3">
      <w:r w:rsidRPr="006A0D55">
        <w:t>Internal Rate of Return (IRR)</w:t>
      </w:r>
    </w:p>
    <w:tbl>
      <w:tblPr>
        <w:tblW w:w="9180" w:type="dxa"/>
        <w:tblLook w:val="04A0" w:firstRow="1" w:lastRow="0" w:firstColumn="1" w:lastColumn="0" w:noHBand="0" w:noVBand="1"/>
      </w:tblPr>
      <w:tblGrid>
        <w:gridCol w:w="3340"/>
        <w:gridCol w:w="2420"/>
        <w:gridCol w:w="1780"/>
        <w:gridCol w:w="1640"/>
      </w:tblGrid>
      <w:tr w:rsidR="006A0D55" w:rsidRPr="006A0D55" w14:paraId="3EDD134E" w14:textId="77777777" w:rsidTr="006A0D55">
        <w:trPr>
          <w:trHeight w:val="300"/>
        </w:trPr>
        <w:tc>
          <w:tcPr>
            <w:tcW w:w="3340" w:type="dxa"/>
            <w:tcBorders>
              <w:top w:val="single" w:sz="4" w:space="0" w:color="auto"/>
              <w:left w:val="single" w:sz="4" w:space="0" w:color="auto"/>
              <w:bottom w:val="single" w:sz="4" w:space="0" w:color="auto"/>
              <w:right w:val="single" w:sz="4" w:space="0" w:color="auto"/>
            </w:tcBorders>
            <w:noWrap/>
            <w:vAlign w:val="bottom"/>
            <w:hideMark/>
          </w:tcPr>
          <w:p w14:paraId="3AD39528"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Year</w:t>
            </w:r>
          </w:p>
        </w:tc>
        <w:tc>
          <w:tcPr>
            <w:tcW w:w="2420" w:type="dxa"/>
            <w:tcBorders>
              <w:top w:val="single" w:sz="4" w:space="0" w:color="auto"/>
              <w:left w:val="nil"/>
              <w:bottom w:val="single" w:sz="4" w:space="0" w:color="auto"/>
              <w:right w:val="single" w:sz="4" w:space="0" w:color="auto"/>
            </w:tcBorders>
            <w:noWrap/>
            <w:vAlign w:val="bottom"/>
            <w:hideMark/>
          </w:tcPr>
          <w:p w14:paraId="620E0582"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Project A</w:t>
            </w:r>
          </w:p>
        </w:tc>
        <w:tc>
          <w:tcPr>
            <w:tcW w:w="1780" w:type="dxa"/>
            <w:tcBorders>
              <w:top w:val="single" w:sz="4" w:space="0" w:color="auto"/>
              <w:left w:val="nil"/>
              <w:bottom w:val="single" w:sz="4" w:space="0" w:color="auto"/>
              <w:right w:val="single" w:sz="4" w:space="0" w:color="auto"/>
            </w:tcBorders>
            <w:noWrap/>
            <w:vAlign w:val="bottom"/>
            <w:hideMark/>
          </w:tcPr>
          <w:p w14:paraId="4EF62E3B"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Project B</w:t>
            </w:r>
          </w:p>
        </w:tc>
        <w:tc>
          <w:tcPr>
            <w:tcW w:w="1640" w:type="dxa"/>
            <w:tcBorders>
              <w:top w:val="single" w:sz="4" w:space="0" w:color="auto"/>
              <w:left w:val="nil"/>
              <w:bottom w:val="single" w:sz="4" w:space="0" w:color="auto"/>
              <w:right w:val="single" w:sz="4" w:space="0" w:color="auto"/>
            </w:tcBorders>
            <w:noWrap/>
            <w:vAlign w:val="bottom"/>
            <w:hideMark/>
          </w:tcPr>
          <w:p w14:paraId="55587DC0"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Project C</w:t>
            </w:r>
          </w:p>
        </w:tc>
      </w:tr>
      <w:tr w:rsidR="006A0D55" w:rsidRPr="006A0D55" w14:paraId="010D2C6C" w14:textId="77777777" w:rsidTr="006A0D55">
        <w:trPr>
          <w:trHeight w:val="300"/>
        </w:trPr>
        <w:tc>
          <w:tcPr>
            <w:tcW w:w="3340" w:type="dxa"/>
            <w:tcBorders>
              <w:top w:val="nil"/>
              <w:left w:val="single" w:sz="4" w:space="0" w:color="auto"/>
              <w:bottom w:val="single" w:sz="4" w:space="0" w:color="auto"/>
              <w:right w:val="single" w:sz="4" w:space="0" w:color="auto"/>
            </w:tcBorders>
            <w:noWrap/>
            <w:vAlign w:val="bottom"/>
            <w:hideMark/>
          </w:tcPr>
          <w:p w14:paraId="423A680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0</w:t>
            </w:r>
          </w:p>
        </w:tc>
        <w:tc>
          <w:tcPr>
            <w:tcW w:w="2420" w:type="dxa"/>
            <w:tcBorders>
              <w:top w:val="nil"/>
              <w:left w:val="nil"/>
              <w:bottom w:val="single" w:sz="4" w:space="0" w:color="auto"/>
              <w:right w:val="single" w:sz="4" w:space="0" w:color="auto"/>
            </w:tcBorders>
            <w:noWrap/>
            <w:vAlign w:val="bottom"/>
            <w:hideMark/>
          </w:tcPr>
          <w:p w14:paraId="55B5ECC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1780" w:type="dxa"/>
            <w:tcBorders>
              <w:top w:val="nil"/>
              <w:left w:val="nil"/>
              <w:bottom w:val="single" w:sz="4" w:space="0" w:color="auto"/>
              <w:right w:val="single" w:sz="4" w:space="0" w:color="auto"/>
            </w:tcBorders>
            <w:noWrap/>
            <w:vAlign w:val="bottom"/>
            <w:hideMark/>
          </w:tcPr>
          <w:p w14:paraId="3F4A2B8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c>
          <w:tcPr>
            <w:tcW w:w="1640" w:type="dxa"/>
            <w:tcBorders>
              <w:top w:val="nil"/>
              <w:left w:val="nil"/>
              <w:bottom w:val="single" w:sz="4" w:space="0" w:color="auto"/>
              <w:right w:val="single" w:sz="4" w:space="0" w:color="auto"/>
            </w:tcBorders>
            <w:noWrap/>
            <w:vAlign w:val="bottom"/>
            <w:hideMark/>
          </w:tcPr>
          <w:p w14:paraId="1B7560B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-50</w:t>
            </w:r>
          </w:p>
        </w:tc>
      </w:tr>
      <w:tr w:rsidR="006A0D55" w:rsidRPr="006A0D55" w14:paraId="296BFAB4" w14:textId="77777777" w:rsidTr="006A0D55">
        <w:trPr>
          <w:trHeight w:val="300"/>
        </w:trPr>
        <w:tc>
          <w:tcPr>
            <w:tcW w:w="3340" w:type="dxa"/>
            <w:tcBorders>
              <w:top w:val="nil"/>
              <w:left w:val="single" w:sz="4" w:space="0" w:color="auto"/>
              <w:bottom w:val="single" w:sz="4" w:space="0" w:color="auto"/>
              <w:right w:val="single" w:sz="4" w:space="0" w:color="auto"/>
            </w:tcBorders>
            <w:noWrap/>
            <w:vAlign w:val="bottom"/>
            <w:hideMark/>
          </w:tcPr>
          <w:p w14:paraId="716DE514"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w:t>
            </w:r>
          </w:p>
        </w:tc>
        <w:tc>
          <w:tcPr>
            <w:tcW w:w="2420" w:type="dxa"/>
            <w:tcBorders>
              <w:top w:val="nil"/>
              <w:left w:val="nil"/>
              <w:bottom w:val="single" w:sz="4" w:space="0" w:color="auto"/>
              <w:right w:val="single" w:sz="4" w:space="0" w:color="auto"/>
            </w:tcBorders>
            <w:noWrap/>
            <w:vAlign w:val="bottom"/>
            <w:hideMark/>
          </w:tcPr>
          <w:p w14:paraId="1FFA12C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1780" w:type="dxa"/>
            <w:tcBorders>
              <w:top w:val="nil"/>
              <w:left w:val="nil"/>
              <w:bottom w:val="single" w:sz="4" w:space="0" w:color="auto"/>
              <w:right w:val="single" w:sz="4" w:space="0" w:color="auto"/>
            </w:tcBorders>
            <w:noWrap/>
            <w:vAlign w:val="bottom"/>
            <w:hideMark/>
          </w:tcPr>
          <w:p w14:paraId="57AFFC1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1640" w:type="dxa"/>
            <w:tcBorders>
              <w:top w:val="nil"/>
              <w:left w:val="nil"/>
              <w:bottom w:val="single" w:sz="4" w:space="0" w:color="auto"/>
              <w:right w:val="single" w:sz="4" w:space="0" w:color="auto"/>
            </w:tcBorders>
            <w:noWrap/>
            <w:vAlign w:val="bottom"/>
            <w:hideMark/>
          </w:tcPr>
          <w:p w14:paraId="1566F25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r>
      <w:tr w:rsidR="006A0D55" w:rsidRPr="006A0D55" w14:paraId="47CABB09" w14:textId="77777777" w:rsidTr="006A0D55">
        <w:trPr>
          <w:trHeight w:val="300"/>
        </w:trPr>
        <w:tc>
          <w:tcPr>
            <w:tcW w:w="3340" w:type="dxa"/>
            <w:tcBorders>
              <w:top w:val="nil"/>
              <w:left w:val="single" w:sz="4" w:space="0" w:color="auto"/>
              <w:bottom w:val="single" w:sz="4" w:space="0" w:color="auto"/>
              <w:right w:val="single" w:sz="4" w:space="0" w:color="auto"/>
            </w:tcBorders>
            <w:noWrap/>
            <w:vAlign w:val="bottom"/>
            <w:hideMark/>
          </w:tcPr>
          <w:p w14:paraId="2E7D91F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w:t>
            </w:r>
          </w:p>
        </w:tc>
        <w:tc>
          <w:tcPr>
            <w:tcW w:w="2420" w:type="dxa"/>
            <w:tcBorders>
              <w:top w:val="nil"/>
              <w:left w:val="nil"/>
              <w:bottom w:val="single" w:sz="4" w:space="0" w:color="auto"/>
              <w:right w:val="single" w:sz="4" w:space="0" w:color="auto"/>
            </w:tcBorders>
            <w:noWrap/>
            <w:vAlign w:val="bottom"/>
            <w:hideMark/>
          </w:tcPr>
          <w:p w14:paraId="2255DB58"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12</w:t>
            </w:r>
          </w:p>
        </w:tc>
        <w:tc>
          <w:tcPr>
            <w:tcW w:w="1780" w:type="dxa"/>
            <w:tcBorders>
              <w:top w:val="nil"/>
              <w:left w:val="nil"/>
              <w:bottom w:val="single" w:sz="4" w:space="0" w:color="auto"/>
              <w:right w:val="single" w:sz="4" w:space="0" w:color="auto"/>
            </w:tcBorders>
            <w:noWrap/>
            <w:vAlign w:val="bottom"/>
            <w:hideMark/>
          </w:tcPr>
          <w:p w14:paraId="52CC894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1640" w:type="dxa"/>
            <w:tcBorders>
              <w:top w:val="nil"/>
              <w:left w:val="nil"/>
              <w:bottom w:val="single" w:sz="4" w:space="0" w:color="auto"/>
              <w:right w:val="single" w:sz="4" w:space="0" w:color="auto"/>
            </w:tcBorders>
            <w:noWrap/>
            <w:vAlign w:val="bottom"/>
            <w:hideMark/>
          </w:tcPr>
          <w:p w14:paraId="0BBC09A5"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r>
      <w:tr w:rsidR="006A0D55" w:rsidRPr="006A0D55" w14:paraId="24B3C44E" w14:textId="77777777" w:rsidTr="006A0D55">
        <w:trPr>
          <w:trHeight w:val="300"/>
        </w:trPr>
        <w:tc>
          <w:tcPr>
            <w:tcW w:w="3340" w:type="dxa"/>
            <w:tcBorders>
              <w:top w:val="nil"/>
              <w:left w:val="single" w:sz="4" w:space="0" w:color="auto"/>
              <w:bottom w:val="single" w:sz="4" w:space="0" w:color="auto"/>
              <w:right w:val="single" w:sz="4" w:space="0" w:color="auto"/>
            </w:tcBorders>
            <w:noWrap/>
            <w:vAlign w:val="bottom"/>
            <w:hideMark/>
          </w:tcPr>
          <w:p w14:paraId="477615A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w:t>
            </w:r>
          </w:p>
        </w:tc>
        <w:tc>
          <w:tcPr>
            <w:tcW w:w="2420" w:type="dxa"/>
            <w:tcBorders>
              <w:top w:val="nil"/>
              <w:left w:val="nil"/>
              <w:bottom w:val="single" w:sz="4" w:space="0" w:color="auto"/>
              <w:right w:val="single" w:sz="4" w:space="0" w:color="auto"/>
            </w:tcBorders>
            <w:noWrap/>
            <w:vAlign w:val="bottom"/>
            <w:hideMark/>
          </w:tcPr>
          <w:p w14:paraId="182A3351"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14</w:t>
            </w:r>
          </w:p>
        </w:tc>
        <w:tc>
          <w:tcPr>
            <w:tcW w:w="1780" w:type="dxa"/>
            <w:tcBorders>
              <w:top w:val="nil"/>
              <w:left w:val="nil"/>
              <w:bottom w:val="single" w:sz="4" w:space="0" w:color="auto"/>
              <w:right w:val="single" w:sz="4" w:space="0" w:color="auto"/>
            </w:tcBorders>
            <w:noWrap/>
            <w:vAlign w:val="bottom"/>
            <w:hideMark/>
          </w:tcPr>
          <w:p w14:paraId="25FF570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1640" w:type="dxa"/>
            <w:tcBorders>
              <w:top w:val="nil"/>
              <w:left w:val="nil"/>
              <w:bottom w:val="single" w:sz="4" w:space="0" w:color="auto"/>
              <w:right w:val="single" w:sz="4" w:space="0" w:color="auto"/>
            </w:tcBorders>
            <w:noWrap/>
            <w:vAlign w:val="bottom"/>
            <w:hideMark/>
          </w:tcPr>
          <w:p w14:paraId="4FB9C47D"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20</w:t>
            </w:r>
          </w:p>
        </w:tc>
      </w:tr>
      <w:tr w:rsidR="006A0D55" w:rsidRPr="006A0D55" w14:paraId="3EBB056E" w14:textId="77777777" w:rsidTr="006A0D55">
        <w:trPr>
          <w:trHeight w:val="300"/>
        </w:trPr>
        <w:tc>
          <w:tcPr>
            <w:tcW w:w="3340" w:type="dxa"/>
            <w:tcBorders>
              <w:top w:val="nil"/>
              <w:left w:val="single" w:sz="4" w:space="0" w:color="auto"/>
              <w:bottom w:val="single" w:sz="4" w:space="0" w:color="auto"/>
              <w:right w:val="single" w:sz="4" w:space="0" w:color="auto"/>
            </w:tcBorders>
            <w:noWrap/>
            <w:vAlign w:val="bottom"/>
            <w:hideMark/>
          </w:tcPr>
          <w:p w14:paraId="1F7EB67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4</w:t>
            </w:r>
          </w:p>
        </w:tc>
        <w:tc>
          <w:tcPr>
            <w:tcW w:w="2420" w:type="dxa"/>
            <w:tcBorders>
              <w:top w:val="nil"/>
              <w:left w:val="nil"/>
              <w:bottom w:val="single" w:sz="4" w:space="0" w:color="auto"/>
              <w:right w:val="single" w:sz="4" w:space="0" w:color="auto"/>
            </w:tcBorders>
            <w:noWrap/>
            <w:vAlign w:val="bottom"/>
            <w:hideMark/>
          </w:tcPr>
          <w:p w14:paraId="5B2A835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w:t>
            </w:r>
          </w:p>
        </w:tc>
        <w:tc>
          <w:tcPr>
            <w:tcW w:w="1780" w:type="dxa"/>
            <w:tcBorders>
              <w:top w:val="nil"/>
              <w:left w:val="nil"/>
              <w:bottom w:val="single" w:sz="4" w:space="0" w:color="auto"/>
              <w:right w:val="single" w:sz="4" w:space="0" w:color="auto"/>
            </w:tcBorders>
            <w:noWrap/>
            <w:vAlign w:val="bottom"/>
            <w:hideMark/>
          </w:tcPr>
          <w:p w14:paraId="08FD7C79"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1640" w:type="dxa"/>
            <w:tcBorders>
              <w:top w:val="nil"/>
              <w:left w:val="nil"/>
              <w:bottom w:val="single" w:sz="4" w:space="0" w:color="auto"/>
              <w:right w:val="single" w:sz="4" w:space="0" w:color="auto"/>
            </w:tcBorders>
            <w:noWrap/>
            <w:vAlign w:val="bottom"/>
            <w:hideMark/>
          </w:tcPr>
          <w:p w14:paraId="7F9CD597"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25</w:t>
            </w:r>
          </w:p>
        </w:tc>
      </w:tr>
      <w:tr w:rsidR="006A0D55" w:rsidRPr="006A0D55" w14:paraId="352BA3AF" w14:textId="77777777" w:rsidTr="006A0D55">
        <w:trPr>
          <w:trHeight w:val="300"/>
        </w:trPr>
        <w:tc>
          <w:tcPr>
            <w:tcW w:w="3340" w:type="dxa"/>
            <w:tcBorders>
              <w:top w:val="nil"/>
              <w:left w:val="single" w:sz="4" w:space="0" w:color="auto"/>
              <w:bottom w:val="single" w:sz="4" w:space="0" w:color="auto"/>
              <w:right w:val="single" w:sz="4" w:space="0" w:color="auto"/>
            </w:tcBorders>
            <w:noWrap/>
            <w:vAlign w:val="bottom"/>
            <w:hideMark/>
          </w:tcPr>
          <w:p w14:paraId="27CC254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c>
          <w:tcPr>
            <w:tcW w:w="2420" w:type="dxa"/>
            <w:tcBorders>
              <w:top w:val="nil"/>
              <w:left w:val="nil"/>
              <w:bottom w:val="single" w:sz="4" w:space="0" w:color="auto"/>
              <w:right w:val="single" w:sz="4" w:space="0" w:color="auto"/>
            </w:tcBorders>
            <w:noWrap/>
            <w:vAlign w:val="bottom"/>
            <w:hideMark/>
          </w:tcPr>
          <w:p w14:paraId="5DBFDABB"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w:t>
            </w:r>
          </w:p>
        </w:tc>
        <w:tc>
          <w:tcPr>
            <w:tcW w:w="1780" w:type="dxa"/>
            <w:tcBorders>
              <w:top w:val="nil"/>
              <w:left w:val="nil"/>
              <w:bottom w:val="single" w:sz="4" w:space="0" w:color="auto"/>
              <w:right w:val="single" w:sz="4" w:space="0" w:color="auto"/>
            </w:tcBorders>
            <w:noWrap/>
            <w:vAlign w:val="bottom"/>
            <w:hideMark/>
          </w:tcPr>
          <w:p w14:paraId="24371705"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11</w:t>
            </w:r>
          </w:p>
        </w:tc>
        <w:tc>
          <w:tcPr>
            <w:tcW w:w="1640" w:type="dxa"/>
            <w:tcBorders>
              <w:top w:val="nil"/>
              <w:left w:val="nil"/>
              <w:bottom w:val="single" w:sz="4" w:space="0" w:color="auto"/>
              <w:right w:val="single" w:sz="4" w:space="0" w:color="auto"/>
            </w:tcBorders>
            <w:noWrap/>
            <w:vAlign w:val="bottom"/>
            <w:hideMark/>
          </w:tcPr>
          <w:p w14:paraId="707AE18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5</w:t>
            </w:r>
          </w:p>
        </w:tc>
      </w:tr>
      <w:tr w:rsidR="006A0D55" w:rsidRPr="006A0D55" w14:paraId="76DADCA2" w14:textId="77777777" w:rsidTr="006A0D55">
        <w:trPr>
          <w:trHeight w:val="300"/>
        </w:trPr>
        <w:tc>
          <w:tcPr>
            <w:tcW w:w="3340" w:type="dxa"/>
            <w:tcBorders>
              <w:top w:val="nil"/>
              <w:left w:val="nil"/>
              <w:bottom w:val="nil"/>
              <w:right w:val="nil"/>
            </w:tcBorders>
            <w:noWrap/>
            <w:vAlign w:val="bottom"/>
            <w:hideMark/>
          </w:tcPr>
          <w:p w14:paraId="663332BC"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p>
        </w:tc>
        <w:tc>
          <w:tcPr>
            <w:tcW w:w="2420" w:type="dxa"/>
            <w:tcBorders>
              <w:top w:val="nil"/>
              <w:left w:val="nil"/>
              <w:bottom w:val="nil"/>
              <w:right w:val="nil"/>
            </w:tcBorders>
            <w:noWrap/>
            <w:vAlign w:val="bottom"/>
            <w:hideMark/>
          </w:tcPr>
          <w:p w14:paraId="552E3F0C" w14:textId="77777777" w:rsidR="006A0D55" w:rsidRPr="006A0D55" w:rsidRDefault="006A0D55" w:rsidP="006A0D55">
            <w:pPr>
              <w:spacing w:after="0" w:line="240" w:lineRule="auto"/>
              <w:jc w:val="left"/>
              <w:rPr>
                <w:rFonts w:ascii="Times New Roman" w:eastAsia="Times New Roman" w:hAnsi="Times New Roman" w:cs="Times New Roman"/>
                <w:kern w:val="0"/>
                <w:sz w:val="20"/>
                <w:szCs w:val="20"/>
                <w14:ligatures w14:val="none"/>
              </w:rPr>
            </w:pPr>
          </w:p>
        </w:tc>
        <w:tc>
          <w:tcPr>
            <w:tcW w:w="1780" w:type="dxa"/>
            <w:tcBorders>
              <w:top w:val="nil"/>
              <w:left w:val="nil"/>
              <w:bottom w:val="nil"/>
              <w:right w:val="nil"/>
            </w:tcBorders>
            <w:noWrap/>
            <w:vAlign w:val="bottom"/>
            <w:hideMark/>
          </w:tcPr>
          <w:p w14:paraId="6A3586A6" w14:textId="77777777" w:rsidR="006A0D55" w:rsidRPr="006A0D55" w:rsidRDefault="006A0D55" w:rsidP="006A0D55">
            <w:pPr>
              <w:spacing w:after="0" w:line="240" w:lineRule="auto"/>
              <w:jc w:val="left"/>
              <w:rPr>
                <w:rFonts w:ascii="Times New Roman" w:eastAsia="Times New Roman" w:hAnsi="Times New Roman" w:cs="Times New Roman"/>
                <w:kern w:val="0"/>
                <w:sz w:val="20"/>
                <w:szCs w:val="20"/>
                <w14:ligatures w14:val="none"/>
              </w:rPr>
            </w:pPr>
          </w:p>
        </w:tc>
        <w:tc>
          <w:tcPr>
            <w:tcW w:w="1640" w:type="dxa"/>
            <w:tcBorders>
              <w:top w:val="nil"/>
              <w:left w:val="nil"/>
              <w:bottom w:val="nil"/>
              <w:right w:val="nil"/>
            </w:tcBorders>
            <w:noWrap/>
            <w:vAlign w:val="bottom"/>
            <w:hideMark/>
          </w:tcPr>
          <w:p w14:paraId="227B7F99" w14:textId="77777777" w:rsidR="006A0D55" w:rsidRPr="006A0D55" w:rsidRDefault="006A0D55" w:rsidP="006A0D55">
            <w:pPr>
              <w:spacing w:after="0" w:line="240" w:lineRule="auto"/>
              <w:jc w:val="left"/>
              <w:rPr>
                <w:rFonts w:ascii="Times New Roman" w:eastAsia="Times New Roman" w:hAnsi="Times New Roman" w:cs="Times New Roman"/>
                <w:kern w:val="0"/>
                <w:sz w:val="20"/>
                <w:szCs w:val="20"/>
                <w14:ligatures w14:val="none"/>
              </w:rPr>
            </w:pPr>
          </w:p>
        </w:tc>
      </w:tr>
      <w:tr w:rsidR="006A0D55" w:rsidRPr="006A0D55" w14:paraId="68AED49B" w14:textId="77777777" w:rsidTr="006A0D55">
        <w:trPr>
          <w:trHeight w:val="300"/>
        </w:trPr>
        <w:tc>
          <w:tcPr>
            <w:tcW w:w="3340" w:type="dxa"/>
            <w:tcBorders>
              <w:top w:val="single" w:sz="4" w:space="0" w:color="auto"/>
              <w:left w:val="single" w:sz="4" w:space="0" w:color="auto"/>
              <w:bottom w:val="single" w:sz="4" w:space="0" w:color="auto"/>
              <w:right w:val="single" w:sz="4" w:space="0" w:color="auto"/>
            </w:tcBorders>
            <w:noWrap/>
            <w:vAlign w:val="bottom"/>
            <w:hideMark/>
          </w:tcPr>
          <w:p w14:paraId="454F1AB4" w14:textId="77777777" w:rsidR="006A0D55" w:rsidRPr="006A0D55" w:rsidRDefault="006A0D55" w:rsidP="006A0D55">
            <w:pPr>
              <w:spacing w:after="0" w:line="240" w:lineRule="auto"/>
              <w:jc w:val="lef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 xml:space="preserve">IRR </w:t>
            </w:r>
          </w:p>
        </w:tc>
        <w:tc>
          <w:tcPr>
            <w:tcW w:w="2420" w:type="dxa"/>
            <w:tcBorders>
              <w:top w:val="single" w:sz="4" w:space="0" w:color="auto"/>
              <w:left w:val="nil"/>
              <w:bottom w:val="single" w:sz="4" w:space="0" w:color="auto"/>
              <w:right w:val="single" w:sz="4" w:space="0" w:color="auto"/>
            </w:tcBorders>
            <w:noWrap/>
            <w:vAlign w:val="bottom"/>
            <w:hideMark/>
          </w:tcPr>
          <w:p w14:paraId="06C03BF1"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2.72%</w:t>
            </w:r>
          </w:p>
        </w:tc>
        <w:tc>
          <w:tcPr>
            <w:tcW w:w="1780" w:type="dxa"/>
            <w:tcBorders>
              <w:top w:val="single" w:sz="4" w:space="0" w:color="auto"/>
              <w:left w:val="nil"/>
              <w:bottom w:val="single" w:sz="4" w:space="0" w:color="auto"/>
              <w:right w:val="single" w:sz="4" w:space="0" w:color="auto"/>
            </w:tcBorders>
            <w:noWrap/>
            <w:vAlign w:val="bottom"/>
            <w:hideMark/>
          </w:tcPr>
          <w:p w14:paraId="17C84A25"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3.26%</w:t>
            </w:r>
          </w:p>
        </w:tc>
        <w:tc>
          <w:tcPr>
            <w:tcW w:w="1640" w:type="dxa"/>
            <w:tcBorders>
              <w:top w:val="single" w:sz="4" w:space="0" w:color="auto"/>
              <w:left w:val="nil"/>
              <w:bottom w:val="single" w:sz="4" w:space="0" w:color="auto"/>
              <w:right w:val="single" w:sz="4" w:space="0" w:color="auto"/>
            </w:tcBorders>
            <w:noWrap/>
            <w:vAlign w:val="bottom"/>
            <w:hideMark/>
          </w:tcPr>
          <w:p w14:paraId="79D12CC1" w14:textId="77777777" w:rsidR="006A0D55" w:rsidRPr="006A0D55" w:rsidRDefault="006A0D55" w:rsidP="006A0D55">
            <w:pPr>
              <w:spacing w:after="0" w:line="240" w:lineRule="auto"/>
              <w:jc w:val="right"/>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8.59%</w:t>
            </w:r>
          </w:p>
        </w:tc>
      </w:tr>
    </w:tbl>
    <w:p w14:paraId="0361B3A4" w14:textId="77777777" w:rsidR="006A0D55" w:rsidRDefault="006A0D55" w:rsidP="00403DD3"/>
    <w:p w14:paraId="4D6D1F9C" w14:textId="1E1E0042" w:rsidR="006A0D55" w:rsidRDefault="006A0D55" w:rsidP="00403DD3">
      <w:r w:rsidRPr="006A0D55">
        <w:t>Capital Rationing (Max £100m)</w:t>
      </w:r>
    </w:p>
    <w:tbl>
      <w:tblPr>
        <w:tblW w:w="5000" w:type="pct"/>
        <w:tblLook w:val="04A0" w:firstRow="1" w:lastRow="0" w:firstColumn="1" w:lastColumn="0" w:noHBand="0" w:noVBand="1"/>
      </w:tblPr>
      <w:tblGrid>
        <w:gridCol w:w="4142"/>
        <w:gridCol w:w="3001"/>
        <w:gridCol w:w="2207"/>
      </w:tblGrid>
      <w:tr w:rsidR="006A0D55" w:rsidRPr="006A0D55" w14:paraId="0764342E" w14:textId="77777777" w:rsidTr="006A0D55">
        <w:trPr>
          <w:trHeight w:val="300"/>
        </w:trPr>
        <w:tc>
          <w:tcPr>
            <w:tcW w:w="2215" w:type="pct"/>
            <w:tcBorders>
              <w:top w:val="single" w:sz="4" w:space="0" w:color="auto"/>
              <w:left w:val="single" w:sz="4" w:space="0" w:color="auto"/>
              <w:bottom w:val="single" w:sz="4" w:space="0" w:color="auto"/>
              <w:right w:val="single" w:sz="4" w:space="0" w:color="auto"/>
            </w:tcBorders>
            <w:noWrap/>
            <w:vAlign w:val="bottom"/>
            <w:hideMark/>
          </w:tcPr>
          <w:p w14:paraId="0F60A348"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Combination</w:t>
            </w:r>
          </w:p>
        </w:tc>
        <w:tc>
          <w:tcPr>
            <w:tcW w:w="1605" w:type="pct"/>
            <w:tcBorders>
              <w:top w:val="single" w:sz="4" w:space="0" w:color="auto"/>
              <w:left w:val="nil"/>
              <w:bottom w:val="single" w:sz="4" w:space="0" w:color="auto"/>
              <w:right w:val="single" w:sz="4" w:space="0" w:color="auto"/>
            </w:tcBorders>
            <w:noWrap/>
            <w:vAlign w:val="bottom"/>
            <w:hideMark/>
          </w:tcPr>
          <w:p w14:paraId="0964CBDD"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Total Investment</w:t>
            </w:r>
          </w:p>
        </w:tc>
        <w:tc>
          <w:tcPr>
            <w:tcW w:w="1180" w:type="pct"/>
            <w:tcBorders>
              <w:top w:val="single" w:sz="4" w:space="0" w:color="auto"/>
              <w:left w:val="nil"/>
              <w:bottom w:val="single" w:sz="4" w:space="0" w:color="auto"/>
              <w:right w:val="single" w:sz="4" w:space="0" w:color="auto"/>
            </w:tcBorders>
            <w:noWrap/>
            <w:vAlign w:val="bottom"/>
            <w:hideMark/>
          </w:tcPr>
          <w:p w14:paraId="7AED946E"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Total NPV</w:t>
            </w:r>
          </w:p>
        </w:tc>
      </w:tr>
      <w:tr w:rsidR="006A0D55" w:rsidRPr="006A0D55" w14:paraId="68034C39" w14:textId="77777777" w:rsidTr="006A0D55">
        <w:trPr>
          <w:trHeight w:val="300"/>
        </w:trPr>
        <w:tc>
          <w:tcPr>
            <w:tcW w:w="2215" w:type="pct"/>
            <w:tcBorders>
              <w:top w:val="nil"/>
              <w:left w:val="single" w:sz="4" w:space="0" w:color="auto"/>
              <w:bottom w:val="single" w:sz="4" w:space="0" w:color="auto"/>
              <w:right w:val="single" w:sz="4" w:space="0" w:color="auto"/>
            </w:tcBorders>
            <w:noWrap/>
            <w:vAlign w:val="bottom"/>
            <w:hideMark/>
          </w:tcPr>
          <w:p w14:paraId="2A3271B3"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 + B</w:t>
            </w:r>
          </w:p>
        </w:tc>
        <w:tc>
          <w:tcPr>
            <w:tcW w:w="1605" w:type="pct"/>
            <w:tcBorders>
              <w:top w:val="nil"/>
              <w:left w:val="nil"/>
              <w:bottom w:val="single" w:sz="4" w:space="0" w:color="auto"/>
              <w:right w:val="single" w:sz="4" w:space="0" w:color="auto"/>
            </w:tcBorders>
            <w:noWrap/>
            <w:vAlign w:val="bottom"/>
            <w:hideMark/>
          </w:tcPr>
          <w:p w14:paraId="6C40A136"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100</w:t>
            </w:r>
          </w:p>
        </w:tc>
        <w:tc>
          <w:tcPr>
            <w:tcW w:w="1180" w:type="pct"/>
            <w:tcBorders>
              <w:top w:val="nil"/>
              <w:left w:val="nil"/>
              <w:bottom w:val="single" w:sz="4" w:space="0" w:color="auto"/>
              <w:right w:val="single" w:sz="4" w:space="0" w:color="auto"/>
            </w:tcBorders>
            <w:noWrap/>
            <w:vAlign w:val="bottom"/>
            <w:hideMark/>
          </w:tcPr>
          <w:p w14:paraId="067595DF"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-16.98</w:t>
            </w:r>
          </w:p>
        </w:tc>
      </w:tr>
      <w:tr w:rsidR="006A0D55" w:rsidRPr="006A0D55" w14:paraId="267573A1" w14:textId="77777777" w:rsidTr="006A0D55">
        <w:trPr>
          <w:trHeight w:val="300"/>
        </w:trPr>
        <w:tc>
          <w:tcPr>
            <w:tcW w:w="2215" w:type="pct"/>
            <w:tcBorders>
              <w:top w:val="nil"/>
              <w:left w:val="single" w:sz="4" w:space="0" w:color="auto"/>
              <w:bottom w:val="single" w:sz="4" w:space="0" w:color="auto"/>
              <w:right w:val="single" w:sz="4" w:space="0" w:color="auto"/>
            </w:tcBorders>
            <w:noWrap/>
            <w:vAlign w:val="bottom"/>
            <w:hideMark/>
          </w:tcPr>
          <w:p w14:paraId="61901A18"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A + C</w:t>
            </w:r>
          </w:p>
        </w:tc>
        <w:tc>
          <w:tcPr>
            <w:tcW w:w="1605" w:type="pct"/>
            <w:tcBorders>
              <w:top w:val="nil"/>
              <w:left w:val="nil"/>
              <w:bottom w:val="single" w:sz="4" w:space="0" w:color="auto"/>
              <w:right w:val="single" w:sz="4" w:space="0" w:color="auto"/>
            </w:tcBorders>
            <w:noWrap/>
            <w:vAlign w:val="bottom"/>
            <w:hideMark/>
          </w:tcPr>
          <w:p w14:paraId="7046006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100</w:t>
            </w:r>
          </w:p>
        </w:tc>
        <w:tc>
          <w:tcPr>
            <w:tcW w:w="1180" w:type="pct"/>
            <w:tcBorders>
              <w:top w:val="nil"/>
              <w:left w:val="nil"/>
              <w:bottom w:val="single" w:sz="4" w:space="0" w:color="auto"/>
              <w:right w:val="single" w:sz="4" w:space="0" w:color="auto"/>
            </w:tcBorders>
            <w:noWrap/>
            <w:vAlign w:val="bottom"/>
            <w:hideMark/>
          </w:tcPr>
          <w:p w14:paraId="488B6383"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-10.66</w:t>
            </w:r>
          </w:p>
        </w:tc>
      </w:tr>
      <w:tr w:rsidR="006A0D55" w:rsidRPr="006A0D55" w14:paraId="060E896A" w14:textId="77777777" w:rsidTr="006A0D55">
        <w:trPr>
          <w:trHeight w:val="300"/>
        </w:trPr>
        <w:tc>
          <w:tcPr>
            <w:tcW w:w="2215" w:type="pct"/>
            <w:tcBorders>
              <w:top w:val="nil"/>
              <w:left w:val="single" w:sz="4" w:space="0" w:color="auto"/>
              <w:bottom w:val="single" w:sz="4" w:space="0" w:color="auto"/>
              <w:right w:val="single" w:sz="4" w:space="0" w:color="auto"/>
            </w:tcBorders>
            <w:noWrap/>
            <w:vAlign w:val="bottom"/>
            <w:hideMark/>
          </w:tcPr>
          <w:p w14:paraId="02E1B591" w14:textId="77777777" w:rsidR="006A0D55" w:rsidRPr="006A0D55" w:rsidRDefault="006A0D55" w:rsidP="006A0D55">
            <w:pPr>
              <w:spacing w:after="0" w:line="240" w:lineRule="auto"/>
              <w:jc w:val="center"/>
              <w:rPr>
                <w:rFonts w:ascii="Aptos Narrow" w:eastAsia="Times New Roman" w:hAnsi="Aptos Narrow" w:cs="Times New Roman"/>
                <w:b/>
                <w:bCs/>
                <w:color w:val="000000"/>
                <w:kern w:val="0"/>
                <w:sz w:val="22"/>
                <w:szCs w:val="22"/>
                <w14:ligatures w14:val="none"/>
              </w:rPr>
            </w:pPr>
            <w:r w:rsidRPr="006A0D55">
              <w:rPr>
                <w:rFonts w:ascii="Aptos Narrow" w:eastAsia="Times New Roman" w:hAnsi="Aptos Narrow" w:cs="Times New Roman"/>
                <w:b/>
                <w:bCs/>
                <w:color w:val="000000"/>
                <w:kern w:val="0"/>
                <w:sz w:val="22"/>
                <w:szCs w:val="22"/>
                <w14:ligatures w14:val="none"/>
              </w:rPr>
              <w:t>B + C</w:t>
            </w:r>
          </w:p>
        </w:tc>
        <w:tc>
          <w:tcPr>
            <w:tcW w:w="1605" w:type="pct"/>
            <w:tcBorders>
              <w:top w:val="nil"/>
              <w:left w:val="nil"/>
              <w:bottom w:val="single" w:sz="4" w:space="0" w:color="auto"/>
              <w:right w:val="single" w:sz="4" w:space="0" w:color="auto"/>
            </w:tcBorders>
            <w:noWrap/>
            <w:vAlign w:val="bottom"/>
            <w:hideMark/>
          </w:tcPr>
          <w:p w14:paraId="27FF397E"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100</w:t>
            </w:r>
          </w:p>
        </w:tc>
        <w:tc>
          <w:tcPr>
            <w:tcW w:w="1180" w:type="pct"/>
            <w:tcBorders>
              <w:top w:val="nil"/>
              <w:left w:val="nil"/>
              <w:bottom w:val="single" w:sz="4" w:space="0" w:color="auto"/>
              <w:right w:val="single" w:sz="4" w:space="0" w:color="auto"/>
            </w:tcBorders>
            <w:noWrap/>
            <w:vAlign w:val="bottom"/>
            <w:hideMark/>
          </w:tcPr>
          <w:p w14:paraId="054D6B00" w14:textId="77777777" w:rsidR="006A0D55" w:rsidRPr="006A0D55" w:rsidRDefault="006A0D55" w:rsidP="006A0D55">
            <w:pPr>
              <w:spacing w:after="0" w:line="240" w:lineRule="auto"/>
              <w:jc w:val="center"/>
              <w:rPr>
                <w:rFonts w:ascii="Aptos Narrow" w:eastAsia="Times New Roman" w:hAnsi="Aptos Narrow" w:cs="Times New Roman"/>
                <w:color w:val="000000"/>
                <w:kern w:val="0"/>
                <w:sz w:val="22"/>
                <w:szCs w:val="22"/>
                <w14:ligatures w14:val="none"/>
              </w:rPr>
            </w:pPr>
            <w:r w:rsidRPr="006A0D55">
              <w:rPr>
                <w:rFonts w:ascii="Aptos Narrow" w:eastAsia="Times New Roman" w:hAnsi="Aptos Narrow" w:cs="Times New Roman"/>
                <w:color w:val="000000"/>
                <w:kern w:val="0"/>
                <w:sz w:val="22"/>
                <w:szCs w:val="22"/>
                <w14:ligatures w14:val="none"/>
              </w:rPr>
              <w:t>-10.28</w:t>
            </w:r>
          </w:p>
        </w:tc>
      </w:tr>
    </w:tbl>
    <w:p w14:paraId="19452390" w14:textId="77777777" w:rsidR="006A0D55" w:rsidRDefault="006A0D55" w:rsidP="00403DD3"/>
    <w:p w14:paraId="69F1A25F" w14:textId="59D8EA4A" w:rsidR="00D77957" w:rsidRDefault="00C21C71" w:rsidP="00C21C71">
      <w:pPr>
        <w:pStyle w:val="Heading2"/>
      </w:pPr>
      <w:bookmarkStart w:id="142" w:name="_Toc227659721"/>
      <w:r>
        <w:t>Excel Sheets</w:t>
      </w:r>
      <w:bookmarkEnd w:id="142"/>
    </w:p>
    <w:p w14:paraId="6CF1828F" w14:textId="0E841383" w:rsidR="00D77957" w:rsidRDefault="00765523" w:rsidP="00403DD3">
      <w:r>
        <w:object w:dxaOrig="1532" w:dyaOrig="991" w14:anchorId="61121A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5pt;height:49.95pt" o:ole="">
            <v:imagedata r:id="rId110" o:title=""/>
          </v:shape>
          <o:OLEObject Type="Embed" ProgID="Excel.Sheet.12" ShapeID="_x0000_i1025" DrawAspect="Icon" ObjectID="_1838490285" r:id="rId111"/>
        </w:object>
      </w:r>
    </w:p>
    <w:p w14:paraId="66E678E5" w14:textId="77777777" w:rsidR="00D77957" w:rsidRPr="00403DD3" w:rsidRDefault="00D77957" w:rsidP="00403DD3"/>
    <w:p w14:paraId="40DEACAA" w14:textId="3D2B0CF5" w:rsidR="008E7995" w:rsidRPr="008E7995" w:rsidRDefault="008E7995" w:rsidP="008E7995">
      <w:pPr>
        <w:pStyle w:val="Heading2"/>
      </w:pPr>
      <w:bookmarkStart w:id="143" w:name="_Toc227659722"/>
      <w:r w:rsidRPr="008E7995">
        <w:lastRenderedPageBreak/>
        <w:t>Supporting Financial Data from Annual Reports</w:t>
      </w:r>
      <w:bookmarkEnd w:id="143"/>
    </w:p>
    <w:p w14:paraId="77084EFF" w14:textId="55B4E531" w:rsidR="008E7995" w:rsidRDefault="00200237" w:rsidP="008E7995">
      <w:r>
        <w:t>2025/</w:t>
      </w:r>
      <w:r w:rsidRPr="00200237">
        <w:t>2024</w:t>
      </w:r>
    </w:p>
    <w:p w14:paraId="7AF547B3" w14:textId="28FFF5FB" w:rsidR="000B6C78" w:rsidRDefault="000B6C78" w:rsidP="008E7995">
      <w:r>
        <w:rPr>
          <w:noProof/>
        </w:rPr>
        <w:drawing>
          <wp:inline distT="0" distB="0" distL="0" distR="0" wp14:anchorId="7E8C53C1" wp14:editId="1B91AD3F">
            <wp:extent cx="5943600" cy="6423660"/>
            <wp:effectExtent l="0" t="0" r="0" b="0"/>
            <wp:docPr id="1619630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630381" name=""/>
                    <pic:cNvPicPr/>
                  </pic:nvPicPr>
                  <pic:blipFill>
                    <a:blip r:embed="rId112"/>
                    <a:stretch>
                      <a:fillRect/>
                    </a:stretch>
                  </pic:blipFill>
                  <pic:spPr>
                    <a:xfrm>
                      <a:off x="0" y="0"/>
                      <a:ext cx="5943600" cy="6423660"/>
                    </a:xfrm>
                    <a:prstGeom prst="rect">
                      <a:avLst/>
                    </a:prstGeom>
                  </pic:spPr>
                </pic:pic>
              </a:graphicData>
            </a:graphic>
          </wp:inline>
        </w:drawing>
      </w:r>
    </w:p>
    <w:p w14:paraId="02CDF0FC" w14:textId="77777777" w:rsidR="000B6C78" w:rsidRDefault="000B6C78" w:rsidP="008E7995"/>
    <w:p w14:paraId="46EE8E5D" w14:textId="77777777" w:rsidR="000B6C78" w:rsidRDefault="000B6C78" w:rsidP="008E7995"/>
    <w:p w14:paraId="30B3C4F8" w14:textId="6A65CFED" w:rsidR="000B6C78" w:rsidRDefault="000B6C78" w:rsidP="008E7995">
      <w:r>
        <w:rPr>
          <w:noProof/>
        </w:rPr>
        <w:lastRenderedPageBreak/>
        <w:drawing>
          <wp:inline distT="0" distB="0" distL="0" distR="0" wp14:anchorId="5EE6A996" wp14:editId="61D7BDFA">
            <wp:extent cx="5943600" cy="6266180"/>
            <wp:effectExtent l="0" t="0" r="0" b="1270"/>
            <wp:docPr id="319027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27234" name=""/>
                    <pic:cNvPicPr/>
                  </pic:nvPicPr>
                  <pic:blipFill>
                    <a:blip r:embed="rId113"/>
                    <a:stretch>
                      <a:fillRect/>
                    </a:stretch>
                  </pic:blipFill>
                  <pic:spPr>
                    <a:xfrm>
                      <a:off x="0" y="0"/>
                      <a:ext cx="5943600" cy="6266180"/>
                    </a:xfrm>
                    <a:prstGeom prst="rect">
                      <a:avLst/>
                    </a:prstGeom>
                  </pic:spPr>
                </pic:pic>
              </a:graphicData>
            </a:graphic>
          </wp:inline>
        </w:drawing>
      </w:r>
    </w:p>
    <w:p w14:paraId="11BDA89C" w14:textId="3BA80BFC" w:rsidR="000B6C78" w:rsidRDefault="000B6C78" w:rsidP="008E7995">
      <w:r>
        <w:rPr>
          <w:noProof/>
        </w:rPr>
        <w:drawing>
          <wp:inline distT="0" distB="0" distL="0" distR="0" wp14:anchorId="38E0859C" wp14:editId="534A349B">
            <wp:extent cx="5943600" cy="1771650"/>
            <wp:effectExtent l="0" t="0" r="0" b="0"/>
            <wp:docPr id="603751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51620" name=""/>
                    <pic:cNvPicPr/>
                  </pic:nvPicPr>
                  <pic:blipFill rotWithShape="1">
                    <a:blip r:embed="rId114"/>
                    <a:srcRect t="24081"/>
                    <a:stretch>
                      <a:fillRect/>
                    </a:stretch>
                  </pic:blipFill>
                  <pic:spPr bwMode="auto">
                    <a:xfrm>
                      <a:off x="0" y="0"/>
                      <a:ext cx="5943600" cy="1771650"/>
                    </a:xfrm>
                    <a:prstGeom prst="rect">
                      <a:avLst/>
                    </a:prstGeom>
                    <a:ln>
                      <a:noFill/>
                    </a:ln>
                    <a:extLst>
                      <a:ext uri="{53640926-AAD7-44D8-BBD7-CCE9431645EC}">
                        <a14:shadowObscured xmlns:a14="http://schemas.microsoft.com/office/drawing/2010/main"/>
                      </a:ext>
                    </a:extLst>
                  </pic:spPr>
                </pic:pic>
              </a:graphicData>
            </a:graphic>
          </wp:inline>
        </w:drawing>
      </w:r>
    </w:p>
    <w:p w14:paraId="72B2D268" w14:textId="45D36733" w:rsidR="000B6C78" w:rsidRDefault="000B6C78" w:rsidP="008E7995">
      <w:r>
        <w:lastRenderedPageBreak/>
        <w:t>2023/2024</w:t>
      </w:r>
    </w:p>
    <w:p w14:paraId="3A72D664" w14:textId="6CD58319" w:rsidR="000B6C78" w:rsidRDefault="001B2346" w:rsidP="008E7995">
      <w:r>
        <w:rPr>
          <w:noProof/>
        </w:rPr>
        <w:drawing>
          <wp:inline distT="0" distB="0" distL="0" distR="0" wp14:anchorId="561359A8" wp14:editId="2B539F96">
            <wp:extent cx="5943600" cy="6416675"/>
            <wp:effectExtent l="0" t="0" r="0" b="3175"/>
            <wp:docPr id="293130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130273" name=""/>
                    <pic:cNvPicPr/>
                  </pic:nvPicPr>
                  <pic:blipFill>
                    <a:blip r:embed="rId115"/>
                    <a:stretch>
                      <a:fillRect/>
                    </a:stretch>
                  </pic:blipFill>
                  <pic:spPr>
                    <a:xfrm>
                      <a:off x="0" y="0"/>
                      <a:ext cx="5943600" cy="6416675"/>
                    </a:xfrm>
                    <a:prstGeom prst="rect">
                      <a:avLst/>
                    </a:prstGeom>
                  </pic:spPr>
                </pic:pic>
              </a:graphicData>
            </a:graphic>
          </wp:inline>
        </w:drawing>
      </w:r>
    </w:p>
    <w:p w14:paraId="0337F0FA" w14:textId="77777777" w:rsidR="00200237" w:rsidRDefault="00200237" w:rsidP="008E7995"/>
    <w:p w14:paraId="4AC7073F" w14:textId="77777777" w:rsidR="001B2346" w:rsidRDefault="001B2346" w:rsidP="008E7995"/>
    <w:p w14:paraId="1F5141E5" w14:textId="77777777" w:rsidR="001B2346" w:rsidRDefault="001B2346" w:rsidP="008E7995"/>
    <w:p w14:paraId="0887CFB4" w14:textId="3B7915B7" w:rsidR="001B2346" w:rsidRDefault="001B2346" w:rsidP="008E7995">
      <w:r>
        <w:rPr>
          <w:noProof/>
        </w:rPr>
        <w:lastRenderedPageBreak/>
        <w:drawing>
          <wp:inline distT="0" distB="0" distL="0" distR="0" wp14:anchorId="2F42E5D3" wp14:editId="5DFBFE35">
            <wp:extent cx="5943600" cy="6003925"/>
            <wp:effectExtent l="0" t="0" r="0" b="0"/>
            <wp:docPr id="2034725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725415" name=""/>
                    <pic:cNvPicPr/>
                  </pic:nvPicPr>
                  <pic:blipFill>
                    <a:blip r:embed="rId116"/>
                    <a:stretch>
                      <a:fillRect/>
                    </a:stretch>
                  </pic:blipFill>
                  <pic:spPr>
                    <a:xfrm>
                      <a:off x="0" y="0"/>
                      <a:ext cx="5943600" cy="6003925"/>
                    </a:xfrm>
                    <a:prstGeom prst="rect">
                      <a:avLst/>
                    </a:prstGeom>
                  </pic:spPr>
                </pic:pic>
              </a:graphicData>
            </a:graphic>
          </wp:inline>
        </w:drawing>
      </w:r>
    </w:p>
    <w:p w14:paraId="5E90DDDB" w14:textId="66BA33AE" w:rsidR="001B2346" w:rsidRDefault="001B2346" w:rsidP="008E7995">
      <w:r>
        <w:rPr>
          <w:noProof/>
        </w:rPr>
        <w:drawing>
          <wp:inline distT="0" distB="0" distL="0" distR="0" wp14:anchorId="105D8BCE" wp14:editId="6C0CA68D">
            <wp:extent cx="5943600" cy="1553210"/>
            <wp:effectExtent l="0" t="0" r="0" b="8890"/>
            <wp:docPr id="1964282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282585" name=""/>
                    <pic:cNvPicPr/>
                  </pic:nvPicPr>
                  <pic:blipFill>
                    <a:blip r:embed="rId117"/>
                    <a:stretch>
                      <a:fillRect/>
                    </a:stretch>
                  </pic:blipFill>
                  <pic:spPr>
                    <a:xfrm>
                      <a:off x="0" y="0"/>
                      <a:ext cx="5943600" cy="1553210"/>
                    </a:xfrm>
                    <a:prstGeom prst="rect">
                      <a:avLst/>
                    </a:prstGeom>
                  </pic:spPr>
                </pic:pic>
              </a:graphicData>
            </a:graphic>
          </wp:inline>
        </w:drawing>
      </w:r>
    </w:p>
    <w:p w14:paraId="0A92A0A1" w14:textId="77777777" w:rsidR="001B2346" w:rsidRDefault="001B2346" w:rsidP="008E7995"/>
    <w:p w14:paraId="5BF33E99" w14:textId="33764802" w:rsidR="001B2346" w:rsidRDefault="001B2346" w:rsidP="008E7995">
      <w:r>
        <w:lastRenderedPageBreak/>
        <w:t>2022/2023</w:t>
      </w:r>
    </w:p>
    <w:p w14:paraId="550148F1" w14:textId="4990CE0E" w:rsidR="001B2346" w:rsidRDefault="00D17A1C" w:rsidP="008E7995">
      <w:r>
        <w:rPr>
          <w:noProof/>
        </w:rPr>
        <w:drawing>
          <wp:inline distT="0" distB="0" distL="0" distR="0" wp14:anchorId="533DD91C" wp14:editId="5CF9AF29">
            <wp:extent cx="5943600" cy="6473190"/>
            <wp:effectExtent l="0" t="0" r="0" b="3810"/>
            <wp:docPr id="1990314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314166" name=""/>
                    <pic:cNvPicPr/>
                  </pic:nvPicPr>
                  <pic:blipFill>
                    <a:blip r:embed="rId118"/>
                    <a:stretch>
                      <a:fillRect/>
                    </a:stretch>
                  </pic:blipFill>
                  <pic:spPr>
                    <a:xfrm>
                      <a:off x="0" y="0"/>
                      <a:ext cx="5943600" cy="6473190"/>
                    </a:xfrm>
                    <a:prstGeom prst="rect">
                      <a:avLst/>
                    </a:prstGeom>
                  </pic:spPr>
                </pic:pic>
              </a:graphicData>
            </a:graphic>
          </wp:inline>
        </w:drawing>
      </w:r>
    </w:p>
    <w:p w14:paraId="2CC6AB07" w14:textId="66A67DB6" w:rsidR="00D17A1C" w:rsidRDefault="00D17A1C" w:rsidP="008E7995">
      <w:r>
        <w:rPr>
          <w:noProof/>
        </w:rPr>
        <w:lastRenderedPageBreak/>
        <w:drawing>
          <wp:inline distT="0" distB="0" distL="0" distR="0" wp14:anchorId="1C319B77" wp14:editId="1BF8F5BC">
            <wp:extent cx="5943600" cy="6135370"/>
            <wp:effectExtent l="0" t="0" r="0" b="0"/>
            <wp:docPr id="1351228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228068" name=""/>
                    <pic:cNvPicPr/>
                  </pic:nvPicPr>
                  <pic:blipFill>
                    <a:blip r:embed="rId119"/>
                    <a:stretch>
                      <a:fillRect/>
                    </a:stretch>
                  </pic:blipFill>
                  <pic:spPr>
                    <a:xfrm>
                      <a:off x="0" y="0"/>
                      <a:ext cx="5943600" cy="6135370"/>
                    </a:xfrm>
                    <a:prstGeom prst="rect">
                      <a:avLst/>
                    </a:prstGeom>
                  </pic:spPr>
                </pic:pic>
              </a:graphicData>
            </a:graphic>
          </wp:inline>
        </w:drawing>
      </w:r>
    </w:p>
    <w:p w14:paraId="195FB321" w14:textId="5FFDC5CB" w:rsidR="00D17A1C" w:rsidRDefault="00D17A1C" w:rsidP="008E7995">
      <w:r>
        <w:rPr>
          <w:noProof/>
        </w:rPr>
        <w:drawing>
          <wp:inline distT="0" distB="0" distL="0" distR="0" wp14:anchorId="2599E2F3" wp14:editId="0D41F65D">
            <wp:extent cx="5943600" cy="1518285"/>
            <wp:effectExtent l="0" t="0" r="0" b="5715"/>
            <wp:docPr id="1745767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67239" name=""/>
                    <pic:cNvPicPr/>
                  </pic:nvPicPr>
                  <pic:blipFill>
                    <a:blip r:embed="rId120"/>
                    <a:stretch>
                      <a:fillRect/>
                    </a:stretch>
                  </pic:blipFill>
                  <pic:spPr>
                    <a:xfrm>
                      <a:off x="0" y="0"/>
                      <a:ext cx="5943600" cy="1518285"/>
                    </a:xfrm>
                    <a:prstGeom prst="rect">
                      <a:avLst/>
                    </a:prstGeom>
                  </pic:spPr>
                </pic:pic>
              </a:graphicData>
            </a:graphic>
          </wp:inline>
        </w:drawing>
      </w:r>
    </w:p>
    <w:p w14:paraId="0F554262" w14:textId="77777777" w:rsidR="00D17A1C" w:rsidRDefault="00D17A1C" w:rsidP="008E7995"/>
    <w:p w14:paraId="3F766D65" w14:textId="2F07799A" w:rsidR="00D17A1C" w:rsidRDefault="00206856" w:rsidP="008E7995">
      <w:r>
        <w:lastRenderedPageBreak/>
        <w:t>2021/2022</w:t>
      </w:r>
    </w:p>
    <w:p w14:paraId="0179EEA6" w14:textId="2650FCE1" w:rsidR="00206856" w:rsidRDefault="00562E19" w:rsidP="008E7995">
      <w:r>
        <w:rPr>
          <w:noProof/>
        </w:rPr>
        <w:drawing>
          <wp:inline distT="0" distB="0" distL="0" distR="0" wp14:anchorId="0C0214E4" wp14:editId="7579FEDE">
            <wp:extent cx="5943600" cy="5724525"/>
            <wp:effectExtent l="0" t="0" r="0" b="9525"/>
            <wp:docPr id="757928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28598" name=""/>
                    <pic:cNvPicPr/>
                  </pic:nvPicPr>
                  <pic:blipFill>
                    <a:blip r:embed="rId121"/>
                    <a:stretch>
                      <a:fillRect/>
                    </a:stretch>
                  </pic:blipFill>
                  <pic:spPr>
                    <a:xfrm>
                      <a:off x="0" y="0"/>
                      <a:ext cx="5943600" cy="5724525"/>
                    </a:xfrm>
                    <a:prstGeom prst="rect">
                      <a:avLst/>
                    </a:prstGeom>
                  </pic:spPr>
                </pic:pic>
              </a:graphicData>
            </a:graphic>
          </wp:inline>
        </w:drawing>
      </w:r>
    </w:p>
    <w:p w14:paraId="24ED46C7" w14:textId="2ABC9A13" w:rsidR="00562E19" w:rsidRDefault="00562E19" w:rsidP="008E7995">
      <w:r>
        <w:rPr>
          <w:noProof/>
        </w:rPr>
        <w:lastRenderedPageBreak/>
        <w:drawing>
          <wp:inline distT="0" distB="0" distL="0" distR="0" wp14:anchorId="206FA2F2" wp14:editId="5078708D">
            <wp:extent cx="5943600" cy="5447030"/>
            <wp:effectExtent l="0" t="0" r="0" b="1270"/>
            <wp:docPr id="115271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12051" name=""/>
                    <pic:cNvPicPr/>
                  </pic:nvPicPr>
                  <pic:blipFill>
                    <a:blip r:embed="rId122"/>
                    <a:stretch>
                      <a:fillRect/>
                    </a:stretch>
                  </pic:blipFill>
                  <pic:spPr>
                    <a:xfrm>
                      <a:off x="0" y="0"/>
                      <a:ext cx="5943600" cy="5447030"/>
                    </a:xfrm>
                    <a:prstGeom prst="rect">
                      <a:avLst/>
                    </a:prstGeom>
                  </pic:spPr>
                </pic:pic>
              </a:graphicData>
            </a:graphic>
          </wp:inline>
        </w:drawing>
      </w:r>
    </w:p>
    <w:p w14:paraId="2A67FC4E" w14:textId="4229BF47" w:rsidR="00562E19" w:rsidRDefault="00562E19" w:rsidP="008E7995">
      <w:r>
        <w:rPr>
          <w:noProof/>
        </w:rPr>
        <w:drawing>
          <wp:inline distT="0" distB="0" distL="0" distR="0" wp14:anchorId="569BDE4F" wp14:editId="6073710A">
            <wp:extent cx="5943600" cy="1859280"/>
            <wp:effectExtent l="0" t="0" r="0" b="7620"/>
            <wp:docPr id="721469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469745" name=""/>
                    <pic:cNvPicPr/>
                  </pic:nvPicPr>
                  <pic:blipFill>
                    <a:blip r:embed="rId123"/>
                    <a:stretch>
                      <a:fillRect/>
                    </a:stretch>
                  </pic:blipFill>
                  <pic:spPr>
                    <a:xfrm>
                      <a:off x="0" y="0"/>
                      <a:ext cx="5943600" cy="1859280"/>
                    </a:xfrm>
                    <a:prstGeom prst="rect">
                      <a:avLst/>
                    </a:prstGeom>
                  </pic:spPr>
                </pic:pic>
              </a:graphicData>
            </a:graphic>
          </wp:inline>
        </w:drawing>
      </w:r>
    </w:p>
    <w:p w14:paraId="557397EE" w14:textId="77777777" w:rsidR="00562E19" w:rsidRDefault="00562E19" w:rsidP="008E7995"/>
    <w:p w14:paraId="4628432C" w14:textId="34F43070" w:rsidR="00562E19" w:rsidRDefault="008C6860" w:rsidP="008E7995">
      <w:r>
        <w:lastRenderedPageBreak/>
        <w:t>2018/2019</w:t>
      </w:r>
    </w:p>
    <w:p w14:paraId="07344A0B" w14:textId="16C83F72" w:rsidR="008C6860" w:rsidRDefault="00063316" w:rsidP="008E7995">
      <w:r>
        <w:rPr>
          <w:noProof/>
        </w:rPr>
        <w:drawing>
          <wp:inline distT="0" distB="0" distL="0" distR="0" wp14:anchorId="1B36A7B2" wp14:editId="2796E875">
            <wp:extent cx="5943600" cy="5542915"/>
            <wp:effectExtent l="0" t="0" r="0" b="635"/>
            <wp:docPr id="526896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896063" name=""/>
                    <pic:cNvPicPr/>
                  </pic:nvPicPr>
                  <pic:blipFill>
                    <a:blip r:embed="rId124"/>
                    <a:stretch>
                      <a:fillRect/>
                    </a:stretch>
                  </pic:blipFill>
                  <pic:spPr>
                    <a:xfrm>
                      <a:off x="0" y="0"/>
                      <a:ext cx="5943600" cy="5542915"/>
                    </a:xfrm>
                    <a:prstGeom prst="rect">
                      <a:avLst/>
                    </a:prstGeom>
                  </pic:spPr>
                </pic:pic>
              </a:graphicData>
            </a:graphic>
          </wp:inline>
        </w:drawing>
      </w:r>
    </w:p>
    <w:p w14:paraId="0CBBF76E" w14:textId="4AD2EE07" w:rsidR="00063316" w:rsidRDefault="00063316" w:rsidP="008E7995">
      <w:r>
        <w:rPr>
          <w:noProof/>
        </w:rPr>
        <w:lastRenderedPageBreak/>
        <w:drawing>
          <wp:inline distT="0" distB="0" distL="0" distR="0" wp14:anchorId="0282F0BC" wp14:editId="72D3706A">
            <wp:extent cx="5943600" cy="5082540"/>
            <wp:effectExtent l="0" t="0" r="0" b="3810"/>
            <wp:docPr id="97295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57329" name=""/>
                    <pic:cNvPicPr/>
                  </pic:nvPicPr>
                  <pic:blipFill>
                    <a:blip r:embed="rId125"/>
                    <a:stretch>
                      <a:fillRect/>
                    </a:stretch>
                  </pic:blipFill>
                  <pic:spPr>
                    <a:xfrm>
                      <a:off x="0" y="0"/>
                      <a:ext cx="5943600" cy="5082540"/>
                    </a:xfrm>
                    <a:prstGeom prst="rect">
                      <a:avLst/>
                    </a:prstGeom>
                  </pic:spPr>
                </pic:pic>
              </a:graphicData>
            </a:graphic>
          </wp:inline>
        </w:drawing>
      </w:r>
      <w:r>
        <w:rPr>
          <w:noProof/>
        </w:rPr>
        <w:drawing>
          <wp:inline distT="0" distB="0" distL="0" distR="0" wp14:anchorId="19024DB3" wp14:editId="58D37D3D">
            <wp:extent cx="5943600" cy="1354455"/>
            <wp:effectExtent l="0" t="0" r="0" b="0"/>
            <wp:docPr id="329395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395982" name=""/>
                    <pic:cNvPicPr/>
                  </pic:nvPicPr>
                  <pic:blipFill>
                    <a:blip r:embed="rId126"/>
                    <a:stretch>
                      <a:fillRect/>
                    </a:stretch>
                  </pic:blipFill>
                  <pic:spPr>
                    <a:xfrm>
                      <a:off x="0" y="0"/>
                      <a:ext cx="5943600" cy="1354455"/>
                    </a:xfrm>
                    <a:prstGeom prst="rect">
                      <a:avLst/>
                    </a:prstGeom>
                  </pic:spPr>
                </pic:pic>
              </a:graphicData>
            </a:graphic>
          </wp:inline>
        </w:drawing>
      </w:r>
    </w:p>
    <w:p w14:paraId="40EFEF64" w14:textId="77777777" w:rsidR="00812237" w:rsidRDefault="00812237"/>
    <w:p w14:paraId="04C43F93" w14:textId="77777777" w:rsidR="00812237" w:rsidRDefault="00812237"/>
    <w:p w14:paraId="3B5D7C97" w14:textId="77777777" w:rsidR="00812237" w:rsidRDefault="00812237"/>
    <w:p w14:paraId="6191BB64" w14:textId="77777777" w:rsidR="00812237" w:rsidRDefault="00812237"/>
    <w:sectPr w:rsidR="00812237" w:rsidSect="00416FD6">
      <w:footerReference w:type="default" r:id="rId1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EB780" w14:textId="77777777" w:rsidR="008B0A24" w:rsidRDefault="008B0A24" w:rsidP="00416FD6">
      <w:pPr>
        <w:spacing w:after="0" w:line="240" w:lineRule="auto"/>
      </w:pPr>
      <w:r>
        <w:separator/>
      </w:r>
    </w:p>
  </w:endnote>
  <w:endnote w:type="continuationSeparator" w:id="0">
    <w:p w14:paraId="6E2BC95A" w14:textId="77777777" w:rsidR="008B0A24" w:rsidRDefault="008B0A24" w:rsidP="00416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6501265"/>
      <w:docPartObj>
        <w:docPartGallery w:val="Page Numbers (Bottom of Page)"/>
        <w:docPartUnique/>
      </w:docPartObj>
    </w:sdtPr>
    <w:sdtEndPr>
      <w:rPr>
        <w:noProof/>
      </w:rPr>
    </w:sdtEndPr>
    <w:sdtContent>
      <w:p w14:paraId="202ADF6B" w14:textId="04174FFB" w:rsidR="00416FD6" w:rsidRDefault="00416F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3EACB4" w14:textId="77777777" w:rsidR="00416FD6" w:rsidRDefault="00416F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E9184" w14:textId="77777777" w:rsidR="008B0A24" w:rsidRDefault="008B0A24" w:rsidP="00416FD6">
      <w:pPr>
        <w:spacing w:after="0" w:line="240" w:lineRule="auto"/>
      </w:pPr>
      <w:r>
        <w:separator/>
      </w:r>
    </w:p>
  </w:footnote>
  <w:footnote w:type="continuationSeparator" w:id="0">
    <w:p w14:paraId="1BF56D15" w14:textId="77777777" w:rsidR="008B0A24" w:rsidRDefault="008B0A24" w:rsidP="00416F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D6"/>
    <w:rsid w:val="00000F87"/>
    <w:rsid w:val="00021FE2"/>
    <w:rsid w:val="0002768F"/>
    <w:rsid w:val="00047703"/>
    <w:rsid w:val="00060E82"/>
    <w:rsid w:val="00062D52"/>
    <w:rsid w:val="00063316"/>
    <w:rsid w:val="00072C6A"/>
    <w:rsid w:val="000A0C21"/>
    <w:rsid w:val="000B6C78"/>
    <w:rsid w:val="000E33CB"/>
    <w:rsid w:val="000E3EE5"/>
    <w:rsid w:val="000E6D01"/>
    <w:rsid w:val="00104A87"/>
    <w:rsid w:val="0011338A"/>
    <w:rsid w:val="00121F8B"/>
    <w:rsid w:val="00134A32"/>
    <w:rsid w:val="00142A02"/>
    <w:rsid w:val="00173971"/>
    <w:rsid w:val="00174281"/>
    <w:rsid w:val="00174E51"/>
    <w:rsid w:val="00177CF2"/>
    <w:rsid w:val="001837E5"/>
    <w:rsid w:val="0019204C"/>
    <w:rsid w:val="00194639"/>
    <w:rsid w:val="001A501D"/>
    <w:rsid w:val="001B2346"/>
    <w:rsid w:val="001B3E36"/>
    <w:rsid w:val="001B753A"/>
    <w:rsid w:val="001C152B"/>
    <w:rsid w:val="001D51DD"/>
    <w:rsid w:val="001D7052"/>
    <w:rsid w:val="001E30D9"/>
    <w:rsid w:val="001F0236"/>
    <w:rsid w:val="00200237"/>
    <w:rsid w:val="00206856"/>
    <w:rsid w:val="00207A23"/>
    <w:rsid w:val="00207B58"/>
    <w:rsid w:val="00226F5B"/>
    <w:rsid w:val="00227B7E"/>
    <w:rsid w:val="00237C14"/>
    <w:rsid w:val="00245287"/>
    <w:rsid w:val="00247D3A"/>
    <w:rsid w:val="0025342F"/>
    <w:rsid w:val="00261607"/>
    <w:rsid w:val="00274F94"/>
    <w:rsid w:val="00277A89"/>
    <w:rsid w:val="002830AF"/>
    <w:rsid w:val="00285F51"/>
    <w:rsid w:val="00291191"/>
    <w:rsid w:val="002927FC"/>
    <w:rsid w:val="002A7121"/>
    <w:rsid w:val="002B23DA"/>
    <w:rsid w:val="002D2F09"/>
    <w:rsid w:val="002D7439"/>
    <w:rsid w:val="002E0616"/>
    <w:rsid w:val="002F24FD"/>
    <w:rsid w:val="002F58B7"/>
    <w:rsid w:val="0030158D"/>
    <w:rsid w:val="0030276D"/>
    <w:rsid w:val="00306D31"/>
    <w:rsid w:val="00350067"/>
    <w:rsid w:val="00350584"/>
    <w:rsid w:val="003515F5"/>
    <w:rsid w:val="0037162C"/>
    <w:rsid w:val="00376AAF"/>
    <w:rsid w:val="003874E4"/>
    <w:rsid w:val="003A4F3C"/>
    <w:rsid w:val="003A6306"/>
    <w:rsid w:val="003C359E"/>
    <w:rsid w:val="003D7D9D"/>
    <w:rsid w:val="0040349E"/>
    <w:rsid w:val="00403DD3"/>
    <w:rsid w:val="00416FD6"/>
    <w:rsid w:val="004202C3"/>
    <w:rsid w:val="00422A23"/>
    <w:rsid w:val="00434A3B"/>
    <w:rsid w:val="00454D7A"/>
    <w:rsid w:val="00457640"/>
    <w:rsid w:val="00463183"/>
    <w:rsid w:val="0046504B"/>
    <w:rsid w:val="00470ECE"/>
    <w:rsid w:val="0047238D"/>
    <w:rsid w:val="00473CB1"/>
    <w:rsid w:val="00485A44"/>
    <w:rsid w:val="00491557"/>
    <w:rsid w:val="00492308"/>
    <w:rsid w:val="00495F57"/>
    <w:rsid w:val="004B2A68"/>
    <w:rsid w:val="004D405D"/>
    <w:rsid w:val="004E2EA5"/>
    <w:rsid w:val="004E6D29"/>
    <w:rsid w:val="004F19AA"/>
    <w:rsid w:val="00503700"/>
    <w:rsid w:val="00506B9C"/>
    <w:rsid w:val="00513845"/>
    <w:rsid w:val="00513D44"/>
    <w:rsid w:val="00514EF8"/>
    <w:rsid w:val="005209F4"/>
    <w:rsid w:val="00522419"/>
    <w:rsid w:val="005308F9"/>
    <w:rsid w:val="00535EE1"/>
    <w:rsid w:val="00542373"/>
    <w:rsid w:val="0055669E"/>
    <w:rsid w:val="00561198"/>
    <w:rsid w:val="00562E19"/>
    <w:rsid w:val="0059698D"/>
    <w:rsid w:val="005A24B7"/>
    <w:rsid w:val="005B2D97"/>
    <w:rsid w:val="005B6043"/>
    <w:rsid w:val="005D0E11"/>
    <w:rsid w:val="005D7C4A"/>
    <w:rsid w:val="005F161E"/>
    <w:rsid w:val="006006CF"/>
    <w:rsid w:val="00605BB5"/>
    <w:rsid w:val="00615212"/>
    <w:rsid w:val="00623042"/>
    <w:rsid w:val="006238EF"/>
    <w:rsid w:val="0063205C"/>
    <w:rsid w:val="00633666"/>
    <w:rsid w:val="006448D7"/>
    <w:rsid w:val="00650FC7"/>
    <w:rsid w:val="00661B65"/>
    <w:rsid w:val="006671C9"/>
    <w:rsid w:val="00671CC6"/>
    <w:rsid w:val="0067710B"/>
    <w:rsid w:val="006939B5"/>
    <w:rsid w:val="006A0D55"/>
    <w:rsid w:val="006A4B3E"/>
    <w:rsid w:val="006F0E59"/>
    <w:rsid w:val="006F216B"/>
    <w:rsid w:val="00713552"/>
    <w:rsid w:val="00713778"/>
    <w:rsid w:val="00714EE0"/>
    <w:rsid w:val="00722225"/>
    <w:rsid w:val="00732418"/>
    <w:rsid w:val="00734BE0"/>
    <w:rsid w:val="007530D8"/>
    <w:rsid w:val="00753BA0"/>
    <w:rsid w:val="00757BBB"/>
    <w:rsid w:val="00765523"/>
    <w:rsid w:val="007705C2"/>
    <w:rsid w:val="00771B50"/>
    <w:rsid w:val="0078026F"/>
    <w:rsid w:val="007912C6"/>
    <w:rsid w:val="007B0ED8"/>
    <w:rsid w:val="007B33E9"/>
    <w:rsid w:val="007B371F"/>
    <w:rsid w:val="007C1F22"/>
    <w:rsid w:val="007D2F42"/>
    <w:rsid w:val="007E03A5"/>
    <w:rsid w:val="007F1C7B"/>
    <w:rsid w:val="007F7C16"/>
    <w:rsid w:val="008024C7"/>
    <w:rsid w:val="00807605"/>
    <w:rsid w:val="00812237"/>
    <w:rsid w:val="00812985"/>
    <w:rsid w:val="00812C51"/>
    <w:rsid w:val="00815BEE"/>
    <w:rsid w:val="00821017"/>
    <w:rsid w:val="008356C9"/>
    <w:rsid w:val="00837333"/>
    <w:rsid w:val="00863864"/>
    <w:rsid w:val="00873EB4"/>
    <w:rsid w:val="008775A5"/>
    <w:rsid w:val="0088303D"/>
    <w:rsid w:val="00883C3F"/>
    <w:rsid w:val="0089027A"/>
    <w:rsid w:val="00893578"/>
    <w:rsid w:val="00893A12"/>
    <w:rsid w:val="00893CB5"/>
    <w:rsid w:val="008B0A24"/>
    <w:rsid w:val="008B2030"/>
    <w:rsid w:val="008C02A6"/>
    <w:rsid w:val="008C26A4"/>
    <w:rsid w:val="008C6161"/>
    <w:rsid w:val="008C6860"/>
    <w:rsid w:val="008E4E0E"/>
    <w:rsid w:val="008E7995"/>
    <w:rsid w:val="008F462A"/>
    <w:rsid w:val="008F7A42"/>
    <w:rsid w:val="009074D4"/>
    <w:rsid w:val="00914138"/>
    <w:rsid w:val="00922714"/>
    <w:rsid w:val="00925DCA"/>
    <w:rsid w:val="0092656A"/>
    <w:rsid w:val="009335AF"/>
    <w:rsid w:val="009571A3"/>
    <w:rsid w:val="00960B45"/>
    <w:rsid w:val="0096780D"/>
    <w:rsid w:val="00975735"/>
    <w:rsid w:val="0097586A"/>
    <w:rsid w:val="0099131C"/>
    <w:rsid w:val="0099354C"/>
    <w:rsid w:val="0099608F"/>
    <w:rsid w:val="00996A64"/>
    <w:rsid w:val="009A05BD"/>
    <w:rsid w:val="009B2A8C"/>
    <w:rsid w:val="009B6C85"/>
    <w:rsid w:val="009B71A4"/>
    <w:rsid w:val="009C3AEF"/>
    <w:rsid w:val="009D3545"/>
    <w:rsid w:val="009E4262"/>
    <w:rsid w:val="009E5071"/>
    <w:rsid w:val="009E5B93"/>
    <w:rsid w:val="009E6C17"/>
    <w:rsid w:val="009F2B1E"/>
    <w:rsid w:val="009F44C8"/>
    <w:rsid w:val="00A0183F"/>
    <w:rsid w:val="00A31060"/>
    <w:rsid w:val="00A47AD6"/>
    <w:rsid w:val="00A62909"/>
    <w:rsid w:val="00A711C8"/>
    <w:rsid w:val="00A82A02"/>
    <w:rsid w:val="00A8319E"/>
    <w:rsid w:val="00A87A67"/>
    <w:rsid w:val="00A92DD8"/>
    <w:rsid w:val="00A94078"/>
    <w:rsid w:val="00AB7F57"/>
    <w:rsid w:val="00AC714F"/>
    <w:rsid w:val="00AC78A4"/>
    <w:rsid w:val="00AD2B37"/>
    <w:rsid w:val="00B1150D"/>
    <w:rsid w:val="00B16AEB"/>
    <w:rsid w:val="00B16B5D"/>
    <w:rsid w:val="00B17958"/>
    <w:rsid w:val="00B248CB"/>
    <w:rsid w:val="00B302D3"/>
    <w:rsid w:val="00B44005"/>
    <w:rsid w:val="00B55E32"/>
    <w:rsid w:val="00B62D76"/>
    <w:rsid w:val="00B94419"/>
    <w:rsid w:val="00B96F06"/>
    <w:rsid w:val="00BA19BA"/>
    <w:rsid w:val="00BA36F2"/>
    <w:rsid w:val="00BC07D3"/>
    <w:rsid w:val="00BC1842"/>
    <w:rsid w:val="00C05A74"/>
    <w:rsid w:val="00C11223"/>
    <w:rsid w:val="00C133D1"/>
    <w:rsid w:val="00C21C71"/>
    <w:rsid w:val="00C44FFC"/>
    <w:rsid w:val="00C478DD"/>
    <w:rsid w:val="00C47B62"/>
    <w:rsid w:val="00C73F5E"/>
    <w:rsid w:val="00C76271"/>
    <w:rsid w:val="00C762B6"/>
    <w:rsid w:val="00C8436E"/>
    <w:rsid w:val="00C8768A"/>
    <w:rsid w:val="00CA31CD"/>
    <w:rsid w:val="00CA60E0"/>
    <w:rsid w:val="00CA649F"/>
    <w:rsid w:val="00CB7F23"/>
    <w:rsid w:val="00CC527D"/>
    <w:rsid w:val="00CD094B"/>
    <w:rsid w:val="00D01159"/>
    <w:rsid w:val="00D06043"/>
    <w:rsid w:val="00D1378E"/>
    <w:rsid w:val="00D17A1C"/>
    <w:rsid w:val="00D40E74"/>
    <w:rsid w:val="00D44D4B"/>
    <w:rsid w:val="00D46EE8"/>
    <w:rsid w:val="00D662E9"/>
    <w:rsid w:val="00D72C75"/>
    <w:rsid w:val="00D7705F"/>
    <w:rsid w:val="00D77957"/>
    <w:rsid w:val="00D948B3"/>
    <w:rsid w:val="00D95381"/>
    <w:rsid w:val="00D96107"/>
    <w:rsid w:val="00DA477C"/>
    <w:rsid w:val="00DB64DE"/>
    <w:rsid w:val="00DE6598"/>
    <w:rsid w:val="00DF07BE"/>
    <w:rsid w:val="00DF3EC4"/>
    <w:rsid w:val="00E11186"/>
    <w:rsid w:val="00E163DB"/>
    <w:rsid w:val="00E26A41"/>
    <w:rsid w:val="00E27A45"/>
    <w:rsid w:val="00E30C35"/>
    <w:rsid w:val="00E62CCC"/>
    <w:rsid w:val="00E72381"/>
    <w:rsid w:val="00E77818"/>
    <w:rsid w:val="00E82940"/>
    <w:rsid w:val="00E86853"/>
    <w:rsid w:val="00E920F1"/>
    <w:rsid w:val="00EA01D5"/>
    <w:rsid w:val="00EA32E6"/>
    <w:rsid w:val="00EA4062"/>
    <w:rsid w:val="00ED3080"/>
    <w:rsid w:val="00EE73C5"/>
    <w:rsid w:val="00EF3BB4"/>
    <w:rsid w:val="00F02873"/>
    <w:rsid w:val="00F0682A"/>
    <w:rsid w:val="00F071CF"/>
    <w:rsid w:val="00F074AD"/>
    <w:rsid w:val="00F07D53"/>
    <w:rsid w:val="00F22F8B"/>
    <w:rsid w:val="00F26DCE"/>
    <w:rsid w:val="00F30E35"/>
    <w:rsid w:val="00F514E9"/>
    <w:rsid w:val="00F63A58"/>
    <w:rsid w:val="00F74095"/>
    <w:rsid w:val="00F7469F"/>
    <w:rsid w:val="00F90371"/>
    <w:rsid w:val="00F95E43"/>
    <w:rsid w:val="00FA24B9"/>
    <w:rsid w:val="00FB579B"/>
    <w:rsid w:val="00FC3BDD"/>
    <w:rsid w:val="00FF05EF"/>
    <w:rsid w:val="00FF102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734C0"/>
  <w15:chartTrackingRefBased/>
  <w15:docId w15:val="{1AA0972E-972C-4EF3-8F96-BE7C455E1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FD6"/>
    <w:pPr>
      <w:spacing w:line="360" w:lineRule="auto"/>
      <w:jc w:val="both"/>
    </w:pPr>
    <w:rPr>
      <w:rFonts w:ascii="Arial" w:hAnsi="Arial"/>
    </w:rPr>
  </w:style>
  <w:style w:type="paragraph" w:styleId="Heading1">
    <w:name w:val="heading 1"/>
    <w:basedOn w:val="Normal"/>
    <w:next w:val="Normal"/>
    <w:link w:val="Heading1Char"/>
    <w:uiPriority w:val="9"/>
    <w:qFormat/>
    <w:rsid w:val="00416FD6"/>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16FD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416FD6"/>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16F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6F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6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FD6"/>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416FD6"/>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416FD6"/>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416F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6F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6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FD6"/>
    <w:rPr>
      <w:rFonts w:eastAsiaTheme="majorEastAsia" w:cstheme="majorBidi"/>
      <w:color w:val="272727" w:themeColor="text1" w:themeTint="D8"/>
    </w:rPr>
  </w:style>
  <w:style w:type="paragraph" w:styleId="Title">
    <w:name w:val="Title"/>
    <w:basedOn w:val="Normal"/>
    <w:next w:val="Normal"/>
    <w:link w:val="TitleChar"/>
    <w:uiPriority w:val="10"/>
    <w:qFormat/>
    <w:rsid w:val="00416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FD6"/>
    <w:pPr>
      <w:spacing w:before="160"/>
      <w:jc w:val="center"/>
    </w:pPr>
    <w:rPr>
      <w:i/>
      <w:iCs/>
      <w:color w:val="404040" w:themeColor="text1" w:themeTint="BF"/>
    </w:rPr>
  </w:style>
  <w:style w:type="character" w:customStyle="1" w:styleId="QuoteChar">
    <w:name w:val="Quote Char"/>
    <w:basedOn w:val="DefaultParagraphFont"/>
    <w:link w:val="Quote"/>
    <w:uiPriority w:val="29"/>
    <w:rsid w:val="00416FD6"/>
    <w:rPr>
      <w:i/>
      <w:iCs/>
      <w:color w:val="404040" w:themeColor="text1" w:themeTint="BF"/>
    </w:rPr>
  </w:style>
  <w:style w:type="paragraph" w:styleId="ListParagraph">
    <w:name w:val="List Paragraph"/>
    <w:basedOn w:val="Normal"/>
    <w:uiPriority w:val="34"/>
    <w:qFormat/>
    <w:rsid w:val="00416FD6"/>
    <w:pPr>
      <w:ind w:left="720"/>
      <w:contextualSpacing/>
    </w:pPr>
  </w:style>
  <w:style w:type="character" w:styleId="IntenseEmphasis">
    <w:name w:val="Intense Emphasis"/>
    <w:basedOn w:val="DefaultParagraphFont"/>
    <w:uiPriority w:val="21"/>
    <w:qFormat/>
    <w:rsid w:val="00416FD6"/>
    <w:rPr>
      <w:i/>
      <w:iCs/>
      <w:color w:val="2F5496" w:themeColor="accent1" w:themeShade="BF"/>
    </w:rPr>
  </w:style>
  <w:style w:type="paragraph" w:styleId="IntenseQuote">
    <w:name w:val="Intense Quote"/>
    <w:basedOn w:val="Normal"/>
    <w:next w:val="Normal"/>
    <w:link w:val="IntenseQuoteChar"/>
    <w:uiPriority w:val="30"/>
    <w:qFormat/>
    <w:rsid w:val="00416F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6FD6"/>
    <w:rPr>
      <w:i/>
      <w:iCs/>
      <w:color w:val="2F5496" w:themeColor="accent1" w:themeShade="BF"/>
    </w:rPr>
  </w:style>
  <w:style w:type="character" w:styleId="IntenseReference">
    <w:name w:val="Intense Reference"/>
    <w:basedOn w:val="DefaultParagraphFont"/>
    <w:uiPriority w:val="32"/>
    <w:qFormat/>
    <w:rsid w:val="00416FD6"/>
    <w:rPr>
      <w:b/>
      <w:bCs/>
      <w:smallCaps/>
      <w:color w:val="2F5496" w:themeColor="accent1" w:themeShade="BF"/>
      <w:spacing w:val="5"/>
    </w:rPr>
  </w:style>
  <w:style w:type="paragraph" w:styleId="Header">
    <w:name w:val="header"/>
    <w:basedOn w:val="Normal"/>
    <w:link w:val="HeaderChar"/>
    <w:uiPriority w:val="99"/>
    <w:unhideWhenUsed/>
    <w:rsid w:val="00416F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FD6"/>
    <w:rPr>
      <w:rFonts w:ascii="Arial" w:hAnsi="Arial"/>
    </w:rPr>
  </w:style>
  <w:style w:type="paragraph" w:styleId="Footer">
    <w:name w:val="footer"/>
    <w:basedOn w:val="Normal"/>
    <w:link w:val="FooterChar"/>
    <w:uiPriority w:val="99"/>
    <w:unhideWhenUsed/>
    <w:rsid w:val="00416F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FD6"/>
    <w:rPr>
      <w:rFonts w:ascii="Arial" w:hAnsi="Arial"/>
    </w:rPr>
  </w:style>
  <w:style w:type="table" w:styleId="TableGrid">
    <w:name w:val="Table Grid"/>
    <w:basedOn w:val="TableNormal"/>
    <w:uiPriority w:val="39"/>
    <w:rsid w:val="00D13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1378E"/>
    <w:pPr>
      <w:spacing w:after="200" w:line="240" w:lineRule="auto"/>
    </w:pPr>
    <w:rPr>
      <w:i/>
      <w:iCs/>
      <w:color w:val="44546A" w:themeColor="text2"/>
      <w:sz w:val="18"/>
      <w:szCs w:val="18"/>
    </w:rPr>
  </w:style>
  <w:style w:type="character" w:styleId="Hyperlink">
    <w:name w:val="Hyperlink"/>
    <w:basedOn w:val="DefaultParagraphFont"/>
    <w:uiPriority w:val="99"/>
    <w:unhideWhenUsed/>
    <w:rsid w:val="004B2A68"/>
    <w:rPr>
      <w:color w:val="0563C1" w:themeColor="hyperlink"/>
      <w:u w:val="single"/>
    </w:rPr>
  </w:style>
  <w:style w:type="character" w:styleId="UnresolvedMention">
    <w:name w:val="Unresolved Mention"/>
    <w:basedOn w:val="DefaultParagraphFont"/>
    <w:uiPriority w:val="99"/>
    <w:semiHidden/>
    <w:unhideWhenUsed/>
    <w:rsid w:val="004B2A68"/>
    <w:rPr>
      <w:color w:val="605E5C"/>
      <w:shd w:val="clear" w:color="auto" w:fill="E1DFDD"/>
    </w:rPr>
  </w:style>
  <w:style w:type="paragraph" w:styleId="TOC1">
    <w:name w:val="toc 1"/>
    <w:basedOn w:val="Normal"/>
    <w:next w:val="Normal"/>
    <w:autoRedefine/>
    <w:uiPriority w:val="39"/>
    <w:unhideWhenUsed/>
    <w:rsid w:val="008775A5"/>
    <w:pPr>
      <w:spacing w:after="100"/>
    </w:pPr>
  </w:style>
  <w:style w:type="paragraph" w:styleId="TOC2">
    <w:name w:val="toc 2"/>
    <w:basedOn w:val="Normal"/>
    <w:next w:val="Normal"/>
    <w:autoRedefine/>
    <w:uiPriority w:val="39"/>
    <w:unhideWhenUsed/>
    <w:rsid w:val="008775A5"/>
    <w:pPr>
      <w:spacing w:after="100"/>
      <w:ind w:left="240"/>
    </w:pPr>
  </w:style>
  <w:style w:type="paragraph" w:styleId="TOC3">
    <w:name w:val="toc 3"/>
    <w:basedOn w:val="Normal"/>
    <w:next w:val="Normal"/>
    <w:autoRedefine/>
    <w:uiPriority w:val="39"/>
    <w:unhideWhenUsed/>
    <w:rsid w:val="008775A5"/>
    <w:pPr>
      <w:spacing w:after="100"/>
      <w:ind w:left="480"/>
    </w:pPr>
  </w:style>
  <w:style w:type="paragraph" w:styleId="TOC4">
    <w:name w:val="toc 4"/>
    <w:basedOn w:val="Normal"/>
    <w:next w:val="Normal"/>
    <w:autoRedefine/>
    <w:uiPriority w:val="39"/>
    <w:unhideWhenUsed/>
    <w:rsid w:val="008775A5"/>
    <w:pPr>
      <w:spacing w:after="100" w:line="278" w:lineRule="auto"/>
      <w:ind w:left="720"/>
      <w:jc w:val="left"/>
    </w:pPr>
    <w:rPr>
      <w:rFonts w:asciiTheme="minorHAnsi" w:eastAsiaTheme="minorEastAsia" w:hAnsiTheme="minorHAnsi"/>
    </w:rPr>
  </w:style>
  <w:style w:type="paragraph" w:styleId="TOC5">
    <w:name w:val="toc 5"/>
    <w:basedOn w:val="Normal"/>
    <w:next w:val="Normal"/>
    <w:autoRedefine/>
    <w:uiPriority w:val="39"/>
    <w:unhideWhenUsed/>
    <w:rsid w:val="008775A5"/>
    <w:pPr>
      <w:spacing w:after="100" w:line="278" w:lineRule="auto"/>
      <w:ind w:left="960"/>
      <w:jc w:val="left"/>
    </w:pPr>
    <w:rPr>
      <w:rFonts w:asciiTheme="minorHAnsi" w:eastAsiaTheme="minorEastAsia" w:hAnsiTheme="minorHAnsi"/>
    </w:rPr>
  </w:style>
  <w:style w:type="paragraph" w:styleId="TOC6">
    <w:name w:val="toc 6"/>
    <w:basedOn w:val="Normal"/>
    <w:next w:val="Normal"/>
    <w:autoRedefine/>
    <w:uiPriority w:val="39"/>
    <w:unhideWhenUsed/>
    <w:rsid w:val="008775A5"/>
    <w:pPr>
      <w:spacing w:after="100" w:line="278" w:lineRule="auto"/>
      <w:ind w:left="1200"/>
      <w:jc w:val="left"/>
    </w:pPr>
    <w:rPr>
      <w:rFonts w:asciiTheme="minorHAnsi" w:eastAsiaTheme="minorEastAsia" w:hAnsiTheme="minorHAnsi"/>
    </w:rPr>
  </w:style>
  <w:style w:type="paragraph" w:styleId="TOC7">
    <w:name w:val="toc 7"/>
    <w:basedOn w:val="Normal"/>
    <w:next w:val="Normal"/>
    <w:autoRedefine/>
    <w:uiPriority w:val="39"/>
    <w:unhideWhenUsed/>
    <w:rsid w:val="008775A5"/>
    <w:pPr>
      <w:spacing w:after="100" w:line="278" w:lineRule="auto"/>
      <w:ind w:left="1440"/>
      <w:jc w:val="left"/>
    </w:pPr>
    <w:rPr>
      <w:rFonts w:asciiTheme="minorHAnsi" w:eastAsiaTheme="minorEastAsia" w:hAnsiTheme="minorHAnsi"/>
    </w:rPr>
  </w:style>
  <w:style w:type="paragraph" w:styleId="TOC8">
    <w:name w:val="toc 8"/>
    <w:basedOn w:val="Normal"/>
    <w:next w:val="Normal"/>
    <w:autoRedefine/>
    <w:uiPriority w:val="39"/>
    <w:unhideWhenUsed/>
    <w:rsid w:val="008775A5"/>
    <w:pPr>
      <w:spacing w:after="100" w:line="278" w:lineRule="auto"/>
      <w:ind w:left="1680"/>
      <w:jc w:val="left"/>
    </w:pPr>
    <w:rPr>
      <w:rFonts w:asciiTheme="minorHAnsi" w:eastAsiaTheme="minorEastAsia" w:hAnsiTheme="minorHAnsi"/>
    </w:rPr>
  </w:style>
  <w:style w:type="paragraph" w:styleId="TOC9">
    <w:name w:val="toc 9"/>
    <w:basedOn w:val="Normal"/>
    <w:next w:val="Normal"/>
    <w:autoRedefine/>
    <w:uiPriority w:val="39"/>
    <w:unhideWhenUsed/>
    <w:rsid w:val="008775A5"/>
    <w:pPr>
      <w:spacing w:after="100" w:line="278" w:lineRule="auto"/>
      <w:ind w:left="1920"/>
      <w:jc w:val="left"/>
    </w:pPr>
    <w:rPr>
      <w:rFonts w:asciiTheme="minorHAnsi" w:eastAsiaTheme="minorEastAsia" w:hAnsiTheme="minorHAnsi"/>
    </w:rPr>
  </w:style>
  <w:style w:type="paragraph" w:styleId="TableofFigures">
    <w:name w:val="table of figures"/>
    <w:basedOn w:val="Normal"/>
    <w:next w:val="Normal"/>
    <w:uiPriority w:val="99"/>
    <w:unhideWhenUsed/>
    <w:rsid w:val="008775A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9550996">
      <w:bodyDiv w:val="1"/>
      <w:marLeft w:val="0"/>
      <w:marRight w:val="0"/>
      <w:marTop w:val="0"/>
      <w:marBottom w:val="0"/>
      <w:divBdr>
        <w:top w:val="none" w:sz="0" w:space="0" w:color="auto"/>
        <w:left w:val="none" w:sz="0" w:space="0" w:color="auto"/>
        <w:bottom w:val="none" w:sz="0" w:space="0" w:color="auto"/>
        <w:right w:val="none" w:sz="0" w:space="0" w:color="auto"/>
      </w:divBdr>
      <w:divsChild>
        <w:div w:id="738986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4.png"/><Relationship Id="rId21" Type="http://schemas.openxmlformats.org/officeDocument/2006/relationships/chart" Target="charts/chart13.xml"/><Relationship Id="rId42" Type="http://schemas.openxmlformats.org/officeDocument/2006/relationships/image" Target="media/image17.jpeg"/><Relationship Id="rId47" Type="http://schemas.openxmlformats.org/officeDocument/2006/relationships/image" Target="media/image22.png"/><Relationship Id="rId63" Type="http://schemas.openxmlformats.org/officeDocument/2006/relationships/hyperlink" Target="https://doi.org/10.3390/jrfm18060297" TargetMode="External"/><Relationship Id="rId68" Type="http://schemas.openxmlformats.org/officeDocument/2006/relationships/hyperlink" Target="https://doi.org/10.1051/shsconf/202521803026" TargetMode="External"/><Relationship Id="rId84" Type="http://schemas.openxmlformats.org/officeDocument/2006/relationships/hyperlink" Target="https://www.annualreports.com/HostedData/AnnualReportArchive/t/NASDAQ_TSLA_2023.pdf" TargetMode="External"/><Relationship Id="rId89" Type="http://schemas.openxmlformats.org/officeDocument/2006/relationships/hyperlink" Target="https://doi.org/10.7753/IJCATR1212.1017" TargetMode="External"/><Relationship Id="rId112" Type="http://schemas.openxmlformats.org/officeDocument/2006/relationships/image" Target="media/image29.png"/><Relationship Id="rId16" Type="http://schemas.openxmlformats.org/officeDocument/2006/relationships/chart" Target="charts/chart8.xml"/><Relationship Id="rId107" Type="http://schemas.openxmlformats.org/officeDocument/2006/relationships/chart" Target="charts/chart36.xml"/><Relationship Id="rId11" Type="http://schemas.openxmlformats.org/officeDocument/2006/relationships/chart" Target="charts/chart3.xml"/><Relationship Id="rId32" Type="http://schemas.openxmlformats.org/officeDocument/2006/relationships/chart" Target="charts/chart19.xml"/><Relationship Id="rId37" Type="http://schemas.openxmlformats.org/officeDocument/2006/relationships/image" Target="media/image12.jpeg"/><Relationship Id="rId53" Type="http://schemas.openxmlformats.org/officeDocument/2006/relationships/hyperlink" Target="https://doi.org/10.31538/iijse.v5i2.2195" TargetMode="External"/><Relationship Id="rId58" Type="http://schemas.openxmlformats.org/officeDocument/2006/relationships/hyperlink" Target="https://doi.org/10.58314/UUHYT2" TargetMode="External"/><Relationship Id="rId74" Type="http://schemas.openxmlformats.org/officeDocument/2006/relationships/hyperlink" Target="https://doi.org/10.37680/ijief.v5i1.6983" TargetMode="External"/><Relationship Id="rId79" Type="http://schemas.openxmlformats.org/officeDocument/2006/relationships/hyperlink" Target="https://doi.org/10.2991/aebmr.k.220603.135" TargetMode="External"/><Relationship Id="rId102" Type="http://schemas.openxmlformats.org/officeDocument/2006/relationships/chart" Target="charts/chart31.xml"/><Relationship Id="rId123" Type="http://schemas.openxmlformats.org/officeDocument/2006/relationships/image" Target="media/image40.png"/><Relationship Id="rId128"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doi.org/10.54097/w3w70d66" TargetMode="External"/><Relationship Id="rId95" Type="http://schemas.openxmlformats.org/officeDocument/2006/relationships/chart" Target="charts/chart24.xml"/><Relationship Id="rId22" Type="http://schemas.openxmlformats.org/officeDocument/2006/relationships/chart" Target="charts/chart14.xml"/><Relationship Id="rId27" Type="http://schemas.openxmlformats.org/officeDocument/2006/relationships/image" Target="media/image3.png"/><Relationship Id="rId43" Type="http://schemas.openxmlformats.org/officeDocument/2006/relationships/image" Target="media/image18.png"/><Relationship Id="rId48" Type="http://schemas.openxmlformats.org/officeDocument/2006/relationships/image" Target="media/image23.png"/><Relationship Id="rId64" Type="http://schemas.openxmlformats.org/officeDocument/2006/relationships/hyperlink" Target="https://doi.org/10.3390/jrfm16050274" TargetMode="External"/><Relationship Id="rId69" Type="http://schemas.openxmlformats.org/officeDocument/2006/relationships/hyperlink" Target="https://doi.org/10.48550/arXiv.2409.17380" TargetMode="External"/><Relationship Id="rId113" Type="http://schemas.openxmlformats.org/officeDocument/2006/relationships/image" Target="media/image30.png"/><Relationship Id="rId118" Type="http://schemas.openxmlformats.org/officeDocument/2006/relationships/image" Target="media/image35.png"/><Relationship Id="rId80" Type="http://schemas.openxmlformats.org/officeDocument/2006/relationships/hyperlink" Target="https://doi.org/10.21203/rs.3.rs-9245310/v1" TargetMode="External"/><Relationship Id="rId85" Type="http://schemas.openxmlformats.org/officeDocument/2006/relationships/hyperlink" Target="https://www.annualreports.com/HostedData/AnnualReports/PDF/NASDAQ_TSLA_2024.pdf" TargetMode="External"/><Relationship Id="rId12" Type="http://schemas.openxmlformats.org/officeDocument/2006/relationships/chart" Target="charts/chart4.xml"/><Relationship Id="rId17" Type="http://schemas.openxmlformats.org/officeDocument/2006/relationships/chart" Target="charts/chart9.xml"/><Relationship Id="rId33" Type="http://schemas.openxmlformats.org/officeDocument/2006/relationships/image" Target="media/image8.png"/><Relationship Id="rId38" Type="http://schemas.openxmlformats.org/officeDocument/2006/relationships/image" Target="media/image13.png"/><Relationship Id="rId59" Type="http://schemas.openxmlformats.org/officeDocument/2006/relationships/hyperlink" Target="https://doi.org/10.4236/jfrm.2020.94019" TargetMode="External"/><Relationship Id="rId103" Type="http://schemas.openxmlformats.org/officeDocument/2006/relationships/chart" Target="charts/chart32.xml"/><Relationship Id="rId108" Type="http://schemas.openxmlformats.org/officeDocument/2006/relationships/chart" Target="charts/chart37.xml"/><Relationship Id="rId124" Type="http://schemas.openxmlformats.org/officeDocument/2006/relationships/image" Target="media/image41.png"/><Relationship Id="rId129" Type="http://schemas.openxmlformats.org/officeDocument/2006/relationships/theme" Target="theme/theme1.xml"/><Relationship Id="rId54" Type="http://schemas.openxmlformats.org/officeDocument/2006/relationships/hyperlink" Target="https://doi.org/10.31014/aior.1992.08.02.667" TargetMode="External"/><Relationship Id="rId70" Type="http://schemas.openxmlformats.org/officeDocument/2006/relationships/hyperlink" Target="https://doi.org/10.54443/sj.v2i3.149" TargetMode="External"/><Relationship Id="rId75" Type="http://schemas.openxmlformats.org/officeDocument/2006/relationships/hyperlink" Target="https://doi.org/10.29138/ijebd.v8i2.3234" TargetMode="External"/><Relationship Id="rId91" Type="http://schemas.openxmlformats.org/officeDocument/2006/relationships/chart" Target="charts/chart20.xml"/><Relationship Id="rId96" Type="http://schemas.openxmlformats.org/officeDocument/2006/relationships/chart" Target="charts/chart25.xm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chart" Target="charts/chart15.xml"/><Relationship Id="rId28" Type="http://schemas.openxmlformats.org/officeDocument/2006/relationships/image" Target="media/image4.png"/><Relationship Id="rId49" Type="http://schemas.openxmlformats.org/officeDocument/2006/relationships/image" Target="media/image24.png"/><Relationship Id="rId114" Type="http://schemas.openxmlformats.org/officeDocument/2006/relationships/image" Target="media/image31.png"/><Relationship Id="rId119" Type="http://schemas.openxmlformats.org/officeDocument/2006/relationships/image" Target="media/image36.png"/><Relationship Id="rId44" Type="http://schemas.openxmlformats.org/officeDocument/2006/relationships/image" Target="media/image19.png"/><Relationship Id="rId60" Type="http://schemas.openxmlformats.org/officeDocument/2006/relationships/hyperlink" Target="https://doi.org/10.3390/ijfs13040204" TargetMode="External"/><Relationship Id="rId65" Type="http://schemas.openxmlformats.org/officeDocument/2006/relationships/hyperlink" Target="https://doi.org/10.36096/brss.v3i4.295" TargetMode="External"/><Relationship Id="rId81" Type="http://schemas.openxmlformats.org/officeDocument/2006/relationships/hyperlink" Target="https://doi.org/10.47556/J.WJEMSD.21.2.2025.3" TargetMode="External"/><Relationship Id="rId86" Type="http://schemas.openxmlformats.org/officeDocument/2006/relationships/hyperlink" Target="https://www.tesla.com/about?utm_source=chatgpt.com" TargetMode="External"/><Relationship Id="rId13" Type="http://schemas.openxmlformats.org/officeDocument/2006/relationships/chart" Target="charts/chart5.xml"/><Relationship Id="rId18" Type="http://schemas.openxmlformats.org/officeDocument/2006/relationships/chart" Target="charts/chart10.xml"/><Relationship Id="rId39" Type="http://schemas.openxmlformats.org/officeDocument/2006/relationships/image" Target="media/image14.png"/><Relationship Id="rId109" Type="http://schemas.openxmlformats.org/officeDocument/2006/relationships/chart" Target="charts/chart38.xml"/><Relationship Id="rId34" Type="http://schemas.openxmlformats.org/officeDocument/2006/relationships/image" Target="media/image9.png"/><Relationship Id="rId50" Type="http://schemas.openxmlformats.org/officeDocument/2006/relationships/image" Target="media/image25.jpeg"/><Relationship Id="rId55" Type="http://schemas.openxmlformats.org/officeDocument/2006/relationships/hyperlink" Target="https://doi.org/10.55640/ijefms/Volume11Issue03-02" TargetMode="External"/><Relationship Id="rId76" Type="http://schemas.openxmlformats.org/officeDocument/2006/relationships/hyperlink" Target="https://doi.org/10.46254/wc02.20250174" TargetMode="External"/><Relationship Id="rId97" Type="http://schemas.openxmlformats.org/officeDocument/2006/relationships/chart" Target="charts/chart26.xml"/><Relationship Id="rId104" Type="http://schemas.openxmlformats.org/officeDocument/2006/relationships/chart" Target="charts/chart33.xml"/><Relationship Id="rId120" Type="http://schemas.openxmlformats.org/officeDocument/2006/relationships/image" Target="media/image37.png"/><Relationship Id="rId125" Type="http://schemas.openxmlformats.org/officeDocument/2006/relationships/image" Target="media/image42.png"/><Relationship Id="rId7" Type="http://schemas.openxmlformats.org/officeDocument/2006/relationships/image" Target="media/image1.png"/><Relationship Id="rId71" Type="http://schemas.openxmlformats.org/officeDocument/2006/relationships/hyperlink" Target="https://doi.org/10.3390/su12093874" TargetMode="External"/><Relationship Id="rId92" Type="http://schemas.openxmlformats.org/officeDocument/2006/relationships/chart" Target="charts/chart21.xml"/><Relationship Id="rId2" Type="http://schemas.openxmlformats.org/officeDocument/2006/relationships/styles" Target="styles.xml"/><Relationship Id="rId29" Type="http://schemas.openxmlformats.org/officeDocument/2006/relationships/image" Target="media/image5.png"/><Relationship Id="rId24" Type="http://schemas.openxmlformats.org/officeDocument/2006/relationships/chart" Target="charts/chart16.xml"/><Relationship Id="rId40" Type="http://schemas.openxmlformats.org/officeDocument/2006/relationships/image" Target="media/image15.png"/><Relationship Id="rId45" Type="http://schemas.openxmlformats.org/officeDocument/2006/relationships/image" Target="media/image20.png"/><Relationship Id="rId66" Type="http://schemas.openxmlformats.org/officeDocument/2006/relationships/hyperlink" Target="https://doi.org/10.71204/t99rtf66" TargetMode="External"/><Relationship Id="rId87" Type="http://schemas.openxmlformats.org/officeDocument/2006/relationships/hyperlink" Target="https://ir.tesla.com/_flysystem/s3/sec/000162828026003952/tsla-20251231-gen.pdf" TargetMode="External"/><Relationship Id="rId110" Type="http://schemas.openxmlformats.org/officeDocument/2006/relationships/image" Target="media/image28.emf"/><Relationship Id="rId115" Type="http://schemas.openxmlformats.org/officeDocument/2006/relationships/image" Target="media/image32.png"/><Relationship Id="rId61" Type="http://schemas.openxmlformats.org/officeDocument/2006/relationships/hyperlink" Target="https://doi.org/10.56238/sevened2026.008-120" TargetMode="External"/><Relationship Id="rId82" Type="http://schemas.openxmlformats.org/officeDocument/2006/relationships/hyperlink" Target="https://www.annualreports.com/HostedData/AnnualReportArchive/t/NASDAQ_TSLA_2019.pdf" TargetMode="External"/><Relationship Id="rId19" Type="http://schemas.openxmlformats.org/officeDocument/2006/relationships/chart" Target="charts/chart11.xml"/><Relationship Id="rId14" Type="http://schemas.openxmlformats.org/officeDocument/2006/relationships/chart" Target="charts/chart6.xml"/><Relationship Id="rId30" Type="http://schemas.openxmlformats.org/officeDocument/2006/relationships/image" Target="media/image6.png"/><Relationship Id="rId35" Type="http://schemas.openxmlformats.org/officeDocument/2006/relationships/image" Target="media/image10.jpeg"/><Relationship Id="rId56" Type="http://schemas.openxmlformats.org/officeDocument/2006/relationships/hyperlink" Target="https://doi.org/10.47191/jefms/v5-i10-10" TargetMode="External"/><Relationship Id="rId77" Type="http://schemas.openxmlformats.org/officeDocument/2006/relationships/hyperlink" Target="https://doi.org/10.59324/ejiss.2025.1(3).19" TargetMode="External"/><Relationship Id="rId100" Type="http://schemas.openxmlformats.org/officeDocument/2006/relationships/chart" Target="charts/chart29.xml"/><Relationship Id="rId105" Type="http://schemas.openxmlformats.org/officeDocument/2006/relationships/chart" Target="charts/chart34.xml"/><Relationship Id="rId126" Type="http://schemas.openxmlformats.org/officeDocument/2006/relationships/image" Target="media/image43.png"/><Relationship Id="rId8" Type="http://schemas.openxmlformats.org/officeDocument/2006/relationships/image" Target="media/image2.jpeg"/><Relationship Id="rId51" Type="http://schemas.openxmlformats.org/officeDocument/2006/relationships/image" Target="media/image26.png"/><Relationship Id="rId72" Type="http://schemas.openxmlformats.org/officeDocument/2006/relationships/hyperlink" Target="https://doi.org/10.2991/978-94-6463-874-5_97" TargetMode="External"/><Relationship Id="rId93" Type="http://schemas.openxmlformats.org/officeDocument/2006/relationships/chart" Target="charts/chart22.xml"/><Relationship Id="rId98" Type="http://schemas.openxmlformats.org/officeDocument/2006/relationships/chart" Target="charts/chart27.xml"/><Relationship Id="rId121" Type="http://schemas.openxmlformats.org/officeDocument/2006/relationships/image" Target="media/image38.png"/><Relationship Id="rId3" Type="http://schemas.openxmlformats.org/officeDocument/2006/relationships/settings" Target="settings.xml"/><Relationship Id="rId25" Type="http://schemas.openxmlformats.org/officeDocument/2006/relationships/chart" Target="charts/chart17.xml"/><Relationship Id="rId46" Type="http://schemas.openxmlformats.org/officeDocument/2006/relationships/image" Target="media/image21.jpeg"/><Relationship Id="rId67" Type="http://schemas.openxmlformats.org/officeDocument/2006/relationships/hyperlink" Target="https://doi.org/10.56709/mrj.v4i2.688" TargetMode="External"/><Relationship Id="rId116" Type="http://schemas.openxmlformats.org/officeDocument/2006/relationships/image" Target="media/image33.png"/><Relationship Id="rId20" Type="http://schemas.openxmlformats.org/officeDocument/2006/relationships/chart" Target="charts/chart12.xml"/><Relationship Id="rId41" Type="http://schemas.openxmlformats.org/officeDocument/2006/relationships/image" Target="media/image16.jpeg"/><Relationship Id="rId62" Type="http://schemas.openxmlformats.org/officeDocument/2006/relationships/hyperlink" Target="https://doi.org/10.3390/su10124371" TargetMode="External"/><Relationship Id="rId83" Type="http://schemas.openxmlformats.org/officeDocument/2006/relationships/hyperlink" Target="https://www.annualreports.com/HostedData/AnnualReportArchive/t/NASDAQ_TSLA_2022.pdf" TargetMode="External"/><Relationship Id="rId88" Type="http://schemas.openxmlformats.org/officeDocument/2006/relationships/hyperlink" Target="https://doi.org/10.62872/h20q8p66" TargetMode="External"/><Relationship Id="rId111" Type="http://schemas.openxmlformats.org/officeDocument/2006/relationships/package" Target="embeddings/Microsoft_Excel_Worksheet.xlsx"/><Relationship Id="rId15" Type="http://schemas.openxmlformats.org/officeDocument/2006/relationships/chart" Target="charts/chart7.xml"/><Relationship Id="rId36" Type="http://schemas.openxmlformats.org/officeDocument/2006/relationships/image" Target="media/image11.jpeg"/><Relationship Id="rId57" Type="http://schemas.openxmlformats.org/officeDocument/2006/relationships/hyperlink" Target="https://doi.org/10.52250/bmr.v13i1.924" TargetMode="External"/><Relationship Id="rId106" Type="http://schemas.openxmlformats.org/officeDocument/2006/relationships/chart" Target="charts/chart35.xml"/><Relationship Id="rId127" Type="http://schemas.openxmlformats.org/officeDocument/2006/relationships/footer" Target="footer1.xml"/><Relationship Id="rId10" Type="http://schemas.openxmlformats.org/officeDocument/2006/relationships/chart" Target="charts/chart2.xml"/><Relationship Id="rId31" Type="http://schemas.openxmlformats.org/officeDocument/2006/relationships/image" Target="media/image7.png"/><Relationship Id="rId52" Type="http://schemas.openxmlformats.org/officeDocument/2006/relationships/image" Target="media/image27.jpeg"/><Relationship Id="rId73" Type="http://schemas.openxmlformats.org/officeDocument/2006/relationships/hyperlink" Target="https://doi.org/10.2139/ssrn.2027607" TargetMode="External"/><Relationship Id="rId78" Type="http://schemas.openxmlformats.org/officeDocument/2006/relationships/hyperlink" Target="https://www.britannica.com/money/Tesla-Motors" TargetMode="External"/><Relationship Id="rId94" Type="http://schemas.openxmlformats.org/officeDocument/2006/relationships/chart" Target="charts/chart23.xml"/><Relationship Id="rId99" Type="http://schemas.openxmlformats.org/officeDocument/2006/relationships/chart" Target="charts/chart28.xml"/><Relationship Id="rId101" Type="http://schemas.openxmlformats.org/officeDocument/2006/relationships/chart" Target="charts/chart30.xml"/><Relationship Id="rId122" Type="http://schemas.openxmlformats.org/officeDocument/2006/relationships/image" Target="media/image39.png"/><Relationship Id="rId4" Type="http://schemas.openxmlformats.org/officeDocument/2006/relationships/webSettings" Target="webSettings.xml"/><Relationship Id="rId9" Type="http://schemas.openxmlformats.org/officeDocument/2006/relationships/chart" Target="charts/chart1.xml"/><Relationship Id="rId26" Type="http://schemas.openxmlformats.org/officeDocument/2006/relationships/chart" Target="charts/chart18.xml"/></Relationships>
</file>

<file path=word/charts/_rels/chart1.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file:///D:\MY%20RESEARCH%20HUB\2026.04.19%20FIM%20LCMB7002%20Financial%20Management%201\Tesla%20Inc..xlsx" TargetMode="External"/><Relationship Id="rId2" Type="http://schemas.microsoft.com/office/2011/relationships/chartColorStyle" Target="colors38.xml"/><Relationship Id="rId1" Type="http://schemas.microsoft.com/office/2011/relationships/chartStyle" Target="style3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Gross Profit Margin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Profitability!$B$5:$F$5</c:f>
              <c:numCache>
                <c:formatCode>General</c:formatCode>
                <c:ptCount val="5"/>
                <c:pt idx="0">
                  <c:v>2020</c:v>
                </c:pt>
                <c:pt idx="1">
                  <c:v>2021</c:v>
                </c:pt>
                <c:pt idx="2">
                  <c:v>2022</c:v>
                </c:pt>
                <c:pt idx="3">
                  <c:v>2023</c:v>
                </c:pt>
                <c:pt idx="4">
                  <c:v>2024</c:v>
                </c:pt>
              </c:numCache>
            </c:numRef>
          </c:cat>
          <c:val>
            <c:numRef>
              <c:f>Profitability!$B$8:$F$8</c:f>
              <c:numCache>
                <c:formatCode>0.00%</c:formatCode>
                <c:ptCount val="5"/>
                <c:pt idx="0">
                  <c:v>0.2102359208523592</c:v>
                </c:pt>
                <c:pt idx="1">
                  <c:v>0.25279155751258753</c:v>
                </c:pt>
                <c:pt idx="2">
                  <c:v>0.25598438535759005</c:v>
                </c:pt>
                <c:pt idx="3">
                  <c:v>0.18248891736331416</c:v>
                </c:pt>
                <c:pt idx="4">
                  <c:v>0.17862626676220697</c:v>
                </c:pt>
              </c:numCache>
            </c:numRef>
          </c:val>
          <c:smooth val="0"/>
          <c:extLst>
            <c:ext xmlns:c16="http://schemas.microsoft.com/office/drawing/2014/chart" uri="{C3380CC4-5D6E-409C-BE32-E72D297353CC}">
              <c16:uniqueId val="{00000000-D29B-4397-BCB8-8C83BEB77B51}"/>
            </c:ext>
          </c:extLst>
        </c:ser>
        <c:dLbls>
          <c:dLblPos val="t"/>
          <c:showLegendKey val="0"/>
          <c:showVal val="1"/>
          <c:showCatName val="0"/>
          <c:showSerName val="0"/>
          <c:showPercent val="0"/>
          <c:showBubbleSize val="0"/>
        </c:dLbls>
        <c:marker val="1"/>
        <c:smooth val="0"/>
        <c:axId val="1367272047"/>
        <c:axId val="1367260527"/>
      </c:lineChart>
      <c:catAx>
        <c:axId val="13672720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67260527"/>
        <c:crosses val="autoZero"/>
        <c:auto val="1"/>
        <c:lblAlgn val="ctr"/>
        <c:lblOffset val="100"/>
        <c:noMultiLvlLbl val="0"/>
      </c:catAx>
      <c:valAx>
        <c:axId val="136726052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672720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Operating Profit Margin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Profitability!$B$12:$F$12</c:f>
              <c:numCache>
                <c:formatCode>General</c:formatCode>
                <c:ptCount val="5"/>
                <c:pt idx="0">
                  <c:v>2020</c:v>
                </c:pt>
                <c:pt idx="1">
                  <c:v>2021</c:v>
                </c:pt>
                <c:pt idx="2">
                  <c:v>2022</c:v>
                </c:pt>
                <c:pt idx="3">
                  <c:v>2023</c:v>
                </c:pt>
                <c:pt idx="4">
                  <c:v>2024</c:v>
                </c:pt>
              </c:numCache>
            </c:numRef>
          </c:cat>
          <c:val>
            <c:numRef>
              <c:f>Profitability!$B$15:$F$15</c:f>
              <c:numCache>
                <c:formatCode>0.00%</c:formatCode>
                <c:ptCount val="5"/>
                <c:pt idx="0">
                  <c:v>6.3229325215626589E-2</c:v>
                </c:pt>
                <c:pt idx="1">
                  <c:v>0.12119354179440016</c:v>
                </c:pt>
                <c:pt idx="2">
                  <c:v>0.16763644398615304</c:v>
                </c:pt>
                <c:pt idx="3">
                  <c:v>9.1874799789197395E-2</c:v>
                </c:pt>
                <c:pt idx="4">
                  <c:v>7.2433207083631893E-2</c:v>
                </c:pt>
              </c:numCache>
            </c:numRef>
          </c:val>
          <c:smooth val="0"/>
          <c:extLst>
            <c:ext xmlns:c16="http://schemas.microsoft.com/office/drawing/2014/chart" uri="{C3380CC4-5D6E-409C-BE32-E72D297353CC}">
              <c16:uniqueId val="{00000000-C067-4FBF-B8E8-97EA4C8BEFEC}"/>
            </c:ext>
          </c:extLst>
        </c:ser>
        <c:dLbls>
          <c:dLblPos val="t"/>
          <c:showLegendKey val="0"/>
          <c:showVal val="1"/>
          <c:showCatName val="0"/>
          <c:showSerName val="0"/>
          <c:showPercent val="0"/>
          <c:showBubbleSize val="0"/>
        </c:dLbls>
        <c:marker val="1"/>
        <c:smooth val="0"/>
        <c:axId val="1367244687"/>
        <c:axId val="1367267247"/>
      </c:lineChart>
      <c:catAx>
        <c:axId val="13672446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67267247"/>
        <c:crosses val="autoZero"/>
        <c:auto val="1"/>
        <c:lblAlgn val="ctr"/>
        <c:lblOffset val="100"/>
        <c:noMultiLvlLbl val="0"/>
      </c:catAx>
      <c:valAx>
        <c:axId val="136726724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6724468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Net Profit Margin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Profitability!$B$19:$F$19</c:f>
              <c:numCache>
                <c:formatCode>General</c:formatCode>
                <c:ptCount val="5"/>
                <c:pt idx="0">
                  <c:v>2020</c:v>
                </c:pt>
                <c:pt idx="1">
                  <c:v>2021</c:v>
                </c:pt>
                <c:pt idx="2">
                  <c:v>2022</c:v>
                </c:pt>
                <c:pt idx="3">
                  <c:v>2023</c:v>
                </c:pt>
                <c:pt idx="4">
                  <c:v>2024</c:v>
                </c:pt>
              </c:numCache>
            </c:numRef>
          </c:cat>
          <c:val>
            <c:numRef>
              <c:f>Profitability!$B$22:$F$22</c:f>
              <c:numCache>
                <c:formatCode>0.00%</c:formatCode>
                <c:ptCount val="5"/>
                <c:pt idx="0">
                  <c:v>2.7333840690005072E-2</c:v>
                </c:pt>
                <c:pt idx="1">
                  <c:v>0.10486223361759843</c:v>
                </c:pt>
                <c:pt idx="2">
                  <c:v>0.15451376101740688</c:v>
                </c:pt>
                <c:pt idx="3">
                  <c:v>0.1547332417099811</c:v>
                </c:pt>
                <c:pt idx="4">
                  <c:v>7.322141467908691E-2</c:v>
                </c:pt>
              </c:numCache>
            </c:numRef>
          </c:val>
          <c:smooth val="0"/>
          <c:extLst>
            <c:ext xmlns:c16="http://schemas.microsoft.com/office/drawing/2014/chart" uri="{C3380CC4-5D6E-409C-BE32-E72D297353CC}">
              <c16:uniqueId val="{00000000-FF3F-48B2-A8AB-D59A41B65C4C}"/>
            </c:ext>
          </c:extLst>
        </c:ser>
        <c:dLbls>
          <c:dLblPos val="t"/>
          <c:showLegendKey val="0"/>
          <c:showVal val="1"/>
          <c:showCatName val="0"/>
          <c:showSerName val="0"/>
          <c:showPercent val="0"/>
          <c:showBubbleSize val="0"/>
        </c:dLbls>
        <c:marker val="1"/>
        <c:smooth val="0"/>
        <c:axId val="1354238415"/>
        <c:axId val="1354249935"/>
      </c:lineChart>
      <c:catAx>
        <c:axId val="13542384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54249935"/>
        <c:crosses val="autoZero"/>
        <c:auto val="1"/>
        <c:lblAlgn val="ctr"/>
        <c:lblOffset val="100"/>
        <c:noMultiLvlLbl val="0"/>
      </c:catAx>
      <c:valAx>
        <c:axId val="1354249935"/>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423841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Return on Assets (ROA)</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Profitability!$B$26:$F$26</c:f>
              <c:numCache>
                <c:formatCode>General</c:formatCode>
                <c:ptCount val="5"/>
                <c:pt idx="0">
                  <c:v>2020</c:v>
                </c:pt>
                <c:pt idx="1">
                  <c:v>2021</c:v>
                </c:pt>
                <c:pt idx="2">
                  <c:v>2022</c:v>
                </c:pt>
                <c:pt idx="3">
                  <c:v>2023</c:v>
                </c:pt>
                <c:pt idx="4">
                  <c:v>2024</c:v>
                </c:pt>
              </c:numCache>
            </c:numRef>
          </c:cat>
          <c:val>
            <c:numRef>
              <c:f>Profitability!$B$29:$F$29</c:f>
              <c:numCache>
                <c:formatCode>0.00%</c:formatCode>
                <c:ptCount val="5"/>
                <c:pt idx="0">
                  <c:v>1.6529876505330981E-2</c:v>
                </c:pt>
                <c:pt idx="1">
                  <c:v>9.0840321256699552E-2</c:v>
                </c:pt>
                <c:pt idx="2">
                  <c:v>0.15286987782069034</c:v>
                </c:pt>
                <c:pt idx="3">
                  <c:v>0.14044532818098257</c:v>
                </c:pt>
                <c:pt idx="4">
                  <c:v>5.8597526009666584E-2</c:v>
                </c:pt>
              </c:numCache>
            </c:numRef>
          </c:val>
          <c:smooth val="0"/>
          <c:extLst>
            <c:ext xmlns:c16="http://schemas.microsoft.com/office/drawing/2014/chart" uri="{C3380CC4-5D6E-409C-BE32-E72D297353CC}">
              <c16:uniqueId val="{00000000-AFA9-4959-98AE-CE0ACCD18288}"/>
            </c:ext>
          </c:extLst>
        </c:ser>
        <c:dLbls>
          <c:dLblPos val="t"/>
          <c:showLegendKey val="0"/>
          <c:showVal val="1"/>
          <c:showCatName val="0"/>
          <c:showSerName val="0"/>
          <c:showPercent val="0"/>
          <c:showBubbleSize val="0"/>
        </c:dLbls>
        <c:marker val="1"/>
        <c:smooth val="0"/>
        <c:axId val="97286607"/>
        <c:axId val="97274127"/>
      </c:lineChart>
      <c:catAx>
        <c:axId val="972866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274127"/>
        <c:crosses val="autoZero"/>
        <c:auto val="1"/>
        <c:lblAlgn val="ctr"/>
        <c:lblOffset val="100"/>
        <c:noMultiLvlLbl val="0"/>
      </c:catAx>
      <c:valAx>
        <c:axId val="9727412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660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Return on Equity (ROE)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Profitability!$B$33:$F$33</c:f>
              <c:numCache>
                <c:formatCode>General</c:formatCode>
                <c:ptCount val="5"/>
                <c:pt idx="0">
                  <c:v>2020</c:v>
                </c:pt>
                <c:pt idx="1">
                  <c:v>2021</c:v>
                </c:pt>
                <c:pt idx="2">
                  <c:v>2022</c:v>
                </c:pt>
                <c:pt idx="3">
                  <c:v>2023</c:v>
                </c:pt>
                <c:pt idx="4">
                  <c:v>2024</c:v>
                </c:pt>
              </c:numCache>
            </c:numRef>
          </c:cat>
          <c:val>
            <c:numRef>
              <c:f>Profitability!$B$36:$F$36</c:f>
              <c:numCache>
                <c:formatCode>0.00%</c:formatCode>
                <c:ptCount val="5"/>
                <c:pt idx="0">
                  <c:v>3.8785151856017996E-2</c:v>
                </c:pt>
                <c:pt idx="1">
                  <c:v>0.18695551359766802</c:v>
                </c:pt>
                <c:pt idx="2">
                  <c:v>0.28156317108088763</c:v>
                </c:pt>
                <c:pt idx="3">
                  <c:v>0.23907143085225277</c:v>
                </c:pt>
                <c:pt idx="4">
                  <c:v>9.8103218904722067E-2</c:v>
                </c:pt>
              </c:numCache>
            </c:numRef>
          </c:val>
          <c:smooth val="0"/>
          <c:extLst>
            <c:ext xmlns:c16="http://schemas.microsoft.com/office/drawing/2014/chart" uri="{C3380CC4-5D6E-409C-BE32-E72D297353CC}">
              <c16:uniqueId val="{00000000-2097-4D3B-B41E-AD14112EE11C}"/>
            </c:ext>
          </c:extLst>
        </c:ser>
        <c:dLbls>
          <c:dLblPos val="t"/>
          <c:showLegendKey val="0"/>
          <c:showVal val="1"/>
          <c:showCatName val="0"/>
          <c:showSerName val="0"/>
          <c:showPercent val="0"/>
          <c:showBubbleSize val="0"/>
        </c:dLbls>
        <c:marker val="1"/>
        <c:smooth val="0"/>
        <c:axId val="97285647"/>
        <c:axId val="97300047"/>
      </c:lineChart>
      <c:catAx>
        <c:axId val="972856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00047"/>
        <c:crosses val="autoZero"/>
        <c:auto val="1"/>
        <c:lblAlgn val="ctr"/>
        <c:lblOffset val="100"/>
        <c:noMultiLvlLbl val="0"/>
      </c:catAx>
      <c:valAx>
        <c:axId val="9730004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56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Liquidity!$B$5:$F$5</c:f>
              <c:numCache>
                <c:formatCode>General</c:formatCode>
                <c:ptCount val="5"/>
                <c:pt idx="0">
                  <c:v>2020</c:v>
                </c:pt>
                <c:pt idx="1">
                  <c:v>2021</c:v>
                </c:pt>
                <c:pt idx="2">
                  <c:v>2022</c:v>
                </c:pt>
                <c:pt idx="3">
                  <c:v>2023</c:v>
                </c:pt>
                <c:pt idx="4">
                  <c:v>2024</c:v>
                </c:pt>
              </c:numCache>
            </c:numRef>
          </c:cat>
          <c:val>
            <c:numRef>
              <c:f>Liquidity!$B$8:$F$8</c:f>
              <c:numCache>
                <c:formatCode>0.00</c:formatCode>
                <c:ptCount val="5"/>
                <c:pt idx="0">
                  <c:v>1.3558487693478813</c:v>
                </c:pt>
                <c:pt idx="1">
                  <c:v>1.3752854605430094</c:v>
                </c:pt>
                <c:pt idx="2">
                  <c:v>1.53195552061103</c:v>
                </c:pt>
                <c:pt idx="3">
                  <c:v>1.7258939752330598</c:v>
                </c:pt>
                <c:pt idx="4">
                  <c:v>2.0249123902709831</c:v>
                </c:pt>
              </c:numCache>
            </c:numRef>
          </c:val>
          <c:smooth val="0"/>
          <c:extLst>
            <c:ext xmlns:c16="http://schemas.microsoft.com/office/drawing/2014/chart" uri="{C3380CC4-5D6E-409C-BE32-E72D297353CC}">
              <c16:uniqueId val="{00000000-F7B6-4878-9044-3F2DE6A0ECA0}"/>
            </c:ext>
          </c:extLst>
        </c:ser>
        <c:dLbls>
          <c:dLblPos val="t"/>
          <c:showLegendKey val="0"/>
          <c:showVal val="1"/>
          <c:showCatName val="0"/>
          <c:showSerName val="0"/>
          <c:showPercent val="0"/>
          <c:showBubbleSize val="0"/>
        </c:dLbls>
        <c:marker val="1"/>
        <c:smooth val="0"/>
        <c:axId val="97280847"/>
        <c:axId val="97277007"/>
      </c:lineChart>
      <c:catAx>
        <c:axId val="972808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277007"/>
        <c:crosses val="autoZero"/>
        <c:auto val="1"/>
        <c:lblAlgn val="ctr"/>
        <c:lblOffset val="100"/>
        <c:noMultiLvlLbl val="0"/>
      </c:catAx>
      <c:valAx>
        <c:axId val="9727700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08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Quick Ratio (Acid-Test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Liquidity!$B$12:$F$12</c:f>
              <c:numCache>
                <c:formatCode>General</c:formatCode>
                <c:ptCount val="5"/>
                <c:pt idx="0">
                  <c:v>2020</c:v>
                </c:pt>
                <c:pt idx="1">
                  <c:v>2021</c:v>
                </c:pt>
                <c:pt idx="2">
                  <c:v>2022</c:v>
                </c:pt>
                <c:pt idx="3">
                  <c:v>2023</c:v>
                </c:pt>
                <c:pt idx="4">
                  <c:v>2024</c:v>
                </c:pt>
              </c:numCache>
            </c:numRef>
          </c:cat>
          <c:val>
            <c:numRef>
              <c:f>Liquidity!$B$16:$F$16</c:f>
              <c:numCache>
                <c:formatCode>0.00</c:formatCode>
                <c:ptCount val="5"/>
                <c:pt idx="0">
                  <c:v>1.1477290027911697</c:v>
                </c:pt>
                <c:pt idx="1">
                  <c:v>1.0831261101243339</c:v>
                </c:pt>
                <c:pt idx="2">
                  <c:v>1.0512561308922086</c:v>
                </c:pt>
                <c:pt idx="3">
                  <c:v>1.2519131765688047</c:v>
                </c:pt>
                <c:pt idx="4">
                  <c:v>1.6079594739946568</c:v>
                </c:pt>
              </c:numCache>
            </c:numRef>
          </c:val>
          <c:smooth val="0"/>
          <c:extLst>
            <c:ext xmlns:c16="http://schemas.microsoft.com/office/drawing/2014/chart" uri="{C3380CC4-5D6E-409C-BE32-E72D297353CC}">
              <c16:uniqueId val="{00000000-23AA-4D0D-B400-79160A064078}"/>
            </c:ext>
          </c:extLst>
        </c:ser>
        <c:dLbls>
          <c:dLblPos val="t"/>
          <c:showLegendKey val="0"/>
          <c:showVal val="1"/>
          <c:showCatName val="0"/>
          <c:showSerName val="0"/>
          <c:showPercent val="0"/>
          <c:showBubbleSize val="0"/>
        </c:dLbls>
        <c:marker val="1"/>
        <c:smooth val="0"/>
        <c:axId val="97313967"/>
        <c:axId val="97312527"/>
      </c:lineChart>
      <c:catAx>
        <c:axId val="973139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12527"/>
        <c:crosses val="autoZero"/>
        <c:auto val="1"/>
        <c:lblAlgn val="ctr"/>
        <c:lblOffset val="100"/>
        <c:noMultiLvlLbl val="0"/>
      </c:catAx>
      <c:valAx>
        <c:axId val="9731252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39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Inventory Turnover</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Efficiency!$B$5:$F$5</c:f>
              <c:numCache>
                <c:formatCode>General</c:formatCode>
                <c:ptCount val="5"/>
                <c:pt idx="0">
                  <c:v>2020</c:v>
                </c:pt>
                <c:pt idx="1">
                  <c:v>2021</c:v>
                </c:pt>
                <c:pt idx="2">
                  <c:v>2022</c:v>
                </c:pt>
                <c:pt idx="3">
                  <c:v>2023</c:v>
                </c:pt>
                <c:pt idx="4">
                  <c:v>2024</c:v>
                </c:pt>
              </c:numCache>
            </c:numRef>
          </c:cat>
          <c:val>
            <c:numRef>
              <c:f>Efficiency!$B$10:$F$10</c:f>
              <c:numCache>
                <c:formatCode>0.00</c:formatCode>
                <c:ptCount val="5"/>
                <c:pt idx="0">
                  <c:v>6.5088200705605646</c:v>
                </c:pt>
                <c:pt idx="1">
                  <c:v>8.1592615134915807</c:v>
                </c:pt>
                <c:pt idx="2">
                  <c:v>6.5184986018498599</c:v>
                </c:pt>
                <c:pt idx="3">
                  <c:v>5.9786888343094651</c:v>
                </c:pt>
                <c:pt idx="4">
                  <c:v>6.2582381156650939</c:v>
                </c:pt>
              </c:numCache>
            </c:numRef>
          </c:val>
          <c:smooth val="0"/>
          <c:extLst>
            <c:ext xmlns:c16="http://schemas.microsoft.com/office/drawing/2014/chart" uri="{C3380CC4-5D6E-409C-BE32-E72D297353CC}">
              <c16:uniqueId val="{00000000-92CF-4E8C-A012-4CE9DED12AAB}"/>
            </c:ext>
          </c:extLst>
        </c:ser>
        <c:dLbls>
          <c:dLblPos val="t"/>
          <c:showLegendKey val="0"/>
          <c:showVal val="1"/>
          <c:showCatName val="0"/>
          <c:showSerName val="0"/>
          <c:showPercent val="0"/>
          <c:showBubbleSize val="0"/>
        </c:dLbls>
        <c:marker val="1"/>
        <c:smooth val="0"/>
        <c:axId val="97278447"/>
        <c:axId val="97292847"/>
      </c:lineChart>
      <c:catAx>
        <c:axId val="972784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292847"/>
        <c:crosses val="autoZero"/>
        <c:auto val="1"/>
        <c:lblAlgn val="ctr"/>
        <c:lblOffset val="100"/>
        <c:noMultiLvlLbl val="0"/>
      </c:catAx>
      <c:valAx>
        <c:axId val="9729284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784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Receivables Collection Period (Days)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Efficiency!$B$14:$F$14</c:f>
              <c:numCache>
                <c:formatCode>General</c:formatCode>
                <c:ptCount val="5"/>
                <c:pt idx="0">
                  <c:v>2020</c:v>
                </c:pt>
                <c:pt idx="1">
                  <c:v>2021</c:v>
                </c:pt>
                <c:pt idx="2">
                  <c:v>2022</c:v>
                </c:pt>
                <c:pt idx="3">
                  <c:v>2023</c:v>
                </c:pt>
                <c:pt idx="4">
                  <c:v>2024</c:v>
                </c:pt>
              </c:numCache>
            </c:numRef>
          </c:cat>
          <c:val>
            <c:numRef>
              <c:f>Efficiency!$B$17:$F$17</c:f>
              <c:numCache>
                <c:formatCode>0</c:formatCode>
                <c:ptCount val="5"/>
                <c:pt idx="0">
                  <c:v>21.828703703703702</c:v>
                </c:pt>
                <c:pt idx="1">
                  <c:v>12.972985526633597</c:v>
                </c:pt>
                <c:pt idx="2">
                  <c:v>13.22678058481255</c:v>
                </c:pt>
                <c:pt idx="3">
                  <c:v>13.23116985109483</c:v>
                </c:pt>
                <c:pt idx="4">
                  <c:v>16.507011976660866</c:v>
                </c:pt>
              </c:numCache>
            </c:numRef>
          </c:val>
          <c:smooth val="0"/>
          <c:extLst>
            <c:ext xmlns:c16="http://schemas.microsoft.com/office/drawing/2014/chart" uri="{C3380CC4-5D6E-409C-BE32-E72D297353CC}">
              <c16:uniqueId val="{00000000-5410-4287-A232-D45717A580CA}"/>
            </c:ext>
          </c:extLst>
        </c:ser>
        <c:dLbls>
          <c:dLblPos val="t"/>
          <c:showLegendKey val="0"/>
          <c:showVal val="1"/>
          <c:showCatName val="0"/>
          <c:showSerName val="0"/>
          <c:showPercent val="0"/>
          <c:showBubbleSize val="0"/>
        </c:dLbls>
        <c:marker val="1"/>
        <c:smooth val="0"/>
        <c:axId val="97314927"/>
        <c:axId val="97305327"/>
      </c:lineChart>
      <c:catAx>
        <c:axId val="973149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05327"/>
        <c:crosses val="autoZero"/>
        <c:auto val="1"/>
        <c:lblAlgn val="ctr"/>
        <c:lblOffset val="100"/>
        <c:noMultiLvlLbl val="0"/>
      </c:catAx>
      <c:valAx>
        <c:axId val="97305327"/>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492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Payables Payment Period (Days)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Efficiency!$B$21:$F$21</c:f>
              <c:numCache>
                <c:formatCode>General</c:formatCode>
                <c:ptCount val="5"/>
                <c:pt idx="0">
                  <c:v>2020</c:v>
                </c:pt>
                <c:pt idx="1">
                  <c:v>2021</c:v>
                </c:pt>
                <c:pt idx="2">
                  <c:v>2022</c:v>
                </c:pt>
                <c:pt idx="3">
                  <c:v>2023</c:v>
                </c:pt>
                <c:pt idx="4">
                  <c:v>2024</c:v>
                </c:pt>
              </c:numCache>
            </c:numRef>
          </c:cat>
          <c:val>
            <c:numRef>
              <c:f>Efficiency!$B$24:$F$24</c:f>
              <c:numCache>
                <c:formatCode>0</c:formatCode>
                <c:ptCount val="5"/>
                <c:pt idx="0">
                  <c:v>88.678029390508314</c:v>
                </c:pt>
                <c:pt idx="1">
                  <c:v>90.984533903573123</c:v>
                </c:pt>
                <c:pt idx="2">
                  <c:v>91.868781864079594</c:v>
                </c:pt>
                <c:pt idx="3">
                  <c:v>66.579639250186446</c:v>
                </c:pt>
                <c:pt idx="4">
                  <c:v>56.742397806580264</c:v>
                </c:pt>
              </c:numCache>
            </c:numRef>
          </c:val>
          <c:smooth val="0"/>
          <c:extLst>
            <c:ext xmlns:c16="http://schemas.microsoft.com/office/drawing/2014/chart" uri="{C3380CC4-5D6E-409C-BE32-E72D297353CC}">
              <c16:uniqueId val="{00000000-AE8F-4597-9677-2BC5B860AA99}"/>
            </c:ext>
          </c:extLst>
        </c:ser>
        <c:dLbls>
          <c:dLblPos val="t"/>
          <c:showLegendKey val="0"/>
          <c:showVal val="1"/>
          <c:showCatName val="0"/>
          <c:showSerName val="0"/>
          <c:showPercent val="0"/>
          <c:showBubbleSize val="0"/>
        </c:dLbls>
        <c:marker val="1"/>
        <c:smooth val="0"/>
        <c:axId val="97321167"/>
        <c:axId val="97329807"/>
      </c:lineChart>
      <c:catAx>
        <c:axId val="973211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29807"/>
        <c:crosses val="autoZero"/>
        <c:auto val="1"/>
        <c:lblAlgn val="ctr"/>
        <c:lblOffset val="100"/>
        <c:noMultiLvlLbl val="0"/>
      </c:catAx>
      <c:valAx>
        <c:axId val="97329807"/>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211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Total Asset Turnover</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Efficiency!$B$28:$F$28</c:f>
              <c:numCache>
                <c:formatCode>General</c:formatCode>
                <c:ptCount val="5"/>
                <c:pt idx="0">
                  <c:v>2020</c:v>
                </c:pt>
                <c:pt idx="1">
                  <c:v>2021</c:v>
                </c:pt>
                <c:pt idx="2">
                  <c:v>2022</c:v>
                </c:pt>
                <c:pt idx="3">
                  <c:v>2023</c:v>
                </c:pt>
                <c:pt idx="4">
                  <c:v>2024</c:v>
                </c:pt>
              </c:numCache>
            </c:numRef>
          </c:cat>
          <c:val>
            <c:numRef>
              <c:f>Efficiency!$B$31:$F$31</c:f>
              <c:numCache>
                <c:formatCode>0.00</c:formatCode>
                <c:ptCount val="5"/>
                <c:pt idx="0">
                  <c:v>0.60474035437600671</c:v>
                </c:pt>
                <c:pt idx="1">
                  <c:v>0.86628253206933736</c:v>
                </c:pt>
                <c:pt idx="2">
                  <c:v>0.98936092691102528</c:v>
                </c:pt>
                <c:pt idx="3">
                  <c:v>0.90766099532911892</c:v>
                </c:pt>
                <c:pt idx="4">
                  <c:v>0.80027852871303351</c:v>
                </c:pt>
              </c:numCache>
            </c:numRef>
          </c:val>
          <c:smooth val="0"/>
          <c:extLst>
            <c:ext xmlns:c16="http://schemas.microsoft.com/office/drawing/2014/chart" uri="{C3380CC4-5D6E-409C-BE32-E72D297353CC}">
              <c16:uniqueId val="{00000000-92B3-4050-95C6-B649B74C0D2F}"/>
            </c:ext>
          </c:extLst>
        </c:ser>
        <c:dLbls>
          <c:dLblPos val="t"/>
          <c:showLegendKey val="0"/>
          <c:showVal val="1"/>
          <c:showCatName val="0"/>
          <c:showSerName val="0"/>
          <c:showPercent val="0"/>
          <c:showBubbleSize val="0"/>
        </c:dLbls>
        <c:marker val="1"/>
        <c:smooth val="0"/>
        <c:axId val="97337487"/>
        <c:axId val="97335567"/>
      </c:lineChart>
      <c:catAx>
        <c:axId val="973374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35567"/>
        <c:crosses val="autoZero"/>
        <c:auto val="1"/>
        <c:lblAlgn val="ctr"/>
        <c:lblOffset val="100"/>
        <c:noMultiLvlLbl val="0"/>
      </c:catAx>
      <c:valAx>
        <c:axId val="9733556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3748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Debt to Equity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Gearing!$B$5:$F$5</c:f>
              <c:numCache>
                <c:formatCode>General</c:formatCode>
                <c:ptCount val="5"/>
                <c:pt idx="0">
                  <c:v>2020</c:v>
                </c:pt>
                <c:pt idx="1">
                  <c:v>2021</c:v>
                </c:pt>
                <c:pt idx="2">
                  <c:v>2022</c:v>
                </c:pt>
                <c:pt idx="3">
                  <c:v>2023</c:v>
                </c:pt>
                <c:pt idx="4">
                  <c:v>2024</c:v>
                </c:pt>
              </c:numCache>
            </c:numRef>
          </c:cat>
          <c:val>
            <c:numRef>
              <c:f>Gearing!$B$8:$F$8</c:f>
              <c:numCache>
                <c:formatCode>0.00</c:formatCode>
                <c:ptCount val="5"/>
                <c:pt idx="0">
                  <c:v>1.2786501687289089</c:v>
                </c:pt>
                <c:pt idx="1">
                  <c:v>1.0118917486501706</c:v>
                </c:pt>
                <c:pt idx="2">
                  <c:v>0.81513958482462423</c:v>
                </c:pt>
                <c:pt idx="3">
                  <c:v>0.68667177571287163</c:v>
                </c:pt>
                <c:pt idx="4">
                  <c:v>0.66366765871655264</c:v>
                </c:pt>
              </c:numCache>
            </c:numRef>
          </c:val>
          <c:smooth val="0"/>
          <c:extLst>
            <c:ext xmlns:c16="http://schemas.microsoft.com/office/drawing/2014/chart" uri="{C3380CC4-5D6E-409C-BE32-E72D297353CC}">
              <c16:uniqueId val="{00000000-F117-4255-AA34-2A0DBB21FCE9}"/>
            </c:ext>
          </c:extLst>
        </c:ser>
        <c:dLbls>
          <c:dLblPos val="t"/>
          <c:showLegendKey val="0"/>
          <c:showVal val="1"/>
          <c:showCatName val="0"/>
          <c:showSerName val="0"/>
          <c:showPercent val="0"/>
          <c:showBubbleSize val="0"/>
        </c:dLbls>
        <c:marker val="1"/>
        <c:smooth val="0"/>
        <c:axId val="97310607"/>
        <c:axId val="97316367"/>
      </c:lineChart>
      <c:catAx>
        <c:axId val="973106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16367"/>
        <c:crosses val="autoZero"/>
        <c:auto val="1"/>
        <c:lblAlgn val="ctr"/>
        <c:lblOffset val="100"/>
        <c:noMultiLvlLbl val="0"/>
      </c:catAx>
      <c:valAx>
        <c:axId val="9731636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060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Interest Coverage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Gearing!$B$12:$F$12</c:f>
              <c:numCache>
                <c:formatCode>General</c:formatCode>
                <c:ptCount val="5"/>
                <c:pt idx="0">
                  <c:v>2020</c:v>
                </c:pt>
                <c:pt idx="1">
                  <c:v>2021</c:v>
                </c:pt>
                <c:pt idx="2">
                  <c:v>2022</c:v>
                </c:pt>
                <c:pt idx="3">
                  <c:v>2023</c:v>
                </c:pt>
                <c:pt idx="4">
                  <c:v>2024</c:v>
                </c:pt>
              </c:numCache>
            </c:numRef>
          </c:cat>
          <c:val>
            <c:numRef>
              <c:f>Gearing!$B$15:$F$15</c:f>
              <c:numCache>
                <c:formatCode>0.00</c:formatCode>
                <c:ptCount val="5"/>
                <c:pt idx="0">
                  <c:v>2.6657754010695189</c:v>
                </c:pt>
                <c:pt idx="1">
                  <c:v>17.5822102425876</c:v>
                </c:pt>
                <c:pt idx="2">
                  <c:v>71.497382198952877</c:v>
                </c:pt>
                <c:pt idx="3">
                  <c:v>56.993589743589745</c:v>
                </c:pt>
                <c:pt idx="4">
                  <c:v>20.217142857142857</c:v>
                </c:pt>
              </c:numCache>
            </c:numRef>
          </c:val>
          <c:smooth val="0"/>
          <c:extLst>
            <c:ext xmlns:c16="http://schemas.microsoft.com/office/drawing/2014/chart" uri="{C3380CC4-5D6E-409C-BE32-E72D297353CC}">
              <c16:uniqueId val="{00000000-ECA4-493E-B1BA-7B4126C73D7A}"/>
            </c:ext>
          </c:extLst>
        </c:ser>
        <c:dLbls>
          <c:dLblPos val="t"/>
          <c:showLegendKey val="0"/>
          <c:showVal val="1"/>
          <c:showCatName val="0"/>
          <c:showSerName val="0"/>
          <c:showPercent val="0"/>
          <c:showBubbleSize val="0"/>
        </c:dLbls>
        <c:marker val="1"/>
        <c:smooth val="0"/>
        <c:axId val="1112506399"/>
        <c:axId val="1112513119"/>
      </c:lineChart>
      <c:catAx>
        <c:axId val="11125063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112513119"/>
        <c:crosses val="autoZero"/>
        <c:auto val="1"/>
        <c:lblAlgn val="ctr"/>
        <c:lblOffset val="100"/>
        <c:noMultiLvlLbl val="0"/>
      </c:catAx>
      <c:valAx>
        <c:axId val="1112513119"/>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125063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Earnings per Share (EPS)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Investment!$A$6</c:f>
              <c:strCache>
                <c:ptCount val="1"/>
                <c:pt idx="0">
                  <c:v>Basic EPS ($)</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Investment!$B$5:$F$5</c:f>
              <c:numCache>
                <c:formatCode>General</c:formatCode>
                <c:ptCount val="5"/>
                <c:pt idx="0">
                  <c:v>2020</c:v>
                </c:pt>
                <c:pt idx="1">
                  <c:v>2021</c:v>
                </c:pt>
                <c:pt idx="2">
                  <c:v>2022</c:v>
                </c:pt>
                <c:pt idx="3">
                  <c:v>2023</c:v>
                </c:pt>
                <c:pt idx="4">
                  <c:v>2024</c:v>
                </c:pt>
              </c:numCache>
            </c:numRef>
          </c:cat>
          <c:val>
            <c:numRef>
              <c:f>Investment!$B$6:$F$6</c:f>
              <c:numCache>
                <c:formatCode>General</c:formatCode>
                <c:ptCount val="5"/>
                <c:pt idx="0">
                  <c:v>0.25</c:v>
                </c:pt>
                <c:pt idx="1">
                  <c:v>1.87</c:v>
                </c:pt>
                <c:pt idx="2">
                  <c:v>4.0199999999999996</c:v>
                </c:pt>
                <c:pt idx="3">
                  <c:v>4.7300000000000004</c:v>
                </c:pt>
                <c:pt idx="4">
                  <c:v>2.23</c:v>
                </c:pt>
              </c:numCache>
            </c:numRef>
          </c:val>
          <c:smooth val="0"/>
          <c:extLst>
            <c:ext xmlns:c16="http://schemas.microsoft.com/office/drawing/2014/chart" uri="{C3380CC4-5D6E-409C-BE32-E72D297353CC}">
              <c16:uniqueId val="{00000000-1BD4-460A-AB47-4ECEF28B02A7}"/>
            </c:ext>
          </c:extLst>
        </c:ser>
        <c:ser>
          <c:idx val="1"/>
          <c:order val="1"/>
          <c:tx>
            <c:strRef>
              <c:f>Investment!$A$7</c:f>
              <c:strCache>
                <c:ptCount val="1"/>
                <c:pt idx="0">
                  <c:v>Diluted EPS ($)</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Investment!$B$5:$F$5</c:f>
              <c:numCache>
                <c:formatCode>General</c:formatCode>
                <c:ptCount val="5"/>
                <c:pt idx="0">
                  <c:v>2020</c:v>
                </c:pt>
                <c:pt idx="1">
                  <c:v>2021</c:v>
                </c:pt>
                <c:pt idx="2">
                  <c:v>2022</c:v>
                </c:pt>
                <c:pt idx="3">
                  <c:v>2023</c:v>
                </c:pt>
                <c:pt idx="4">
                  <c:v>2024</c:v>
                </c:pt>
              </c:numCache>
            </c:numRef>
          </c:cat>
          <c:val>
            <c:numRef>
              <c:f>Investment!$B$7:$F$7</c:f>
              <c:numCache>
                <c:formatCode>General</c:formatCode>
                <c:ptCount val="5"/>
                <c:pt idx="0">
                  <c:v>0.21</c:v>
                </c:pt>
                <c:pt idx="1">
                  <c:v>1.63</c:v>
                </c:pt>
                <c:pt idx="2">
                  <c:v>3.62</c:v>
                </c:pt>
                <c:pt idx="3">
                  <c:v>4.3</c:v>
                </c:pt>
                <c:pt idx="4">
                  <c:v>2.04</c:v>
                </c:pt>
              </c:numCache>
            </c:numRef>
          </c:val>
          <c:smooth val="0"/>
          <c:extLst>
            <c:ext xmlns:c16="http://schemas.microsoft.com/office/drawing/2014/chart" uri="{C3380CC4-5D6E-409C-BE32-E72D297353CC}">
              <c16:uniqueId val="{00000001-1BD4-460A-AB47-4ECEF28B02A7}"/>
            </c:ext>
          </c:extLst>
        </c:ser>
        <c:dLbls>
          <c:dLblPos val="t"/>
          <c:showLegendKey val="0"/>
          <c:showVal val="1"/>
          <c:showCatName val="0"/>
          <c:showSerName val="0"/>
          <c:showPercent val="0"/>
          <c:showBubbleSize val="0"/>
        </c:dLbls>
        <c:marker val="1"/>
        <c:smooth val="0"/>
        <c:axId val="1112508319"/>
        <c:axId val="1112515999"/>
      </c:lineChart>
      <c:catAx>
        <c:axId val="11125083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112515999"/>
        <c:crosses val="autoZero"/>
        <c:auto val="1"/>
        <c:lblAlgn val="ctr"/>
        <c:lblOffset val="100"/>
        <c:noMultiLvlLbl val="0"/>
      </c:catAx>
      <c:valAx>
        <c:axId val="1112515999"/>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1250831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Price/Earnings Ratio (P/E)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Investment!$B$11:$F$11</c:f>
              <c:numCache>
                <c:formatCode>General</c:formatCode>
                <c:ptCount val="5"/>
                <c:pt idx="0">
                  <c:v>2020</c:v>
                </c:pt>
                <c:pt idx="1">
                  <c:v>2021</c:v>
                </c:pt>
                <c:pt idx="2">
                  <c:v>2022</c:v>
                </c:pt>
                <c:pt idx="3">
                  <c:v>2023</c:v>
                </c:pt>
                <c:pt idx="4">
                  <c:v>2024</c:v>
                </c:pt>
              </c:numCache>
            </c:numRef>
          </c:cat>
          <c:val>
            <c:numRef>
              <c:f>Investment!$B$14:$F$14</c:f>
              <c:numCache>
                <c:formatCode>0.00</c:formatCode>
                <c:ptCount val="5"/>
                <c:pt idx="0">
                  <c:v>3357.1428571428573</c:v>
                </c:pt>
                <c:pt idx="1">
                  <c:v>647.85276073619639</c:v>
                </c:pt>
                <c:pt idx="2">
                  <c:v>33.97790055248619</c:v>
                </c:pt>
                <c:pt idx="3">
                  <c:v>57.674418604651166</c:v>
                </c:pt>
                <c:pt idx="4">
                  <c:v>122.54901960784314</c:v>
                </c:pt>
              </c:numCache>
            </c:numRef>
          </c:val>
          <c:smooth val="0"/>
          <c:extLst>
            <c:ext xmlns:c16="http://schemas.microsoft.com/office/drawing/2014/chart" uri="{C3380CC4-5D6E-409C-BE32-E72D297353CC}">
              <c16:uniqueId val="{00000000-C9DF-421F-BE72-D4028AB5AF3A}"/>
            </c:ext>
          </c:extLst>
        </c:ser>
        <c:dLbls>
          <c:dLblPos val="t"/>
          <c:showLegendKey val="0"/>
          <c:showVal val="1"/>
          <c:showCatName val="0"/>
          <c:showSerName val="0"/>
          <c:showPercent val="0"/>
          <c:showBubbleSize val="0"/>
        </c:dLbls>
        <c:marker val="1"/>
        <c:smooth val="0"/>
        <c:axId val="1108187599"/>
        <c:axId val="1108189519"/>
      </c:lineChart>
      <c:catAx>
        <c:axId val="11081875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108189519"/>
        <c:crosses val="autoZero"/>
        <c:auto val="1"/>
        <c:lblAlgn val="ctr"/>
        <c:lblOffset val="100"/>
        <c:noMultiLvlLbl val="0"/>
      </c:catAx>
      <c:valAx>
        <c:axId val="1108189519"/>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081875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Flow'!$A$6</c:f>
              <c:strCache>
                <c:ptCount val="1"/>
                <c:pt idx="0">
                  <c:v>Operating Cash Flow ($m)</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Flow'!$B$5:$F$5</c:f>
              <c:numCache>
                <c:formatCode>General</c:formatCode>
                <c:ptCount val="5"/>
                <c:pt idx="0">
                  <c:v>2020</c:v>
                </c:pt>
                <c:pt idx="1">
                  <c:v>2021</c:v>
                </c:pt>
                <c:pt idx="2">
                  <c:v>2022</c:v>
                </c:pt>
                <c:pt idx="3">
                  <c:v>2023</c:v>
                </c:pt>
                <c:pt idx="4">
                  <c:v>2024</c:v>
                </c:pt>
              </c:numCache>
            </c:numRef>
          </c:cat>
          <c:val>
            <c:numRef>
              <c:f>'Cash Flow'!$B$6:$F$6</c:f>
              <c:numCache>
                <c:formatCode>#,##0</c:formatCode>
                <c:ptCount val="5"/>
                <c:pt idx="0">
                  <c:v>5943</c:v>
                </c:pt>
                <c:pt idx="1">
                  <c:v>11497</c:v>
                </c:pt>
                <c:pt idx="2">
                  <c:v>14724</c:v>
                </c:pt>
                <c:pt idx="3">
                  <c:v>13256</c:v>
                </c:pt>
                <c:pt idx="4">
                  <c:v>13740</c:v>
                </c:pt>
              </c:numCache>
            </c:numRef>
          </c:val>
          <c:smooth val="0"/>
          <c:extLst>
            <c:ext xmlns:c16="http://schemas.microsoft.com/office/drawing/2014/chart" uri="{C3380CC4-5D6E-409C-BE32-E72D297353CC}">
              <c16:uniqueId val="{00000000-78F4-4EF3-8CA7-8992EE6CF0DE}"/>
            </c:ext>
          </c:extLst>
        </c:ser>
        <c:dLbls>
          <c:dLblPos val="t"/>
          <c:showLegendKey val="0"/>
          <c:showVal val="1"/>
          <c:showCatName val="0"/>
          <c:showSerName val="0"/>
          <c:showPercent val="0"/>
          <c:showBubbleSize val="0"/>
        </c:dLbls>
        <c:marker val="1"/>
        <c:smooth val="0"/>
        <c:axId val="97325967"/>
        <c:axId val="97331727"/>
      </c:lineChart>
      <c:catAx>
        <c:axId val="973259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31727"/>
        <c:crosses val="autoZero"/>
        <c:auto val="1"/>
        <c:lblAlgn val="ctr"/>
        <c:lblOffset val="100"/>
        <c:noMultiLvlLbl val="0"/>
      </c:catAx>
      <c:valAx>
        <c:axId val="97331727"/>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259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Free Cash Flow (FCF)</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Flow'!$B$10:$F$10</c:f>
              <c:numCache>
                <c:formatCode>General</c:formatCode>
                <c:ptCount val="5"/>
                <c:pt idx="0">
                  <c:v>2020</c:v>
                </c:pt>
                <c:pt idx="1">
                  <c:v>2021</c:v>
                </c:pt>
                <c:pt idx="2">
                  <c:v>2022</c:v>
                </c:pt>
                <c:pt idx="3">
                  <c:v>2023</c:v>
                </c:pt>
                <c:pt idx="4">
                  <c:v>2024</c:v>
                </c:pt>
              </c:numCache>
            </c:numRef>
          </c:cat>
          <c:val>
            <c:numRef>
              <c:f>'Cash Flow'!$B$13:$F$13</c:f>
              <c:numCache>
                <c:formatCode>0</c:formatCode>
                <c:ptCount val="5"/>
                <c:pt idx="0">
                  <c:v>2811</c:v>
                </c:pt>
                <c:pt idx="1">
                  <c:v>5015</c:v>
                </c:pt>
                <c:pt idx="2">
                  <c:v>7566</c:v>
                </c:pt>
                <c:pt idx="3">
                  <c:v>4357</c:v>
                </c:pt>
                <c:pt idx="4">
                  <c:v>4551</c:v>
                </c:pt>
              </c:numCache>
            </c:numRef>
          </c:val>
          <c:smooth val="0"/>
          <c:extLst>
            <c:ext xmlns:c16="http://schemas.microsoft.com/office/drawing/2014/chart" uri="{C3380CC4-5D6E-409C-BE32-E72D297353CC}">
              <c16:uniqueId val="{00000000-3D2F-48DF-8EA7-DEEE79AB3A02}"/>
            </c:ext>
          </c:extLst>
        </c:ser>
        <c:dLbls>
          <c:dLblPos val="t"/>
          <c:showLegendKey val="0"/>
          <c:showVal val="1"/>
          <c:showCatName val="0"/>
          <c:showSerName val="0"/>
          <c:showPercent val="0"/>
          <c:showBubbleSize val="0"/>
        </c:dLbls>
        <c:marker val="1"/>
        <c:smooth val="0"/>
        <c:axId val="1354208655"/>
        <c:axId val="1354215855"/>
      </c:lineChart>
      <c:catAx>
        <c:axId val="1354208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54215855"/>
        <c:crosses val="autoZero"/>
        <c:auto val="1"/>
        <c:lblAlgn val="ctr"/>
        <c:lblOffset val="100"/>
        <c:noMultiLvlLbl val="0"/>
      </c:catAx>
      <c:valAx>
        <c:axId val="1354215855"/>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420865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Cash Flow Adequacy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Flow'!$B$17:$F$17</c:f>
              <c:numCache>
                <c:formatCode>General</c:formatCode>
                <c:ptCount val="5"/>
                <c:pt idx="0">
                  <c:v>2020</c:v>
                </c:pt>
                <c:pt idx="1">
                  <c:v>2021</c:v>
                </c:pt>
                <c:pt idx="2">
                  <c:v>2022</c:v>
                </c:pt>
                <c:pt idx="3">
                  <c:v>2023</c:v>
                </c:pt>
                <c:pt idx="4">
                  <c:v>2024</c:v>
                </c:pt>
              </c:numCache>
            </c:numRef>
          </c:cat>
          <c:val>
            <c:numRef>
              <c:f>'Cash Flow'!$B$20:$F$20</c:f>
              <c:numCache>
                <c:formatCode>0.00</c:formatCode>
                <c:ptCount val="5"/>
                <c:pt idx="0">
                  <c:v>1.8975095785440612</c:v>
                </c:pt>
                <c:pt idx="1">
                  <c:v>1.7736809626658439</c:v>
                </c:pt>
                <c:pt idx="2">
                  <c:v>2.0569991617770329</c:v>
                </c:pt>
                <c:pt idx="3">
                  <c:v>1.4896055736599618</c:v>
                </c:pt>
                <c:pt idx="4">
                  <c:v>1.495266079007509</c:v>
                </c:pt>
              </c:numCache>
            </c:numRef>
          </c:val>
          <c:smooth val="0"/>
          <c:extLst>
            <c:ext xmlns:c16="http://schemas.microsoft.com/office/drawing/2014/chart" uri="{C3380CC4-5D6E-409C-BE32-E72D297353CC}">
              <c16:uniqueId val="{00000000-5FA6-4912-BA9F-A2D1ACCBD2F5}"/>
            </c:ext>
          </c:extLst>
        </c:ser>
        <c:dLbls>
          <c:dLblPos val="t"/>
          <c:showLegendKey val="0"/>
          <c:showVal val="1"/>
          <c:showCatName val="0"/>
          <c:showSerName val="0"/>
          <c:showPercent val="0"/>
          <c:showBubbleSize val="0"/>
        </c:dLbls>
        <c:marker val="1"/>
        <c:smooth val="0"/>
        <c:axId val="97310127"/>
        <c:axId val="97327887"/>
      </c:lineChart>
      <c:catAx>
        <c:axId val="973101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27887"/>
        <c:crosses val="autoZero"/>
        <c:auto val="1"/>
        <c:lblAlgn val="ctr"/>
        <c:lblOffset val="100"/>
        <c:noMultiLvlLbl val="0"/>
      </c:catAx>
      <c:valAx>
        <c:axId val="9732788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012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Cash Conversion Cycle (CCC)</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Lbl>
              <c:idx val="0"/>
              <c:layout>
                <c:manualLayout>
                  <c:x val="-9.9076552930883646E-2"/>
                  <c:y val="6.947907553222505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884-40A4-B58A-1530E9946621}"/>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Conversion Cycle (CCC)'!$B$5:$F$5</c:f>
              <c:numCache>
                <c:formatCode>General</c:formatCode>
                <c:ptCount val="5"/>
                <c:pt idx="0">
                  <c:v>2020</c:v>
                </c:pt>
                <c:pt idx="1">
                  <c:v>2021</c:v>
                </c:pt>
                <c:pt idx="2">
                  <c:v>2022</c:v>
                </c:pt>
                <c:pt idx="3">
                  <c:v>2023</c:v>
                </c:pt>
                <c:pt idx="4">
                  <c:v>2024</c:v>
                </c:pt>
              </c:numCache>
            </c:numRef>
          </c:cat>
          <c:val>
            <c:numRef>
              <c:f>'Cash Conversion Cycle (CCC)'!$B$10:$F$10</c:f>
              <c:numCache>
                <c:formatCode>0.00</c:formatCode>
                <c:ptCount val="5"/>
                <c:pt idx="0">
                  <c:v>-10.77157333797301</c:v>
                </c:pt>
                <c:pt idx="1">
                  <c:v>-33.277107717516898</c:v>
                </c:pt>
                <c:pt idx="2">
                  <c:v>-22.647512011996511</c:v>
                </c:pt>
                <c:pt idx="3">
                  <c:v>7.7017056669531598</c:v>
                </c:pt>
                <c:pt idx="4">
                  <c:v>18.087738546949986</c:v>
                </c:pt>
              </c:numCache>
            </c:numRef>
          </c:val>
          <c:smooth val="0"/>
          <c:extLst>
            <c:ext xmlns:c16="http://schemas.microsoft.com/office/drawing/2014/chart" uri="{C3380CC4-5D6E-409C-BE32-E72D297353CC}">
              <c16:uniqueId val="{00000001-8884-40A4-B58A-1530E9946621}"/>
            </c:ext>
          </c:extLst>
        </c:ser>
        <c:dLbls>
          <c:dLblPos val="t"/>
          <c:showLegendKey val="0"/>
          <c:showVal val="1"/>
          <c:showCatName val="0"/>
          <c:showSerName val="0"/>
          <c:showPercent val="0"/>
          <c:showBubbleSize val="0"/>
        </c:dLbls>
        <c:marker val="1"/>
        <c:smooth val="0"/>
        <c:axId val="97293327"/>
        <c:axId val="97282287"/>
      </c:lineChart>
      <c:catAx>
        <c:axId val="972933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282287"/>
        <c:crosses val="autoZero"/>
        <c:auto val="1"/>
        <c:lblAlgn val="ctr"/>
        <c:lblOffset val="100"/>
        <c:noMultiLvlLbl val="0"/>
      </c:catAx>
      <c:valAx>
        <c:axId val="9728228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9332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Gross Profit Margin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Profitability!$B$5:$F$5</c:f>
              <c:numCache>
                <c:formatCode>General</c:formatCode>
                <c:ptCount val="5"/>
                <c:pt idx="0">
                  <c:v>2020</c:v>
                </c:pt>
                <c:pt idx="1">
                  <c:v>2021</c:v>
                </c:pt>
                <c:pt idx="2">
                  <c:v>2022</c:v>
                </c:pt>
                <c:pt idx="3">
                  <c:v>2023</c:v>
                </c:pt>
                <c:pt idx="4">
                  <c:v>2024</c:v>
                </c:pt>
              </c:numCache>
            </c:numRef>
          </c:cat>
          <c:val>
            <c:numRef>
              <c:f>Profitability!$B$8:$F$8</c:f>
              <c:numCache>
                <c:formatCode>0.00%</c:formatCode>
                <c:ptCount val="5"/>
                <c:pt idx="0">
                  <c:v>0.2102359208523592</c:v>
                </c:pt>
                <c:pt idx="1">
                  <c:v>0.25279155751258753</c:v>
                </c:pt>
                <c:pt idx="2">
                  <c:v>0.25598438535759005</c:v>
                </c:pt>
                <c:pt idx="3">
                  <c:v>0.18248891736331416</c:v>
                </c:pt>
                <c:pt idx="4">
                  <c:v>0.17862626676220697</c:v>
                </c:pt>
              </c:numCache>
            </c:numRef>
          </c:val>
          <c:smooth val="0"/>
          <c:extLst>
            <c:ext xmlns:c16="http://schemas.microsoft.com/office/drawing/2014/chart" uri="{C3380CC4-5D6E-409C-BE32-E72D297353CC}">
              <c16:uniqueId val="{00000000-27FC-40C9-820E-68A45DCA01DB}"/>
            </c:ext>
          </c:extLst>
        </c:ser>
        <c:dLbls>
          <c:dLblPos val="t"/>
          <c:showLegendKey val="0"/>
          <c:showVal val="1"/>
          <c:showCatName val="0"/>
          <c:showSerName val="0"/>
          <c:showPercent val="0"/>
          <c:showBubbleSize val="0"/>
        </c:dLbls>
        <c:marker val="1"/>
        <c:smooth val="0"/>
        <c:axId val="1367272047"/>
        <c:axId val="1367260527"/>
      </c:lineChart>
      <c:catAx>
        <c:axId val="13672720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67260527"/>
        <c:crosses val="autoZero"/>
        <c:auto val="1"/>
        <c:lblAlgn val="ctr"/>
        <c:lblOffset val="100"/>
        <c:noMultiLvlLbl val="0"/>
      </c:catAx>
      <c:valAx>
        <c:axId val="136726052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672720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Operating Profit Margin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Profitability!$B$12:$F$12</c:f>
              <c:numCache>
                <c:formatCode>General</c:formatCode>
                <c:ptCount val="5"/>
                <c:pt idx="0">
                  <c:v>2020</c:v>
                </c:pt>
                <c:pt idx="1">
                  <c:v>2021</c:v>
                </c:pt>
                <c:pt idx="2">
                  <c:v>2022</c:v>
                </c:pt>
                <c:pt idx="3">
                  <c:v>2023</c:v>
                </c:pt>
                <c:pt idx="4">
                  <c:v>2024</c:v>
                </c:pt>
              </c:numCache>
            </c:numRef>
          </c:cat>
          <c:val>
            <c:numRef>
              <c:f>Profitability!$B$15:$F$15</c:f>
              <c:numCache>
                <c:formatCode>0.00%</c:formatCode>
                <c:ptCount val="5"/>
                <c:pt idx="0">
                  <c:v>6.3229325215626589E-2</c:v>
                </c:pt>
                <c:pt idx="1">
                  <c:v>0.12119354179440016</c:v>
                </c:pt>
                <c:pt idx="2">
                  <c:v>0.16763644398615304</c:v>
                </c:pt>
                <c:pt idx="3">
                  <c:v>9.1874799789197395E-2</c:v>
                </c:pt>
                <c:pt idx="4">
                  <c:v>7.2433207083631893E-2</c:v>
                </c:pt>
              </c:numCache>
            </c:numRef>
          </c:val>
          <c:smooth val="0"/>
          <c:extLst>
            <c:ext xmlns:c16="http://schemas.microsoft.com/office/drawing/2014/chart" uri="{C3380CC4-5D6E-409C-BE32-E72D297353CC}">
              <c16:uniqueId val="{00000000-A2DD-4C01-8207-954D373D6F45}"/>
            </c:ext>
          </c:extLst>
        </c:ser>
        <c:dLbls>
          <c:dLblPos val="t"/>
          <c:showLegendKey val="0"/>
          <c:showVal val="1"/>
          <c:showCatName val="0"/>
          <c:showSerName val="0"/>
          <c:showPercent val="0"/>
          <c:showBubbleSize val="0"/>
        </c:dLbls>
        <c:marker val="1"/>
        <c:smooth val="0"/>
        <c:axId val="1367244687"/>
        <c:axId val="1367267247"/>
      </c:lineChart>
      <c:catAx>
        <c:axId val="13672446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67267247"/>
        <c:crosses val="autoZero"/>
        <c:auto val="1"/>
        <c:lblAlgn val="ctr"/>
        <c:lblOffset val="100"/>
        <c:noMultiLvlLbl val="0"/>
      </c:catAx>
      <c:valAx>
        <c:axId val="136726724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6724468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Net Profit Margin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Profitability!$B$19:$F$19</c:f>
              <c:numCache>
                <c:formatCode>General</c:formatCode>
                <c:ptCount val="5"/>
                <c:pt idx="0">
                  <c:v>2020</c:v>
                </c:pt>
                <c:pt idx="1">
                  <c:v>2021</c:v>
                </c:pt>
                <c:pt idx="2">
                  <c:v>2022</c:v>
                </c:pt>
                <c:pt idx="3">
                  <c:v>2023</c:v>
                </c:pt>
                <c:pt idx="4">
                  <c:v>2024</c:v>
                </c:pt>
              </c:numCache>
            </c:numRef>
          </c:cat>
          <c:val>
            <c:numRef>
              <c:f>Profitability!$B$22:$F$22</c:f>
              <c:numCache>
                <c:formatCode>0.00%</c:formatCode>
                <c:ptCount val="5"/>
                <c:pt idx="0">
                  <c:v>2.7333840690005072E-2</c:v>
                </c:pt>
                <c:pt idx="1">
                  <c:v>0.10486223361759843</c:v>
                </c:pt>
                <c:pt idx="2">
                  <c:v>0.15451376101740688</c:v>
                </c:pt>
                <c:pt idx="3">
                  <c:v>0.1547332417099811</c:v>
                </c:pt>
                <c:pt idx="4">
                  <c:v>7.322141467908691E-2</c:v>
                </c:pt>
              </c:numCache>
            </c:numRef>
          </c:val>
          <c:smooth val="0"/>
          <c:extLst>
            <c:ext xmlns:c16="http://schemas.microsoft.com/office/drawing/2014/chart" uri="{C3380CC4-5D6E-409C-BE32-E72D297353CC}">
              <c16:uniqueId val="{00000000-FC9D-419C-A837-DD70CF10F60D}"/>
            </c:ext>
          </c:extLst>
        </c:ser>
        <c:dLbls>
          <c:dLblPos val="t"/>
          <c:showLegendKey val="0"/>
          <c:showVal val="1"/>
          <c:showCatName val="0"/>
          <c:showSerName val="0"/>
          <c:showPercent val="0"/>
          <c:showBubbleSize val="0"/>
        </c:dLbls>
        <c:marker val="1"/>
        <c:smooth val="0"/>
        <c:axId val="1354238415"/>
        <c:axId val="1354249935"/>
      </c:lineChart>
      <c:catAx>
        <c:axId val="13542384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54249935"/>
        <c:crosses val="autoZero"/>
        <c:auto val="1"/>
        <c:lblAlgn val="ctr"/>
        <c:lblOffset val="100"/>
        <c:noMultiLvlLbl val="0"/>
      </c:catAx>
      <c:valAx>
        <c:axId val="1354249935"/>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423841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Net Profit Margin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Profitability!$B$19:$F$19</c:f>
              <c:numCache>
                <c:formatCode>General</c:formatCode>
                <c:ptCount val="5"/>
                <c:pt idx="0">
                  <c:v>2020</c:v>
                </c:pt>
                <c:pt idx="1">
                  <c:v>2021</c:v>
                </c:pt>
                <c:pt idx="2">
                  <c:v>2022</c:v>
                </c:pt>
                <c:pt idx="3">
                  <c:v>2023</c:v>
                </c:pt>
                <c:pt idx="4">
                  <c:v>2024</c:v>
                </c:pt>
              </c:numCache>
            </c:numRef>
          </c:cat>
          <c:val>
            <c:numRef>
              <c:f>Profitability!$B$22:$F$22</c:f>
              <c:numCache>
                <c:formatCode>0.00%</c:formatCode>
                <c:ptCount val="5"/>
                <c:pt idx="0">
                  <c:v>2.7333840690005072E-2</c:v>
                </c:pt>
                <c:pt idx="1">
                  <c:v>0.10486223361759843</c:v>
                </c:pt>
                <c:pt idx="2">
                  <c:v>0.15451376101740688</c:v>
                </c:pt>
                <c:pt idx="3">
                  <c:v>0.1547332417099811</c:v>
                </c:pt>
                <c:pt idx="4">
                  <c:v>7.322141467908691E-2</c:v>
                </c:pt>
              </c:numCache>
            </c:numRef>
          </c:val>
          <c:smooth val="0"/>
          <c:extLst>
            <c:ext xmlns:c16="http://schemas.microsoft.com/office/drawing/2014/chart" uri="{C3380CC4-5D6E-409C-BE32-E72D297353CC}">
              <c16:uniqueId val="{00000000-C516-44C1-8CFB-ADF017926073}"/>
            </c:ext>
          </c:extLst>
        </c:ser>
        <c:dLbls>
          <c:dLblPos val="t"/>
          <c:showLegendKey val="0"/>
          <c:showVal val="1"/>
          <c:showCatName val="0"/>
          <c:showSerName val="0"/>
          <c:showPercent val="0"/>
          <c:showBubbleSize val="0"/>
        </c:dLbls>
        <c:marker val="1"/>
        <c:smooth val="0"/>
        <c:axId val="1354238415"/>
        <c:axId val="1354249935"/>
      </c:lineChart>
      <c:catAx>
        <c:axId val="13542384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54249935"/>
        <c:crosses val="autoZero"/>
        <c:auto val="1"/>
        <c:lblAlgn val="ctr"/>
        <c:lblOffset val="100"/>
        <c:noMultiLvlLbl val="0"/>
      </c:catAx>
      <c:valAx>
        <c:axId val="1354249935"/>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423841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Return on Equity (ROE)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Profitability!$B$33:$F$33</c:f>
              <c:numCache>
                <c:formatCode>General</c:formatCode>
                <c:ptCount val="5"/>
                <c:pt idx="0">
                  <c:v>2020</c:v>
                </c:pt>
                <c:pt idx="1">
                  <c:v>2021</c:v>
                </c:pt>
                <c:pt idx="2">
                  <c:v>2022</c:v>
                </c:pt>
                <c:pt idx="3">
                  <c:v>2023</c:v>
                </c:pt>
                <c:pt idx="4">
                  <c:v>2024</c:v>
                </c:pt>
              </c:numCache>
            </c:numRef>
          </c:cat>
          <c:val>
            <c:numRef>
              <c:f>Profitability!$B$36:$F$36</c:f>
              <c:numCache>
                <c:formatCode>0.00%</c:formatCode>
                <c:ptCount val="5"/>
                <c:pt idx="0">
                  <c:v>3.8785151856017996E-2</c:v>
                </c:pt>
                <c:pt idx="1">
                  <c:v>0.18695551359766802</c:v>
                </c:pt>
                <c:pt idx="2">
                  <c:v>0.28156317108088763</c:v>
                </c:pt>
                <c:pt idx="3">
                  <c:v>0.23907143085225277</c:v>
                </c:pt>
                <c:pt idx="4">
                  <c:v>9.8103218904722067E-2</c:v>
                </c:pt>
              </c:numCache>
            </c:numRef>
          </c:val>
          <c:smooth val="0"/>
          <c:extLst>
            <c:ext xmlns:c16="http://schemas.microsoft.com/office/drawing/2014/chart" uri="{C3380CC4-5D6E-409C-BE32-E72D297353CC}">
              <c16:uniqueId val="{00000000-66D6-4828-90E7-4E28BDA520C6}"/>
            </c:ext>
          </c:extLst>
        </c:ser>
        <c:dLbls>
          <c:dLblPos val="t"/>
          <c:showLegendKey val="0"/>
          <c:showVal val="1"/>
          <c:showCatName val="0"/>
          <c:showSerName val="0"/>
          <c:showPercent val="0"/>
          <c:showBubbleSize val="0"/>
        </c:dLbls>
        <c:marker val="1"/>
        <c:smooth val="0"/>
        <c:axId val="97285647"/>
        <c:axId val="97300047"/>
      </c:lineChart>
      <c:catAx>
        <c:axId val="972856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00047"/>
        <c:crosses val="autoZero"/>
        <c:auto val="1"/>
        <c:lblAlgn val="ctr"/>
        <c:lblOffset val="100"/>
        <c:noMultiLvlLbl val="0"/>
      </c:catAx>
      <c:valAx>
        <c:axId val="9730004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56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Liquidity!$B$5:$F$5</c:f>
              <c:numCache>
                <c:formatCode>General</c:formatCode>
                <c:ptCount val="5"/>
                <c:pt idx="0">
                  <c:v>2020</c:v>
                </c:pt>
                <c:pt idx="1">
                  <c:v>2021</c:v>
                </c:pt>
                <c:pt idx="2">
                  <c:v>2022</c:v>
                </c:pt>
                <c:pt idx="3">
                  <c:v>2023</c:v>
                </c:pt>
                <c:pt idx="4">
                  <c:v>2024</c:v>
                </c:pt>
              </c:numCache>
            </c:numRef>
          </c:cat>
          <c:val>
            <c:numRef>
              <c:f>Liquidity!$B$8:$F$8</c:f>
              <c:numCache>
                <c:formatCode>0.00</c:formatCode>
                <c:ptCount val="5"/>
                <c:pt idx="0">
                  <c:v>1.3558487693478813</c:v>
                </c:pt>
                <c:pt idx="1">
                  <c:v>1.3752854605430094</c:v>
                </c:pt>
                <c:pt idx="2">
                  <c:v>1.53195552061103</c:v>
                </c:pt>
                <c:pt idx="3">
                  <c:v>1.7258939752330598</c:v>
                </c:pt>
                <c:pt idx="4">
                  <c:v>2.0249123902709831</c:v>
                </c:pt>
              </c:numCache>
            </c:numRef>
          </c:val>
          <c:smooth val="0"/>
          <c:extLst>
            <c:ext xmlns:c16="http://schemas.microsoft.com/office/drawing/2014/chart" uri="{C3380CC4-5D6E-409C-BE32-E72D297353CC}">
              <c16:uniqueId val="{00000000-1267-41DA-8110-3A11429F522A}"/>
            </c:ext>
          </c:extLst>
        </c:ser>
        <c:dLbls>
          <c:dLblPos val="t"/>
          <c:showLegendKey val="0"/>
          <c:showVal val="1"/>
          <c:showCatName val="0"/>
          <c:showSerName val="0"/>
          <c:showPercent val="0"/>
          <c:showBubbleSize val="0"/>
        </c:dLbls>
        <c:marker val="1"/>
        <c:smooth val="0"/>
        <c:axId val="97280847"/>
        <c:axId val="97277007"/>
      </c:lineChart>
      <c:catAx>
        <c:axId val="972808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277007"/>
        <c:crosses val="autoZero"/>
        <c:auto val="1"/>
        <c:lblAlgn val="ctr"/>
        <c:lblOffset val="100"/>
        <c:noMultiLvlLbl val="0"/>
      </c:catAx>
      <c:valAx>
        <c:axId val="9727700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08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Quick Ratio (Acid-Test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Liquidity!$B$12:$F$12</c:f>
              <c:numCache>
                <c:formatCode>General</c:formatCode>
                <c:ptCount val="5"/>
                <c:pt idx="0">
                  <c:v>2020</c:v>
                </c:pt>
                <c:pt idx="1">
                  <c:v>2021</c:v>
                </c:pt>
                <c:pt idx="2">
                  <c:v>2022</c:v>
                </c:pt>
                <c:pt idx="3">
                  <c:v>2023</c:v>
                </c:pt>
                <c:pt idx="4">
                  <c:v>2024</c:v>
                </c:pt>
              </c:numCache>
            </c:numRef>
          </c:cat>
          <c:val>
            <c:numRef>
              <c:f>Liquidity!$B$16:$F$16</c:f>
              <c:numCache>
                <c:formatCode>0.00</c:formatCode>
                <c:ptCount val="5"/>
                <c:pt idx="0">
                  <c:v>1.1477290027911697</c:v>
                </c:pt>
                <c:pt idx="1">
                  <c:v>1.0831261101243339</c:v>
                </c:pt>
                <c:pt idx="2">
                  <c:v>1.0512561308922086</c:v>
                </c:pt>
                <c:pt idx="3">
                  <c:v>1.2519131765688047</c:v>
                </c:pt>
                <c:pt idx="4">
                  <c:v>1.6079594739946568</c:v>
                </c:pt>
              </c:numCache>
            </c:numRef>
          </c:val>
          <c:smooth val="0"/>
          <c:extLst>
            <c:ext xmlns:c16="http://schemas.microsoft.com/office/drawing/2014/chart" uri="{C3380CC4-5D6E-409C-BE32-E72D297353CC}">
              <c16:uniqueId val="{00000000-FBB0-4E1B-86AD-A5434DB71ACC}"/>
            </c:ext>
          </c:extLst>
        </c:ser>
        <c:dLbls>
          <c:dLblPos val="t"/>
          <c:showLegendKey val="0"/>
          <c:showVal val="1"/>
          <c:showCatName val="0"/>
          <c:showSerName val="0"/>
          <c:showPercent val="0"/>
          <c:showBubbleSize val="0"/>
        </c:dLbls>
        <c:marker val="1"/>
        <c:smooth val="0"/>
        <c:axId val="97313967"/>
        <c:axId val="97312527"/>
      </c:lineChart>
      <c:catAx>
        <c:axId val="973139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12527"/>
        <c:crosses val="autoZero"/>
        <c:auto val="1"/>
        <c:lblAlgn val="ctr"/>
        <c:lblOffset val="100"/>
        <c:noMultiLvlLbl val="0"/>
      </c:catAx>
      <c:valAx>
        <c:axId val="9731252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39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Inventory Turnover</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Efficiency!$B$5:$F$5</c:f>
              <c:numCache>
                <c:formatCode>General</c:formatCode>
                <c:ptCount val="5"/>
                <c:pt idx="0">
                  <c:v>2020</c:v>
                </c:pt>
                <c:pt idx="1">
                  <c:v>2021</c:v>
                </c:pt>
                <c:pt idx="2">
                  <c:v>2022</c:v>
                </c:pt>
                <c:pt idx="3">
                  <c:v>2023</c:v>
                </c:pt>
                <c:pt idx="4">
                  <c:v>2024</c:v>
                </c:pt>
              </c:numCache>
            </c:numRef>
          </c:cat>
          <c:val>
            <c:numRef>
              <c:f>Efficiency!$B$10:$F$10</c:f>
              <c:numCache>
                <c:formatCode>0.00</c:formatCode>
                <c:ptCount val="5"/>
                <c:pt idx="0">
                  <c:v>6.5088200705605646</c:v>
                </c:pt>
                <c:pt idx="1">
                  <c:v>8.1592615134915807</c:v>
                </c:pt>
                <c:pt idx="2">
                  <c:v>6.5184986018498599</c:v>
                </c:pt>
                <c:pt idx="3">
                  <c:v>5.9786888343094651</c:v>
                </c:pt>
                <c:pt idx="4">
                  <c:v>6.2582381156650939</c:v>
                </c:pt>
              </c:numCache>
            </c:numRef>
          </c:val>
          <c:smooth val="0"/>
          <c:extLst>
            <c:ext xmlns:c16="http://schemas.microsoft.com/office/drawing/2014/chart" uri="{C3380CC4-5D6E-409C-BE32-E72D297353CC}">
              <c16:uniqueId val="{00000000-876A-470E-B783-B771BED256D7}"/>
            </c:ext>
          </c:extLst>
        </c:ser>
        <c:dLbls>
          <c:dLblPos val="t"/>
          <c:showLegendKey val="0"/>
          <c:showVal val="1"/>
          <c:showCatName val="0"/>
          <c:showSerName val="0"/>
          <c:showPercent val="0"/>
          <c:showBubbleSize val="0"/>
        </c:dLbls>
        <c:marker val="1"/>
        <c:smooth val="0"/>
        <c:axId val="97278447"/>
        <c:axId val="97292847"/>
      </c:lineChart>
      <c:catAx>
        <c:axId val="972784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292847"/>
        <c:crosses val="autoZero"/>
        <c:auto val="1"/>
        <c:lblAlgn val="ctr"/>
        <c:lblOffset val="100"/>
        <c:noMultiLvlLbl val="0"/>
      </c:catAx>
      <c:valAx>
        <c:axId val="9729284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7844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Receivables Collection Period (Days)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Efficiency!$B$14:$F$14</c:f>
              <c:numCache>
                <c:formatCode>General</c:formatCode>
                <c:ptCount val="5"/>
                <c:pt idx="0">
                  <c:v>2020</c:v>
                </c:pt>
                <c:pt idx="1">
                  <c:v>2021</c:v>
                </c:pt>
                <c:pt idx="2">
                  <c:v>2022</c:v>
                </c:pt>
                <c:pt idx="3">
                  <c:v>2023</c:v>
                </c:pt>
                <c:pt idx="4">
                  <c:v>2024</c:v>
                </c:pt>
              </c:numCache>
            </c:numRef>
          </c:cat>
          <c:val>
            <c:numRef>
              <c:f>Efficiency!$B$17:$F$17</c:f>
              <c:numCache>
                <c:formatCode>0</c:formatCode>
                <c:ptCount val="5"/>
                <c:pt idx="0">
                  <c:v>21.828703703703702</c:v>
                </c:pt>
                <c:pt idx="1">
                  <c:v>12.972985526633597</c:v>
                </c:pt>
                <c:pt idx="2">
                  <c:v>13.22678058481255</c:v>
                </c:pt>
                <c:pt idx="3">
                  <c:v>13.23116985109483</c:v>
                </c:pt>
                <c:pt idx="4">
                  <c:v>16.507011976660866</c:v>
                </c:pt>
              </c:numCache>
            </c:numRef>
          </c:val>
          <c:smooth val="0"/>
          <c:extLst>
            <c:ext xmlns:c16="http://schemas.microsoft.com/office/drawing/2014/chart" uri="{C3380CC4-5D6E-409C-BE32-E72D297353CC}">
              <c16:uniqueId val="{00000000-DC8D-47CE-BB65-9567CAE547A0}"/>
            </c:ext>
          </c:extLst>
        </c:ser>
        <c:dLbls>
          <c:dLblPos val="t"/>
          <c:showLegendKey val="0"/>
          <c:showVal val="1"/>
          <c:showCatName val="0"/>
          <c:showSerName val="0"/>
          <c:showPercent val="0"/>
          <c:showBubbleSize val="0"/>
        </c:dLbls>
        <c:marker val="1"/>
        <c:smooth val="0"/>
        <c:axId val="97314927"/>
        <c:axId val="97305327"/>
      </c:lineChart>
      <c:catAx>
        <c:axId val="973149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05327"/>
        <c:crosses val="autoZero"/>
        <c:auto val="1"/>
        <c:lblAlgn val="ctr"/>
        <c:lblOffset val="100"/>
        <c:noMultiLvlLbl val="0"/>
      </c:catAx>
      <c:valAx>
        <c:axId val="97305327"/>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492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Payables Payment Period (Days)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Efficiency!$B$21:$F$21</c:f>
              <c:numCache>
                <c:formatCode>General</c:formatCode>
                <c:ptCount val="5"/>
                <c:pt idx="0">
                  <c:v>2020</c:v>
                </c:pt>
                <c:pt idx="1">
                  <c:v>2021</c:v>
                </c:pt>
                <c:pt idx="2">
                  <c:v>2022</c:v>
                </c:pt>
                <c:pt idx="3">
                  <c:v>2023</c:v>
                </c:pt>
                <c:pt idx="4">
                  <c:v>2024</c:v>
                </c:pt>
              </c:numCache>
            </c:numRef>
          </c:cat>
          <c:val>
            <c:numRef>
              <c:f>Efficiency!$B$24:$F$24</c:f>
              <c:numCache>
                <c:formatCode>0</c:formatCode>
                <c:ptCount val="5"/>
                <c:pt idx="0">
                  <c:v>88.678029390508314</c:v>
                </c:pt>
                <c:pt idx="1">
                  <c:v>90.984533903573123</c:v>
                </c:pt>
                <c:pt idx="2">
                  <c:v>91.868781864079594</c:v>
                </c:pt>
                <c:pt idx="3">
                  <c:v>66.579639250186446</c:v>
                </c:pt>
                <c:pt idx="4">
                  <c:v>56.742397806580264</c:v>
                </c:pt>
              </c:numCache>
            </c:numRef>
          </c:val>
          <c:smooth val="0"/>
          <c:extLst>
            <c:ext xmlns:c16="http://schemas.microsoft.com/office/drawing/2014/chart" uri="{C3380CC4-5D6E-409C-BE32-E72D297353CC}">
              <c16:uniqueId val="{00000000-7549-43A6-B4D9-EC45BBF512B3}"/>
            </c:ext>
          </c:extLst>
        </c:ser>
        <c:dLbls>
          <c:dLblPos val="t"/>
          <c:showLegendKey val="0"/>
          <c:showVal val="1"/>
          <c:showCatName val="0"/>
          <c:showSerName val="0"/>
          <c:showPercent val="0"/>
          <c:showBubbleSize val="0"/>
        </c:dLbls>
        <c:marker val="1"/>
        <c:smooth val="0"/>
        <c:axId val="97321167"/>
        <c:axId val="97329807"/>
      </c:lineChart>
      <c:catAx>
        <c:axId val="973211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29807"/>
        <c:crosses val="autoZero"/>
        <c:auto val="1"/>
        <c:lblAlgn val="ctr"/>
        <c:lblOffset val="100"/>
        <c:noMultiLvlLbl val="0"/>
      </c:catAx>
      <c:valAx>
        <c:axId val="97329807"/>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211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Total Asset Turnover</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Efficiency!$B$28:$F$28</c:f>
              <c:numCache>
                <c:formatCode>General</c:formatCode>
                <c:ptCount val="5"/>
                <c:pt idx="0">
                  <c:v>2020</c:v>
                </c:pt>
                <c:pt idx="1">
                  <c:v>2021</c:v>
                </c:pt>
                <c:pt idx="2">
                  <c:v>2022</c:v>
                </c:pt>
                <c:pt idx="3">
                  <c:v>2023</c:v>
                </c:pt>
                <c:pt idx="4">
                  <c:v>2024</c:v>
                </c:pt>
              </c:numCache>
            </c:numRef>
          </c:cat>
          <c:val>
            <c:numRef>
              <c:f>Efficiency!$B$31:$F$31</c:f>
              <c:numCache>
                <c:formatCode>0.00</c:formatCode>
                <c:ptCount val="5"/>
                <c:pt idx="0">
                  <c:v>0.60474035437600671</c:v>
                </c:pt>
                <c:pt idx="1">
                  <c:v>0.86628253206933736</c:v>
                </c:pt>
                <c:pt idx="2">
                  <c:v>0.98936092691102528</c:v>
                </c:pt>
                <c:pt idx="3">
                  <c:v>0.90766099532911892</c:v>
                </c:pt>
                <c:pt idx="4">
                  <c:v>0.80027852871303351</c:v>
                </c:pt>
              </c:numCache>
            </c:numRef>
          </c:val>
          <c:smooth val="0"/>
          <c:extLst>
            <c:ext xmlns:c16="http://schemas.microsoft.com/office/drawing/2014/chart" uri="{C3380CC4-5D6E-409C-BE32-E72D297353CC}">
              <c16:uniqueId val="{00000000-7C79-499E-9E20-C55AECFB64CD}"/>
            </c:ext>
          </c:extLst>
        </c:ser>
        <c:dLbls>
          <c:dLblPos val="t"/>
          <c:showLegendKey val="0"/>
          <c:showVal val="1"/>
          <c:showCatName val="0"/>
          <c:showSerName val="0"/>
          <c:showPercent val="0"/>
          <c:showBubbleSize val="0"/>
        </c:dLbls>
        <c:marker val="1"/>
        <c:smooth val="0"/>
        <c:axId val="97337487"/>
        <c:axId val="97335567"/>
      </c:lineChart>
      <c:catAx>
        <c:axId val="973374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35567"/>
        <c:crosses val="autoZero"/>
        <c:auto val="1"/>
        <c:lblAlgn val="ctr"/>
        <c:lblOffset val="100"/>
        <c:noMultiLvlLbl val="0"/>
      </c:catAx>
      <c:valAx>
        <c:axId val="9733556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3748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Debt to Equity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Gearing!$B$5:$F$5</c:f>
              <c:numCache>
                <c:formatCode>General</c:formatCode>
                <c:ptCount val="5"/>
                <c:pt idx="0">
                  <c:v>2020</c:v>
                </c:pt>
                <c:pt idx="1">
                  <c:v>2021</c:v>
                </c:pt>
                <c:pt idx="2">
                  <c:v>2022</c:v>
                </c:pt>
                <c:pt idx="3">
                  <c:v>2023</c:v>
                </c:pt>
                <c:pt idx="4">
                  <c:v>2024</c:v>
                </c:pt>
              </c:numCache>
            </c:numRef>
          </c:cat>
          <c:val>
            <c:numRef>
              <c:f>Gearing!$B$8:$F$8</c:f>
              <c:numCache>
                <c:formatCode>0.00</c:formatCode>
                <c:ptCount val="5"/>
                <c:pt idx="0">
                  <c:v>1.2786501687289089</c:v>
                </c:pt>
                <c:pt idx="1">
                  <c:v>1.0118917486501706</c:v>
                </c:pt>
                <c:pt idx="2">
                  <c:v>0.81513958482462423</c:v>
                </c:pt>
                <c:pt idx="3">
                  <c:v>0.68667177571287163</c:v>
                </c:pt>
                <c:pt idx="4">
                  <c:v>0.66366765871655264</c:v>
                </c:pt>
              </c:numCache>
            </c:numRef>
          </c:val>
          <c:smooth val="0"/>
          <c:extLst>
            <c:ext xmlns:c16="http://schemas.microsoft.com/office/drawing/2014/chart" uri="{C3380CC4-5D6E-409C-BE32-E72D297353CC}">
              <c16:uniqueId val="{00000000-D1C4-4268-825D-3D2766B50A64}"/>
            </c:ext>
          </c:extLst>
        </c:ser>
        <c:dLbls>
          <c:dLblPos val="t"/>
          <c:showLegendKey val="0"/>
          <c:showVal val="1"/>
          <c:showCatName val="0"/>
          <c:showSerName val="0"/>
          <c:showPercent val="0"/>
          <c:showBubbleSize val="0"/>
        </c:dLbls>
        <c:marker val="1"/>
        <c:smooth val="0"/>
        <c:axId val="97310607"/>
        <c:axId val="97316367"/>
      </c:lineChart>
      <c:catAx>
        <c:axId val="973106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16367"/>
        <c:crosses val="autoZero"/>
        <c:auto val="1"/>
        <c:lblAlgn val="ctr"/>
        <c:lblOffset val="100"/>
        <c:noMultiLvlLbl val="0"/>
      </c:catAx>
      <c:valAx>
        <c:axId val="9731636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060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Interest Coverage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Gearing!$B$12:$F$12</c:f>
              <c:numCache>
                <c:formatCode>General</c:formatCode>
                <c:ptCount val="5"/>
                <c:pt idx="0">
                  <c:v>2020</c:v>
                </c:pt>
                <c:pt idx="1">
                  <c:v>2021</c:v>
                </c:pt>
                <c:pt idx="2">
                  <c:v>2022</c:v>
                </c:pt>
                <c:pt idx="3">
                  <c:v>2023</c:v>
                </c:pt>
                <c:pt idx="4">
                  <c:v>2024</c:v>
                </c:pt>
              </c:numCache>
            </c:numRef>
          </c:cat>
          <c:val>
            <c:numRef>
              <c:f>Gearing!$B$15:$F$15</c:f>
              <c:numCache>
                <c:formatCode>0.00</c:formatCode>
                <c:ptCount val="5"/>
                <c:pt idx="0">
                  <c:v>2.6657754010695189</c:v>
                </c:pt>
                <c:pt idx="1">
                  <c:v>17.5822102425876</c:v>
                </c:pt>
                <c:pt idx="2">
                  <c:v>71.497382198952877</c:v>
                </c:pt>
                <c:pt idx="3">
                  <c:v>56.993589743589745</c:v>
                </c:pt>
                <c:pt idx="4">
                  <c:v>20.217142857142857</c:v>
                </c:pt>
              </c:numCache>
            </c:numRef>
          </c:val>
          <c:smooth val="0"/>
          <c:extLst>
            <c:ext xmlns:c16="http://schemas.microsoft.com/office/drawing/2014/chart" uri="{C3380CC4-5D6E-409C-BE32-E72D297353CC}">
              <c16:uniqueId val="{00000000-575E-427D-80B8-0EFDCD082882}"/>
            </c:ext>
          </c:extLst>
        </c:ser>
        <c:dLbls>
          <c:dLblPos val="t"/>
          <c:showLegendKey val="0"/>
          <c:showVal val="1"/>
          <c:showCatName val="0"/>
          <c:showSerName val="0"/>
          <c:showPercent val="0"/>
          <c:showBubbleSize val="0"/>
        </c:dLbls>
        <c:marker val="1"/>
        <c:smooth val="0"/>
        <c:axId val="1112506399"/>
        <c:axId val="1112513119"/>
      </c:lineChart>
      <c:catAx>
        <c:axId val="11125063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112513119"/>
        <c:crosses val="autoZero"/>
        <c:auto val="1"/>
        <c:lblAlgn val="ctr"/>
        <c:lblOffset val="100"/>
        <c:noMultiLvlLbl val="0"/>
      </c:catAx>
      <c:valAx>
        <c:axId val="1112513119"/>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125063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Earnings per Share (EPS)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Investment!$A$6</c:f>
              <c:strCache>
                <c:ptCount val="1"/>
                <c:pt idx="0">
                  <c:v>Basic EPS ($)</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Investment!$B$5:$F$5</c:f>
              <c:numCache>
                <c:formatCode>General</c:formatCode>
                <c:ptCount val="5"/>
                <c:pt idx="0">
                  <c:v>2020</c:v>
                </c:pt>
                <c:pt idx="1">
                  <c:v>2021</c:v>
                </c:pt>
                <c:pt idx="2">
                  <c:v>2022</c:v>
                </c:pt>
                <c:pt idx="3">
                  <c:v>2023</c:v>
                </c:pt>
                <c:pt idx="4">
                  <c:v>2024</c:v>
                </c:pt>
              </c:numCache>
            </c:numRef>
          </c:cat>
          <c:val>
            <c:numRef>
              <c:f>Investment!$B$6:$F$6</c:f>
              <c:numCache>
                <c:formatCode>General</c:formatCode>
                <c:ptCount val="5"/>
                <c:pt idx="0">
                  <c:v>0.25</c:v>
                </c:pt>
                <c:pt idx="1">
                  <c:v>1.87</c:v>
                </c:pt>
                <c:pt idx="2">
                  <c:v>4.0199999999999996</c:v>
                </c:pt>
                <c:pt idx="3">
                  <c:v>4.7300000000000004</c:v>
                </c:pt>
                <c:pt idx="4">
                  <c:v>2.23</c:v>
                </c:pt>
              </c:numCache>
            </c:numRef>
          </c:val>
          <c:smooth val="0"/>
          <c:extLst>
            <c:ext xmlns:c16="http://schemas.microsoft.com/office/drawing/2014/chart" uri="{C3380CC4-5D6E-409C-BE32-E72D297353CC}">
              <c16:uniqueId val="{00000000-363A-49D8-ACD1-2F2E8632C5F7}"/>
            </c:ext>
          </c:extLst>
        </c:ser>
        <c:ser>
          <c:idx val="1"/>
          <c:order val="1"/>
          <c:tx>
            <c:strRef>
              <c:f>Investment!$A$7</c:f>
              <c:strCache>
                <c:ptCount val="1"/>
                <c:pt idx="0">
                  <c:v>Diluted EPS ($)</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Investment!$B$5:$F$5</c:f>
              <c:numCache>
                <c:formatCode>General</c:formatCode>
                <c:ptCount val="5"/>
                <c:pt idx="0">
                  <c:v>2020</c:v>
                </c:pt>
                <c:pt idx="1">
                  <c:v>2021</c:v>
                </c:pt>
                <c:pt idx="2">
                  <c:v>2022</c:v>
                </c:pt>
                <c:pt idx="3">
                  <c:v>2023</c:v>
                </c:pt>
                <c:pt idx="4">
                  <c:v>2024</c:v>
                </c:pt>
              </c:numCache>
            </c:numRef>
          </c:cat>
          <c:val>
            <c:numRef>
              <c:f>Investment!$B$7:$F$7</c:f>
              <c:numCache>
                <c:formatCode>General</c:formatCode>
                <c:ptCount val="5"/>
                <c:pt idx="0">
                  <c:v>0.21</c:v>
                </c:pt>
                <c:pt idx="1">
                  <c:v>1.63</c:v>
                </c:pt>
                <c:pt idx="2">
                  <c:v>3.62</c:v>
                </c:pt>
                <c:pt idx="3">
                  <c:v>4.3</c:v>
                </c:pt>
                <c:pt idx="4">
                  <c:v>2.04</c:v>
                </c:pt>
              </c:numCache>
            </c:numRef>
          </c:val>
          <c:smooth val="0"/>
          <c:extLst>
            <c:ext xmlns:c16="http://schemas.microsoft.com/office/drawing/2014/chart" uri="{C3380CC4-5D6E-409C-BE32-E72D297353CC}">
              <c16:uniqueId val="{00000001-363A-49D8-ACD1-2F2E8632C5F7}"/>
            </c:ext>
          </c:extLst>
        </c:ser>
        <c:dLbls>
          <c:dLblPos val="t"/>
          <c:showLegendKey val="0"/>
          <c:showVal val="1"/>
          <c:showCatName val="0"/>
          <c:showSerName val="0"/>
          <c:showPercent val="0"/>
          <c:showBubbleSize val="0"/>
        </c:dLbls>
        <c:marker val="1"/>
        <c:smooth val="0"/>
        <c:axId val="1112508319"/>
        <c:axId val="1112515999"/>
      </c:lineChart>
      <c:catAx>
        <c:axId val="11125083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112515999"/>
        <c:crosses val="autoZero"/>
        <c:auto val="1"/>
        <c:lblAlgn val="ctr"/>
        <c:lblOffset val="100"/>
        <c:noMultiLvlLbl val="0"/>
      </c:catAx>
      <c:valAx>
        <c:axId val="1112515999"/>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1250831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Price/Earnings Ratio (P/E)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Investment!$B$11:$F$11</c:f>
              <c:numCache>
                <c:formatCode>General</c:formatCode>
                <c:ptCount val="5"/>
                <c:pt idx="0">
                  <c:v>2020</c:v>
                </c:pt>
                <c:pt idx="1">
                  <c:v>2021</c:v>
                </c:pt>
                <c:pt idx="2">
                  <c:v>2022</c:v>
                </c:pt>
                <c:pt idx="3">
                  <c:v>2023</c:v>
                </c:pt>
                <c:pt idx="4">
                  <c:v>2024</c:v>
                </c:pt>
              </c:numCache>
            </c:numRef>
          </c:cat>
          <c:val>
            <c:numRef>
              <c:f>Investment!$B$14:$F$14</c:f>
              <c:numCache>
                <c:formatCode>0.00</c:formatCode>
                <c:ptCount val="5"/>
                <c:pt idx="0">
                  <c:v>3357.1428571428573</c:v>
                </c:pt>
                <c:pt idx="1">
                  <c:v>647.85276073619639</c:v>
                </c:pt>
                <c:pt idx="2">
                  <c:v>33.97790055248619</c:v>
                </c:pt>
                <c:pt idx="3">
                  <c:v>57.674418604651166</c:v>
                </c:pt>
                <c:pt idx="4">
                  <c:v>122.54901960784314</c:v>
                </c:pt>
              </c:numCache>
            </c:numRef>
          </c:val>
          <c:smooth val="0"/>
          <c:extLst>
            <c:ext xmlns:c16="http://schemas.microsoft.com/office/drawing/2014/chart" uri="{C3380CC4-5D6E-409C-BE32-E72D297353CC}">
              <c16:uniqueId val="{00000000-57B1-4537-BFAA-DE15F5FCECED}"/>
            </c:ext>
          </c:extLst>
        </c:ser>
        <c:dLbls>
          <c:dLblPos val="t"/>
          <c:showLegendKey val="0"/>
          <c:showVal val="1"/>
          <c:showCatName val="0"/>
          <c:showSerName val="0"/>
          <c:showPercent val="0"/>
          <c:showBubbleSize val="0"/>
        </c:dLbls>
        <c:marker val="1"/>
        <c:smooth val="0"/>
        <c:axId val="1108187599"/>
        <c:axId val="1108189519"/>
      </c:lineChart>
      <c:catAx>
        <c:axId val="11081875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108189519"/>
        <c:crosses val="autoZero"/>
        <c:auto val="1"/>
        <c:lblAlgn val="ctr"/>
        <c:lblOffset val="100"/>
        <c:noMultiLvlLbl val="0"/>
      </c:catAx>
      <c:valAx>
        <c:axId val="1108189519"/>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0818759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Flow'!$A$6</c:f>
              <c:strCache>
                <c:ptCount val="1"/>
                <c:pt idx="0">
                  <c:v>Operating Cash Flow ($m)</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Flow'!$B$5:$F$5</c:f>
              <c:numCache>
                <c:formatCode>General</c:formatCode>
                <c:ptCount val="5"/>
                <c:pt idx="0">
                  <c:v>2020</c:v>
                </c:pt>
                <c:pt idx="1">
                  <c:v>2021</c:v>
                </c:pt>
                <c:pt idx="2">
                  <c:v>2022</c:v>
                </c:pt>
                <c:pt idx="3">
                  <c:v>2023</c:v>
                </c:pt>
                <c:pt idx="4">
                  <c:v>2024</c:v>
                </c:pt>
              </c:numCache>
            </c:numRef>
          </c:cat>
          <c:val>
            <c:numRef>
              <c:f>'Cash Flow'!$B$6:$F$6</c:f>
              <c:numCache>
                <c:formatCode>#,##0</c:formatCode>
                <c:ptCount val="5"/>
                <c:pt idx="0">
                  <c:v>5943</c:v>
                </c:pt>
                <c:pt idx="1">
                  <c:v>11497</c:v>
                </c:pt>
                <c:pt idx="2">
                  <c:v>14724</c:v>
                </c:pt>
                <c:pt idx="3">
                  <c:v>13256</c:v>
                </c:pt>
                <c:pt idx="4">
                  <c:v>13740</c:v>
                </c:pt>
              </c:numCache>
            </c:numRef>
          </c:val>
          <c:smooth val="0"/>
          <c:extLst>
            <c:ext xmlns:c16="http://schemas.microsoft.com/office/drawing/2014/chart" uri="{C3380CC4-5D6E-409C-BE32-E72D297353CC}">
              <c16:uniqueId val="{00000000-E2C4-4658-8186-24A9FACF8D08}"/>
            </c:ext>
          </c:extLst>
        </c:ser>
        <c:dLbls>
          <c:dLblPos val="t"/>
          <c:showLegendKey val="0"/>
          <c:showVal val="1"/>
          <c:showCatName val="0"/>
          <c:showSerName val="0"/>
          <c:showPercent val="0"/>
          <c:showBubbleSize val="0"/>
        </c:dLbls>
        <c:marker val="1"/>
        <c:smooth val="0"/>
        <c:axId val="97325967"/>
        <c:axId val="97331727"/>
      </c:lineChart>
      <c:catAx>
        <c:axId val="973259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31727"/>
        <c:crosses val="autoZero"/>
        <c:auto val="1"/>
        <c:lblAlgn val="ctr"/>
        <c:lblOffset val="100"/>
        <c:noMultiLvlLbl val="0"/>
      </c:catAx>
      <c:valAx>
        <c:axId val="97331727"/>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259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Free Cash Flow (FCF)</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Flow'!$B$10:$F$10</c:f>
              <c:numCache>
                <c:formatCode>General</c:formatCode>
                <c:ptCount val="5"/>
                <c:pt idx="0">
                  <c:v>2020</c:v>
                </c:pt>
                <c:pt idx="1">
                  <c:v>2021</c:v>
                </c:pt>
                <c:pt idx="2">
                  <c:v>2022</c:v>
                </c:pt>
                <c:pt idx="3">
                  <c:v>2023</c:v>
                </c:pt>
                <c:pt idx="4">
                  <c:v>2024</c:v>
                </c:pt>
              </c:numCache>
            </c:numRef>
          </c:cat>
          <c:val>
            <c:numRef>
              <c:f>'Cash Flow'!$B$13:$F$13</c:f>
              <c:numCache>
                <c:formatCode>0</c:formatCode>
                <c:ptCount val="5"/>
                <c:pt idx="0">
                  <c:v>2811</c:v>
                </c:pt>
                <c:pt idx="1">
                  <c:v>5015</c:v>
                </c:pt>
                <c:pt idx="2">
                  <c:v>7566</c:v>
                </c:pt>
                <c:pt idx="3">
                  <c:v>4357</c:v>
                </c:pt>
                <c:pt idx="4">
                  <c:v>4551</c:v>
                </c:pt>
              </c:numCache>
            </c:numRef>
          </c:val>
          <c:smooth val="0"/>
          <c:extLst>
            <c:ext xmlns:c16="http://schemas.microsoft.com/office/drawing/2014/chart" uri="{C3380CC4-5D6E-409C-BE32-E72D297353CC}">
              <c16:uniqueId val="{00000000-A62B-42A1-ACAA-184F28B53BE6}"/>
            </c:ext>
          </c:extLst>
        </c:ser>
        <c:dLbls>
          <c:dLblPos val="t"/>
          <c:showLegendKey val="0"/>
          <c:showVal val="1"/>
          <c:showCatName val="0"/>
          <c:showSerName val="0"/>
          <c:showPercent val="0"/>
          <c:showBubbleSize val="0"/>
        </c:dLbls>
        <c:marker val="1"/>
        <c:smooth val="0"/>
        <c:axId val="1354208655"/>
        <c:axId val="1354215855"/>
      </c:lineChart>
      <c:catAx>
        <c:axId val="1354208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354215855"/>
        <c:crosses val="autoZero"/>
        <c:auto val="1"/>
        <c:lblAlgn val="ctr"/>
        <c:lblOffset val="100"/>
        <c:noMultiLvlLbl val="0"/>
      </c:catAx>
      <c:valAx>
        <c:axId val="1354215855"/>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420865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Cash Flow Adequacy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Flow'!$B$17:$F$17</c:f>
              <c:numCache>
                <c:formatCode>General</c:formatCode>
                <c:ptCount val="5"/>
                <c:pt idx="0">
                  <c:v>2020</c:v>
                </c:pt>
                <c:pt idx="1">
                  <c:v>2021</c:v>
                </c:pt>
                <c:pt idx="2">
                  <c:v>2022</c:v>
                </c:pt>
                <c:pt idx="3">
                  <c:v>2023</c:v>
                </c:pt>
                <c:pt idx="4">
                  <c:v>2024</c:v>
                </c:pt>
              </c:numCache>
            </c:numRef>
          </c:cat>
          <c:val>
            <c:numRef>
              <c:f>'Cash Flow'!$B$20:$F$20</c:f>
              <c:numCache>
                <c:formatCode>0.00</c:formatCode>
                <c:ptCount val="5"/>
                <c:pt idx="0">
                  <c:v>1.8975095785440612</c:v>
                </c:pt>
                <c:pt idx="1">
                  <c:v>1.7736809626658439</c:v>
                </c:pt>
                <c:pt idx="2">
                  <c:v>2.0569991617770329</c:v>
                </c:pt>
                <c:pt idx="3">
                  <c:v>1.4896055736599618</c:v>
                </c:pt>
                <c:pt idx="4">
                  <c:v>1.495266079007509</c:v>
                </c:pt>
              </c:numCache>
            </c:numRef>
          </c:val>
          <c:smooth val="0"/>
          <c:extLst>
            <c:ext xmlns:c16="http://schemas.microsoft.com/office/drawing/2014/chart" uri="{C3380CC4-5D6E-409C-BE32-E72D297353CC}">
              <c16:uniqueId val="{00000000-4D34-4C6F-A4A2-E874004338AD}"/>
            </c:ext>
          </c:extLst>
        </c:ser>
        <c:dLbls>
          <c:dLblPos val="t"/>
          <c:showLegendKey val="0"/>
          <c:showVal val="1"/>
          <c:showCatName val="0"/>
          <c:showSerName val="0"/>
          <c:showPercent val="0"/>
          <c:showBubbleSize val="0"/>
        </c:dLbls>
        <c:marker val="1"/>
        <c:smooth val="0"/>
        <c:axId val="97310127"/>
        <c:axId val="97327887"/>
      </c:lineChart>
      <c:catAx>
        <c:axId val="973101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327887"/>
        <c:crosses val="autoZero"/>
        <c:auto val="1"/>
        <c:lblAlgn val="ctr"/>
        <c:lblOffset val="100"/>
        <c:noMultiLvlLbl val="0"/>
      </c:catAx>
      <c:valAx>
        <c:axId val="9732788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012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Cash Conversion Cycle (CCC)</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Lbl>
              <c:idx val="0"/>
              <c:layout>
                <c:manualLayout>
                  <c:x val="-9.9076552930883646E-2"/>
                  <c:y val="6.947907553222505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E01-43E1-8ECE-393B35792142}"/>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Conversion Cycle (CCC)'!$B$5:$F$5</c:f>
              <c:numCache>
                <c:formatCode>General</c:formatCode>
                <c:ptCount val="5"/>
                <c:pt idx="0">
                  <c:v>2020</c:v>
                </c:pt>
                <c:pt idx="1">
                  <c:v>2021</c:v>
                </c:pt>
                <c:pt idx="2">
                  <c:v>2022</c:v>
                </c:pt>
                <c:pt idx="3">
                  <c:v>2023</c:v>
                </c:pt>
                <c:pt idx="4">
                  <c:v>2024</c:v>
                </c:pt>
              </c:numCache>
            </c:numRef>
          </c:cat>
          <c:val>
            <c:numRef>
              <c:f>'Cash Conversion Cycle (CCC)'!$B$10:$F$10</c:f>
              <c:numCache>
                <c:formatCode>0.00</c:formatCode>
                <c:ptCount val="5"/>
                <c:pt idx="0">
                  <c:v>-10.77157333797301</c:v>
                </c:pt>
                <c:pt idx="1">
                  <c:v>-33.277107717516898</c:v>
                </c:pt>
                <c:pt idx="2">
                  <c:v>-22.647512011996511</c:v>
                </c:pt>
                <c:pt idx="3">
                  <c:v>7.7017056669531598</c:v>
                </c:pt>
                <c:pt idx="4">
                  <c:v>18.087738546949986</c:v>
                </c:pt>
              </c:numCache>
            </c:numRef>
          </c:val>
          <c:smooth val="0"/>
          <c:extLst>
            <c:ext xmlns:c16="http://schemas.microsoft.com/office/drawing/2014/chart" uri="{C3380CC4-5D6E-409C-BE32-E72D297353CC}">
              <c16:uniqueId val="{00000001-FE01-43E1-8ECE-393B35792142}"/>
            </c:ext>
          </c:extLst>
        </c:ser>
        <c:dLbls>
          <c:dLblPos val="t"/>
          <c:showLegendKey val="0"/>
          <c:showVal val="1"/>
          <c:showCatName val="0"/>
          <c:showSerName val="0"/>
          <c:showPercent val="0"/>
          <c:showBubbleSize val="0"/>
        </c:dLbls>
        <c:marker val="1"/>
        <c:smooth val="0"/>
        <c:axId val="97293327"/>
        <c:axId val="97282287"/>
      </c:lineChart>
      <c:catAx>
        <c:axId val="972933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97282287"/>
        <c:crosses val="autoZero"/>
        <c:auto val="1"/>
        <c:lblAlgn val="ctr"/>
        <c:lblOffset val="100"/>
        <c:noMultiLvlLbl val="0"/>
      </c:catAx>
      <c:valAx>
        <c:axId val="9728228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9332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8.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9.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0.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6.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7.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8.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040DCD77-CF57-4E59-B48B-6AEA7CD7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84</Pages>
  <Words>11192</Words>
  <Characters>63797</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PATEL SUMIT</cp:lastModifiedBy>
  <cp:revision>298</cp:revision>
  <dcterms:created xsi:type="dcterms:W3CDTF">2026-04-19T05:05:00Z</dcterms:created>
  <dcterms:modified xsi:type="dcterms:W3CDTF">2026-04-23T21:58:00Z</dcterms:modified>
</cp:coreProperties>
</file>