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F5195C" w:rsidRDefault="00F5195C" w:rsidP="00F5195C">
      <w:pPr>
        <w:jc w:val="center"/>
        <w:rPr>
          <w:rFonts w:ascii="Times New Roman" w:hAnsi="Times New Roman" w:cs="Times New Roman"/>
          <w:b/>
          <w:sz w:val="32"/>
          <w:szCs w:val="32"/>
        </w:rPr>
      </w:pPr>
      <w:r w:rsidRPr="00F5195C">
        <w:rPr>
          <w:rFonts w:ascii="Times New Roman" w:hAnsi="Times New Roman" w:cs="Times New Roman"/>
          <w:b/>
          <w:sz w:val="32"/>
          <w:szCs w:val="32"/>
        </w:rPr>
        <w:t>Environmental Sustainability</w:t>
      </w:r>
      <w:r>
        <w:rPr>
          <w:rFonts w:ascii="Times New Roman" w:hAnsi="Times New Roman" w:cs="Times New Roman"/>
          <w:b/>
          <w:sz w:val="32"/>
          <w:szCs w:val="32"/>
        </w:rPr>
        <w:t xml:space="preserve"> Portfolio</w:t>
      </w:r>
    </w:p>
    <w:p w:rsidR="00F5195C" w:rsidRDefault="00F5195C" w:rsidP="00F5195C">
      <w:pPr>
        <w:jc w:val="center"/>
      </w:pPr>
    </w:p>
    <w:p w:rsidR="00F5195C" w:rsidRDefault="00F5195C" w:rsidP="00F5195C">
      <w:pPr>
        <w:rPr>
          <w:rFonts w:ascii="Times New Roman" w:hAnsi="Times New Roman" w:cs="Times New Roman"/>
          <w:b/>
          <w:sz w:val="32"/>
          <w:szCs w:val="32"/>
        </w:rPr>
      </w:pPr>
      <w:r w:rsidRPr="006158B0">
        <w:rPr>
          <w:rFonts w:ascii="Times New Roman" w:hAnsi="Times New Roman" w:cs="Times New Roman"/>
          <w:b/>
          <w:sz w:val="40"/>
          <w:szCs w:val="40"/>
        </w:rPr>
        <w:t>Module:</w:t>
      </w:r>
      <w:r w:rsidRPr="00622314">
        <w:rPr>
          <w:rFonts w:ascii="Times New Roman" w:hAnsi="Times New Roman" w:cs="Times New Roman"/>
          <w:b/>
          <w:sz w:val="32"/>
          <w:szCs w:val="32"/>
        </w:rPr>
        <w:t xml:space="preserve"> </w:t>
      </w:r>
      <w:r w:rsidRPr="00F5195C">
        <w:rPr>
          <w:rFonts w:ascii="Times New Roman" w:hAnsi="Times New Roman" w:cs="Times New Roman"/>
          <w:b/>
          <w:sz w:val="32"/>
          <w:szCs w:val="32"/>
        </w:rPr>
        <w:t>Environmental Sustainability</w:t>
      </w:r>
      <w:r>
        <w:rPr>
          <w:rFonts w:ascii="Times New Roman" w:hAnsi="Times New Roman" w:cs="Times New Roman"/>
          <w:b/>
          <w:sz w:val="32"/>
          <w:szCs w:val="32"/>
        </w:rPr>
        <w:t xml:space="preserve"> in the Hospitality Industry</w:t>
      </w:r>
    </w:p>
    <w:p w:rsidR="00F5195C" w:rsidRDefault="00F5195C" w:rsidP="00F5195C">
      <w:pPr>
        <w:rPr>
          <w:rFonts w:ascii="Times New Roman" w:hAnsi="Times New Roman" w:cs="Times New Roman"/>
          <w:b/>
          <w:sz w:val="32"/>
          <w:szCs w:val="32"/>
        </w:rPr>
      </w:pPr>
      <w:r w:rsidRPr="006158B0">
        <w:rPr>
          <w:rFonts w:ascii="Times New Roman" w:hAnsi="Times New Roman" w:cs="Times New Roman"/>
          <w:b/>
          <w:sz w:val="40"/>
          <w:szCs w:val="40"/>
        </w:rPr>
        <w:t>Module code:</w:t>
      </w:r>
      <w:r w:rsidRPr="00622314">
        <w:rPr>
          <w:rFonts w:ascii="Times New Roman" w:hAnsi="Times New Roman" w:cs="Times New Roman"/>
          <w:b/>
          <w:sz w:val="32"/>
          <w:szCs w:val="32"/>
        </w:rPr>
        <w:t xml:space="preserve"> </w:t>
      </w:r>
      <w:r w:rsidRPr="00F5195C">
        <w:rPr>
          <w:rFonts w:ascii="Times New Roman" w:hAnsi="Times New Roman" w:cs="Times New Roman"/>
          <w:b/>
          <w:sz w:val="32"/>
          <w:szCs w:val="32"/>
        </w:rPr>
        <w:t>BMMB7004</w:t>
      </w:r>
    </w:p>
    <w:p w:rsidR="00F5195C" w:rsidRDefault="00F5195C" w:rsidP="00F5195C">
      <w:pPr>
        <w:rPr>
          <w:rFonts w:ascii="Times New Roman" w:hAnsi="Times New Roman" w:cs="Times New Roman"/>
          <w:b/>
          <w:sz w:val="32"/>
          <w:szCs w:val="32"/>
        </w:rPr>
      </w:pPr>
      <w:r w:rsidRPr="006158B0">
        <w:rPr>
          <w:rFonts w:ascii="Times New Roman" w:hAnsi="Times New Roman" w:cs="Times New Roman"/>
          <w:b/>
          <w:sz w:val="40"/>
          <w:szCs w:val="40"/>
        </w:rPr>
        <w:t>Student ID:</w:t>
      </w:r>
      <w:r>
        <w:rPr>
          <w:rFonts w:ascii="Times New Roman" w:hAnsi="Times New Roman" w:cs="Times New Roman"/>
          <w:b/>
          <w:sz w:val="32"/>
          <w:szCs w:val="32"/>
        </w:rPr>
        <w:t xml:space="preserve"> 2113847</w:t>
      </w:r>
    </w:p>
    <w:p w:rsidR="00F5195C" w:rsidRDefault="00F5195C">
      <w:pPr>
        <w:rPr>
          <w:rFonts w:ascii="Times New Roman" w:hAnsi="Times New Roman" w:cs="Times New Roman"/>
          <w:b/>
          <w:sz w:val="32"/>
          <w:szCs w:val="32"/>
        </w:rPr>
      </w:pPr>
      <w:r>
        <w:rPr>
          <w:rFonts w:ascii="Times New Roman" w:hAnsi="Times New Roman" w:cs="Times New Roman"/>
          <w:b/>
          <w:sz w:val="32"/>
          <w:szCs w:val="32"/>
        </w:rPr>
        <w:br w:type="page"/>
      </w:r>
    </w:p>
    <w:p w:rsidR="00F5195C" w:rsidRDefault="00F5195C" w:rsidP="00F5195C">
      <w:pPr>
        <w:rPr>
          <w:rFonts w:ascii="Times New Roman" w:hAnsi="Times New Roman" w:cs="Times New Roman"/>
          <w:b/>
          <w:sz w:val="32"/>
          <w:szCs w:val="32"/>
        </w:rPr>
      </w:pPr>
      <w:r w:rsidRPr="00F5195C">
        <w:rPr>
          <w:rFonts w:ascii="Times New Roman" w:hAnsi="Times New Roman" w:cs="Times New Roman"/>
          <w:b/>
          <w:sz w:val="32"/>
          <w:szCs w:val="32"/>
        </w:rPr>
        <w:lastRenderedPageBreak/>
        <w:t>Table of Contents</w:t>
      </w:r>
    </w:p>
    <w:p w:rsidR="007B5A24" w:rsidRDefault="007B5A24" w:rsidP="00F5195C">
      <w:pPr>
        <w:rPr>
          <w:rFonts w:ascii="Times New Roman" w:hAnsi="Times New Roman" w:cs="Times New Roman"/>
          <w:b/>
          <w:sz w:val="32"/>
          <w:szCs w:val="32"/>
        </w:rPr>
      </w:pPr>
    </w:p>
    <w:p w:rsidR="007B5A24" w:rsidRPr="007B5A24" w:rsidRDefault="007B5A24" w:rsidP="007B5A24">
      <w:pPr>
        <w:spacing w:line="480" w:lineRule="auto"/>
        <w:rPr>
          <w:rFonts w:ascii="Times New Roman" w:hAnsi="Times New Roman" w:cs="Times New Roman"/>
          <w:sz w:val="24"/>
          <w:szCs w:val="24"/>
        </w:rPr>
      </w:pPr>
      <w:r w:rsidRPr="007B5A24">
        <w:rPr>
          <w:rFonts w:ascii="Times New Roman" w:hAnsi="Times New Roman" w:cs="Times New Roman"/>
          <w:sz w:val="24"/>
          <w:szCs w:val="24"/>
        </w:rPr>
        <w:t>Environmental experience</w:t>
      </w:r>
      <w:r>
        <w:rPr>
          <w:rFonts w:ascii="Times New Roman" w:hAnsi="Times New Roman" w:cs="Times New Roman"/>
          <w:sz w:val="24"/>
          <w:szCs w:val="24"/>
        </w:rPr>
        <w:t xml:space="preserve">                                                                                                  3</w:t>
      </w:r>
    </w:p>
    <w:p w:rsidR="007B5A24" w:rsidRDefault="007B5A24" w:rsidP="007B5A24">
      <w:pPr>
        <w:spacing w:line="480" w:lineRule="auto"/>
        <w:rPr>
          <w:rFonts w:ascii="Times New Roman" w:hAnsi="Times New Roman" w:cs="Times New Roman"/>
          <w:sz w:val="24"/>
          <w:szCs w:val="24"/>
        </w:rPr>
      </w:pPr>
      <w:r w:rsidRPr="007B5A24">
        <w:rPr>
          <w:rFonts w:ascii="Times New Roman" w:hAnsi="Times New Roman" w:cs="Times New Roman"/>
          <w:sz w:val="24"/>
          <w:szCs w:val="24"/>
        </w:rPr>
        <w:t>The Bali example…lessons learnt! (Reflection)</w:t>
      </w:r>
    </w:p>
    <w:p w:rsidR="007B5A24" w:rsidRDefault="007B5A24" w:rsidP="007B5A24">
      <w:pPr>
        <w:spacing w:line="480" w:lineRule="auto"/>
        <w:rPr>
          <w:rFonts w:ascii="Times New Roman" w:hAnsi="Times New Roman" w:cs="Times New Roman"/>
          <w:sz w:val="24"/>
          <w:szCs w:val="24"/>
        </w:rPr>
      </w:pPr>
      <w:r>
        <w:rPr>
          <w:rFonts w:ascii="Times New Roman" w:hAnsi="Times New Roman" w:cs="Times New Roman"/>
          <w:sz w:val="24"/>
          <w:szCs w:val="24"/>
        </w:rPr>
        <w:t>References                                                                                                                           7</w:t>
      </w:r>
    </w:p>
    <w:p w:rsidR="007B5A24" w:rsidRPr="007B5A24" w:rsidRDefault="007B5A24" w:rsidP="007B5A24">
      <w:pPr>
        <w:spacing w:line="480" w:lineRule="auto"/>
        <w:rPr>
          <w:rFonts w:ascii="Times New Roman" w:hAnsi="Times New Roman" w:cs="Times New Roman"/>
          <w:sz w:val="24"/>
          <w:szCs w:val="24"/>
        </w:rPr>
      </w:pPr>
      <w:r w:rsidRPr="007B5A24">
        <w:rPr>
          <w:rFonts w:ascii="Times New Roman" w:hAnsi="Times New Roman" w:cs="Times New Roman"/>
          <w:sz w:val="24"/>
          <w:szCs w:val="24"/>
        </w:rPr>
        <w:t>Fiscal, economic incentives and Regulatory affair</w:t>
      </w:r>
      <w:r>
        <w:rPr>
          <w:rFonts w:ascii="Times New Roman" w:hAnsi="Times New Roman" w:cs="Times New Roman"/>
          <w:sz w:val="24"/>
          <w:szCs w:val="24"/>
        </w:rPr>
        <w:t xml:space="preserve">                                                             9</w:t>
      </w:r>
    </w:p>
    <w:p w:rsidR="007B5A24" w:rsidRPr="007B5A24" w:rsidRDefault="007B5A24" w:rsidP="007B5A24">
      <w:pPr>
        <w:spacing w:line="480" w:lineRule="auto"/>
        <w:rPr>
          <w:rFonts w:ascii="Times New Roman" w:hAnsi="Times New Roman" w:cs="Times New Roman"/>
          <w:i/>
          <w:sz w:val="24"/>
          <w:szCs w:val="24"/>
        </w:rPr>
      </w:pPr>
      <w:r w:rsidRPr="007B5A24">
        <w:rPr>
          <w:rFonts w:ascii="Times New Roman" w:hAnsi="Times New Roman" w:cs="Times New Roman"/>
          <w:i/>
          <w:sz w:val="24"/>
          <w:szCs w:val="24"/>
        </w:rPr>
        <w:t>A case study of the fiscal, economic incentives and regulatory affairs in SVG (Report)</w:t>
      </w:r>
    </w:p>
    <w:p w:rsidR="007B5A24" w:rsidRDefault="007B5A24" w:rsidP="007B5A24">
      <w:pPr>
        <w:spacing w:line="480" w:lineRule="auto"/>
        <w:rPr>
          <w:rFonts w:ascii="Times New Roman" w:hAnsi="Times New Roman" w:cs="Times New Roman"/>
          <w:sz w:val="24"/>
          <w:szCs w:val="24"/>
        </w:rPr>
      </w:pPr>
      <w:r w:rsidRPr="007B5A24">
        <w:rPr>
          <w:rFonts w:ascii="Times New Roman" w:hAnsi="Times New Roman" w:cs="Times New Roman"/>
          <w:sz w:val="24"/>
          <w:szCs w:val="24"/>
        </w:rPr>
        <w:t>References</w:t>
      </w:r>
      <w:r>
        <w:rPr>
          <w:rFonts w:ascii="Times New Roman" w:hAnsi="Times New Roman" w:cs="Times New Roman"/>
          <w:sz w:val="24"/>
          <w:szCs w:val="24"/>
        </w:rPr>
        <w:t xml:space="preserve">                                                                                                                          17</w:t>
      </w:r>
    </w:p>
    <w:p w:rsidR="007B5A24" w:rsidRPr="007B5A24" w:rsidRDefault="007B5A24" w:rsidP="007B5A24">
      <w:pPr>
        <w:spacing w:line="480" w:lineRule="auto"/>
        <w:rPr>
          <w:rFonts w:ascii="Times New Roman" w:hAnsi="Times New Roman" w:cs="Times New Roman"/>
          <w:sz w:val="24"/>
          <w:szCs w:val="24"/>
        </w:rPr>
      </w:pPr>
      <w:r w:rsidRPr="007B5A24">
        <w:rPr>
          <w:rFonts w:ascii="Times New Roman" w:hAnsi="Times New Roman" w:cs="Times New Roman"/>
          <w:sz w:val="24"/>
          <w:szCs w:val="24"/>
        </w:rPr>
        <w:t>Guest experience</w:t>
      </w:r>
      <w:r>
        <w:rPr>
          <w:rFonts w:ascii="Times New Roman" w:hAnsi="Times New Roman" w:cs="Times New Roman"/>
          <w:sz w:val="24"/>
          <w:szCs w:val="24"/>
        </w:rPr>
        <w:t xml:space="preserve">                                                                                                                19</w:t>
      </w:r>
    </w:p>
    <w:p w:rsidR="007B5A24" w:rsidRPr="007B5A24" w:rsidRDefault="007B5A24" w:rsidP="007B5A24">
      <w:pPr>
        <w:spacing w:line="480" w:lineRule="auto"/>
        <w:rPr>
          <w:rFonts w:ascii="Times New Roman" w:hAnsi="Times New Roman" w:cs="Times New Roman"/>
          <w:i/>
          <w:sz w:val="24"/>
          <w:szCs w:val="24"/>
        </w:rPr>
      </w:pPr>
      <w:r w:rsidRPr="007B5A24">
        <w:rPr>
          <w:rFonts w:ascii="Times New Roman" w:hAnsi="Times New Roman" w:cs="Times New Roman"/>
          <w:i/>
          <w:sz w:val="24"/>
          <w:szCs w:val="24"/>
        </w:rPr>
        <w:t>Post pandemic trends (Literature review)</w:t>
      </w:r>
    </w:p>
    <w:p w:rsidR="007B5A24" w:rsidRDefault="007B5A24" w:rsidP="007B5A24">
      <w:pPr>
        <w:spacing w:line="480" w:lineRule="auto"/>
        <w:rPr>
          <w:rFonts w:ascii="Times New Roman" w:hAnsi="Times New Roman" w:cs="Times New Roman"/>
          <w:sz w:val="24"/>
          <w:szCs w:val="24"/>
        </w:rPr>
      </w:pPr>
      <w:r w:rsidRPr="007B5A24">
        <w:rPr>
          <w:rFonts w:ascii="Times New Roman" w:hAnsi="Times New Roman" w:cs="Times New Roman"/>
          <w:sz w:val="24"/>
          <w:szCs w:val="24"/>
        </w:rPr>
        <w:t>References</w:t>
      </w:r>
      <w:r>
        <w:rPr>
          <w:rFonts w:ascii="Times New Roman" w:hAnsi="Times New Roman" w:cs="Times New Roman"/>
          <w:sz w:val="24"/>
          <w:szCs w:val="24"/>
        </w:rPr>
        <w:t xml:space="preserve">                                                                                                                           23</w:t>
      </w:r>
    </w:p>
    <w:p w:rsidR="007B5A24" w:rsidRPr="007B5A24" w:rsidRDefault="007B5A24" w:rsidP="007B5A24">
      <w:pPr>
        <w:spacing w:line="480" w:lineRule="auto"/>
        <w:rPr>
          <w:rFonts w:ascii="Times New Roman" w:hAnsi="Times New Roman" w:cs="Times New Roman"/>
          <w:sz w:val="24"/>
          <w:szCs w:val="24"/>
        </w:rPr>
      </w:pPr>
      <w:r w:rsidRPr="007B5A24">
        <w:rPr>
          <w:rFonts w:ascii="Times New Roman" w:hAnsi="Times New Roman" w:cs="Times New Roman"/>
          <w:sz w:val="24"/>
          <w:szCs w:val="24"/>
        </w:rPr>
        <w:t>Brand image</w:t>
      </w:r>
      <w:r>
        <w:rPr>
          <w:rFonts w:ascii="Times New Roman" w:hAnsi="Times New Roman" w:cs="Times New Roman"/>
          <w:sz w:val="24"/>
          <w:szCs w:val="24"/>
        </w:rPr>
        <w:t xml:space="preserve">                                                                                                                        26</w:t>
      </w:r>
    </w:p>
    <w:p w:rsidR="007B5A24" w:rsidRPr="007B5A24" w:rsidRDefault="007B5A24" w:rsidP="007B5A24">
      <w:pPr>
        <w:spacing w:line="480" w:lineRule="auto"/>
        <w:rPr>
          <w:rFonts w:ascii="Times New Roman" w:hAnsi="Times New Roman" w:cs="Times New Roman"/>
          <w:i/>
          <w:sz w:val="24"/>
          <w:szCs w:val="24"/>
        </w:rPr>
      </w:pPr>
      <w:r w:rsidRPr="007B5A24">
        <w:rPr>
          <w:rFonts w:ascii="Times New Roman" w:hAnsi="Times New Roman" w:cs="Times New Roman"/>
          <w:i/>
          <w:sz w:val="24"/>
          <w:szCs w:val="24"/>
        </w:rPr>
        <w:t>An assessment of the Sandals brand (essay)</w:t>
      </w:r>
    </w:p>
    <w:p w:rsidR="007B5A24" w:rsidRDefault="007B5A24" w:rsidP="007B5A24">
      <w:pPr>
        <w:spacing w:line="480" w:lineRule="auto"/>
        <w:rPr>
          <w:rFonts w:ascii="Times New Roman" w:hAnsi="Times New Roman" w:cs="Times New Roman"/>
          <w:sz w:val="24"/>
          <w:szCs w:val="24"/>
        </w:rPr>
      </w:pPr>
      <w:r w:rsidRPr="007B5A24">
        <w:rPr>
          <w:rFonts w:ascii="Times New Roman" w:hAnsi="Times New Roman" w:cs="Times New Roman"/>
          <w:sz w:val="24"/>
          <w:szCs w:val="24"/>
        </w:rPr>
        <w:t>References</w:t>
      </w:r>
      <w:r>
        <w:rPr>
          <w:rFonts w:ascii="Times New Roman" w:hAnsi="Times New Roman" w:cs="Times New Roman"/>
          <w:sz w:val="24"/>
          <w:szCs w:val="24"/>
        </w:rPr>
        <w:t xml:space="preserve">                                                                                                                          30</w:t>
      </w:r>
    </w:p>
    <w:p w:rsidR="007B5A24" w:rsidRPr="007B5A24" w:rsidRDefault="007B5A24" w:rsidP="007B5A24">
      <w:pPr>
        <w:spacing w:line="480" w:lineRule="auto"/>
        <w:rPr>
          <w:rFonts w:ascii="Times New Roman" w:hAnsi="Times New Roman" w:cs="Times New Roman"/>
          <w:sz w:val="24"/>
          <w:szCs w:val="24"/>
        </w:rPr>
      </w:pPr>
      <w:r w:rsidRPr="007B5A24">
        <w:rPr>
          <w:rFonts w:ascii="Times New Roman" w:hAnsi="Times New Roman" w:cs="Times New Roman"/>
          <w:sz w:val="24"/>
          <w:szCs w:val="24"/>
        </w:rPr>
        <w:t>Staff awareness</w:t>
      </w:r>
      <w:r>
        <w:rPr>
          <w:rFonts w:ascii="Times New Roman" w:hAnsi="Times New Roman" w:cs="Times New Roman"/>
          <w:sz w:val="24"/>
          <w:szCs w:val="24"/>
        </w:rPr>
        <w:t xml:space="preserve">                                                                                                                   32</w:t>
      </w:r>
    </w:p>
    <w:p w:rsidR="007B5A24" w:rsidRPr="007B5A24" w:rsidRDefault="007B5A24" w:rsidP="007B5A24">
      <w:pPr>
        <w:spacing w:line="480" w:lineRule="auto"/>
        <w:rPr>
          <w:rFonts w:ascii="Times New Roman" w:hAnsi="Times New Roman" w:cs="Times New Roman"/>
          <w:i/>
          <w:sz w:val="24"/>
          <w:szCs w:val="24"/>
        </w:rPr>
      </w:pPr>
      <w:r w:rsidRPr="007B5A24">
        <w:rPr>
          <w:rFonts w:ascii="Times New Roman" w:hAnsi="Times New Roman" w:cs="Times New Roman"/>
          <w:i/>
          <w:sz w:val="24"/>
          <w:szCs w:val="24"/>
        </w:rPr>
        <w:t>An examination of the relationship between staff awareness and successful sustainable eff</w:t>
      </w:r>
      <w:r w:rsidRPr="007B5A24">
        <w:rPr>
          <w:rFonts w:ascii="Times New Roman" w:hAnsi="Times New Roman" w:cs="Times New Roman"/>
          <w:i/>
          <w:sz w:val="24"/>
          <w:szCs w:val="24"/>
        </w:rPr>
        <w:t>orts in hospitality (Synthesis)</w:t>
      </w:r>
    </w:p>
    <w:p w:rsidR="007B5A24" w:rsidRDefault="007B5A24" w:rsidP="007B5A24">
      <w:pPr>
        <w:spacing w:line="480" w:lineRule="auto"/>
        <w:rPr>
          <w:rFonts w:ascii="Times New Roman" w:hAnsi="Times New Roman" w:cs="Times New Roman"/>
          <w:sz w:val="24"/>
          <w:szCs w:val="24"/>
        </w:rPr>
      </w:pPr>
      <w:r w:rsidRPr="007B5A24">
        <w:rPr>
          <w:rFonts w:ascii="Times New Roman" w:hAnsi="Times New Roman" w:cs="Times New Roman"/>
          <w:sz w:val="24"/>
          <w:szCs w:val="24"/>
        </w:rPr>
        <w:t>References</w:t>
      </w:r>
      <w:r>
        <w:rPr>
          <w:rFonts w:ascii="Times New Roman" w:hAnsi="Times New Roman" w:cs="Times New Roman"/>
          <w:sz w:val="24"/>
          <w:szCs w:val="24"/>
        </w:rPr>
        <w:t xml:space="preserve">                                                                                                                          36</w:t>
      </w:r>
    </w:p>
    <w:p w:rsidR="007B5A24" w:rsidRDefault="007B5A24" w:rsidP="00F5195C">
      <w:pPr>
        <w:rPr>
          <w:rFonts w:ascii="Times New Roman" w:hAnsi="Times New Roman" w:cs="Times New Roman"/>
          <w:b/>
          <w:sz w:val="32"/>
          <w:szCs w:val="32"/>
        </w:rPr>
      </w:pPr>
    </w:p>
    <w:p w:rsidR="00EE4B12" w:rsidRDefault="00F5195C" w:rsidP="00EE4B12">
      <w:pPr>
        <w:tabs>
          <w:tab w:val="left" w:pos="3587"/>
        </w:tabs>
        <w:rPr>
          <w:rFonts w:ascii="Times New Roman" w:eastAsia="Times New Roman" w:hAnsi="Times New Roman" w:cs="Times New Roman"/>
          <w:b/>
          <w:bCs/>
          <w:sz w:val="24"/>
          <w:szCs w:val="24"/>
          <w:lang w:val="en-GB"/>
        </w:rPr>
      </w:pPr>
      <w:r w:rsidRPr="00F5195C">
        <w:rPr>
          <w:rFonts w:ascii="Times New Roman" w:eastAsia="Times New Roman" w:hAnsi="Times New Roman" w:cs="Times New Roman"/>
          <w:b/>
          <w:bCs/>
          <w:sz w:val="24"/>
          <w:szCs w:val="24"/>
          <w:lang w:val="en-GB"/>
        </w:rPr>
        <w:lastRenderedPageBreak/>
        <w:t>Environmental experience</w:t>
      </w:r>
    </w:p>
    <w:p w:rsidR="00F5195C" w:rsidRPr="00F5195C" w:rsidRDefault="00F5195C" w:rsidP="00EE4B12">
      <w:pPr>
        <w:tabs>
          <w:tab w:val="left" w:pos="3587"/>
        </w:tabs>
        <w:rPr>
          <w:rFonts w:ascii="Times New Roman" w:eastAsia="Times New Roman" w:hAnsi="Times New Roman" w:cs="Times New Roman"/>
          <w:b/>
          <w:bCs/>
          <w:sz w:val="24"/>
          <w:szCs w:val="24"/>
          <w:lang w:val="en-GB"/>
        </w:rPr>
      </w:pPr>
      <w:bookmarkStart w:id="0" w:name="_GoBack"/>
      <w:bookmarkEnd w:id="0"/>
      <w:r w:rsidRPr="00F5195C">
        <w:rPr>
          <w:rFonts w:ascii="Times New Roman" w:eastAsia="Times New Roman" w:hAnsi="Times New Roman" w:cs="Times New Roman"/>
          <w:bCs/>
          <w:sz w:val="24"/>
          <w:szCs w:val="24"/>
          <w:lang w:val="en-GB"/>
        </w:rPr>
        <w:t>The Bali example…lessons learnt! (Reflection)</w:t>
      </w:r>
    </w:p>
    <w:p w:rsidR="00F5195C" w:rsidRPr="00F5195C" w:rsidRDefault="00F5195C" w:rsidP="00F5195C">
      <w:pPr>
        <w:spacing w:after="200" w:line="480" w:lineRule="auto"/>
        <w:rPr>
          <w:rFonts w:ascii="Times New Roman" w:eastAsia="Calibri" w:hAnsi="Times New Roman" w:cs="Times New Roman"/>
          <w:sz w:val="24"/>
          <w:szCs w:val="24"/>
          <w:lang w:val="en-GB"/>
        </w:rPr>
      </w:pPr>
    </w:p>
    <w:p w:rsidR="00F5195C" w:rsidRPr="00F5195C" w:rsidRDefault="00F5195C" w:rsidP="00F5195C">
      <w:pPr>
        <w:spacing w:after="200" w:line="480" w:lineRule="auto"/>
        <w:rPr>
          <w:rFonts w:ascii="Times New Roman" w:eastAsia="Calibri" w:hAnsi="Times New Roman" w:cs="Times New Roman"/>
          <w:sz w:val="24"/>
          <w:szCs w:val="24"/>
          <w:lang w:val="en-GB"/>
        </w:rPr>
      </w:pPr>
      <w:r w:rsidRPr="00F5195C">
        <w:rPr>
          <w:rFonts w:ascii="Times New Roman" w:eastAsia="Calibri" w:hAnsi="Times New Roman" w:cs="Times New Roman"/>
          <w:sz w:val="24"/>
          <w:szCs w:val="24"/>
          <w:lang w:val="en-GB"/>
        </w:rPr>
        <w:t xml:space="preserve">The destination is a province within the Indonesian archipelago consisting of Bali and a few smaller islands (Britannica, 2021). Bali’s tourism development began in the 1920’s when Indonesia was still a Dutch colony (Shavit, 2019). The Dutch opened a tourist bureau in Batavia now known as Jakarta in 1908 with a purpose to promote tourism in the Dutch East Indies. This bureau was extended to Bali in 1914 and with the introduction of regular weekly steamship from Java to Bali in 1924 tourism began to take off.  In this initial phase the locals were considered the lure for the visitor and made very little from the exploits (Shavit, 2019). The 1960-1970 period was characterized by a development model consisting of small-scale tourism with little impact on the environment and socio-culture. The 1970s-1980s period saw many large scale hotels built in Nusa Dua, Sanur, and Kuta. Since then Bali has been exposed to the varying effects of tourism development. Bali represents familiarity for those who live in tropical island dense regions. Moreover, the similarity of its tourism development and that of the Caribbean region is telling. Island destinations like St. Vincent and the Grenadines (SVG) that are in the development phase need to pay particular attention to policy. It is more important now than before to carefully lay the foundation for sustainable principles that will guide development in a manner that safeguards the environment and is relevant to the destination size constraints.  </w:t>
      </w:r>
    </w:p>
    <w:p w:rsidR="00F5195C" w:rsidRPr="00F5195C" w:rsidRDefault="00F5195C" w:rsidP="00F5195C">
      <w:pPr>
        <w:spacing w:after="200" w:line="480" w:lineRule="auto"/>
        <w:rPr>
          <w:rFonts w:ascii="Times New Roman" w:eastAsia="Calibri" w:hAnsi="Times New Roman" w:cs="Times New Roman"/>
          <w:sz w:val="24"/>
          <w:szCs w:val="24"/>
          <w:lang w:val="en-GB"/>
        </w:rPr>
      </w:pPr>
      <w:r w:rsidRPr="00F5195C">
        <w:rPr>
          <w:rFonts w:ascii="Times New Roman" w:eastAsia="Calibri" w:hAnsi="Times New Roman" w:cs="Times New Roman"/>
          <w:sz w:val="24"/>
          <w:szCs w:val="24"/>
          <w:lang w:val="en-GB"/>
        </w:rPr>
        <w:t>Bali was well suited for success in the tourism sector because of its beautiful natural features: volcanic mountains, lush vegetation, scenic lakes, breathtaking waterfalls, iconic rice fields, flower gardens, gushing sacred rivers, secluded canyons, beautiful beaches. Its rich culture includes many ancient temples and age old rituals earning it the nickname as</w:t>
      </w:r>
      <w:r w:rsidRPr="00F5195C">
        <w:rPr>
          <w:rFonts w:ascii="Calibri" w:eastAsia="Calibri" w:hAnsi="Calibri" w:cs="Calibri"/>
          <w:lang w:val="en-GB"/>
        </w:rPr>
        <w:t xml:space="preserve"> </w:t>
      </w:r>
      <w:r w:rsidRPr="00F5195C">
        <w:rPr>
          <w:rFonts w:ascii="Times New Roman" w:eastAsia="Calibri" w:hAnsi="Times New Roman" w:cs="Times New Roman"/>
          <w:sz w:val="24"/>
          <w:szCs w:val="24"/>
          <w:lang w:val="en-GB"/>
        </w:rPr>
        <w:t>‘Island of the Gods’</w:t>
      </w:r>
      <w:r w:rsidRPr="00F5195C">
        <w:rPr>
          <w:rFonts w:ascii="Calibri" w:eastAsia="Calibri" w:hAnsi="Calibri" w:cs="Calibri"/>
          <w:lang w:val="en-GB"/>
        </w:rPr>
        <w:t xml:space="preserve"> </w:t>
      </w:r>
      <w:r w:rsidRPr="00F5195C">
        <w:rPr>
          <w:rFonts w:ascii="Calibri" w:eastAsia="Calibri" w:hAnsi="Calibri" w:cs="Calibri"/>
          <w:lang w:val="en-GB"/>
        </w:rPr>
        <w:lastRenderedPageBreak/>
        <w:t>(</w:t>
      </w:r>
      <w:r w:rsidRPr="00F5195C">
        <w:rPr>
          <w:rFonts w:ascii="Times New Roman" w:eastAsia="Calibri" w:hAnsi="Times New Roman" w:cs="Times New Roman"/>
          <w:sz w:val="24"/>
          <w:szCs w:val="24"/>
          <w:lang w:val="en-GB"/>
        </w:rPr>
        <w:t>indonesia.travel, n.d). Pre-pandemic it was the most popular destination in Indonesia hosting more than a third of all visitors to the archipelago</w:t>
      </w:r>
      <w:r w:rsidRPr="00F5195C">
        <w:rPr>
          <w:rFonts w:ascii="Calibri" w:eastAsia="Calibri" w:hAnsi="Calibri" w:cs="Calibri"/>
          <w:lang w:val="en-GB"/>
        </w:rPr>
        <w:t xml:space="preserve"> </w:t>
      </w:r>
      <w:r w:rsidRPr="00F5195C">
        <w:rPr>
          <w:rFonts w:ascii="Times New Roman" w:eastAsia="Calibri" w:hAnsi="Times New Roman" w:cs="Times New Roman"/>
          <w:sz w:val="24"/>
          <w:szCs w:val="24"/>
          <w:lang w:val="en-GB"/>
        </w:rPr>
        <w:t>(Sutawa, 2012).</w:t>
      </w:r>
      <w:r w:rsidRPr="00F5195C">
        <w:rPr>
          <w:rFonts w:ascii="Calibri" w:eastAsia="Calibri" w:hAnsi="Calibri" w:cs="Calibri"/>
          <w:lang w:val="en-GB"/>
        </w:rPr>
        <w:t xml:space="preserve"> </w:t>
      </w:r>
      <w:r w:rsidRPr="00F5195C">
        <w:rPr>
          <w:rFonts w:ascii="Times New Roman" w:eastAsia="Calibri" w:hAnsi="Times New Roman" w:cs="Times New Roman"/>
          <w:sz w:val="24"/>
          <w:szCs w:val="24"/>
          <w:lang w:val="en-GB"/>
        </w:rPr>
        <w:t xml:space="preserve">Tourism became the mainstay of Bali’s with experts estimating that at its peaked contributed as much as 80% to the economy (Teja, 2020).  Bali eventually succumb to over-exposure and can be termed a victim of its own popularity. It is even purported that popular culture like social media posts and films like </w:t>
      </w:r>
      <w:r w:rsidRPr="00F5195C">
        <w:rPr>
          <w:rFonts w:ascii="Times New Roman" w:eastAsia="Calibri" w:hAnsi="Times New Roman" w:cs="Times New Roman"/>
          <w:i/>
          <w:sz w:val="24"/>
          <w:szCs w:val="24"/>
          <w:lang w:val="en-GB"/>
        </w:rPr>
        <w:t>Eat, Prey, Love</w:t>
      </w:r>
      <w:r w:rsidRPr="00F5195C">
        <w:rPr>
          <w:rFonts w:ascii="Times New Roman" w:eastAsia="Calibri" w:hAnsi="Times New Roman" w:cs="Times New Roman"/>
          <w:sz w:val="24"/>
          <w:szCs w:val="24"/>
          <w:lang w:val="en-GB"/>
        </w:rPr>
        <w:t xml:space="preserve"> contributed to a significant numbers of visitors swarming Bali for similar experiences</w:t>
      </w:r>
      <w:r w:rsidRPr="00F5195C">
        <w:rPr>
          <w:rFonts w:ascii="Calibri" w:eastAsia="Calibri" w:hAnsi="Calibri" w:cs="Calibri"/>
          <w:lang w:val="en-GB"/>
        </w:rPr>
        <w:t xml:space="preserve"> </w:t>
      </w:r>
      <w:r w:rsidRPr="00F5195C">
        <w:rPr>
          <w:rFonts w:ascii="Times New Roman" w:eastAsia="Calibri" w:hAnsi="Times New Roman" w:cs="Times New Roman"/>
          <w:sz w:val="24"/>
          <w:szCs w:val="24"/>
          <w:lang w:val="en-GB"/>
        </w:rPr>
        <w:t>(Squires, 2010). Whatever factors are responsible for the approximately six million foreign visitors (Statista, 2021) visiting the island in 2019</w:t>
      </w:r>
      <w:r w:rsidRPr="00F5195C">
        <w:rPr>
          <w:rFonts w:ascii="Calibri" w:eastAsia="Calibri" w:hAnsi="Calibri" w:cs="Calibri"/>
          <w:lang w:val="en-GB"/>
        </w:rPr>
        <w:t xml:space="preserve">, </w:t>
      </w:r>
      <w:r w:rsidRPr="00F5195C">
        <w:rPr>
          <w:rFonts w:ascii="Times New Roman" w:eastAsia="Calibri" w:hAnsi="Times New Roman" w:cs="Times New Roman"/>
          <w:sz w:val="24"/>
          <w:szCs w:val="24"/>
          <w:lang w:val="en-GB"/>
        </w:rPr>
        <w:t>it is clear that such growth was unsustainable.</w:t>
      </w:r>
    </w:p>
    <w:p w:rsidR="00F5195C" w:rsidRPr="00F5195C" w:rsidRDefault="00F5195C" w:rsidP="00F5195C">
      <w:pPr>
        <w:spacing w:after="200" w:line="480" w:lineRule="auto"/>
        <w:rPr>
          <w:rFonts w:ascii="Times New Roman" w:eastAsia="Calibri" w:hAnsi="Times New Roman" w:cs="Times New Roman"/>
          <w:sz w:val="24"/>
          <w:szCs w:val="24"/>
          <w:lang w:val="en-GB"/>
        </w:rPr>
      </w:pPr>
      <w:r w:rsidRPr="00F5195C">
        <w:rPr>
          <w:rFonts w:ascii="Times New Roman" w:eastAsia="Calibri" w:hAnsi="Times New Roman" w:cs="Times New Roman"/>
          <w:sz w:val="24"/>
          <w:szCs w:val="24"/>
          <w:lang w:val="en-GB"/>
        </w:rPr>
        <w:t xml:space="preserve">This success took a serious toll on the sustainability of the destination. In Indonesia critical decisions on tourism planning is made at the local, national, and international levels.  Although some vertical integration exists decisions are often made without consultation or collaboration between the central and the local policy makers. There is no clear communicated plan for a sustainable approach to balance the environment and tourism pursuits. Additionally, the people are aware that the development of Bali should be protected for future generations, however many Balinese land are no longer owned by the Balinese people. It is purported that about 85% of the tourism developments are in the hands of non-Balinese investors (Cole and Browne, 2015).  Quantitatively Bali appeared to be a more prosperous society but qualitatively the Balinese people lost their quality of life since tourism was such a significant part of the economy many locals livelihood depended on it but the types of jobs would most likely be on the lower rungs since most tourism entities were foreign owned. Water security was compromised (Sutawa, 2012) mainly due to the development of new resorts and hotels which endangered the water supply of traditional farming. It has been quoted that as much as 65-percent of the Bali’s groundwater goes to the tourism industry (Cole and Browne, 2015), drying up 260-out of more </w:t>
      </w:r>
      <w:r w:rsidRPr="00F5195C">
        <w:rPr>
          <w:rFonts w:ascii="Times New Roman" w:eastAsia="Calibri" w:hAnsi="Times New Roman" w:cs="Times New Roman"/>
          <w:sz w:val="24"/>
          <w:szCs w:val="24"/>
          <w:lang w:val="en-GB"/>
        </w:rPr>
        <w:lastRenderedPageBreak/>
        <w:t>than 400-Balinese rivers (Fogarty 2007, cited in</w:t>
      </w:r>
      <w:r w:rsidRPr="00F5195C">
        <w:rPr>
          <w:rFonts w:ascii="Calibri" w:eastAsia="Calibri" w:hAnsi="Calibri" w:cs="Calibri"/>
          <w:lang w:val="en-GB"/>
        </w:rPr>
        <w:t xml:space="preserve"> </w:t>
      </w:r>
      <w:r w:rsidRPr="00F5195C">
        <w:rPr>
          <w:rFonts w:ascii="Times New Roman" w:eastAsia="Calibri" w:hAnsi="Times New Roman" w:cs="Times New Roman"/>
          <w:sz w:val="24"/>
          <w:szCs w:val="24"/>
          <w:lang w:val="en-GB"/>
        </w:rPr>
        <w:t>Cole and Browne, 2015). To compound the issue the Japan International Cooperation Agency (JICA) indicated that the southern part of Bali would suffer from a water deficit by 2015 ((The Jakarta Post, 2017). Pollution was a monumental issue in their archipelago, hundreds of landfill are running out of space</w:t>
      </w:r>
      <w:r w:rsidRPr="00F5195C">
        <w:rPr>
          <w:rFonts w:ascii="Calibri" w:eastAsia="Calibri" w:hAnsi="Calibri" w:cs="Calibri"/>
          <w:lang w:val="en-GB"/>
        </w:rPr>
        <w:t xml:space="preserve"> </w:t>
      </w:r>
      <w:r w:rsidRPr="00F5195C">
        <w:rPr>
          <w:rFonts w:ascii="Times New Roman" w:eastAsia="Calibri" w:hAnsi="Times New Roman" w:cs="Times New Roman"/>
          <w:sz w:val="24"/>
          <w:szCs w:val="24"/>
          <w:lang w:val="en-GB"/>
        </w:rPr>
        <w:t>(Paulo, 2020).</w:t>
      </w:r>
      <w:r w:rsidRPr="00F5195C">
        <w:rPr>
          <w:rFonts w:ascii="Calibri" w:eastAsia="Calibri" w:hAnsi="Calibri" w:cs="Calibri"/>
          <w:lang w:val="en-GB"/>
        </w:rPr>
        <w:t xml:space="preserve"> </w:t>
      </w:r>
      <w:r w:rsidRPr="00F5195C">
        <w:rPr>
          <w:rFonts w:ascii="Times New Roman" w:eastAsia="Calibri" w:hAnsi="Times New Roman" w:cs="Times New Roman"/>
          <w:sz w:val="24"/>
          <w:szCs w:val="24"/>
          <w:lang w:val="en-GB"/>
        </w:rPr>
        <w:t>Traffic congestion was a daily reality because Bali’s roads were not designed</w:t>
      </w:r>
      <w:r w:rsidRPr="00F5195C">
        <w:rPr>
          <w:rFonts w:ascii="Calibri" w:eastAsia="Calibri" w:hAnsi="Calibri" w:cs="Calibri"/>
          <w:lang w:val="en-GB"/>
        </w:rPr>
        <w:t xml:space="preserve"> for </w:t>
      </w:r>
      <w:r w:rsidRPr="00F5195C">
        <w:rPr>
          <w:rFonts w:ascii="Times New Roman" w:eastAsia="Calibri" w:hAnsi="Times New Roman" w:cs="Times New Roman"/>
          <w:sz w:val="24"/>
          <w:szCs w:val="24"/>
          <w:lang w:val="en-GB"/>
        </w:rPr>
        <w:t>the many all-wheel-drive SUVs used to carry most tourists.  Statistic place Indonesia as the world's second-largest producer of plastic waste after China (World Bank Group, 2018)</w:t>
      </w:r>
      <w:r w:rsidRPr="00F5195C">
        <w:rPr>
          <w:rFonts w:ascii="Calibri" w:eastAsia="Calibri" w:hAnsi="Calibri" w:cs="Calibri"/>
          <w:lang w:val="en-GB"/>
        </w:rPr>
        <w:t xml:space="preserve"> </w:t>
      </w:r>
      <w:r w:rsidRPr="00F5195C">
        <w:rPr>
          <w:rFonts w:ascii="Times New Roman" w:eastAsia="Calibri" w:hAnsi="Times New Roman" w:cs="Times New Roman"/>
          <w:sz w:val="24"/>
          <w:szCs w:val="24"/>
          <w:lang w:val="en-GB"/>
        </w:rPr>
        <w:t>and a top 10 for CO2 pollution (Ortega, 2021). Bali's issue was exacerbated by mass tourism and rampant development that has outpaced infrastructure, especially in the south of the island. The typical Bali visitor produce more than three-times the amount of trash than local residents on a daily basis. Bali’s Environment Agency reported that 3,800 tons of waste was produced each day; but only 60% was disposed of in landfill sites</w:t>
      </w:r>
      <w:r w:rsidRPr="00F5195C">
        <w:rPr>
          <w:rFonts w:ascii="Calibri" w:eastAsia="Calibri" w:hAnsi="Calibri" w:cs="Calibri"/>
          <w:lang w:val="en-GB"/>
        </w:rPr>
        <w:t xml:space="preserve"> </w:t>
      </w:r>
      <w:r w:rsidRPr="00F5195C">
        <w:rPr>
          <w:rFonts w:ascii="Times New Roman" w:eastAsia="Calibri" w:hAnsi="Times New Roman" w:cs="Times New Roman"/>
          <w:sz w:val="24"/>
          <w:szCs w:val="24"/>
          <w:lang w:val="en-GB"/>
        </w:rPr>
        <w:t>(Erviani, 2019). The other 40% ended up on the beach and in the sea.</w:t>
      </w:r>
    </w:p>
    <w:p w:rsidR="00F5195C" w:rsidRPr="00F5195C" w:rsidRDefault="00F5195C" w:rsidP="00F5195C">
      <w:pPr>
        <w:spacing w:after="200" w:line="480" w:lineRule="auto"/>
        <w:rPr>
          <w:rFonts w:ascii="Times New Roman" w:eastAsia="Calibri" w:hAnsi="Times New Roman" w:cs="Times New Roman"/>
          <w:sz w:val="24"/>
          <w:szCs w:val="24"/>
          <w:lang w:val="en-GB"/>
        </w:rPr>
      </w:pPr>
      <w:r w:rsidRPr="00F5195C">
        <w:rPr>
          <w:rFonts w:ascii="Times New Roman" w:eastAsia="Calibri" w:hAnsi="Times New Roman" w:cs="Times New Roman"/>
          <w:sz w:val="24"/>
          <w:szCs w:val="24"/>
          <w:lang w:val="en-GB"/>
        </w:rPr>
        <w:t>Facing numerous sustainable challenges forced the government to formulate strategies to tackle the solid waste management crisis the thus in early 2019 the government drafted bylaws to implement a green tourism tax. Visitors would pay a $10 fee upon departure</w:t>
      </w:r>
      <w:r w:rsidRPr="00F5195C">
        <w:rPr>
          <w:rFonts w:ascii="Calibri" w:eastAsia="Calibri" w:hAnsi="Calibri" w:cs="Calibri"/>
          <w:lang w:val="en-GB"/>
        </w:rPr>
        <w:t xml:space="preserve"> which will be used</w:t>
      </w:r>
      <w:r w:rsidRPr="00F5195C">
        <w:rPr>
          <w:rFonts w:ascii="Times New Roman" w:eastAsia="Calibri" w:hAnsi="Times New Roman" w:cs="Times New Roman"/>
          <w:sz w:val="24"/>
          <w:szCs w:val="24"/>
          <w:lang w:val="en-GB"/>
        </w:rPr>
        <w:t xml:space="preserve"> to fund waste disposal projects and cultural preservations (Erviani, 2019). Later that year June 23, 2019 legislators imposed a ban on single use plastics. Bali is also exploring the implementation of decentralized recycling plants for all municipalities and villages.  Pererenan, a greenbelt village on Bali's west coast started a pilot recycling plant where households are required to separate organic and non-organic waste. The plant then separates the inorganic waste into various categories of plastic and metal. The majority of the metal, 90%, is sold to scrapyards with the remainder sent to landfill. However, organic waste is composted on site and sold to </w:t>
      </w:r>
      <w:r w:rsidRPr="00F5195C">
        <w:rPr>
          <w:rFonts w:ascii="Times New Roman" w:eastAsia="Calibri" w:hAnsi="Times New Roman" w:cs="Times New Roman"/>
          <w:sz w:val="24"/>
          <w:szCs w:val="24"/>
          <w:lang w:val="en-GB"/>
        </w:rPr>
        <w:lastRenderedPageBreak/>
        <w:t>generate income for the plant. The longer-term goal is share it with local farmers to help break their dependence on chemical fertilizers that pollute water sources and slowly deplete the soil of nutrients.</w:t>
      </w:r>
    </w:p>
    <w:p w:rsidR="00F5195C" w:rsidRPr="00F5195C" w:rsidRDefault="00F5195C" w:rsidP="00F5195C">
      <w:pPr>
        <w:spacing w:after="200" w:line="480" w:lineRule="auto"/>
        <w:rPr>
          <w:rFonts w:ascii="Times New Roman" w:eastAsia="Calibri" w:hAnsi="Times New Roman" w:cs="Times New Roman"/>
          <w:sz w:val="24"/>
          <w:szCs w:val="24"/>
          <w:lang w:val="en-GB"/>
        </w:rPr>
      </w:pPr>
      <w:r w:rsidRPr="00F5195C">
        <w:rPr>
          <w:rFonts w:ascii="Times New Roman" w:eastAsia="Calibri" w:hAnsi="Times New Roman" w:cs="Times New Roman"/>
          <w:sz w:val="24"/>
          <w:szCs w:val="24"/>
          <w:lang w:val="en-GB"/>
        </w:rPr>
        <w:t>Environmental education and awareness are key strategies identified by the Bali's office for environment and health. They are hopeful that going into the schools to share awareness of the consequences of poor waste disposal and demonstrate recycling techniques will have a transformative effect on future attitudes. Attitudes are indeed changing since the global pandemic many volunteer groups, hotels and local authorities orchestrated regular clean-ups. Additionally, a report from the Bali’s Waste Management Task Force showed that 87% of Bali residents are willing to sort waste and make the effort to reduce, reuse and recycle.</w:t>
      </w:r>
    </w:p>
    <w:p w:rsidR="007B5A24" w:rsidRDefault="00F5195C" w:rsidP="00F5195C">
      <w:pPr>
        <w:spacing w:after="200" w:line="480" w:lineRule="auto"/>
        <w:rPr>
          <w:rFonts w:ascii="Times New Roman" w:eastAsia="Calibri" w:hAnsi="Times New Roman" w:cs="Times New Roman"/>
          <w:sz w:val="24"/>
          <w:szCs w:val="24"/>
          <w:lang w:val="en-GB"/>
        </w:rPr>
      </w:pPr>
      <w:r w:rsidRPr="00F5195C">
        <w:rPr>
          <w:rFonts w:ascii="Times New Roman" w:eastAsia="Calibri" w:hAnsi="Times New Roman" w:cs="Times New Roman"/>
          <w:sz w:val="24"/>
          <w:szCs w:val="24"/>
          <w:lang w:val="en-GB"/>
        </w:rPr>
        <w:t>The irony is not lost that visitors flocked to Bali to experience beauty, serenity and spirituality only to comprise those very precious elements. Pre- pandemic occurrences demonstrated that mass tourism is impractical for the destination, Bali’s future needs to be one that focuses on finding balance through encouraging sustainable/eco-tourism. Communities must be empowered and included in the sustainable approach so that there is a more equitable distribution of the visitor spend at the local level (Sutawa, 2012).</w:t>
      </w:r>
    </w:p>
    <w:p w:rsidR="007B5A24" w:rsidRDefault="007B5A24">
      <w:pPr>
        <w:rPr>
          <w:rFonts w:ascii="Times New Roman" w:eastAsia="Calibri" w:hAnsi="Times New Roman" w:cs="Times New Roman"/>
          <w:sz w:val="24"/>
          <w:szCs w:val="24"/>
          <w:lang w:val="en-GB"/>
        </w:rPr>
      </w:pPr>
      <w:r>
        <w:rPr>
          <w:rFonts w:ascii="Times New Roman" w:eastAsia="Calibri" w:hAnsi="Times New Roman" w:cs="Times New Roman"/>
          <w:sz w:val="24"/>
          <w:szCs w:val="24"/>
          <w:lang w:val="en-GB"/>
        </w:rPr>
        <w:br w:type="page"/>
      </w:r>
    </w:p>
    <w:p w:rsidR="007B5A24" w:rsidRPr="007B5A24" w:rsidRDefault="007B5A24" w:rsidP="007B5A24">
      <w:pPr>
        <w:spacing w:after="240" w:line="360" w:lineRule="auto"/>
        <w:rPr>
          <w:rFonts w:ascii="Times New Roman" w:eastAsia="Times New Roman" w:hAnsi="Times New Roman" w:cs="Times New Roman"/>
          <w:sz w:val="36"/>
          <w:szCs w:val="36"/>
        </w:rPr>
      </w:pPr>
      <w:r>
        <w:rPr>
          <w:rFonts w:ascii="Times New Roman" w:eastAsia="Times New Roman" w:hAnsi="Times New Roman" w:cs="Times New Roman"/>
          <w:sz w:val="36"/>
          <w:szCs w:val="36"/>
        </w:rPr>
        <w:lastRenderedPageBreak/>
        <w:t xml:space="preserve">Reference </w:t>
      </w:r>
    </w:p>
    <w:p w:rsidR="007B5A24" w:rsidRPr="007B5A24" w:rsidRDefault="007B5A24" w:rsidP="007B5A24">
      <w:pPr>
        <w:spacing w:after="240" w:line="360" w:lineRule="auto"/>
        <w:rPr>
          <w:rFonts w:ascii="Times New Roman" w:eastAsia="Times New Roman" w:hAnsi="Times New Roman" w:cs="Times New Roman"/>
          <w:sz w:val="24"/>
          <w:szCs w:val="24"/>
        </w:rPr>
      </w:pPr>
      <w:r w:rsidRPr="007B5A24">
        <w:rPr>
          <w:rFonts w:ascii="Times New Roman" w:eastAsia="Times New Roman" w:hAnsi="Times New Roman" w:cs="Times New Roman"/>
          <w:sz w:val="24"/>
          <w:szCs w:val="24"/>
        </w:rPr>
        <w:t xml:space="preserve">Bengwayan, D.M.A. (2020). </w:t>
      </w:r>
      <w:r w:rsidRPr="007B5A24">
        <w:rPr>
          <w:rFonts w:ascii="Times New Roman" w:eastAsia="Times New Roman" w:hAnsi="Times New Roman" w:cs="Times New Roman"/>
          <w:i/>
          <w:iCs/>
          <w:sz w:val="24"/>
          <w:szCs w:val="24"/>
        </w:rPr>
        <w:t>Ecosystem Bears Brunt Of Deterioration From Tourism – OpEd</w:t>
      </w:r>
      <w:r w:rsidRPr="007B5A24">
        <w:rPr>
          <w:rFonts w:ascii="Times New Roman" w:eastAsia="Times New Roman" w:hAnsi="Times New Roman" w:cs="Times New Roman"/>
          <w:sz w:val="24"/>
          <w:szCs w:val="24"/>
        </w:rPr>
        <w:t>. [online] Eurasia Review. Available at: https://www.eurasiareview.com/12112020-ecosystem-bears-brunt-of-deterioration-from-tourism-oped/ [Accessed 16 Dec. 2021].</w:t>
      </w:r>
    </w:p>
    <w:p w:rsidR="007B5A24" w:rsidRPr="007B5A24" w:rsidRDefault="007B5A24" w:rsidP="007B5A24">
      <w:pPr>
        <w:spacing w:after="240" w:line="360" w:lineRule="auto"/>
        <w:rPr>
          <w:rFonts w:ascii="Times New Roman" w:eastAsia="Times New Roman" w:hAnsi="Times New Roman" w:cs="Times New Roman"/>
          <w:sz w:val="24"/>
          <w:szCs w:val="24"/>
        </w:rPr>
      </w:pPr>
      <w:r w:rsidRPr="007B5A24">
        <w:rPr>
          <w:rFonts w:ascii="Times New Roman" w:eastAsia="Times New Roman" w:hAnsi="Times New Roman" w:cs="Times New Roman"/>
          <w:sz w:val="24"/>
          <w:szCs w:val="24"/>
        </w:rPr>
        <w:t xml:space="preserve">Britannica (2021). </w:t>
      </w:r>
      <w:r w:rsidRPr="007B5A24">
        <w:rPr>
          <w:rFonts w:ascii="Times New Roman" w:eastAsia="Times New Roman" w:hAnsi="Times New Roman" w:cs="Times New Roman"/>
          <w:i/>
          <w:iCs/>
          <w:sz w:val="24"/>
          <w:szCs w:val="24"/>
        </w:rPr>
        <w:t>Bali | History, Climate, Population, &amp; Facts | Britannica</w:t>
      </w:r>
      <w:r w:rsidRPr="007B5A24">
        <w:rPr>
          <w:rFonts w:ascii="Times New Roman" w:eastAsia="Times New Roman" w:hAnsi="Times New Roman" w:cs="Times New Roman"/>
          <w:sz w:val="24"/>
          <w:szCs w:val="24"/>
        </w:rPr>
        <w:t>. [online] www.britannica.com. Available at: https://www.britannica.com/place/Bali-island-and-province-Indonesia#ref312489 [Accessed 16 Dec. 2021].</w:t>
      </w:r>
    </w:p>
    <w:p w:rsidR="007B5A24" w:rsidRPr="007B5A24" w:rsidRDefault="007B5A24" w:rsidP="007B5A24">
      <w:pPr>
        <w:spacing w:after="240" w:line="360" w:lineRule="auto"/>
        <w:rPr>
          <w:rFonts w:ascii="Times New Roman" w:eastAsia="Times New Roman" w:hAnsi="Times New Roman" w:cs="Times New Roman"/>
          <w:sz w:val="24"/>
          <w:szCs w:val="24"/>
        </w:rPr>
      </w:pPr>
      <w:r w:rsidRPr="007B5A24">
        <w:rPr>
          <w:rFonts w:ascii="Times New Roman" w:eastAsia="Times New Roman" w:hAnsi="Times New Roman" w:cs="Times New Roman"/>
          <w:sz w:val="24"/>
          <w:szCs w:val="24"/>
        </w:rPr>
        <w:t xml:space="preserve">Cole, S. and Browne, M. (2015). Tourism and Water Inequity in Bali: A Social-Ecological Systems Analysis. </w:t>
      </w:r>
      <w:r w:rsidRPr="007B5A24">
        <w:rPr>
          <w:rFonts w:ascii="Times New Roman" w:eastAsia="Times New Roman" w:hAnsi="Times New Roman" w:cs="Times New Roman"/>
          <w:i/>
          <w:iCs/>
          <w:sz w:val="24"/>
          <w:szCs w:val="24"/>
        </w:rPr>
        <w:t>Human Ecology</w:t>
      </w:r>
      <w:r w:rsidRPr="007B5A24">
        <w:rPr>
          <w:rFonts w:ascii="Times New Roman" w:eastAsia="Times New Roman" w:hAnsi="Times New Roman" w:cs="Times New Roman"/>
          <w:sz w:val="24"/>
          <w:szCs w:val="24"/>
        </w:rPr>
        <w:t>, 43(3), pp.439–450.</w:t>
      </w:r>
    </w:p>
    <w:p w:rsidR="007B5A24" w:rsidRPr="007B5A24" w:rsidRDefault="007B5A24" w:rsidP="007B5A24">
      <w:pPr>
        <w:spacing w:after="240" w:line="360" w:lineRule="auto"/>
        <w:rPr>
          <w:rFonts w:ascii="Times New Roman" w:eastAsia="Times New Roman" w:hAnsi="Times New Roman" w:cs="Times New Roman"/>
          <w:sz w:val="24"/>
          <w:szCs w:val="24"/>
        </w:rPr>
      </w:pPr>
      <w:r w:rsidRPr="007B5A24">
        <w:rPr>
          <w:rFonts w:ascii="Times New Roman" w:eastAsia="Times New Roman" w:hAnsi="Times New Roman" w:cs="Times New Roman"/>
          <w:sz w:val="24"/>
          <w:szCs w:val="24"/>
        </w:rPr>
        <w:t xml:space="preserve">Erviani, N.K. (2019). </w:t>
      </w:r>
      <w:r w:rsidRPr="007B5A24">
        <w:rPr>
          <w:rFonts w:ascii="Times New Roman" w:eastAsia="Times New Roman" w:hAnsi="Times New Roman" w:cs="Times New Roman"/>
          <w:i/>
          <w:iCs/>
          <w:sz w:val="24"/>
          <w:szCs w:val="24"/>
        </w:rPr>
        <w:t>Let’s preserve nature: Bali requires foreign tourists to pay US$10</w:t>
      </w:r>
      <w:r w:rsidRPr="007B5A24">
        <w:rPr>
          <w:rFonts w:ascii="Times New Roman" w:eastAsia="Times New Roman" w:hAnsi="Times New Roman" w:cs="Times New Roman"/>
          <w:sz w:val="24"/>
          <w:szCs w:val="24"/>
        </w:rPr>
        <w:t>. [online] The Jakarta Post. Available at: https://www.thejakartapost.com/news/2019/01/18/lets-preserve-nature-bali-requires-foreign-tourists-to-pay-us10.html [Accessed 16 Dec. 2021].</w:t>
      </w:r>
    </w:p>
    <w:p w:rsidR="007B5A24" w:rsidRPr="007B5A24" w:rsidRDefault="007B5A24" w:rsidP="007B5A24">
      <w:pPr>
        <w:spacing w:after="240" w:line="360" w:lineRule="auto"/>
        <w:rPr>
          <w:rFonts w:ascii="Times New Roman" w:eastAsia="Times New Roman" w:hAnsi="Times New Roman" w:cs="Times New Roman"/>
          <w:sz w:val="24"/>
          <w:szCs w:val="24"/>
        </w:rPr>
      </w:pPr>
      <w:r w:rsidRPr="007B5A24">
        <w:rPr>
          <w:rFonts w:ascii="Times New Roman" w:eastAsia="Times New Roman" w:hAnsi="Times New Roman" w:cs="Times New Roman"/>
          <w:sz w:val="24"/>
          <w:szCs w:val="24"/>
        </w:rPr>
        <w:t xml:space="preserve">Indonesia.travel (n.d.). </w:t>
      </w:r>
      <w:r w:rsidRPr="007B5A24">
        <w:rPr>
          <w:rFonts w:ascii="Times New Roman" w:eastAsia="Times New Roman" w:hAnsi="Times New Roman" w:cs="Times New Roman"/>
          <w:i/>
          <w:iCs/>
          <w:sz w:val="24"/>
          <w:szCs w:val="24"/>
        </w:rPr>
        <w:t>Visiting Bali Soon? Read this First - Indonesia Travel</w:t>
      </w:r>
      <w:r w:rsidRPr="007B5A24">
        <w:rPr>
          <w:rFonts w:ascii="Times New Roman" w:eastAsia="Times New Roman" w:hAnsi="Times New Roman" w:cs="Times New Roman"/>
          <w:sz w:val="24"/>
          <w:szCs w:val="24"/>
        </w:rPr>
        <w:t>. [online] www.indonesia.travel. Available at: https://www.indonesia.travel/gb/en/destinations/bali-nusa-tenggara/bali.</w:t>
      </w:r>
    </w:p>
    <w:p w:rsidR="007B5A24" w:rsidRPr="007B5A24" w:rsidRDefault="007B5A24" w:rsidP="007B5A24">
      <w:pPr>
        <w:spacing w:after="240" w:line="360" w:lineRule="auto"/>
        <w:rPr>
          <w:rFonts w:ascii="Times New Roman" w:eastAsia="Times New Roman" w:hAnsi="Times New Roman" w:cs="Times New Roman"/>
          <w:sz w:val="24"/>
          <w:szCs w:val="24"/>
        </w:rPr>
      </w:pPr>
      <w:r w:rsidRPr="007B5A24">
        <w:rPr>
          <w:rFonts w:ascii="Times New Roman" w:eastAsia="Times New Roman" w:hAnsi="Times New Roman" w:cs="Times New Roman"/>
          <w:sz w:val="24"/>
          <w:szCs w:val="24"/>
        </w:rPr>
        <w:t xml:space="preserve">Juniarta, I.W. (2017). </w:t>
      </w:r>
      <w:r w:rsidRPr="007B5A24">
        <w:rPr>
          <w:rFonts w:ascii="Times New Roman" w:eastAsia="Times New Roman" w:hAnsi="Times New Roman" w:cs="Times New Roman"/>
          <w:i/>
          <w:iCs/>
          <w:sz w:val="24"/>
          <w:szCs w:val="24"/>
        </w:rPr>
        <w:t>Bali’s water question</w:t>
      </w:r>
      <w:r w:rsidRPr="007B5A24">
        <w:rPr>
          <w:rFonts w:ascii="Times New Roman" w:eastAsia="Times New Roman" w:hAnsi="Times New Roman" w:cs="Times New Roman"/>
          <w:sz w:val="24"/>
          <w:szCs w:val="24"/>
        </w:rPr>
        <w:t>. [online] The Jakarta Post. Available at: https://www.thejakartapost.com/life/2017/04/13/balis-water-question.html [Accessed 16 Dec. 2021].</w:t>
      </w:r>
    </w:p>
    <w:p w:rsidR="007B5A24" w:rsidRPr="007B5A24" w:rsidRDefault="007B5A24" w:rsidP="007B5A24">
      <w:pPr>
        <w:spacing w:after="240" w:line="360" w:lineRule="auto"/>
        <w:rPr>
          <w:rFonts w:ascii="Times New Roman" w:eastAsia="Times New Roman" w:hAnsi="Times New Roman" w:cs="Times New Roman"/>
          <w:sz w:val="24"/>
          <w:szCs w:val="24"/>
        </w:rPr>
      </w:pPr>
      <w:r w:rsidRPr="007B5A24">
        <w:rPr>
          <w:rFonts w:ascii="Times New Roman" w:eastAsia="Times New Roman" w:hAnsi="Times New Roman" w:cs="Times New Roman"/>
          <w:sz w:val="24"/>
          <w:szCs w:val="24"/>
        </w:rPr>
        <w:t xml:space="preserve">Ortega, V. (2021). </w:t>
      </w:r>
      <w:r w:rsidRPr="007B5A24">
        <w:rPr>
          <w:rFonts w:ascii="Times New Roman" w:eastAsia="Times New Roman" w:hAnsi="Times New Roman" w:cs="Times New Roman"/>
          <w:i/>
          <w:iCs/>
          <w:sz w:val="24"/>
          <w:szCs w:val="24"/>
        </w:rPr>
        <w:t>Which countries are the world’s biggest carbon polluters?</w:t>
      </w:r>
      <w:r w:rsidRPr="007B5A24">
        <w:rPr>
          <w:rFonts w:ascii="Times New Roman" w:eastAsia="Times New Roman" w:hAnsi="Times New Roman" w:cs="Times New Roman"/>
          <w:sz w:val="24"/>
          <w:szCs w:val="24"/>
        </w:rPr>
        <w:t xml:space="preserve"> [online] Climate Trade. Available at: https://climatetrade.com/which-countries-are-the-worlds-biggest-carbon-polluters/.</w:t>
      </w:r>
    </w:p>
    <w:p w:rsidR="007B5A24" w:rsidRPr="007B5A24" w:rsidRDefault="007B5A24" w:rsidP="007B5A24">
      <w:pPr>
        <w:spacing w:after="240" w:line="360" w:lineRule="auto"/>
        <w:rPr>
          <w:rFonts w:ascii="Times New Roman" w:eastAsia="Times New Roman" w:hAnsi="Times New Roman" w:cs="Times New Roman"/>
          <w:sz w:val="24"/>
          <w:szCs w:val="24"/>
        </w:rPr>
      </w:pPr>
      <w:r w:rsidRPr="007B5A24">
        <w:rPr>
          <w:rFonts w:ascii="Times New Roman" w:eastAsia="Times New Roman" w:hAnsi="Times New Roman" w:cs="Times New Roman"/>
          <w:sz w:val="24"/>
          <w:szCs w:val="24"/>
        </w:rPr>
        <w:t xml:space="preserve">Paulo, D. (2020). </w:t>
      </w:r>
      <w:r w:rsidRPr="007B5A24">
        <w:rPr>
          <w:rFonts w:ascii="Times New Roman" w:eastAsia="Times New Roman" w:hAnsi="Times New Roman" w:cs="Times New Roman"/>
          <w:i/>
          <w:iCs/>
          <w:sz w:val="24"/>
          <w:szCs w:val="24"/>
        </w:rPr>
        <w:t>Indonesia stands at the crossroads of a waste crisis and plastics problem</w:t>
      </w:r>
      <w:r w:rsidRPr="007B5A24">
        <w:rPr>
          <w:rFonts w:ascii="Times New Roman" w:eastAsia="Times New Roman" w:hAnsi="Times New Roman" w:cs="Times New Roman"/>
          <w:sz w:val="24"/>
          <w:szCs w:val="24"/>
        </w:rPr>
        <w:t>. [online] CNA. Available at: https://www.channelnewsasia.com/cnainsider/indonesia-stands-crossroads-waste-crisis-plastics-problem-774056 [Accessed 16 Dec. 2021].</w:t>
      </w:r>
    </w:p>
    <w:p w:rsidR="007B5A24" w:rsidRPr="007B5A24" w:rsidRDefault="007B5A24" w:rsidP="007B5A24">
      <w:pPr>
        <w:spacing w:after="240" w:line="360" w:lineRule="auto"/>
        <w:rPr>
          <w:rFonts w:ascii="Times New Roman" w:eastAsia="Times New Roman" w:hAnsi="Times New Roman" w:cs="Times New Roman"/>
          <w:sz w:val="24"/>
          <w:szCs w:val="24"/>
        </w:rPr>
      </w:pPr>
      <w:r w:rsidRPr="007B5A24">
        <w:rPr>
          <w:rFonts w:ascii="Times New Roman" w:eastAsia="Times New Roman" w:hAnsi="Times New Roman" w:cs="Times New Roman"/>
          <w:sz w:val="24"/>
          <w:szCs w:val="24"/>
        </w:rPr>
        <w:lastRenderedPageBreak/>
        <w:t xml:space="preserve">Shavit, D. (2019). </w:t>
      </w:r>
      <w:r w:rsidRPr="007B5A24">
        <w:rPr>
          <w:rFonts w:ascii="Times New Roman" w:eastAsia="Times New Roman" w:hAnsi="Times New Roman" w:cs="Times New Roman"/>
          <w:i/>
          <w:iCs/>
          <w:sz w:val="24"/>
          <w:szCs w:val="24"/>
        </w:rPr>
        <w:t>Bali and the Tourist Industry: A History, 1906-1942</w:t>
      </w:r>
      <w:r w:rsidRPr="007B5A24">
        <w:rPr>
          <w:rFonts w:ascii="Times New Roman" w:eastAsia="Times New Roman" w:hAnsi="Times New Roman" w:cs="Times New Roman"/>
          <w:sz w:val="24"/>
          <w:szCs w:val="24"/>
        </w:rPr>
        <w:t xml:space="preserve">. [online] </w:t>
      </w:r>
      <w:r w:rsidRPr="007B5A24">
        <w:rPr>
          <w:rFonts w:ascii="Times New Roman" w:eastAsia="Times New Roman" w:hAnsi="Times New Roman" w:cs="Times New Roman"/>
          <w:i/>
          <w:iCs/>
          <w:sz w:val="24"/>
          <w:szCs w:val="24"/>
        </w:rPr>
        <w:t>Google Books</w:t>
      </w:r>
      <w:r w:rsidRPr="007B5A24">
        <w:rPr>
          <w:rFonts w:ascii="Times New Roman" w:eastAsia="Times New Roman" w:hAnsi="Times New Roman" w:cs="Times New Roman"/>
          <w:sz w:val="24"/>
          <w:szCs w:val="24"/>
        </w:rPr>
        <w:t>, McFarland, pp.3, 27. Available at: https://books.google.com.vc/books?id=rvGjDwAAQBAJ&amp;printsec=frontcover#v=onepage&amp;q&amp;f=false [Accessed 16 Dec. 2021].</w:t>
      </w:r>
    </w:p>
    <w:p w:rsidR="007B5A24" w:rsidRPr="007B5A24" w:rsidRDefault="007B5A24" w:rsidP="007B5A24">
      <w:pPr>
        <w:spacing w:after="240" w:line="360" w:lineRule="auto"/>
        <w:rPr>
          <w:rFonts w:ascii="Times New Roman" w:eastAsia="Times New Roman" w:hAnsi="Times New Roman" w:cs="Times New Roman"/>
          <w:sz w:val="24"/>
          <w:szCs w:val="24"/>
        </w:rPr>
      </w:pPr>
      <w:r w:rsidRPr="007B5A24">
        <w:rPr>
          <w:rFonts w:ascii="Times New Roman" w:eastAsia="Times New Roman" w:hAnsi="Times New Roman" w:cs="Times New Roman"/>
          <w:sz w:val="24"/>
          <w:szCs w:val="24"/>
        </w:rPr>
        <w:t xml:space="preserve">Sheth, K. (2016). </w:t>
      </w:r>
      <w:r w:rsidRPr="007B5A24">
        <w:rPr>
          <w:rFonts w:ascii="Times New Roman" w:eastAsia="Times New Roman" w:hAnsi="Times New Roman" w:cs="Times New Roman"/>
          <w:i/>
          <w:iCs/>
          <w:sz w:val="24"/>
          <w:szCs w:val="24"/>
        </w:rPr>
        <w:t>Countries Putting The Most Plastic Waste Into The Oceans</w:t>
      </w:r>
      <w:r w:rsidRPr="007B5A24">
        <w:rPr>
          <w:rFonts w:ascii="Times New Roman" w:eastAsia="Times New Roman" w:hAnsi="Times New Roman" w:cs="Times New Roman"/>
          <w:sz w:val="24"/>
          <w:szCs w:val="24"/>
        </w:rPr>
        <w:t>. [online] WorldAtlas. Available at: https://www.worldatlas.com/articles/countries-putting-the-most-plastic-waste-into-the-oceans.html [Accessed 16 Dec. 2021].</w:t>
      </w:r>
    </w:p>
    <w:p w:rsidR="007B5A24" w:rsidRPr="007B5A24" w:rsidRDefault="007B5A24" w:rsidP="007B5A24">
      <w:pPr>
        <w:spacing w:after="240" w:line="360" w:lineRule="auto"/>
        <w:rPr>
          <w:rFonts w:ascii="Times New Roman" w:eastAsia="Times New Roman" w:hAnsi="Times New Roman" w:cs="Times New Roman"/>
          <w:sz w:val="24"/>
          <w:szCs w:val="24"/>
        </w:rPr>
      </w:pPr>
      <w:r w:rsidRPr="007B5A24">
        <w:rPr>
          <w:rFonts w:ascii="Times New Roman" w:eastAsia="Times New Roman" w:hAnsi="Times New Roman" w:cs="Times New Roman"/>
          <w:sz w:val="24"/>
          <w:szCs w:val="24"/>
        </w:rPr>
        <w:t xml:space="preserve">Squires, K. (2010). Eat, Pray, Love … the food in Ubud. </w:t>
      </w:r>
      <w:r w:rsidRPr="007B5A24">
        <w:rPr>
          <w:rFonts w:ascii="Times New Roman" w:eastAsia="Times New Roman" w:hAnsi="Times New Roman" w:cs="Times New Roman"/>
          <w:i/>
          <w:iCs/>
          <w:sz w:val="24"/>
          <w:szCs w:val="24"/>
        </w:rPr>
        <w:t>The Globe and Mail</w:t>
      </w:r>
      <w:r w:rsidRPr="007B5A24">
        <w:rPr>
          <w:rFonts w:ascii="Times New Roman" w:eastAsia="Times New Roman" w:hAnsi="Times New Roman" w:cs="Times New Roman"/>
          <w:sz w:val="24"/>
          <w:szCs w:val="24"/>
        </w:rPr>
        <w:t>. [online] 7 Aug. Available at: https://www.theglobeandmail.com/life/travel/destinations/eat-pray-love-the-food-in-ubud/article543410/ [Accessed 16 Dec. 2021].</w:t>
      </w:r>
    </w:p>
    <w:p w:rsidR="007B5A24" w:rsidRPr="007B5A24" w:rsidRDefault="007B5A24" w:rsidP="007B5A24">
      <w:pPr>
        <w:spacing w:after="240" w:line="360" w:lineRule="auto"/>
        <w:rPr>
          <w:rFonts w:ascii="Times New Roman" w:eastAsia="Times New Roman" w:hAnsi="Times New Roman" w:cs="Times New Roman"/>
          <w:sz w:val="24"/>
          <w:szCs w:val="24"/>
        </w:rPr>
      </w:pPr>
      <w:r w:rsidRPr="007B5A24">
        <w:rPr>
          <w:rFonts w:ascii="Times New Roman" w:eastAsia="Times New Roman" w:hAnsi="Times New Roman" w:cs="Times New Roman"/>
          <w:sz w:val="24"/>
          <w:szCs w:val="24"/>
        </w:rPr>
        <w:t xml:space="preserve">Statista (2021). </w:t>
      </w:r>
      <w:r w:rsidRPr="007B5A24">
        <w:rPr>
          <w:rFonts w:ascii="Times New Roman" w:eastAsia="Times New Roman" w:hAnsi="Times New Roman" w:cs="Times New Roman"/>
          <w:i/>
          <w:iCs/>
          <w:sz w:val="24"/>
          <w:szCs w:val="24"/>
        </w:rPr>
        <w:t>Indonesia: number of foreign tourist arrivals to Bali 2018</w:t>
      </w:r>
      <w:r w:rsidRPr="007B5A24">
        <w:rPr>
          <w:rFonts w:ascii="Times New Roman" w:eastAsia="Times New Roman" w:hAnsi="Times New Roman" w:cs="Times New Roman"/>
          <w:sz w:val="24"/>
          <w:szCs w:val="24"/>
        </w:rPr>
        <w:t>. [online] Statista. Available at: https://www.statista.com/statistics/976842/foreign-tourist-arrivals-numbers-bali-indonesia/ [Accessed 16 Dec. 2021].</w:t>
      </w:r>
    </w:p>
    <w:p w:rsidR="007B5A24" w:rsidRPr="007B5A24" w:rsidRDefault="007B5A24" w:rsidP="007B5A24">
      <w:pPr>
        <w:spacing w:after="240" w:line="360" w:lineRule="auto"/>
        <w:rPr>
          <w:rFonts w:ascii="Times New Roman" w:eastAsia="Times New Roman" w:hAnsi="Times New Roman" w:cs="Times New Roman"/>
          <w:sz w:val="24"/>
          <w:szCs w:val="24"/>
        </w:rPr>
      </w:pPr>
      <w:r w:rsidRPr="007B5A24">
        <w:rPr>
          <w:rFonts w:ascii="Times New Roman" w:eastAsia="Times New Roman" w:hAnsi="Times New Roman" w:cs="Times New Roman"/>
          <w:sz w:val="24"/>
          <w:szCs w:val="24"/>
        </w:rPr>
        <w:t xml:space="preserve">Sutawa, G.K. (2012). Issues on Bali Tourism Development and Community Empowerment to Support Sustainable Tourism Development. </w:t>
      </w:r>
      <w:r w:rsidRPr="007B5A24">
        <w:rPr>
          <w:rFonts w:ascii="Times New Roman" w:eastAsia="Times New Roman" w:hAnsi="Times New Roman" w:cs="Times New Roman"/>
          <w:i/>
          <w:iCs/>
          <w:sz w:val="24"/>
          <w:szCs w:val="24"/>
        </w:rPr>
        <w:t>Procedia Economics and Finance</w:t>
      </w:r>
      <w:r w:rsidRPr="007B5A24">
        <w:rPr>
          <w:rFonts w:ascii="Times New Roman" w:eastAsia="Times New Roman" w:hAnsi="Times New Roman" w:cs="Times New Roman"/>
          <w:sz w:val="24"/>
          <w:szCs w:val="24"/>
        </w:rPr>
        <w:t>, [online] 4, pp.413–422. Available at: https://www.sciencedirect.com/science/article/pii/S2212567112003565 [Accessed 16 Dec. 2021].</w:t>
      </w:r>
    </w:p>
    <w:p w:rsidR="007B5A24" w:rsidRPr="007B5A24" w:rsidRDefault="007B5A24" w:rsidP="007B5A24">
      <w:pPr>
        <w:spacing w:after="240" w:line="360" w:lineRule="auto"/>
        <w:rPr>
          <w:rFonts w:ascii="Times New Roman" w:eastAsia="Times New Roman" w:hAnsi="Times New Roman" w:cs="Times New Roman"/>
          <w:sz w:val="24"/>
          <w:szCs w:val="24"/>
        </w:rPr>
      </w:pPr>
      <w:r w:rsidRPr="007B5A24">
        <w:rPr>
          <w:rFonts w:ascii="Times New Roman" w:eastAsia="Times New Roman" w:hAnsi="Times New Roman" w:cs="Times New Roman"/>
          <w:sz w:val="24"/>
          <w:szCs w:val="24"/>
        </w:rPr>
        <w:t xml:space="preserve">Teja, N. (2020). </w:t>
      </w:r>
      <w:r w:rsidRPr="007B5A24">
        <w:rPr>
          <w:rFonts w:ascii="Times New Roman" w:eastAsia="Times New Roman" w:hAnsi="Times New Roman" w:cs="Times New Roman"/>
          <w:i/>
          <w:iCs/>
          <w:sz w:val="24"/>
          <w:szCs w:val="24"/>
        </w:rPr>
        <w:t>Bali’s economy struggles to survive without tourists | ASEAN Today</w:t>
      </w:r>
      <w:r w:rsidRPr="007B5A24">
        <w:rPr>
          <w:rFonts w:ascii="Times New Roman" w:eastAsia="Times New Roman" w:hAnsi="Times New Roman" w:cs="Times New Roman"/>
          <w:sz w:val="24"/>
          <w:szCs w:val="24"/>
        </w:rPr>
        <w:t>. [online] www.aseantoday.com. Available at: https://www.aseantoday.com/2020/10/balis-economy-struggles-to-survive-without-tourists/ [Accessed 16 Dec. 2021].</w:t>
      </w:r>
    </w:p>
    <w:p w:rsidR="007B5A24" w:rsidRPr="007B5A24" w:rsidRDefault="007B5A24" w:rsidP="007B5A24">
      <w:pPr>
        <w:spacing w:after="240" w:line="360" w:lineRule="auto"/>
        <w:rPr>
          <w:rFonts w:ascii="Times New Roman" w:eastAsia="Times New Roman" w:hAnsi="Times New Roman" w:cs="Times New Roman"/>
          <w:sz w:val="24"/>
          <w:szCs w:val="24"/>
        </w:rPr>
      </w:pPr>
      <w:r w:rsidRPr="007B5A24">
        <w:rPr>
          <w:rFonts w:ascii="Times New Roman" w:eastAsia="Times New Roman" w:hAnsi="Times New Roman" w:cs="Times New Roman"/>
          <w:sz w:val="24"/>
          <w:szCs w:val="24"/>
        </w:rPr>
        <w:t xml:space="preserve">World Bank Group (2018). </w:t>
      </w:r>
      <w:r w:rsidRPr="007B5A24">
        <w:rPr>
          <w:rFonts w:ascii="Times New Roman" w:eastAsia="Times New Roman" w:hAnsi="Times New Roman" w:cs="Times New Roman"/>
          <w:i/>
          <w:iCs/>
          <w:sz w:val="24"/>
          <w:szCs w:val="24"/>
        </w:rPr>
        <w:t>SYNTHESIS REPORT MARINE DEBRIS</w:t>
      </w:r>
      <w:r w:rsidRPr="007B5A24">
        <w:rPr>
          <w:rFonts w:ascii="Times New Roman" w:eastAsia="Times New Roman" w:hAnsi="Times New Roman" w:cs="Times New Roman"/>
          <w:sz w:val="24"/>
          <w:szCs w:val="24"/>
        </w:rPr>
        <w:t xml:space="preserve">. [online] </w:t>
      </w:r>
      <w:r w:rsidRPr="007B5A24">
        <w:rPr>
          <w:rFonts w:ascii="Times New Roman" w:eastAsia="Times New Roman" w:hAnsi="Times New Roman" w:cs="Times New Roman"/>
          <w:i/>
          <w:iCs/>
          <w:sz w:val="24"/>
          <w:szCs w:val="24"/>
        </w:rPr>
        <w:t>worldbank.org</w:t>
      </w:r>
      <w:r w:rsidRPr="007B5A24">
        <w:rPr>
          <w:rFonts w:ascii="Times New Roman" w:eastAsia="Times New Roman" w:hAnsi="Times New Roman" w:cs="Times New Roman"/>
          <w:sz w:val="24"/>
          <w:szCs w:val="24"/>
        </w:rPr>
        <w:t>, p.2. Available at: https://documents1.worldbank.org/curated/en/983771527663689822/pdf/Indonesia-Marine-debris-hotspot-rapid-assessment-synthesis-report.pdf [Accessed 16 Dec. 2021].</w:t>
      </w:r>
    </w:p>
    <w:p w:rsidR="007B5A24" w:rsidRPr="007B5A24" w:rsidRDefault="007B5A24" w:rsidP="007B5A24">
      <w:pPr>
        <w:spacing w:after="200" w:line="276" w:lineRule="auto"/>
        <w:rPr>
          <w:rFonts w:ascii="Times New Roman" w:eastAsia="Calibri" w:hAnsi="Times New Roman" w:cs="Times New Roman"/>
          <w:sz w:val="24"/>
          <w:szCs w:val="24"/>
          <w:lang w:val="en-GB"/>
        </w:rPr>
      </w:pPr>
    </w:p>
    <w:p w:rsidR="00F5195C" w:rsidRDefault="00F5195C" w:rsidP="00F5195C">
      <w:pPr>
        <w:spacing w:after="200" w:line="480" w:lineRule="auto"/>
        <w:rPr>
          <w:rFonts w:ascii="Times New Roman" w:eastAsia="Calibri" w:hAnsi="Times New Roman" w:cs="Times New Roman"/>
          <w:sz w:val="24"/>
          <w:szCs w:val="24"/>
          <w:lang w:val="en-GB"/>
        </w:rPr>
      </w:pPr>
    </w:p>
    <w:p w:rsidR="007B5A24" w:rsidRDefault="00F5195C" w:rsidP="007B5A24">
      <w:pPr>
        <w:rPr>
          <w:rFonts w:ascii="Times New Roman" w:eastAsia="Times New Roman" w:hAnsi="Times New Roman" w:cs="Times New Roman"/>
          <w:b/>
          <w:bCs/>
          <w:sz w:val="24"/>
          <w:szCs w:val="24"/>
          <w:lang w:val="en-GB"/>
        </w:rPr>
      </w:pPr>
      <w:r>
        <w:rPr>
          <w:rFonts w:ascii="Times New Roman" w:eastAsia="Calibri" w:hAnsi="Times New Roman" w:cs="Times New Roman"/>
          <w:sz w:val="24"/>
          <w:szCs w:val="24"/>
          <w:lang w:val="en-GB"/>
        </w:rPr>
        <w:br w:type="page"/>
      </w:r>
      <w:r w:rsidRPr="00F5195C">
        <w:rPr>
          <w:rFonts w:ascii="Times New Roman" w:eastAsia="Times New Roman" w:hAnsi="Times New Roman" w:cs="Times New Roman"/>
          <w:b/>
          <w:bCs/>
          <w:sz w:val="24"/>
          <w:szCs w:val="24"/>
          <w:lang w:val="en-GB"/>
        </w:rPr>
        <w:lastRenderedPageBreak/>
        <w:t>Fiscal, economic incentives and Regulatory affair</w:t>
      </w:r>
    </w:p>
    <w:p w:rsidR="00F5195C" w:rsidRPr="00F5195C" w:rsidRDefault="00F5195C" w:rsidP="007B5A24">
      <w:pPr>
        <w:rPr>
          <w:rFonts w:ascii="Times New Roman" w:eastAsia="Times New Roman" w:hAnsi="Times New Roman" w:cs="Times New Roman"/>
          <w:b/>
          <w:bCs/>
          <w:sz w:val="24"/>
          <w:szCs w:val="24"/>
          <w:lang w:val="en-GB"/>
        </w:rPr>
      </w:pPr>
      <w:r w:rsidRPr="00F5195C">
        <w:rPr>
          <w:rFonts w:ascii="Times New Roman" w:eastAsia="Times New Roman" w:hAnsi="Times New Roman" w:cs="Times New Roman"/>
          <w:bCs/>
          <w:i/>
          <w:sz w:val="24"/>
          <w:szCs w:val="24"/>
          <w:lang w:val="en-GB"/>
        </w:rPr>
        <w:t>A case study of the fiscal, economic incentives and regulatory affairs in SVG (Report)</w:t>
      </w:r>
    </w:p>
    <w:p w:rsidR="00F5195C" w:rsidRPr="00F5195C" w:rsidRDefault="00F5195C" w:rsidP="00F5195C">
      <w:pPr>
        <w:tabs>
          <w:tab w:val="left" w:pos="0"/>
        </w:tabs>
        <w:overflowPunct w:val="0"/>
        <w:autoSpaceDE w:val="0"/>
        <w:autoSpaceDN w:val="0"/>
        <w:adjustRightInd w:val="0"/>
        <w:spacing w:before="240" w:after="240" w:line="480" w:lineRule="auto"/>
        <w:ind w:left="420"/>
        <w:contextualSpacing/>
        <w:jc w:val="both"/>
        <w:textAlignment w:val="baseline"/>
        <w:rPr>
          <w:rFonts w:ascii="Times New Roman" w:eastAsia="Times New Roman" w:hAnsi="Times New Roman" w:cs="Times New Roman"/>
          <w:bCs/>
          <w:sz w:val="24"/>
          <w:szCs w:val="24"/>
          <w:lang w:val="en-GB"/>
        </w:rPr>
      </w:pPr>
    </w:p>
    <w:p w:rsidR="00F5195C" w:rsidRPr="00F5195C" w:rsidRDefault="00F5195C" w:rsidP="00F5195C">
      <w:pPr>
        <w:tabs>
          <w:tab w:val="left" w:pos="0"/>
        </w:tabs>
        <w:overflowPunct w:val="0"/>
        <w:autoSpaceDE w:val="0"/>
        <w:autoSpaceDN w:val="0"/>
        <w:adjustRightInd w:val="0"/>
        <w:spacing w:before="240" w:after="240" w:line="480" w:lineRule="auto"/>
        <w:ind w:left="420"/>
        <w:contextualSpacing/>
        <w:jc w:val="both"/>
        <w:textAlignment w:val="baseline"/>
        <w:rPr>
          <w:rFonts w:ascii="Times New Roman" w:eastAsia="Times New Roman" w:hAnsi="Times New Roman" w:cs="Times New Roman"/>
          <w:bCs/>
          <w:sz w:val="24"/>
          <w:szCs w:val="24"/>
          <w:lang w:val="en-GB"/>
        </w:rPr>
      </w:pPr>
    </w:p>
    <w:p w:rsidR="00F5195C" w:rsidRPr="00F5195C" w:rsidRDefault="00F5195C" w:rsidP="00F5195C">
      <w:pPr>
        <w:spacing w:after="200" w:line="480" w:lineRule="auto"/>
        <w:jc w:val="center"/>
        <w:rPr>
          <w:rFonts w:ascii="Times New Roman" w:eastAsia="Calibri" w:hAnsi="Times New Roman" w:cs="Times New Roman"/>
          <w:sz w:val="24"/>
          <w:szCs w:val="24"/>
          <w:lang w:val="en-GB"/>
        </w:rPr>
      </w:pPr>
      <w:r w:rsidRPr="00F5195C">
        <w:rPr>
          <w:rFonts w:ascii="Times New Roman" w:eastAsia="Calibri" w:hAnsi="Times New Roman" w:cs="Times New Roman"/>
          <w:noProof/>
          <w:color w:val="000000"/>
          <w:sz w:val="24"/>
          <w:szCs w:val="24"/>
        </w:rPr>
        <w:drawing>
          <wp:inline distT="0" distB="0" distL="0" distR="0" wp14:anchorId="5D550357" wp14:editId="216E1B1E">
            <wp:extent cx="2872249" cy="2322493"/>
            <wp:effectExtent l="0" t="0" r="4445" b="1905"/>
            <wp:docPr id="2" name="Picture 2" descr="C:\Users\nanderson\Desktop\Loation map.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nanderson\Desktop\Loation map.jp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886994" cy="2334416"/>
                    </a:xfrm>
                    <a:prstGeom prst="rect">
                      <a:avLst/>
                    </a:prstGeom>
                    <a:noFill/>
                    <a:ln>
                      <a:noFill/>
                    </a:ln>
                  </pic:spPr>
                </pic:pic>
              </a:graphicData>
            </a:graphic>
          </wp:inline>
        </w:drawing>
      </w:r>
    </w:p>
    <w:p w:rsidR="00F5195C" w:rsidRPr="00F5195C" w:rsidRDefault="00F5195C" w:rsidP="00F5195C">
      <w:pPr>
        <w:spacing w:after="200" w:line="480" w:lineRule="auto"/>
        <w:rPr>
          <w:rFonts w:ascii="Times New Roman" w:eastAsia="Calibri" w:hAnsi="Times New Roman" w:cs="Times New Roman"/>
          <w:sz w:val="24"/>
          <w:szCs w:val="24"/>
          <w:lang w:val="en-GB"/>
        </w:rPr>
      </w:pPr>
      <w:r w:rsidRPr="00F5195C">
        <w:rPr>
          <w:rFonts w:ascii="Times New Roman" w:eastAsia="Calibri" w:hAnsi="Times New Roman" w:cs="Times New Roman"/>
          <w:sz w:val="24"/>
          <w:szCs w:val="24"/>
          <w:lang w:val="en-GB"/>
        </w:rPr>
        <w:t>Figure 1-SVG location- image sourced from SVGTA</w:t>
      </w:r>
    </w:p>
    <w:p w:rsidR="00F5195C" w:rsidRPr="00F5195C" w:rsidRDefault="00F5195C" w:rsidP="00F5195C">
      <w:pPr>
        <w:spacing w:after="200" w:line="480" w:lineRule="auto"/>
        <w:rPr>
          <w:rFonts w:ascii="Times New Roman" w:eastAsia="Calibri" w:hAnsi="Times New Roman" w:cs="Times New Roman"/>
          <w:sz w:val="24"/>
          <w:szCs w:val="24"/>
          <w:lang w:val="en-GB"/>
        </w:rPr>
      </w:pPr>
      <w:r w:rsidRPr="00F5195C">
        <w:rPr>
          <w:rFonts w:ascii="Times New Roman" w:eastAsia="Calibri" w:hAnsi="Times New Roman" w:cs="Times New Roman"/>
          <w:sz w:val="24"/>
          <w:szCs w:val="24"/>
          <w:lang w:val="en-GB"/>
        </w:rPr>
        <w:t xml:space="preserve">St. Vincent and the Grenadines (SVG) is an archipelago of 32 islands and cays in the eastern part of the Lesser Antilles in the Caribbean region, see figure 1. </w:t>
      </w:r>
    </w:p>
    <w:p w:rsidR="00F5195C" w:rsidRPr="00F5195C" w:rsidRDefault="00F5195C" w:rsidP="00F5195C">
      <w:pPr>
        <w:spacing w:after="200" w:line="480" w:lineRule="auto"/>
        <w:jc w:val="center"/>
        <w:rPr>
          <w:rFonts w:ascii="Times New Roman" w:eastAsia="Calibri" w:hAnsi="Times New Roman" w:cs="Times New Roman"/>
          <w:sz w:val="24"/>
          <w:szCs w:val="24"/>
          <w:lang w:val="en-GB"/>
        </w:rPr>
      </w:pPr>
      <w:r w:rsidRPr="00F5195C">
        <w:rPr>
          <w:rFonts w:ascii="Times New Roman" w:eastAsia="Calibri" w:hAnsi="Times New Roman" w:cs="Times New Roman"/>
          <w:noProof/>
          <w:sz w:val="24"/>
          <w:szCs w:val="24"/>
        </w:rPr>
        <w:drawing>
          <wp:inline distT="0" distB="0" distL="0" distR="0" wp14:anchorId="181300B4" wp14:editId="2C0EB2B6">
            <wp:extent cx="2780260" cy="2864915"/>
            <wp:effectExtent l="0" t="0" r="127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VG 32 Islands and Cays.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2810224" cy="2895792"/>
                    </a:xfrm>
                    <a:prstGeom prst="rect">
                      <a:avLst/>
                    </a:prstGeom>
                  </pic:spPr>
                </pic:pic>
              </a:graphicData>
            </a:graphic>
          </wp:inline>
        </w:drawing>
      </w:r>
    </w:p>
    <w:p w:rsidR="00F5195C" w:rsidRPr="00F5195C" w:rsidRDefault="00F5195C" w:rsidP="00F5195C">
      <w:pPr>
        <w:spacing w:after="200" w:line="480" w:lineRule="auto"/>
        <w:rPr>
          <w:rFonts w:ascii="Times New Roman" w:eastAsia="Calibri" w:hAnsi="Times New Roman" w:cs="Times New Roman"/>
          <w:sz w:val="24"/>
          <w:szCs w:val="24"/>
          <w:lang w:val="en-GB"/>
        </w:rPr>
      </w:pPr>
      <w:r w:rsidRPr="00F5195C">
        <w:rPr>
          <w:rFonts w:ascii="Times New Roman" w:eastAsia="Calibri" w:hAnsi="Times New Roman" w:cs="Times New Roman"/>
          <w:sz w:val="24"/>
          <w:szCs w:val="24"/>
          <w:lang w:val="en-GB"/>
        </w:rPr>
        <w:lastRenderedPageBreak/>
        <w:t>Figure 2- SVG archipelago</w:t>
      </w:r>
    </w:p>
    <w:p w:rsidR="00F5195C" w:rsidRPr="00F5195C" w:rsidRDefault="00F5195C" w:rsidP="00F5195C">
      <w:pPr>
        <w:spacing w:after="200" w:line="480" w:lineRule="auto"/>
        <w:rPr>
          <w:rFonts w:ascii="Times New Roman" w:eastAsia="Calibri" w:hAnsi="Times New Roman" w:cs="Times New Roman"/>
          <w:sz w:val="24"/>
          <w:szCs w:val="24"/>
          <w:lang w:val="en-GB"/>
        </w:rPr>
      </w:pPr>
      <w:r w:rsidRPr="00F5195C">
        <w:rPr>
          <w:rFonts w:ascii="Times New Roman" w:eastAsia="Calibri" w:hAnsi="Times New Roman" w:cs="Times New Roman"/>
          <w:sz w:val="24"/>
          <w:szCs w:val="24"/>
          <w:lang w:val="en-GB"/>
        </w:rPr>
        <w:t>There are five inhabited islands: St, Vincent, Bequia, Mustique, Canouan, Mayreau, Union Island; three island resorts: Young Island, Palm Island and Petit St. Vincent and one marine park, the Tobago Cays (see figure 2).  The archipelago of islands stretches over 44 miles and includes mix of lush volcanic (St. Vincent) and coral islands (The Grenadines). SVG’s diversity allow for both tourism, agriculture and blue growth economic drivers</w:t>
      </w:r>
      <w:r w:rsidRPr="00F5195C">
        <w:rPr>
          <w:rFonts w:ascii="Calibri" w:eastAsia="Calibri" w:hAnsi="Calibri" w:cs="Calibri"/>
          <w:lang w:val="en-GB"/>
        </w:rPr>
        <w:t xml:space="preserve"> </w:t>
      </w:r>
      <w:r w:rsidRPr="00F5195C">
        <w:rPr>
          <w:rFonts w:ascii="Times New Roman" w:eastAsia="Calibri" w:hAnsi="Times New Roman" w:cs="Times New Roman"/>
          <w:sz w:val="24"/>
          <w:szCs w:val="24"/>
          <w:lang w:val="en-GB"/>
        </w:rPr>
        <w:t xml:space="preserve">(World Bank, 2020).  </w:t>
      </w:r>
    </w:p>
    <w:p w:rsidR="00F5195C" w:rsidRPr="00F5195C" w:rsidRDefault="00F5195C" w:rsidP="00F5195C">
      <w:pPr>
        <w:spacing w:after="200" w:line="480" w:lineRule="auto"/>
        <w:jc w:val="center"/>
        <w:rPr>
          <w:rFonts w:ascii="Times New Roman" w:eastAsia="Calibri" w:hAnsi="Times New Roman" w:cs="Times New Roman"/>
          <w:sz w:val="24"/>
          <w:szCs w:val="24"/>
          <w:lang w:val="en-GB"/>
        </w:rPr>
      </w:pPr>
      <w:r w:rsidRPr="00F5195C">
        <w:rPr>
          <w:rFonts w:ascii="Times New Roman" w:eastAsia="Calibri" w:hAnsi="Times New Roman" w:cs="Times New Roman"/>
          <w:noProof/>
          <w:sz w:val="24"/>
          <w:szCs w:val="24"/>
        </w:rPr>
        <w:drawing>
          <wp:inline distT="0" distB="0" distL="0" distR="0" wp14:anchorId="4AEAC83C" wp14:editId="2C1070A7">
            <wp:extent cx="4201970" cy="2605581"/>
            <wp:effectExtent l="0" t="0" r="8255" b="444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mot.jpg"/>
                    <pic:cNvPicPr/>
                  </pic:nvPicPr>
                  <pic:blipFill>
                    <a:blip r:embed="rId9" cstate="print">
                      <a:extLst>
                        <a:ext uri="{28A0092B-C50C-407E-A947-70E740481C1C}">
                          <a14:useLocalDpi xmlns:a14="http://schemas.microsoft.com/office/drawing/2010/main" val="0"/>
                        </a:ext>
                      </a:extLst>
                    </a:blip>
                    <a:stretch>
                      <a:fillRect/>
                    </a:stretch>
                  </pic:blipFill>
                  <pic:spPr>
                    <a:xfrm>
                      <a:off x="0" y="0"/>
                      <a:ext cx="4218495" cy="2615828"/>
                    </a:xfrm>
                    <a:prstGeom prst="rect">
                      <a:avLst/>
                    </a:prstGeom>
                  </pic:spPr>
                </pic:pic>
              </a:graphicData>
            </a:graphic>
          </wp:inline>
        </w:drawing>
      </w:r>
    </w:p>
    <w:p w:rsidR="00F5195C" w:rsidRPr="00F5195C" w:rsidRDefault="00F5195C" w:rsidP="00F5195C">
      <w:pPr>
        <w:spacing w:after="200" w:line="480" w:lineRule="auto"/>
        <w:rPr>
          <w:rFonts w:ascii="Times New Roman" w:eastAsia="Calibri" w:hAnsi="Times New Roman" w:cs="Times New Roman"/>
          <w:sz w:val="24"/>
          <w:szCs w:val="24"/>
          <w:lang w:val="en-GB"/>
        </w:rPr>
      </w:pPr>
      <w:r w:rsidRPr="00F5195C">
        <w:rPr>
          <w:rFonts w:ascii="Times New Roman" w:eastAsia="Calibri" w:hAnsi="Times New Roman" w:cs="Times New Roman"/>
          <w:sz w:val="24"/>
          <w:szCs w:val="24"/>
          <w:lang w:val="en-GB"/>
        </w:rPr>
        <w:t>Figure 3- SVG Fiscal, economic incentives and Regulatory affair entities</w:t>
      </w:r>
    </w:p>
    <w:p w:rsidR="00F5195C" w:rsidRPr="00F5195C" w:rsidRDefault="00F5195C" w:rsidP="00F5195C">
      <w:pPr>
        <w:spacing w:after="200" w:line="480" w:lineRule="auto"/>
        <w:rPr>
          <w:rFonts w:ascii="Times New Roman" w:eastAsia="Calibri" w:hAnsi="Times New Roman" w:cs="Times New Roman"/>
          <w:sz w:val="24"/>
          <w:szCs w:val="24"/>
          <w:lang w:val="en-GB"/>
        </w:rPr>
      </w:pPr>
      <w:r w:rsidRPr="00F5195C">
        <w:rPr>
          <w:rFonts w:ascii="Times New Roman" w:eastAsia="Calibri" w:hAnsi="Times New Roman" w:cs="Times New Roman"/>
          <w:sz w:val="24"/>
          <w:szCs w:val="24"/>
          <w:lang w:val="en-GB"/>
        </w:rPr>
        <w:t>The destination has a Ministry of Tourism (MOT) which is responsible for drafting and recommending policy that define incentives and regulations, guiding the development of tourism products like sites, processing concessions specific to the sector, promoting domestic travel, and local tourism education and training (Tourism.gov.vc, 2021).  The MOT is the overarching body for two statutory entities which play critical roles in the regulatory sphere in the destination:</w:t>
      </w:r>
      <w:r w:rsidRPr="00F5195C">
        <w:rPr>
          <w:rFonts w:ascii="Calibri" w:eastAsia="Calibri" w:hAnsi="Calibri" w:cs="Calibri"/>
          <w:lang w:val="en-GB"/>
        </w:rPr>
        <w:t xml:space="preserve"> </w:t>
      </w:r>
      <w:r w:rsidRPr="00F5195C">
        <w:rPr>
          <w:rFonts w:ascii="Times New Roman" w:eastAsia="Calibri" w:hAnsi="Times New Roman" w:cs="Times New Roman"/>
          <w:sz w:val="24"/>
          <w:szCs w:val="24"/>
          <w:lang w:val="en-GB"/>
        </w:rPr>
        <w:t>National Parks, Rivers and Beaches Authority (NPRBA) and the St. Vincent and the Grenadines Tourism Authority (SVGTA), see figure 3.</w:t>
      </w:r>
    </w:p>
    <w:p w:rsidR="00F5195C" w:rsidRPr="00F5195C" w:rsidRDefault="00F5195C" w:rsidP="00F5195C">
      <w:pPr>
        <w:spacing w:after="200" w:line="480" w:lineRule="auto"/>
        <w:rPr>
          <w:rFonts w:ascii="Times New Roman" w:eastAsia="Calibri" w:hAnsi="Times New Roman" w:cs="Times New Roman"/>
          <w:sz w:val="24"/>
          <w:szCs w:val="24"/>
          <w:lang w:val="en-GB"/>
        </w:rPr>
      </w:pPr>
      <w:r w:rsidRPr="00F5195C">
        <w:rPr>
          <w:rFonts w:ascii="Times New Roman" w:eastAsia="Calibri" w:hAnsi="Times New Roman" w:cs="Times New Roman"/>
          <w:sz w:val="24"/>
          <w:szCs w:val="24"/>
          <w:lang w:val="en-GB"/>
        </w:rPr>
        <w:lastRenderedPageBreak/>
        <w:t>The country has acknowledged the significance of its physical resources and the need to legislate systems to preserve and protect the environment from wonton degradation. In 2002 the NPRBA was established as a statutory body by Act # 33/ 2002. According to Tourism.gov.vc (2021b) it is the responsible for the preservation, protection, management and development of the natural, physical, ecological resources and the historical and cultural heritage assets. It specifically has control over rivers, streams, springs, swamps, waterfalls, water pools and beaches in SVG. It is noteworthy that all beaches by law are public thus no accommodation or individual can bar entry from the public. The NPRBA is also responsible for supervision of national parks, the protection of species and habitats in the parks.</w:t>
      </w:r>
      <w:r w:rsidRPr="00F5195C">
        <w:rPr>
          <w:rFonts w:ascii="Calibri" w:eastAsia="Calibri" w:hAnsi="Calibri" w:cs="Calibri"/>
          <w:lang w:val="en-GB"/>
        </w:rPr>
        <w:t xml:space="preserve"> The </w:t>
      </w:r>
      <w:r w:rsidRPr="00F5195C">
        <w:rPr>
          <w:rFonts w:ascii="Times New Roman" w:eastAsia="Calibri" w:hAnsi="Times New Roman" w:cs="Times New Roman"/>
          <w:sz w:val="24"/>
          <w:szCs w:val="24"/>
          <w:lang w:val="en-GB"/>
        </w:rPr>
        <w:t>Act # 33/ 2002 further states that it has the authority to compulsorily acquire land for the establishment or maintenance of a national or can enter into an agreement with an owner or occupier of land for purposes of managing that land as a national park.</w:t>
      </w:r>
    </w:p>
    <w:p w:rsidR="00F5195C" w:rsidRPr="00F5195C" w:rsidRDefault="00F5195C" w:rsidP="00F5195C">
      <w:pPr>
        <w:spacing w:after="200" w:line="480" w:lineRule="auto"/>
        <w:rPr>
          <w:rFonts w:ascii="Times New Roman" w:eastAsia="Calibri" w:hAnsi="Times New Roman" w:cs="Times New Roman"/>
          <w:sz w:val="24"/>
          <w:szCs w:val="24"/>
          <w:lang w:val="en-GB"/>
        </w:rPr>
      </w:pPr>
      <w:r w:rsidRPr="00F5195C">
        <w:rPr>
          <w:rFonts w:ascii="Times New Roman" w:eastAsia="Calibri" w:hAnsi="Times New Roman" w:cs="Times New Roman"/>
          <w:sz w:val="24"/>
          <w:szCs w:val="24"/>
          <w:lang w:val="en-GB"/>
        </w:rPr>
        <w:t>Prior to 2009 the regional and international marketing was also done by the Ministry of Tourism. However, the Government upon acknowledging that the tourism sector as a viable means for future economic development create an entity with more flexibility than the bureaucracies of a ministry. Towards this end the SVGTA came to fruition by an Act on Jan 1st 2009</w:t>
      </w:r>
      <w:r w:rsidRPr="00F5195C">
        <w:rPr>
          <w:rFonts w:ascii="Calibri" w:eastAsia="Calibri" w:hAnsi="Calibri" w:cs="Calibri"/>
          <w:lang w:val="en-GB"/>
        </w:rPr>
        <w:t xml:space="preserve"> </w:t>
      </w:r>
      <w:r w:rsidRPr="00F5195C">
        <w:rPr>
          <w:rFonts w:ascii="Times New Roman" w:eastAsia="Calibri" w:hAnsi="Times New Roman" w:cs="Times New Roman"/>
          <w:sz w:val="24"/>
          <w:szCs w:val="24"/>
          <w:lang w:val="en-GB"/>
        </w:rPr>
        <w:t>(Tourism.gov.vc, 2021a). This statutory body is primarily responsible for the regional and international marketing and promotions; developing standards for, regulating the quality of, and licensing the tourism service providers; and collating visitor data</w:t>
      </w:r>
      <w:r w:rsidRPr="00F5195C">
        <w:rPr>
          <w:rFonts w:ascii="Calibri" w:eastAsia="Calibri" w:hAnsi="Calibri" w:cs="Calibri"/>
          <w:lang w:val="en-GB"/>
        </w:rPr>
        <w:t xml:space="preserve"> </w:t>
      </w:r>
      <w:r w:rsidRPr="00F5195C">
        <w:rPr>
          <w:rFonts w:ascii="Times New Roman" w:eastAsia="Calibri" w:hAnsi="Times New Roman" w:cs="Times New Roman"/>
          <w:sz w:val="24"/>
          <w:szCs w:val="24"/>
          <w:lang w:val="en-GB"/>
        </w:rPr>
        <w:t>(Discover SVG, 2021). According to the Act # 39/2007 the SVGTA is the main regulatory body for tourism and hospitality standards and service quality. Discover SVG (2021) points out that to date it has developed 5 service standards:</w:t>
      </w:r>
    </w:p>
    <w:p w:rsidR="00F5195C" w:rsidRPr="00F5195C" w:rsidRDefault="00F5195C" w:rsidP="00F5195C">
      <w:pPr>
        <w:numPr>
          <w:ilvl w:val="0"/>
          <w:numId w:val="1"/>
        </w:numPr>
        <w:spacing w:after="200" w:line="480" w:lineRule="auto"/>
        <w:rPr>
          <w:rFonts w:ascii="Times New Roman" w:eastAsia="Calibri" w:hAnsi="Times New Roman" w:cs="Times New Roman"/>
          <w:sz w:val="24"/>
          <w:szCs w:val="24"/>
        </w:rPr>
      </w:pPr>
      <w:r w:rsidRPr="00F5195C">
        <w:rPr>
          <w:rFonts w:ascii="Times New Roman" w:eastAsia="Calibri" w:hAnsi="Times New Roman" w:cs="Times New Roman"/>
          <w:sz w:val="24"/>
          <w:szCs w:val="24"/>
        </w:rPr>
        <w:t>Tourist Accommodation Standard</w:t>
      </w:r>
    </w:p>
    <w:p w:rsidR="00F5195C" w:rsidRPr="00F5195C" w:rsidRDefault="00F5195C" w:rsidP="00F5195C">
      <w:pPr>
        <w:numPr>
          <w:ilvl w:val="0"/>
          <w:numId w:val="1"/>
        </w:numPr>
        <w:spacing w:after="200" w:line="480" w:lineRule="auto"/>
        <w:rPr>
          <w:rFonts w:ascii="Times New Roman" w:eastAsia="Calibri" w:hAnsi="Times New Roman" w:cs="Times New Roman"/>
          <w:sz w:val="24"/>
          <w:szCs w:val="24"/>
        </w:rPr>
      </w:pPr>
      <w:r w:rsidRPr="00F5195C">
        <w:rPr>
          <w:rFonts w:ascii="Times New Roman" w:eastAsia="Calibri" w:hAnsi="Times New Roman" w:cs="Times New Roman"/>
          <w:sz w:val="24"/>
          <w:szCs w:val="24"/>
        </w:rPr>
        <w:lastRenderedPageBreak/>
        <w:t>Code of Practice for Tour Guides</w:t>
      </w:r>
    </w:p>
    <w:p w:rsidR="00F5195C" w:rsidRPr="00F5195C" w:rsidRDefault="00F5195C" w:rsidP="00F5195C">
      <w:pPr>
        <w:numPr>
          <w:ilvl w:val="0"/>
          <w:numId w:val="1"/>
        </w:numPr>
        <w:spacing w:after="200" w:line="480" w:lineRule="auto"/>
        <w:rPr>
          <w:rFonts w:ascii="Times New Roman" w:eastAsia="Calibri" w:hAnsi="Times New Roman" w:cs="Times New Roman"/>
          <w:sz w:val="24"/>
          <w:szCs w:val="24"/>
        </w:rPr>
      </w:pPr>
      <w:r w:rsidRPr="00F5195C">
        <w:rPr>
          <w:rFonts w:ascii="Times New Roman" w:eastAsia="Calibri" w:hAnsi="Times New Roman" w:cs="Times New Roman"/>
          <w:sz w:val="24"/>
          <w:szCs w:val="24"/>
        </w:rPr>
        <w:t>Code of Practice for Tour Operators</w:t>
      </w:r>
    </w:p>
    <w:p w:rsidR="00F5195C" w:rsidRPr="00F5195C" w:rsidRDefault="00F5195C" w:rsidP="00F5195C">
      <w:pPr>
        <w:numPr>
          <w:ilvl w:val="0"/>
          <w:numId w:val="1"/>
        </w:numPr>
        <w:spacing w:after="200" w:line="480" w:lineRule="auto"/>
        <w:rPr>
          <w:rFonts w:ascii="Times New Roman" w:eastAsia="Calibri" w:hAnsi="Times New Roman" w:cs="Times New Roman"/>
          <w:sz w:val="24"/>
          <w:szCs w:val="24"/>
        </w:rPr>
      </w:pPr>
      <w:r w:rsidRPr="00F5195C">
        <w:rPr>
          <w:rFonts w:ascii="Times New Roman" w:eastAsia="Calibri" w:hAnsi="Times New Roman" w:cs="Times New Roman"/>
          <w:sz w:val="24"/>
          <w:szCs w:val="24"/>
        </w:rPr>
        <w:t>Code of Practice for Short-Term Vehicle Rentals</w:t>
      </w:r>
    </w:p>
    <w:p w:rsidR="00F5195C" w:rsidRPr="00F5195C" w:rsidRDefault="00F5195C" w:rsidP="00F5195C">
      <w:pPr>
        <w:numPr>
          <w:ilvl w:val="0"/>
          <w:numId w:val="1"/>
        </w:numPr>
        <w:spacing w:after="200" w:line="480" w:lineRule="auto"/>
        <w:rPr>
          <w:rFonts w:ascii="Times New Roman" w:eastAsia="Calibri" w:hAnsi="Times New Roman" w:cs="Times New Roman"/>
          <w:sz w:val="24"/>
          <w:szCs w:val="24"/>
        </w:rPr>
      </w:pPr>
      <w:r w:rsidRPr="00F5195C">
        <w:rPr>
          <w:rFonts w:ascii="Times New Roman" w:eastAsia="Calibri" w:hAnsi="Times New Roman" w:cs="Times New Roman"/>
          <w:sz w:val="24"/>
          <w:szCs w:val="24"/>
        </w:rPr>
        <w:t>Standard for Taxi Services.</w:t>
      </w:r>
    </w:p>
    <w:tbl>
      <w:tblPr>
        <w:tblStyle w:val="TableGrid"/>
        <w:tblW w:w="0" w:type="auto"/>
        <w:tblLook w:val="04A0" w:firstRow="1" w:lastRow="0" w:firstColumn="1" w:lastColumn="0" w:noHBand="0" w:noVBand="1"/>
      </w:tblPr>
      <w:tblGrid>
        <w:gridCol w:w="2403"/>
        <w:gridCol w:w="2594"/>
        <w:gridCol w:w="2357"/>
        <w:gridCol w:w="1996"/>
      </w:tblGrid>
      <w:tr w:rsidR="00F5195C" w:rsidRPr="00F5195C" w:rsidTr="003C7E27">
        <w:tc>
          <w:tcPr>
            <w:tcW w:w="9350" w:type="dxa"/>
            <w:gridSpan w:val="4"/>
          </w:tcPr>
          <w:p w:rsidR="00F5195C" w:rsidRPr="00F5195C" w:rsidRDefault="00F5195C" w:rsidP="00F5195C">
            <w:pPr>
              <w:spacing w:after="200" w:line="480" w:lineRule="auto"/>
              <w:jc w:val="center"/>
              <w:rPr>
                <w:rFonts w:ascii="Times New Roman" w:eastAsia="Calibri" w:hAnsi="Times New Roman" w:cs="Times New Roman"/>
                <w:b/>
                <w:sz w:val="28"/>
                <w:szCs w:val="28"/>
                <w:lang w:val="en-GB"/>
              </w:rPr>
            </w:pPr>
            <w:r w:rsidRPr="00F5195C">
              <w:rPr>
                <w:rFonts w:ascii="Times New Roman" w:eastAsia="Calibri" w:hAnsi="Times New Roman" w:cs="Times New Roman"/>
                <w:b/>
                <w:sz w:val="28"/>
                <w:szCs w:val="28"/>
                <w:lang w:val="en-GB"/>
              </w:rPr>
              <w:t>New construction</w:t>
            </w:r>
          </w:p>
        </w:tc>
      </w:tr>
      <w:tr w:rsidR="00F5195C" w:rsidRPr="00F5195C" w:rsidTr="003C7E27">
        <w:tc>
          <w:tcPr>
            <w:tcW w:w="2403" w:type="dxa"/>
          </w:tcPr>
          <w:p w:rsidR="00F5195C" w:rsidRPr="00F5195C" w:rsidRDefault="00F5195C" w:rsidP="00F5195C">
            <w:pPr>
              <w:spacing w:after="200" w:line="480" w:lineRule="auto"/>
              <w:rPr>
                <w:rFonts w:ascii="Times New Roman" w:eastAsia="Calibri" w:hAnsi="Times New Roman" w:cs="Times New Roman"/>
                <w:b/>
                <w:sz w:val="24"/>
                <w:szCs w:val="24"/>
                <w:lang w:val="en-GB"/>
              </w:rPr>
            </w:pPr>
            <w:r w:rsidRPr="00F5195C">
              <w:rPr>
                <w:rFonts w:ascii="Times New Roman" w:eastAsia="Calibri" w:hAnsi="Times New Roman" w:cs="Times New Roman"/>
                <w:b/>
                <w:sz w:val="24"/>
                <w:szCs w:val="24"/>
                <w:lang w:val="en-GB"/>
              </w:rPr>
              <w:t xml:space="preserve">No. Of rooms </w:t>
            </w:r>
          </w:p>
        </w:tc>
        <w:tc>
          <w:tcPr>
            <w:tcW w:w="2594" w:type="dxa"/>
          </w:tcPr>
          <w:p w:rsidR="00F5195C" w:rsidRPr="00F5195C" w:rsidRDefault="00F5195C" w:rsidP="00F5195C">
            <w:pPr>
              <w:spacing w:after="200" w:line="480" w:lineRule="auto"/>
              <w:rPr>
                <w:rFonts w:ascii="Times New Roman" w:eastAsia="Calibri" w:hAnsi="Times New Roman" w:cs="Times New Roman"/>
                <w:b/>
                <w:sz w:val="24"/>
                <w:szCs w:val="24"/>
                <w:lang w:val="en-GB"/>
              </w:rPr>
            </w:pPr>
            <w:r w:rsidRPr="00F5195C">
              <w:rPr>
                <w:rFonts w:ascii="Times New Roman" w:eastAsia="Calibri" w:hAnsi="Times New Roman" w:cs="Times New Roman"/>
                <w:b/>
                <w:sz w:val="24"/>
                <w:szCs w:val="24"/>
                <w:lang w:val="en-GB"/>
              </w:rPr>
              <w:t xml:space="preserve">Maximum years eligible </w:t>
            </w:r>
          </w:p>
        </w:tc>
        <w:tc>
          <w:tcPr>
            <w:tcW w:w="2357" w:type="dxa"/>
          </w:tcPr>
          <w:p w:rsidR="00F5195C" w:rsidRPr="00F5195C" w:rsidRDefault="00F5195C" w:rsidP="00F5195C">
            <w:pPr>
              <w:spacing w:after="200" w:line="480" w:lineRule="auto"/>
              <w:rPr>
                <w:rFonts w:ascii="Times New Roman" w:eastAsia="Calibri" w:hAnsi="Times New Roman" w:cs="Times New Roman"/>
                <w:b/>
                <w:sz w:val="24"/>
                <w:szCs w:val="24"/>
                <w:lang w:val="en-GB"/>
              </w:rPr>
            </w:pPr>
            <w:r w:rsidRPr="00F5195C">
              <w:rPr>
                <w:rFonts w:ascii="Times New Roman" w:eastAsia="Calibri" w:hAnsi="Times New Roman" w:cs="Times New Roman"/>
                <w:b/>
                <w:sz w:val="24"/>
                <w:szCs w:val="24"/>
                <w:lang w:val="en-GB"/>
              </w:rPr>
              <w:t>Type of Tax exemption</w:t>
            </w:r>
          </w:p>
        </w:tc>
        <w:tc>
          <w:tcPr>
            <w:tcW w:w="1996" w:type="dxa"/>
          </w:tcPr>
          <w:p w:rsidR="00F5195C" w:rsidRPr="00F5195C" w:rsidRDefault="00F5195C" w:rsidP="00F5195C">
            <w:pPr>
              <w:spacing w:after="200" w:line="480" w:lineRule="auto"/>
              <w:rPr>
                <w:rFonts w:ascii="Times New Roman" w:eastAsia="Calibri" w:hAnsi="Times New Roman" w:cs="Times New Roman"/>
                <w:b/>
                <w:sz w:val="24"/>
                <w:szCs w:val="24"/>
                <w:lang w:val="en-GB"/>
              </w:rPr>
            </w:pPr>
            <w:r w:rsidRPr="00F5195C">
              <w:rPr>
                <w:rFonts w:ascii="Times New Roman" w:eastAsia="Calibri" w:hAnsi="Times New Roman" w:cs="Times New Roman"/>
                <w:b/>
                <w:sz w:val="24"/>
                <w:szCs w:val="24"/>
                <w:lang w:val="en-GB"/>
              </w:rPr>
              <w:t>Commencement of exemption</w:t>
            </w:r>
          </w:p>
        </w:tc>
      </w:tr>
      <w:tr w:rsidR="00F5195C" w:rsidRPr="00F5195C" w:rsidTr="003C7E27">
        <w:tc>
          <w:tcPr>
            <w:tcW w:w="2403" w:type="dxa"/>
          </w:tcPr>
          <w:p w:rsidR="00F5195C" w:rsidRPr="00F5195C" w:rsidRDefault="00F5195C" w:rsidP="00F5195C">
            <w:pPr>
              <w:spacing w:after="200" w:line="480" w:lineRule="auto"/>
              <w:rPr>
                <w:rFonts w:ascii="Times New Roman" w:eastAsia="Calibri" w:hAnsi="Times New Roman" w:cs="Times New Roman"/>
                <w:sz w:val="24"/>
                <w:szCs w:val="24"/>
                <w:lang w:val="en-GB"/>
              </w:rPr>
            </w:pPr>
            <w:r w:rsidRPr="00F5195C">
              <w:rPr>
                <w:rFonts w:ascii="Times New Roman" w:eastAsia="Calibri" w:hAnsi="Times New Roman" w:cs="Times New Roman"/>
                <w:sz w:val="24"/>
                <w:szCs w:val="24"/>
                <w:lang w:val="en-GB"/>
              </w:rPr>
              <w:t>5-20</w:t>
            </w:r>
          </w:p>
        </w:tc>
        <w:tc>
          <w:tcPr>
            <w:tcW w:w="2594" w:type="dxa"/>
          </w:tcPr>
          <w:p w:rsidR="00F5195C" w:rsidRPr="00F5195C" w:rsidRDefault="00F5195C" w:rsidP="00F5195C">
            <w:pPr>
              <w:spacing w:after="200" w:line="480" w:lineRule="auto"/>
              <w:rPr>
                <w:rFonts w:ascii="Times New Roman" w:eastAsia="Calibri" w:hAnsi="Times New Roman" w:cs="Times New Roman"/>
                <w:sz w:val="24"/>
                <w:szCs w:val="24"/>
                <w:lang w:val="en-GB"/>
              </w:rPr>
            </w:pPr>
            <w:r w:rsidRPr="00F5195C">
              <w:rPr>
                <w:rFonts w:ascii="Times New Roman" w:eastAsia="Calibri" w:hAnsi="Times New Roman" w:cs="Times New Roman"/>
                <w:sz w:val="24"/>
                <w:szCs w:val="24"/>
                <w:lang w:val="en-GB"/>
              </w:rPr>
              <w:t>10</w:t>
            </w:r>
          </w:p>
        </w:tc>
        <w:tc>
          <w:tcPr>
            <w:tcW w:w="2357" w:type="dxa"/>
          </w:tcPr>
          <w:p w:rsidR="00F5195C" w:rsidRPr="00F5195C" w:rsidRDefault="00F5195C" w:rsidP="00F5195C">
            <w:pPr>
              <w:spacing w:after="200" w:line="480" w:lineRule="auto"/>
              <w:rPr>
                <w:rFonts w:ascii="Times New Roman" w:eastAsia="Calibri" w:hAnsi="Times New Roman" w:cs="Times New Roman"/>
                <w:sz w:val="24"/>
                <w:szCs w:val="24"/>
                <w:lang w:val="en-GB"/>
              </w:rPr>
            </w:pPr>
            <w:r w:rsidRPr="00F5195C">
              <w:rPr>
                <w:rFonts w:ascii="Times New Roman" w:eastAsia="Calibri" w:hAnsi="Times New Roman" w:cs="Times New Roman"/>
                <w:sz w:val="24"/>
                <w:szCs w:val="24"/>
                <w:lang w:val="en-GB"/>
              </w:rPr>
              <w:t>Income</w:t>
            </w:r>
          </w:p>
        </w:tc>
        <w:tc>
          <w:tcPr>
            <w:tcW w:w="1996" w:type="dxa"/>
          </w:tcPr>
          <w:p w:rsidR="00F5195C" w:rsidRPr="00F5195C" w:rsidRDefault="00F5195C" w:rsidP="00F5195C">
            <w:pPr>
              <w:spacing w:after="200" w:line="480" w:lineRule="auto"/>
              <w:rPr>
                <w:rFonts w:ascii="Times New Roman" w:eastAsia="Calibri" w:hAnsi="Times New Roman" w:cs="Times New Roman"/>
                <w:sz w:val="24"/>
                <w:szCs w:val="24"/>
                <w:lang w:val="en-GB"/>
              </w:rPr>
            </w:pPr>
            <w:r w:rsidRPr="00F5195C">
              <w:rPr>
                <w:rFonts w:ascii="Times New Roman" w:eastAsia="Calibri" w:hAnsi="Times New Roman" w:cs="Times New Roman"/>
                <w:sz w:val="24"/>
                <w:szCs w:val="24"/>
                <w:lang w:val="en-GB"/>
              </w:rPr>
              <w:t>From completion</w:t>
            </w:r>
          </w:p>
        </w:tc>
      </w:tr>
      <w:tr w:rsidR="00F5195C" w:rsidRPr="00F5195C" w:rsidTr="003C7E27">
        <w:tc>
          <w:tcPr>
            <w:tcW w:w="2403" w:type="dxa"/>
          </w:tcPr>
          <w:p w:rsidR="00F5195C" w:rsidRPr="00F5195C" w:rsidRDefault="00F5195C" w:rsidP="00F5195C">
            <w:pPr>
              <w:spacing w:after="200" w:line="480" w:lineRule="auto"/>
              <w:rPr>
                <w:rFonts w:ascii="Times New Roman" w:eastAsia="Calibri" w:hAnsi="Times New Roman" w:cs="Times New Roman"/>
                <w:sz w:val="24"/>
                <w:szCs w:val="24"/>
                <w:lang w:val="en-GB"/>
              </w:rPr>
            </w:pPr>
            <w:r w:rsidRPr="00F5195C">
              <w:rPr>
                <w:rFonts w:ascii="Times New Roman" w:eastAsia="Calibri" w:hAnsi="Times New Roman" w:cs="Times New Roman"/>
                <w:sz w:val="24"/>
                <w:szCs w:val="24"/>
                <w:lang w:val="en-GB"/>
              </w:rPr>
              <w:t>21-34</w:t>
            </w:r>
          </w:p>
        </w:tc>
        <w:tc>
          <w:tcPr>
            <w:tcW w:w="2594" w:type="dxa"/>
          </w:tcPr>
          <w:p w:rsidR="00F5195C" w:rsidRPr="00F5195C" w:rsidRDefault="00F5195C" w:rsidP="00F5195C">
            <w:pPr>
              <w:spacing w:after="200" w:line="480" w:lineRule="auto"/>
              <w:rPr>
                <w:rFonts w:ascii="Times New Roman" w:eastAsia="Calibri" w:hAnsi="Times New Roman" w:cs="Times New Roman"/>
                <w:sz w:val="24"/>
                <w:szCs w:val="24"/>
                <w:lang w:val="en-GB"/>
              </w:rPr>
            </w:pPr>
            <w:r w:rsidRPr="00F5195C">
              <w:rPr>
                <w:rFonts w:ascii="Times New Roman" w:eastAsia="Calibri" w:hAnsi="Times New Roman" w:cs="Times New Roman"/>
                <w:sz w:val="24"/>
                <w:szCs w:val="24"/>
                <w:lang w:val="en-GB"/>
              </w:rPr>
              <w:t>12</w:t>
            </w:r>
          </w:p>
        </w:tc>
        <w:tc>
          <w:tcPr>
            <w:tcW w:w="2357" w:type="dxa"/>
          </w:tcPr>
          <w:p w:rsidR="00F5195C" w:rsidRPr="00F5195C" w:rsidRDefault="00F5195C" w:rsidP="00F5195C">
            <w:pPr>
              <w:spacing w:after="200" w:line="480" w:lineRule="auto"/>
              <w:rPr>
                <w:rFonts w:ascii="Times New Roman" w:eastAsia="Calibri" w:hAnsi="Times New Roman" w:cs="Times New Roman"/>
                <w:sz w:val="24"/>
                <w:szCs w:val="24"/>
                <w:lang w:val="en-GB"/>
              </w:rPr>
            </w:pPr>
            <w:r w:rsidRPr="00F5195C">
              <w:rPr>
                <w:rFonts w:ascii="Times New Roman" w:eastAsia="Calibri" w:hAnsi="Times New Roman" w:cs="Times New Roman"/>
                <w:sz w:val="24"/>
                <w:szCs w:val="24"/>
                <w:lang w:val="en-GB"/>
              </w:rPr>
              <w:t>Income</w:t>
            </w:r>
          </w:p>
        </w:tc>
        <w:tc>
          <w:tcPr>
            <w:tcW w:w="1996" w:type="dxa"/>
          </w:tcPr>
          <w:p w:rsidR="00F5195C" w:rsidRPr="00F5195C" w:rsidRDefault="00F5195C" w:rsidP="00F5195C">
            <w:pPr>
              <w:spacing w:after="200" w:line="480" w:lineRule="auto"/>
              <w:rPr>
                <w:rFonts w:ascii="Times New Roman" w:eastAsia="Calibri" w:hAnsi="Times New Roman" w:cs="Times New Roman"/>
                <w:sz w:val="24"/>
                <w:szCs w:val="24"/>
                <w:lang w:val="en-GB"/>
              </w:rPr>
            </w:pPr>
            <w:r w:rsidRPr="00F5195C">
              <w:rPr>
                <w:rFonts w:ascii="Times New Roman" w:eastAsia="Calibri" w:hAnsi="Times New Roman" w:cs="Times New Roman"/>
                <w:sz w:val="24"/>
                <w:szCs w:val="24"/>
                <w:lang w:val="en-GB"/>
              </w:rPr>
              <w:t>From completion</w:t>
            </w:r>
          </w:p>
        </w:tc>
      </w:tr>
      <w:tr w:rsidR="00F5195C" w:rsidRPr="00F5195C" w:rsidTr="003C7E27">
        <w:tc>
          <w:tcPr>
            <w:tcW w:w="2403" w:type="dxa"/>
          </w:tcPr>
          <w:p w:rsidR="00F5195C" w:rsidRPr="00F5195C" w:rsidRDefault="00F5195C" w:rsidP="00F5195C">
            <w:pPr>
              <w:spacing w:after="200" w:line="480" w:lineRule="auto"/>
              <w:rPr>
                <w:rFonts w:ascii="Times New Roman" w:eastAsia="Calibri" w:hAnsi="Times New Roman" w:cs="Times New Roman"/>
                <w:sz w:val="24"/>
                <w:szCs w:val="24"/>
                <w:lang w:val="en-GB"/>
              </w:rPr>
            </w:pPr>
            <w:r w:rsidRPr="00F5195C">
              <w:rPr>
                <w:rFonts w:ascii="Times New Roman" w:eastAsia="Calibri" w:hAnsi="Times New Roman" w:cs="Times New Roman"/>
                <w:sz w:val="24"/>
                <w:szCs w:val="24"/>
                <w:lang w:val="en-GB"/>
              </w:rPr>
              <w:t>35 +</w:t>
            </w:r>
          </w:p>
        </w:tc>
        <w:tc>
          <w:tcPr>
            <w:tcW w:w="2594" w:type="dxa"/>
          </w:tcPr>
          <w:p w:rsidR="00F5195C" w:rsidRPr="00F5195C" w:rsidRDefault="00F5195C" w:rsidP="00F5195C">
            <w:pPr>
              <w:spacing w:after="200" w:line="480" w:lineRule="auto"/>
              <w:rPr>
                <w:rFonts w:ascii="Times New Roman" w:eastAsia="Calibri" w:hAnsi="Times New Roman" w:cs="Times New Roman"/>
                <w:sz w:val="24"/>
                <w:szCs w:val="24"/>
                <w:lang w:val="en-GB"/>
              </w:rPr>
            </w:pPr>
            <w:r w:rsidRPr="00F5195C">
              <w:rPr>
                <w:rFonts w:ascii="Times New Roman" w:eastAsia="Calibri" w:hAnsi="Times New Roman" w:cs="Times New Roman"/>
                <w:sz w:val="24"/>
                <w:szCs w:val="24"/>
                <w:lang w:val="en-GB"/>
              </w:rPr>
              <w:t>15</w:t>
            </w:r>
          </w:p>
        </w:tc>
        <w:tc>
          <w:tcPr>
            <w:tcW w:w="2357" w:type="dxa"/>
          </w:tcPr>
          <w:p w:rsidR="00F5195C" w:rsidRPr="00F5195C" w:rsidRDefault="00F5195C" w:rsidP="00F5195C">
            <w:pPr>
              <w:spacing w:after="200" w:line="480" w:lineRule="auto"/>
              <w:rPr>
                <w:rFonts w:ascii="Times New Roman" w:eastAsia="Calibri" w:hAnsi="Times New Roman" w:cs="Times New Roman"/>
                <w:sz w:val="24"/>
                <w:szCs w:val="24"/>
                <w:lang w:val="en-GB"/>
              </w:rPr>
            </w:pPr>
            <w:r w:rsidRPr="00F5195C">
              <w:rPr>
                <w:rFonts w:ascii="Times New Roman" w:eastAsia="Calibri" w:hAnsi="Times New Roman" w:cs="Times New Roman"/>
                <w:sz w:val="24"/>
                <w:szCs w:val="24"/>
                <w:lang w:val="en-GB"/>
              </w:rPr>
              <w:t>Income</w:t>
            </w:r>
          </w:p>
        </w:tc>
        <w:tc>
          <w:tcPr>
            <w:tcW w:w="1996" w:type="dxa"/>
          </w:tcPr>
          <w:p w:rsidR="00F5195C" w:rsidRPr="00F5195C" w:rsidRDefault="00F5195C" w:rsidP="00F5195C">
            <w:pPr>
              <w:spacing w:after="200" w:line="480" w:lineRule="auto"/>
              <w:rPr>
                <w:rFonts w:ascii="Times New Roman" w:eastAsia="Calibri" w:hAnsi="Times New Roman" w:cs="Times New Roman"/>
                <w:sz w:val="24"/>
                <w:szCs w:val="24"/>
                <w:lang w:val="en-GB"/>
              </w:rPr>
            </w:pPr>
            <w:r w:rsidRPr="00F5195C">
              <w:rPr>
                <w:rFonts w:ascii="Times New Roman" w:eastAsia="Calibri" w:hAnsi="Times New Roman" w:cs="Times New Roman"/>
                <w:sz w:val="24"/>
                <w:szCs w:val="24"/>
                <w:lang w:val="en-GB"/>
              </w:rPr>
              <w:t>From completion</w:t>
            </w:r>
          </w:p>
        </w:tc>
      </w:tr>
      <w:tr w:rsidR="00F5195C" w:rsidRPr="00F5195C" w:rsidTr="003C7E27">
        <w:tc>
          <w:tcPr>
            <w:tcW w:w="9350" w:type="dxa"/>
            <w:gridSpan w:val="4"/>
          </w:tcPr>
          <w:p w:rsidR="00F5195C" w:rsidRPr="00F5195C" w:rsidRDefault="00F5195C" w:rsidP="00F5195C">
            <w:pPr>
              <w:spacing w:after="200" w:line="480" w:lineRule="auto"/>
              <w:jc w:val="center"/>
              <w:rPr>
                <w:rFonts w:ascii="Times New Roman" w:eastAsia="Calibri" w:hAnsi="Times New Roman" w:cs="Times New Roman"/>
                <w:b/>
                <w:sz w:val="28"/>
                <w:szCs w:val="28"/>
                <w:lang w:val="en-GB"/>
              </w:rPr>
            </w:pPr>
            <w:r w:rsidRPr="00F5195C">
              <w:rPr>
                <w:rFonts w:ascii="Times New Roman" w:eastAsia="Calibri" w:hAnsi="Times New Roman" w:cs="Times New Roman"/>
                <w:b/>
                <w:sz w:val="28"/>
                <w:szCs w:val="28"/>
                <w:lang w:val="en-GB"/>
              </w:rPr>
              <w:t>Expansion order</w:t>
            </w:r>
          </w:p>
        </w:tc>
      </w:tr>
      <w:tr w:rsidR="00F5195C" w:rsidRPr="00F5195C" w:rsidTr="003C7E27">
        <w:tc>
          <w:tcPr>
            <w:tcW w:w="2403" w:type="dxa"/>
          </w:tcPr>
          <w:p w:rsidR="00F5195C" w:rsidRPr="00F5195C" w:rsidRDefault="00F5195C" w:rsidP="00F5195C">
            <w:pPr>
              <w:spacing w:after="200" w:line="480" w:lineRule="auto"/>
              <w:rPr>
                <w:rFonts w:ascii="Times New Roman" w:eastAsia="Calibri" w:hAnsi="Times New Roman" w:cs="Times New Roman"/>
                <w:sz w:val="24"/>
                <w:szCs w:val="24"/>
                <w:lang w:val="en-GB"/>
              </w:rPr>
            </w:pPr>
            <w:r w:rsidRPr="00F5195C">
              <w:rPr>
                <w:rFonts w:ascii="Times New Roman" w:eastAsia="Calibri" w:hAnsi="Times New Roman" w:cs="Times New Roman"/>
                <w:sz w:val="24"/>
                <w:szCs w:val="24"/>
                <w:lang w:val="en-GB"/>
              </w:rPr>
              <w:t>5-9</w:t>
            </w:r>
          </w:p>
        </w:tc>
        <w:tc>
          <w:tcPr>
            <w:tcW w:w="2594" w:type="dxa"/>
          </w:tcPr>
          <w:p w:rsidR="00F5195C" w:rsidRPr="00F5195C" w:rsidRDefault="00F5195C" w:rsidP="00F5195C">
            <w:pPr>
              <w:spacing w:after="200" w:line="480" w:lineRule="auto"/>
              <w:rPr>
                <w:rFonts w:ascii="Times New Roman" w:eastAsia="Calibri" w:hAnsi="Times New Roman" w:cs="Times New Roman"/>
                <w:sz w:val="24"/>
                <w:szCs w:val="24"/>
                <w:lang w:val="en-GB"/>
              </w:rPr>
            </w:pPr>
            <w:r w:rsidRPr="00F5195C">
              <w:rPr>
                <w:rFonts w:ascii="Times New Roman" w:eastAsia="Calibri" w:hAnsi="Times New Roman" w:cs="Times New Roman"/>
                <w:sz w:val="24"/>
                <w:szCs w:val="24"/>
                <w:lang w:val="en-GB"/>
              </w:rPr>
              <w:t>9</w:t>
            </w:r>
          </w:p>
        </w:tc>
        <w:tc>
          <w:tcPr>
            <w:tcW w:w="2357" w:type="dxa"/>
          </w:tcPr>
          <w:p w:rsidR="00F5195C" w:rsidRPr="00F5195C" w:rsidRDefault="00F5195C" w:rsidP="00F5195C">
            <w:pPr>
              <w:spacing w:after="200" w:line="480" w:lineRule="auto"/>
              <w:rPr>
                <w:rFonts w:ascii="Times New Roman" w:eastAsia="Calibri" w:hAnsi="Times New Roman" w:cs="Times New Roman"/>
                <w:sz w:val="24"/>
                <w:szCs w:val="24"/>
                <w:lang w:val="en-GB"/>
              </w:rPr>
            </w:pPr>
            <w:r w:rsidRPr="00F5195C">
              <w:rPr>
                <w:rFonts w:ascii="Times New Roman" w:eastAsia="Calibri" w:hAnsi="Times New Roman" w:cs="Times New Roman"/>
                <w:sz w:val="24"/>
                <w:szCs w:val="24"/>
                <w:lang w:val="en-GB"/>
              </w:rPr>
              <w:t>Income attributable to expanded portion</w:t>
            </w:r>
          </w:p>
        </w:tc>
        <w:tc>
          <w:tcPr>
            <w:tcW w:w="1996" w:type="dxa"/>
          </w:tcPr>
          <w:p w:rsidR="00F5195C" w:rsidRPr="00F5195C" w:rsidRDefault="00F5195C" w:rsidP="00F5195C">
            <w:pPr>
              <w:spacing w:after="200" w:line="480" w:lineRule="auto"/>
              <w:rPr>
                <w:rFonts w:ascii="Times New Roman" w:eastAsia="Calibri" w:hAnsi="Times New Roman" w:cs="Times New Roman"/>
                <w:sz w:val="24"/>
                <w:szCs w:val="24"/>
                <w:lang w:val="en-GB"/>
              </w:rPr>
            </w:pPr>
            <w:r w:rsidRPr="00F5195C">
              <w:rPr>
                <w:rFonts w:ascii="Times New Roman" w:eastAsia="Calibri" w:hAnsi="Times New Roman" w:cs="Times New Roman"/>
                <w:sz w:val="24"/>
                <w:szCs w:val="24"/>
                <w:lang w:val="en-GB"/>
              </w:rPr>
              <w:t>From completion</w:t>
            </w:r>
          </w:p>
        </w:tc>
      </w:tr>
      <w:tr w:rsidR="00F5195C" w:rsidRPr="00F5195C" w:rsidTr="003C7E27">
        <w:tc>
          <w:tcPr>
            <w:tcW w:w="2403" w:type="dxa"/>
          </w:tcPr>
          <w:p w:rsidR="00F5195C" w:rsidRPr="00F5195C" w:rsidRDefault="00F5195C" w:rsidP="00F5195C">
            <w:pPr>
              <w:spacing w:after="200" w:line="480" w:lineRule="auto"/>
              <w:rPr>
                <w:rFonts w:ascii="Times New Roman" w:eastAsia="Calibri" w:hAnsi="Times New Roman" w:cs="Times New Roman"/>
                <w:sz w:val="24"/>
                <w:szCs w:val="24"/>
                <w:lang w:val="en-GB"/>
              </w:rPr>
            </w:pPr>
            <w:r w:rsidRPr="00F5195C">
              <w:rPr>
                <w:rFonts w:ascii="Times New Roman" w:eastAsia="Calibri" w:hAnsi="Times New Roman" w:cs="Times New Roman"/>
                <w:sz w:val="24"/>
                <w:szCs w:val="24"/>
                <w:lang w:val="en-GB"/>
              </w:rPr>
              <w:t>9-35</w:t>
            </w:r>
          </w:p>
        </w:tc>
        <w:tc>
          <w:tcPr>
            <w:tcW w:w="2594" w:type="dxa"/>
          </w:tcPr>
          <w:p w:rsidR="00F5195C" w:rsidRPr="00F5195C" w:rsidRDefault="00F5195C" w:rsidP="00F5195C">
            <w:pPr>
              <w:spacing w:after="200" w:line="480" w:lineRule="auto"/>
              <w:rPr>
                <w:rFonts w:ascii="Times New Roman" w:eastAsia="Calibri" w:hAnsi="Times New Roman" w:cs="Times New Roman"/>
                <w:sz w:val="24"/>
                <w:szCs w:val="24"/>
                <w:lang w:val="en-GB"/>
              </w:rPr>
            </w:pPr>
            <w:r w:rsidRPr="00F5195C">
              <w:rPr>
                <w:rFonts w:ascii="Times New Roman" w:eastAsia="Calibri" w:hAnsi="Times New Roman" w:cs="Times New Roman"/>
                <w:sz w:val="24"/>
                <w:szCs w:val="24"/>
                <w:lang w:val="en-GB"/>
              </w:rPr>
              <w:t>10</w:t>
            </w:r>
          </w:p>
        </w:tc>
        <w:tc>
          <w:tcPr>
            <w:tcW w:w="2357" w:type="dxa"/>
          </w:tcPr>
          <w:p w:rsidR="00F5195C" w:rsidRPr="00F5195C" w:rsidRDefault="00F5195C" w:rsidP="00F5195C">
            <w:pPr>
              <w:spacing w:after="200" w:line="480" w:lineRule="auto"/>
              <w:rPr>
                <w:rFonts w:ascii="Times New Roman" w:eastAsia="Calibri" w:hAnsi="Times New Roman" w:cs="Times New Roman"/>
                <w:sz w:val="24"/>
                <w:szCs w:val="24"/>
                <w:lang w:val="en-GB"/>
              </w:rPr>
            </w:pPr>
            <w:r w:rsidRPr="00F5195C">
              <w:rPr>
                <w:rFonts w:ascii="Times New Roman" w:eastAsia="Calibri" w:hAnsi="Times New Roman" w:cs="Times New Roman"/>
                <w:sz w:val="24"/>
                <w:szCs w:val="24"/>
                <w:lang w:val="en-GB"/>
              </w:rPr>
              <w:t>Income attributable to expanded portion</w:t>
            </w:r>
          </w:p>
        </w:tc>
        <w:tc>
          <w:tcPr>
            <w:tcW w:w="1996" w:type="dxa"/>
          </w:tcPr>
          <w:p w:rsidR="00F5195C" w:rsidRPr="00F5195C" w:rsidRDefault="00F5195C" w:rsidP="00F5195C">
            <w:pPr>
              <w:spacing w:after="200" w:line="480" w:lineRule="auto"/>
              <w:rPr>
                <w:rFonts w:ascii="Times New Roman" w:eastAsia="Calibri" w:hAnsi="Times New Roman" w:cs="Times New Roman"/>
                <w:sz w:val="24"/>
                <w:szCs w:val="24"/>
                <w:lang w:val="en-GB"/>
              </w:rPr>
            </w:pPr>
            <w:r w:rsidRPr="00F5195C">
              <w:rPr>
                <w:rFonts w:ascii="Times New Roman" w:eastAsia="Calibri" w:hAnsi="Times New Roman" w:cs="Times New Roman"/>
                <w:sz w:val="24"/>
                <w:szCs w:val="24"/>
                <w:lang w:val="en-GB"/>
              </w:rPr>
              <w:t>From completion</w:t>
            </w:r>
          </w:p>
        </w:tc>
      </w:tr>
      <w:tr w:rsidR="00F5195C" w:rsidRPr="00F5195C" w:rsidTr="003C7E27">
        <w:tc>
          <w:tcPr>
            <w:tcW w:w="2403" w:type="dxa"/>
          </w:tcPr>
          <w:p w:rsidR="00F5195C" w:rsidRPr="00F5195C" w:rsidRDefault="00F5195C" w:rsidP="00F5195C">
            <w:pPr>
              <w:spacing w:after="200" w:line="480" w:lineRule="auto"/>
              <w:rPr>
                <w:rFonts w:ascii="Times New Roman" w:eastAsia="Calibri" w:hAnsi="Times New Roman" w:cs="Times New Roman"/>
                <w:sz w:val="24"/>
                <w:szCs w:val="24"/>
                <w:lang w:val="en-GB"/>
              </w:rPr>
            </w:pPr>
            <w:r w:rsidRPr="00F5195C">
              <w:rPr>
                <w:rFonts w:ascii="Times New Roman" w:eastAsia="Calibri" w:hAnsi="Times New Roman" w:cs="Times New Roman"/>
                <w:sz w:val="24"/>
                <w:szCs w:val="24"/>
                <w:lang w:val="en-GB"/>
              </w:rPr>
              <w:t>35+</w:t>
            </w:r>
          </w:p>
        </w:tc>
        <w:tc>
          <w:tcPr>
            <w:tcW w:w="2594" w:type="dxa"/>
          </w:tcPr>
          <w:p w:rsidR="00F5195C" w:rsidRPr="00F5195C" w:rsidRDefault="00F5195C" w:rsidP="00F5195C">
            <w:pPr>
              <w:spacing w:after="200" w:line="480" w:lineRule="auto"/>
              <w:rPr>
                <w:rFonts w:ascii="Times New Roman" w:eastAsia="Calibri" w:hAnsi="Times New Roman" w:cs="Times New Roman"/>
                <w:sz w:val="24"/>
                <w:szCs w:val="24"/>
                <w:lang w:val="en-GB"/>
              </w:rPr>
            </w:pPr>
            <w:r w:rsidRPr="00F5195C">
              <w:rPr>
                <w:rFonts w:ascii="Times New Roman" w:eastAsia="Calibri" w:hAnsi="Times New Roman" w:cs="Times New Roman"/>
                <w:sz w:val="24"/>
                <w:szCs w:val="24"/>
                <w:lang w:val="en-GB"/>
              </w:rPr>
              <w:t>15</w:t>
            </w:r>
          </w:p>
        </w:tc>
        <w:tc>
          <w:tcPr>
            <w:tcW w:w="2357" w:type="dxa"/>
          </w:tcPr>
          <w:p w:rsidR="00F5195C" w:rsidRPr="00F5195C" w:rsidRDefault="00F5195C" w:rsidP="00F5195C">
            <w:pPr>
              <w:spacing w:after="200" w:line="480" w:lineRule="auto"/>
              <w:rPr>
                <w:rFonts w:ascii="Times New Roman" w:eastAsia="Calibri" w:hAnsi="Times New Roman" w:cs="Times New Roman"/>
                <w:sz w:val="24"/>
                <w:szCs w:val="24"/>
                <w:lang w:val="en-GB"/>
              </w:rPr>
            </w:pPr>
            <w:r w:rsidRPr="00F5195C">
              <w:rPr>
                <w:rFonts w:ascii="Times New Roman" w:eastAsia="Calibri" w:hAnsi="Times New Roman" w:cs="Times New Roman"/>
                <w:sz w:val="24"/>
                <w:szCs w:val="24"/>
                <w:lang w:val="en-GB"/>
              </w:rPr>
              <w:t>Income attributable to expanded portion</w:t>
            </w:r>
          </w:p>
        </w:tc>
        <w:tc>
          <w:tcPr>
            <w:tcW w:w="1996" w:type="dxa"/>
          </w:tcPr>
          <w:p w:rsidR="00F5195C" w:rsidRPr="00F5195C" w:rsidRDefault="00F5195C" w:rsidP="00F5195C">
            <w:pPr>
              <w:spacing w:after="200" w:line="480" w:lineRule="auto"/>
              <w:rPr>
                <w:rFonts w:ascii="Times New Roman" w:eastAsia="Calibri" w:hAnsi="Times New Roman" w:cs="Times New Roman"/>
                <w:sz w:val="24"/>
                <w:szCs w:val="24"/>
                <w:lang w:val="en-GB"/>
              </w:rPr>
            </w:pPr>
            <w:r w:rsidRPr="00F5195C">
              <w:rPr>
                <w:rFonts w:ascii="Times New Roman" w:eastAsia="Calibri" w:hAnsi="Times New Roman" w:cs="Times New Roman"/>
                <w:sz w:val="24"/>
                <w:szCs w:val="24"/>
                <w:lang w:val="en-GB"/>
              </w:rPr>
              <w:t>From completion</w:t>
            </w:r>
          </w:p>
        </w:tc>
      </w:tr>
    </w:tbl>
    <w:p w:rsidR="00F5195C" w:rsidRPr="00F5195C" w:rsidRDefault="00F5195C" w:rsidP="00F5195C">
      <w:pPr>
        <w:spacing w:after="200" w:line="480" w:lineRule="auto"/>
        <w:rPr>
          <w:rFonts w:ascii="Times New Roman" w:eastAsia="Calibri" w:hAnsi="Times New Roman" w:cs="Times New Roman"/>
          <w:sz w:val="24"/>
          <w:szCs w:val="24"/>
          <w:lang w:val="en-GB"/>
        </w:rPr>
      </w:pPr>
      <w:r w:rsidRPr="00F5195C">
        <w:rPr>
          <w:rFonts w:ascii="Times New Roman" w:eastAsia="Calibri" w:hAnsi="Times New Roman" w:cs="Times New Roman"/>
          <w:sz w:val="24"/>
          <w:szCs w:val="24"/>
          <w:lang w:val="en-GB"/>
        </w:rPr>
        <w:t>Figure 4- New construction and Expansion incentives under the Hotel Aid Act (1988)</w:t>
      </w:r>
    </w:p>
    <w:p w:rsidR="00F5195C" w:rsidRPr="00F5195C" w:rsidRDefault="00F5195C" w:rsidP="00F5195C">
      <w:pPr>
        <w:spacing w:after="200" w:line="480" w:lineRule="auto"/>
        <w:rPr>
          <w:rFonts w:ascii="Times New Roman" w:eastAsia="Calibri" w:hAnsi="Times New Roman" w:cs="Times New Roman"/>
          <w:sz w:val="24"/>
          <w:szCs w:val="24"/>
          <w:lang w:val="en-GB"/>
        </w:rPr>
      </w:pPr>
      <w:r w:rsidRPr="00F5195C">
        <w:rPr>
          <w:rFonts w:ascii="Times New Roman" w:eastAsia="Calibri" w:hAnsi="Times New Roman" w:cs="Times New Roman"/>
          <w:sz w:val="24"/>
          <w:szCs w:val="24"/>
          <w:lang w:val="en-GB"/>
        </w:rPr>
        <w:lastRenderedPageBreak/>
        <w:t>To date fiscal incentives for the sector is principally guided by the Hotels Aid Act # 16/1988. According to the Hotel Aid Act (1988) non-national constructing an accommodation entity with a minimum of 10 rooms have to register with the Ministry of Tourism for consideration of concessions on materials, equipment or furnishings to be used in construction and operations of the accommodation. Nationals have a lower threshold of 5 rooms minimum. Concessions refer to the exclusion of customs duty and consumption tax if imported or exemption of consumption tax if purchased locally. New constructions are eligible to apply for an income tax exemption</w:t>
      </w:r>
      <w:r w:rsidRPr="00F5195C">
        <w:rPr>
          <w:rFonts w:ascii="Calibri" w:eastAsia="Calibri" w:hAnsi="Calibri" w:cs="Calibri"/>
          <w:lang w:val="en-GB"/>
        </w:rPr>
        <w:t xml:space="preserve"> </w:t>
      </w:r>
      <w:r w:rsidRPr="00F5195C">
        <w:rPr>
          <w:rFonts w:ascii="Times New Roman" w:eastAsia="Calibri" w:hAnsi="Times New Roman" w:cs="Times New Roman"/>
          <w:sz w:val="24"/>
          <w:szCs w:val="24"/>
          <w:lang w:val="en-GB"/>
        </w:rPr>
        <w:t>on the profits using a maximum scale that correlates with the number of rooms,</w:t>
      </w:r>
      <w:r w:rsidRPr="00F5195C">
        <w:rPr>
          <w:rFonts w:ascii="Calibri" w:eastAsia="Calibri" w:hAnsi="Calibri" w:cs="Calibri"/>
          <w:lang w:val="en-GB"/>
        </w:rPr>
        <w:t xml:space="preserve"> </w:t>
      </w:r>
      <w:r w:rsidRPr="00F5195C">
        <w:rPr>
          <w:rFonts w:ascii="Times New Roman" w:eastAsia="Calibri" w:hAnsi="Times New Roman" w:cs="Times New Roman"/>
          <w:sz w:val="24"/>
          <w:szCs w:val="24"/>
          <w:lang w:val="en-GB"/>
        </w:rPr>
        <w:t xml:space="preserve">see figure 4. The act also allow for the application of further concessions on improvements whether it be renovations or expansion on any previously registered property. Accommodations applying for expansion orders may also apply for an exemption of income tax on the profits that relate to the expanded portion on using a sliding scale similar to the new constructions, see figure 4. </w:t>
      </w:r>
    </w:p>
    <w:p w:rsidR="00F5195C" w:rsidRPr="00F5195C" w:rsidRDefault="00F5195C" w:rsidP="00F5195C">
      <w:pPr>
        <w:spacing w:after="200" w:line="480" w:lineRule="auto"/>
        <w:jc w:val="center"/>
        <w:rPr>
          <w:rFonts w:ascii="Times New Roman" w:eastAsia="Calibri" w:hAnsi="Times New Roman" w:cs="Times New Roman"/>
          <w:sz w:val="24"/>
          <w:szCs w:val="24"/>
          <w:lang w:val="en-GB"/>
        </w:rPr>
      </w:pPr>
      <w:r w:rsidRPr="00F5195C">
        <w:rPr>
          <w:rFonts w:ascii="Times New Roman" w:eastAsia="Calibri" w:hAnsi="Times New Roman" w:cs="Times New Roman"/>
          <w:noProof/>
          <w:sz w:val="24"/>
          <w:szCs w:val="24"/>
        </w:rPr>
        <w:drawing>
          <wp:inline distT="0" distB="0" distL="0" distR="0" wp14:anchorId="0DBE7BC1" wp14:editId="5F9E60B8">
            <wp:extent cx="3315269" cy="2812728"/>
            <wp:effectExtent l="0" t="0" r="0" b="698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butler life cycle-svg.jp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3327973" cy="2823506"/>
                    </a:xfrm>
                    <a:prstGeom prst="rect">
                      <a:avLst/>
                    </a:prstGeom>
                  </pic:spPr>
                </pic:pic>
              </a:graphicData>
            </a:graphic>
          </wp:inline>
        </w:drawing>
      </w:r>
    </w:p>
    <w:p w:rsidR="00F5195C" w:rsidRPr="00F5195C" w:rsidRDefault="00F5195C" w:rsidP="00F5195C">
      <w:pPr>
        <w:spacing w:after="200" w:line="480" w:lineRule="auto"/>
        <w:rPr>
          <w:rFonts w:ascii="Times New Roman" w:eastAsia="Calibri" w:hAnsi="Times New Roman" w:cs="Times New Roman"/>
          <w:sz w:val="24"/>
          <w:szCs w:val="24"/>
          <w:lang w:val="en-GB"/>
        </w:rPr>
      </w:pPr>
      <w:r w:rsidRPr="00F5195C">
        <w:rPr>
          <w:rFonts w:ascii="Times New Roman" w:eastAsia="Calibri" w:hAnsi="Times New Roman" w:cs="Times New Roman"/>
          <w:sz w:val="24"/>
          <w:szCs w:val="24"/>
          <w:lang w:val="en-GB"/>
        </w:rPr>
        <w:t>Figure 5- SVG along Butlers Destination life cycle (Adapted from Butler, 1980)</w:t>
      </w:r>
    </w:p>
    <w:p w:rsidR="00F5195C" w:rsidRPr="00F5195C" w:rsidRDefault="00F5195C" w:rsidP="00F5195C">
      <w:pPr>
        <w:spacing w:after="200" w:line="480" w:lineRule="auto"/>
        <w:rPr>
          <w:rFonts w:ascii="Times New Roman" w:eastAsia="Calibri" w:hAnsi="Times New Roman" w:cs="Times New Roman"/>
          <w:sz w:val="24"/>
          <w:szCs w:val="24"/>
          <w:lang w:val="en-GB"/>
        </w:rPr>
      </w:pPr>
      <w:r w:rsidRPr="00F5195C">
        <w:rPr>
          <w:rFonts w:ascii="Times New Roman" w:eastAsia="Calibri" w:hAnsi="Times New Roman" w:cs="Times New Roman"/>
          <w:sz w:val="24"/>
          <w:szCs w:val="24"/>
          <w:lang w:val="en-GB"/>
        </w:rPr>
        <w:lastRenderedPageBreak/>
        <w:t xml:space="preserve">Like many of its neighbours’ tourism in SVG began in an organic way before authorities and other stakeholders saw its potential as an economic driver.  SVG is still actively in the tourism development phase (see figure 5) and this must be carefully guided with relevant policies and well laid out actionable plans. It is possible that this development phase remains responsible for incentives that are principally focused on encouraging expansion. As depicted in, figure 4, the more rooms </w:t>
      </w:r>
      <w:r w:rsidRPr="00F5195C">
        <w:rPr>
          <w:rFonts w:ascii="Times New Roman" w:eastAsia="Calibri" w:hAnsi="Times New Roman" w:cs="Times New Roman"/>
          <w:sz w:val="24"/>
          <w:szCs w:val="24"/>
          <w:lang w:val="en-GB"/>
        </w:rPr>
        <w:t>and</w:t>
      </w:r>
      <w:r w:rsidRPr="00F5195C">
        <w:rPr>
          <w:rFonts w:ascii="Times New Roman" w:eastAsia="Calibri" w:hAnsi="Times New Roman" w:cs="Times New Roman"/>
          <w:sz w:val="24"/>
          <w:szCs w:val="24"/>
          <w:lang w:val="en-GB"/>
        </w:rPr>
        <w:t xml:space="preserve"> accommodation has the greater the potential tax break. The Hotel Aids act was last overhauled decades prior during a period when Tourism and hospitality development was characterised by larger accommodation. The principles of sustainability has demonstrated that bigger is not better and can be harmful to smaller ecosystems like that of SVG.</w:t>
      </w:r>
    </w:p>
    <w:p w:rsidR="00F5195C" w:rsidRPr="00F5195C" w:rsidRDefault="00F5195C" w:rsidP="00F5195C">
      <w:pPr>
        <w:spacing w:after="200" w:line="480" w:lineRule="auto"/>
        <w:jc w:val="center"/>
        <w:rPr>
          <w:rFonts w:ascii="Times New Roman" w:eastAsia="Calibri" w:hAnsi="Times New Roman" w:cs="Times New Roman"/>
          <w:sz w:val="24"/>
          <w:szCs w:val="24"/>
          <w:lang w:val="en-GB"/>
        </w:rPr>
      </w:pPr>
      <w:r w:rsidRPr="00F5195C">
        <w:rPr>
          <w:rFonts w:ascii="Times New Roman" w:eastAsia="Calibri" w:hAnsi="Times New Roman" w:cs="Times New Roman"/>
          <w:noProof/>
          <w:sz w:val="24"/>
          <w:szCs w:val="24"/>
        </w:rPr>
        <w:drawing>
          <wp:inline distT="0" distB="0" distL="0" distR="0" wp14:anchorId="59F1693B" wp14:editId="1D5ED5FA">
            <wp:extent cx="5943600" cy="3250565"/>
            <wp:effectExtent l="0" t="0" r="0" b="698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room capacity.jp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943600" cy="3250565"/>
                    </a:xfrm>
                    <a:prstGeom prst="rect">
                      <a:avLst/>
                    </a:prstGeom>
                  </pic:spPr>
                </pic:pic>
              </a:graphicData>
            </a:graphic>
          </wp:inline>
        </w:drawing>
      </w:r>
    </w:p>
    <w:p w:rsidR="00F5195C" w:rsidRPr="00F5195C" w:rsidRDefault="00F5195C" w:rsidP="00F5195C">
      <w:pPr>
        <w:spacing w:after="200" w:line="480" w:lineRule="auto"/>
        <w:rPr>
          <w:rFonts w:ascii="Times New Roman" w:eastAsia="Calibri" w:hAnsi="Times New Roman" w:cs="Times New Roman"/>
          <w:sz w:val="24"/>
          <w:szCs w:val="24"/>
          <w:lang w:val="en-GB"/>
        </w:rPr>
      </w:pPr>
      <w:r w:rsidRPr="00F5195C">
        <w:rPr>
          <w:rFonts w:ascii="Times New Roman" w:eastAsia="Calibri" w:hAnsi="Times New Roman" w:cs="Times New Roman"/>
          <w:sz w:val="24"/>
          <w:szCs w:val="24"/>
          <w:lang w:val="en-GB"/>
        </w:rPr>
        <w:t>Figure 6- SVG room stock (source: SVGTA)</w:t>
      </w:r>
    </w:p>
    <w:p w:rsidR="00F5195C" w:rsidRPr="00F5195C" w:rsidRDefault="00F5195C" w:rsidP="00F5195C">
      <w:pPr>
        <w:spacing w:after="200" w:line="480" w:lineRule="auto"/>
        <w:rPr>
          <w:rFonts w:ascii="Times New Roman" w:eastAsia="Calibri" w:hAnsi="Times New Roman" w:cs="Times New Roman"/>
          <w:sz w:val="24"/>
          <w:szCs w:val="24"/>
          <w:lang w:val="en-GB"/>
        </w:rPr>
      </w:pPr>
      <w:r w:rsidRPr="00F5195C">
        <w:rPr>
          <w:rFonts w:ascii="Times New Roman" w:eastAsia="Calibri" w:hAnsi="Times New Roman" w:cs="Times New Roman"/>
          <w:sz w:val="24"/>
          <w:szCs w:val="24"/>
          <w:lang w:val="en-GB"/>
        </w:rPr>
        <w:t xml:space="preserve">Air access was identified as a major hindrance to bolstering tourism and hospitality industry thus the government embarked on the largest capital project to date, the building of the Argyle International Airport which commenced in August 2008 and opened in February 2017. The </w:t>
      </w:r>
      <w:r w:rsidRPr="00F5195C">
        <w:rPr>
          <w:rFonts w:ascii="Times New Roman" w:eastAsia="Calibri" w:hAnsi="Times New Roman" w:cs="Times New Roman"/>
          <w:sz w:val="24"/>
          <w:szCs w:val="24"/>
          <w:lang w:val="en-GB"/>
        </w:rPr>
        <w:lastRenderedPageBreak/>
        <w:t>destination is still in the process of attracting an array of airlift and must grow its room stock which is presently less than 3000. St. Vincent the largest of the archipelago has only 36% of this stock primarily in apartments, see figure 6. The Minister of Tourism has pointed out that the government intends to increase room stock on St. Vincent by at least 1000 rooms before 2025</w:t>
      </w:r>
      <w:r w:rsidRPr="00F5195C">
        <w:rPr>
          <w:rFonts w:ascii="Calibri" w:eastAsia="Calibri" w:hAnsi="Calibri" w:cs="Calibri"/>
          <w:lang w:val="en-GB"/>
        </w:rPr>
        <w:t xml:space="preserve"> </w:t>
      </w:r>
      <w:r w:rsidRPr="00F5195C">
        <w:rPr>
          <w:rFonts w:ascii="Times New Roman" w:eastAsia="Calibri" w:hAnsi="Times New Roman" w:cs="Times New Roman"/>
          <w:sz w:val="24"/>
          <w:szCs w:val="24"/>
          <w:lang w:val="en-GB"/>
        </w:rPr>
        <w:t>(Searchlight, 2019). The destination has also acknowledged the importance of attracting internationally recognized accommodation brands as a strategic marketing move. However, it is critical that SVG enact policy with ensuing frame work to limit the number of all-inclusive type properties over the long term since they tend to encourage too much leakages and discourage the trickle down effects of the valuable visitor spend. It is argued that once the pandemic status is lifted and people are comfortable and confident enough to travel for vacations there will be more focus on sustainable travel. In fact, research on global consumers show that nearly 40% of respondents agreed that eco-conscious brands are more important now while the other 60% view sustainability as just as important now as before the pandemic</w:t>
      </w:r>
      <w:r w:rsidRPr="00F5195C">
        <w:rPr>
          <w:rFonts w:ascii="Calibri" w:eastAsia="Calibri" w:hAnsi="Calibri" w:cs="Calibri"/>
          <w:lang w:val="en-GB"/>
        </w:rPr>
        <w:t xml:space="preserve"> </w:t>
      </w:r>
      <w:r w:rsidRPr="00F5195C">
        <w:rPr>
          <w:rFonts w:ascii="Times New Roman" w:eastAsia="Calibri" w:hAnsi="Times New Roman" w:cs="Times New Roman"/>
          <w:sz w:val="24"/>
          <w:szCs w:val="24"/>
          <w:lang w:val="en-GB"/>
        </w:rPr>
        <w:t xml:space="preserve">(Data Insights, 2021). Perhaps this trend will translate to visitor choosing more home stays along with small scale types of accommodations.  Thus a strategic option would be for tourism legislators to offer fiscal incentives geared towards encouraging the registration of home stays as a legitimate type of tourism accommodation. Perhaps a limited tax exemption period and or preferential access to loans or grants that support smart upgrades and implementation of environmental management programs in the smaller accommodations would be a welcome boost. There is also a need for an established relationship with Airbnb since there are over 300 registered properties on their site. Like the Puerto Rico example (Escape Artist, 2017) this will be an opportunity for the destination to increase room stock while allowing the government to collect some tax revenue after the tax break (via Airbnb). </w:t>
      </w:r>
    </w:p>
    <w:p w:rsidR="007B5A24" w:rsidRDefault="00F5195C" w:rsidP="00F5195C">
      <w:pPr>
        <w:spacing w:after="200" w:line="480" w:lineRule="auto"/>
        <w:rPr>
          <w:rFonts w:ascii="Times New Roman" w:eastAsia="Calibri" w:hAnsi="Times New Roman" w:cs="Times New Roman"/>
          <w:sz w:val="24"/>
          <w:szCs w:val="24"/>
          <w:lang w:val="en-GB"/>
        </w:rPr>
      </w:pPr>
      <w:r w:rsidRPr="00F5195C">
        <w:rPr>
          <w:rFonts w:ascii="Times New Roman" w:eastAsia="Calibri" w:hAnsi="Times New Roman" w:cs="Times New Roman"/>
          <w:sz w:val="24"/>
          <w:szCs w:val="24"/>
          <w:lang w:val="en-GB"/>
        </w:rPr>
        <w:lastRenderedPageBreak/>
        <w:t>It is crucial that SVG updates its incentives and regulatory framework to avoid some of the traps which caught the more mature regional destinations. For example cruise tourism should only be encourage in a sustainable manner. More cruise visitors in a small region is impractical and puts too much pressure on local resources without a reciprocal gain for efforts. Instead fiscal incentives should be crafted to encourage developing more ecologically conscious infrastructure and services to grow the yachting sector. This niche is historically one of SVG’s most thriving segment and continued so despite the pandemic. Yachting will not generate as much visitor numbers as the cruise ships but the visitor spend per person, use of local products and services are far greater.  Also it is arguable easier for the yachting visitor to develop a vested interest in the destination and become a repeat visitor over time.</w:t>
      </w:r>
    </w:p>
    <w:p w:rsidR="007B5A24" w:rsidRDefault="007B5A24">
      <w:pPr>
        <w:rPr>
          <w:rFonts w:ascii="Times New Roman" w:eastAsia="Calibri" w:hAnsi="Times New Roman" w:cs="Times New Roman"/>
          <w:sz w:val="24"/>
          <w:szCs w:val="24"/>
          <w:lang w:val="en-GB"/>
        </w:rPr>
      </w:pPr>
      <w:r>
        <w:rPr>
          <w:rFonts w:ascii="Times New Roman" w:eastAsia="Calibri" w:hAnsi="Times New Roman" w:cs="Times New Roman"/>
          <w:sz w:val="24"/>
          <w:szCs w:val="24"/>
          <w:lang w:val="en-GB"/>
        </w:rPr>
        <w:br w:type="page"/>
      </w:r>
    </w:p>
    <w:p w:rsidR="007B5A24" w:rsidRPr="007B5A24" w:rsidRDefault="007B5A24" w:rsidP="007B5A24">
      <w:pPr>
        <w:spacing w:after="240" w:line="360" w:lineRule="auto"/>
        <w:rPr>
          <w:rFonts w:ascii="Times New Roman" w:eastAsia="Times New Roman" w:hAnsi="Times New Roman" w:cs="Times New Roman"/>
          <w:sz w:val="36"/>
          <w:szCs w:val="36"/>
        </w:rPr>
      </w:pPr>
      <w:r>
        <w:rPr>
          <w:rFonts w:ascii="Times New Roman" w:eastAsia="Times New Roman" w:hAnsi="Times New Roman" w:cs="Times New Roman"/>
          <w:sz w:val="36"/>
          <w:szCs w:val="36"/>
        </w:rPr>
        <w:lastRenderedPageBreak/>
        <w:t xml:space="preserve">Reference </w:t>
      </w:r>
    </w:p>
    <w:p w:rsidR="007B5A24" w:rsidRPr="007B5A24" w:rsidRDefault="007B5A24" w:rsidP="007B5A24">
      <w:pPr>
        <w:spacing w:after="240" w:line="360" w:lineRule="auto"/>
        <w:rPr>
          <w:rFonts w:ascii="Times New Roman" w:eastAsia="Times New Roman" w:hAnsi="Times New Roman" w:cs="Times New Roman"/>
          <w:sz w:val="24"/>
          <w:szCs w:val="24"/>
        </w:rPr>
      </w:pPr>
      <w:r w:rsidRPr="007B5A24">
        <w:rPr>
          <w:rFonts w:ascii="Times New Roman" w:eastAsia="Times New Roman" w:hAnsi="Times New Roman" w:cs="Times New Roman"/>
          <w:sz w:val="24"/>
          <w:szCs w:val="24"/>
        </w:rPr>
        <w:t xml:space="preserve">Butler, R. (1980). </w:t>
      </w:r>
      <w:r w:rsidRPr="007B5A24">
        <w:rPr>
          <w:rFonts w:ascii="Times New Roman" w:eastAsia="Times New Roman" w:hAnsi="Times New Roman" w:cs="Times New Roman"/>
          <w:i/>
          <w:iCs/>
          <w:sz w:val="24"/>
          <w:szCs w:val="24"/>
        </w:rPr>
        <w:t>the Concept of Tourism Area Cycle of Evolution Implications for Management of Resources. Canadian Geographer</w:t>
      </w:r>
      <w:r w:rsidRPr="007B5A24">
        <w:rPr>
          <w:rFonts w:ascii="Times New Roman" w:eastAsia="Times New Roman" w:hAnsi="Times New Roman" w:cs="Times New Roman"/>
          <w:sz w:val="24"/>
          <w:szCs w:val="24"/>
        </w:rPr>
        <w:t>. [online] Scribd. Available at: https://www.scribd.com/document/156830824/Butler-Richard-1980-the-Concept-of-Tourism-Area-Cycle-of-Evolution-Implications-for-Management-of-Resources-Canadian-Geographer [Accessed 26 Nov. 2019]. p.7.</w:t>
      </w:r>
    </w:p>
    <w:p w:rsidR="007B5A24" w:rsidRPr="007B5A24" w:rsidRDefault="007B5A24" w:rsidP="007B5A24">
      <w:pPr>
        <w:spacing w:after="240" w:line="360" w:lineRule="auto"/>
        <w:rPr>
          <w:rFonts w:ascii="Times New Roman" w:eastAsia="Times New Roman" w:hAnsi="Times New Roman" w:cs="Times New Roman"/>
          <w:sz w:val="24"/>
          <w:szCs w:val="24"/>
        </w:rPr>
      </w:pPr>
      <w:r w:rsidRPr="007B5A24">
        <w:rPr>
          <w:rFonts w:ascii="Times New Roman" w:eastAsia="Times New Roman" w:hAnsi="Times New Roman" w:cs="Times New Roman"/>
          <w:sz w:val="24"/>
          <w:szCs w:val="24"/>
        </w:rPr>
        <w:t xml:space="preserve">Data Insights (2021). </w:t>
      </w:r>
      <w:r w:rsidRPr="007B5A24">
        <w:rPr>
          <w:rFonts w:ascii="Times New Roman" w:eastAsia="Times New Roman" w:hAnsi="Times New Roman" w:cs="Times New Roman"/>
          <w:i/>
          <w:iCs/>
          <w:sz w:val="24"/>
          <w:szCs w:val="24"/>
        </w:rPr>
        <w:t>Tourism After Lockdown: Hotel Guests Expect Normal In The New Normal</w:t>
      </w:r>
      <w:r w:rsidRPr="007B5A24">
        <w:rPr>
          <w:rFonts w:ascii="Times New Roman" w:eastAsia="Times New Roman" w:hAnsi="Times New Roman" w:cs="Times New Roman"/>
          <w:sz w:val="24"/>
          <w:szCs w:val="24"/>
        </w:rPr>
        <w:t>. [online] STR. Available at: https://str.com/data-insights-blog/tourism-after-lockdown-hotel-guests-expect-normal-in-the-new-normal.</w:t>
      </w:r>
    </w:p>
    <w:p w:rsidR="007B5A24" w:rsidRPr="007B5A24" w:rsidRDefault="007B5A24" w:rsidP="007B5A24">
      <w:pPr>
        <w:spacing w:after="240" w:line="360" w:lineRule="auto"/>
        <w:rPr>
          <w:rFonts w:ascii="Times New Roman" w:eastAsia="Times New Roman" w:hAnsi="Times New Roman" w:cs="Times New Roman"/>
          <w:sz w:val="24"/>
          <w:szCs w:val="24"/>
        </w:rPr>
      </w:pPr>
      <w:r w:rsidRPr="007B5A24">
        <w:rPr>
          <w:rFonts w:ascii="Times New Roman" w:eastAsia="Times New Roman" w:hAnsi="Times New Roman" w:cs="Times New Roman"/>
          <w:sz w:val="24"/>
          <w:szCs w:val="24"/>
        </w:rPr>
        <w:t xml:space="preserve">Discover SVG (2021). </w:t>
      </w:r>
      <w:r w:rsidRPr="007B5A24">
        <w:rPr>
          <w:rFonts w:ascii="Times New Roman" w:eastAsia="Times New Roman" w:hAnsi="Times New Roman" w:cs="Times New Roman"/>
          <w:i/>
          <w:iCs/>
          <w:sz w:val="24"/>
          <w:szCs w:val="24"/>
        </w:rPr>
        <w:t>Tourism Approved</w:t>
      </w:r>
      <w:r w:rsidRPr="007B5A24">
        <w:rPr>
          <w:rFonts w:ascii="Times New Roman" w:eastAsia="Times New Roman" w:hAnsi="Times New Roman" w:cs="Times New Roman"/>
          <w:sz w:val="24"/>
          <w:szCs w:val="24"/>
        </w:rPr>
        <w:t>. [online] Discover SVG. Available at: https://discoversvg.com/tourism-approved-2/ [Accessed 17 Dec. 2021].</w:t>
      </w:r>
    </w:p>
    <w:p w:rsidR="007B5A24" w:rsidRPr="007B5A24" w:rsidRDefault="007B5A24" w:rsidP="007B5A24">
      <w:pPr>
        <w:spacing w:after="240" w:line="360" w:lineRule="auto"/>
        <w:rPr>
          <w:rFonts w:ascii="Times New Roman" w:eastAsia="Times New Roman" w:hAnsi="Times New Roman" w:cs="Times New Roman"/>
          <w:sz w:val="24"/>
          <w:szCs w:val="24"/>
        </w:rPr>
      </w:pPr>
      <w:r w:rsidRPr="007B5A24">
        <w:rPr>
          <w:rFonts w:ascii="Times New Roman" w:eastAsia="Times New Roman" w:hAnsi="Times New Roman" w:cs="Times New Roman"/>
          <w:sz w:val="24"/>
          <w:szCs w:val="24"/>
        </w:rPr>
        <w:t xml:space="preserve">Escape Artist. (2017). </w:t>
      </w:r>
      <w:r w:rsidRPr="007B5A24">
        <w:rPr>
          <w:rFonts w:ascii="Times New Roman" w:eastAsia="Times New Roman" w:hAnsi="Times New Roman" w:cs="Times New Roman"/>
          <w:i/>
          <w:iCs/>
          <w:sz w:val="24"/>
          <w:szCs w:val="24"/>
        </w:rPr>
        <w:t>Puerto Rico begins taxing Airbnb &amp; other sharing sites</w:t>
      </w:r>
      <w:r w:rsidRPr="007B5A24">
        <w:rPr>
          <w:rFonts w:ascii="Times New Roman" w:eastAsia="Times New Roman" w:hAnsi="Times New Roman" w:cs="Times New Roman"/>
          <w:sz w:val="24"/>
          <w:szCs w:val="24"/>
        </w:rPr>
        <w:t>. [online] Available at: https://www.escapeartist.com/blog/puerto-rico-begins-taxing-airbnb-sharing-sites/ [Accessed 17 Dec. 2021].</w:t>
      </w:r>
    </w:p>
    <w:p w:rsidR="007B5A24" w:rsidRPr="007B5A24" w:rsidRDefault="007B5A24" w:rsidP="007B5A24">
      <w:pPr>
        <w:spacing w:after="240" w:line="360" w:lineRule="auto"/>
        <w:rPr>
          <w:rFonts w:ascii="Times New Roman" w:eastAsia="Times New Roman" w:hAnsi="Times New Roman" w:cs="Times New Roman"/>
          <w:sz w:val="24"/>
          <w:szCs w:val="24"/>
        </w:rPr>
      </w:pPr>
      <w:r w:rsidRPr="007B5A24">
        <w:rPr>
          <w:rFonts w:ascii="Times New Roman" w:eastAsia="Times New Roman" w:hAnsi="Times New Roman" w:cs="Times New Roman"/>
          <w:sz w:val="24"/>
          <w:szCs w:val="24"/>
        </w:rPr>
        <w:t xml:space="preserve">Hotel Aid Act (1988). </w:t>
      </w:r>
      <w:r w:rsidRPr="007B5A24">
        <w:rPr>
          <w:rFonts w:ascii="Times New Roman" w:eastAsia="Times New Roman" w:hAnsi="Times New Roman" w:cs="Times New Roman"/>
          <w:i/>
          <w:iCs/>
          <w:sz w:val="24"/>
          <w:szCs w:val="24"/>
        </w:rPr>
        <w:t>Hotels Aid Act 1988 (Amendment)</w:t>
      </w:r>
      <w:r w:rsidRPr="007B5A24">
        <w:rPr>
          <w:rFonts w:ascii="Times New Roman" w:eastAsia="Times New Roman" w:hAnsi="Times New Roman" w:cs="Times New Roman"/>
          <w:sz w:val="24"/>
          <w:szCs w:val="24"/>
        </w:rPr>
        <w:t>. [online] Invest SVG. Available at: https://www.investsvg.com/resources/ [Accessed 16 Dec. 2021].</w:t>
      </w:r>
    </w:p>
    <w:p w:rsidR="007B5A24" w:rsidRPr="007B5A24" w:rsidRDefault="007B5A24" w:rsidP="007B5A24">
      <w:pPr>
        <w:spacing w:after="240" w:line="360" w:lineRule="auto"/>
        <w:rPr>
          <w:rFonts w:ascii="Times New Roman" w:eastAsia="Times New Roman" w:hAnsi="Times New Roman" w:cs="Times New Roman"/>
          <w:sz w:val="24"/>
          <w:szCs w:val="24"/>
        </w:rPr>
      </w:pPr>
      <w:r w:rsidRPr="007B5A24">
        <w:rPr>
          <w:rFonts w:ascii="Times New Roman" w:eastAsia="Times New Roman" w:hAnsi="Times New Roman" w:cs="Times New Roman"/>
          <w:sz w:val="24"/>
          <w:szCs w:val="24"/>
        </w:rPr>
        <w:t xml:space="preserve">Invest SVG (2021). </w:t>
      </w:r>
      <w:r w:rsidRPr="007B5A24">
        <w:rPr>
          <w:rFonts w:ascii="Times New Roman" w:eastAsia="Times New Roman" w:hAnsi="Times New Roman" w:cs="Times New Roman"/>
          <w:i/>
          <w:iCs/>
          <w:sz w:val="24"/>
          <w:szCs w:val="24"/>
        </w:rPr>
        <w:t>Investment Promotion Services – Invest SVG</w:t>
      </w:r>
      <w:r w:rsidRPr="007B5A24">
        <w:rPr>
          <w:rFonts w:ascii="Times New Roman" w:eastAsia="Times New Roman" w:hAnsi="Times New Roman" w:cs="Times New Roman"/>
          <w:sz w:val="24"/>
          <w:szCs w:val="24"/>
        </w:rPr>
        <w:t>. [online] Invest SVG. Available at: https://www.investsvg.com/services/investment-promotions/ [Accessed 16 Dec. 2021].</w:t>
      </w:r>
    </w:p>
    <w:p w:rsidR="007B5A24" w:rsidRPr="007B5A24" w:rsidRDefault="007B5A24" w:rsidP="007B5A24">
      <w:pPr>
        <w:spacing w:after="240" w:line="360" w:lineRule="auto"/>
        <w:rPr>
          <w:rFonts w:ascii="Times New Roman" w:eastAsia="Times New Roman" w:hAnsi="Times New Roman" w:cs="Times New Roman"/>
          <w:sz w:val="24"/>
          <w:szCs w:val="24"/>
        </w:rPr>
      </w:pPr>
      <w:r w:rsidRPr="007B5A24">
        <w:rPr>
          <w:rFonts w:ascii="Times New Roman" w:eastAsia="Times New Roman" w:hAnsi="Times New Roman" w:cs="Times New Roman"/>
          <w:sz w:val="24"/>
          <w:szCs w:val="24"/>
        </w:rPr>
        <w:t xml:space="preserve">Searchlight (2019). </w:t>
      </w:r>
      <w:r w:rsidRPr="007B5A24">
        <w:rPr>
          <w:rFonts w:ascii="Times New Roman" w:eastAsia="Times New Roman" w:hAnsi="Times New Roman" w:cs="Times New Roman"/>
          <w:i/>
          <w:iCs/>
          <w:sz w:val="24"/>
          <w:szCs w:val="24"/>
        </w:rPr>
        <w:t>Hotel stock in SVG will double says finance minister</w:t>
      </w:r>
      <w:r w:rsidRPr="007B5A24">
        <w:rPr>
          <w:rFonts w:ascii="Times New Roman" w:eastAsia="Times New Roman" w:hAnsi="Times New Roman" w:cs="Times New Roman"/>
          <w:sz w:val="24"/>
          <w:szCs w:val="24"/>
        </w:rPr>
        <w:t>. [online] searchlight.vc. Available at: https://searchlight.vc/news/2019/04/05/hotel-stock-in-svg-will-double-says-finance-minister/ [Accessed 17 Dec. 2021].</w:t>
      </w:r>
    </w:p>
    <w:p w:rsidR="007B5A24" w:rsidRPr="007B5A24" w:rsidRDefault="007B5A24" w:rsidP="007B5A24">
      <w:pPr>
        <w:spacing w:after="240" w:line="360" w:lineRule="auto"/>
        <w:rPr>
          <w:rFonts w:ascii="Times New Roman" w:eastAsia="Times New Roman" w:hAnsi="Times New Roman" w:cs="Times New Roman"/>
          <w:sz w:val="24"/>
          <w:szCs w:val="24"/>
        </w:rPr>
      </w:pPr>
      <w:r w:rsidRPr="007B5A24">
        <w:rPr>
          <w:rFonts w:ascii="Times New Roman" w:eastAsia="Times New Roman" w:hAnsi="Times New Roman" w:cs="Times New Roman"/>
          <w:sz w:val="24"/>
          <w:szCs w:val="24"/>
        </w:rPr>
        <w:t xml:space="preserve">Tourism.gov.vc (2021a). </w:t>
      </w:r>
      <w:r w:rsidRPr="007B5A24">
        <w:rPr>
          <w:rFonts w:ascii="Times New Roman" w:eastAsia="Times New Roman" w:hAnsi="Times New Roman" w:cs="Times New Roman"/>
          <w:i/>
          <w:iCs/>
          <w:sz w:val="24"/>
          <w:szCs w:val="24"/>
        </w:rPr>
        <w:t>SVG Tourism Authority - Ministry of Tourism, Sports and Culture</w:t>
      </w:r>
      <w:r w:rsidRPr="007B5A24">
        <w:rPr>
          <w:rFonts w:ascii="Times New Roman" w:eastAsia="Times New Roman" w:hAnsi="Times New Roman" w:cs="Times New Roman"/>
          <w:sz w:val="24"/>
          <w:szCs w:val="24"/>
        </w:rPr>
        <w:t>. [online] www.tourism.gov.vc. Available at: http://www.tourism.gov.vc/tourism/index.php?option=com_content&amp;view=article&amp;id=98&amp;Itemid=103 [Accessed 17 Dec. 2021].</w:t>
      </w:r>
    </w:p>
    <w:p w:rsidR="007B5A24" w:rsidRPr="007B5A24" w:rsidRDefault="007B5A24" w:rsidP="007B5A24">
      <w:pPr>
        <w:spacing w:after="240" w:line="360" w:lineRule="auto"/>
        <w:rPr>
          <w:rFonts w:ascii="Times New Roman" w:eastAsia="Times New Roman" w:hAnsi="Times New Roman" w:cs="Times New Roman"/>
          <w:sz w:val="24"/>
          <w:szCs w:val="24"/>
        </w:rPr>
      </w:pPr>
      <w:r w:rsidRPr="007B5A24">
        <w:rPr>
          <w:rFonts w:ascii="Times New Roman" w:eastAsia="Times New Roman" w:hAnsi="Times New Roman" w:cs="Times New Roman"/>
          <w:sz w:val="24"/>
          <w:szCs w:val="24"/>
        </w:rPr>
        <w:lastRenderedPageBreak/>
        <w:t xml:space="preserve">Tourism.gov.vc (2021b). </w:t>
      </w:r>
      <w:r w:rsidRPr="007B5A24">
        <w:rPr>
          <w:rFonts w:ascii="Times New Roman" w:eastAsia="Times New Roman" w:hAnsi="Times New Roman" w:cs="Times New Roman"/>
          <w:i/>
          <w:iCs/>
          <w:sz w:val="24"/>
          <w:szCs w:val="24"/>
        </w:rPr>
        <w:t>Tourism Units - Ministry of Tourism, Sports and Culture</w:t>
      </w:r>
      <w:r w:rsidRPr="007B5A24">
        <w:rPr>
          <w:rFonts w:ascii="Times New Roman" w:eastAsia="Times New Roman" w:hAnsi="Times New Roman" w:cs="Times New Roman"/>
          <w:sz w:val="24"/>
          <w:szCs w:val="24"/>
        </w:rPr>
        <w:t>. [online] www.tourism.gov.vc. Available at: http://www.tourism.gov.vc/tourism/index.php?option=com_content&amp;view=article&amp;id=94&amp;Itemid=99 [Accessed 16 Dec. 2021].</w:t>
      </w:r>
    </w:p>
    <w:p w:rsidR="007B5A24" w:rsidRPr="007B5A24" w:rsidRDefault="007B5A24" w:rsidP="007B5A24">
      <w:pPr>
        <w:spacing w:after="240" w:line="360" w:lineRule="auto"/>
        <w:rPr>
          <w:rFonts w:ascii="Times New Roman" w:eastAsia="Times New Roman" w:hAnsi="Times New Roman" w:cs="Times New Roman"/>
          <w:sz w:val="24"/>
          <w:szCs w:val="24"/>
        </w:rPr>
      </w:pPr>
      <w:r w:rsidRPr="007B5A24">
        <w:rPr>
          <w:rFonts w:ascii="Times New Roman" w:eastAsia="Times New Roman" w:hAnsi="Times New Roman" w:cs="Times New Roman"/>
          <w:sz w:val="24"/>
          <w:szCs w:val="24"/>
        </w:rPr>
        <w:t xml:space="preserve">tourism.gov.vc (2021). </w:t>
      </w:r>
      <w:r w:rsidRPr="007B5A24">
        <w:rPr>
          <w:rFonts w:ascii="Times New Roman" w:eastAsia="Times New Roman" w:hAnsi="Times New Roman" w:cs="Times New Roman"/>
          <w:i/>
          <w:iCs/>
          <w:sz w:val="24"/>
          <w:szCs w:val="24"/>
        </w:rPr>
        <w:t>National Parks, Rivers and Beaches Authority - Ministry of Tourism, Sports and Culture</w:t>
      </w:r>
      <w:r w:rsidRPr="007B5A24">
        <w:rPr>
          <w:rFonts w:ascii="Times New Roman" w:eastAsia="Times New Roman" w:hAnsi="Times New Roman" w:cs="Times New Roman"/>
          <w:sz w:val="24"/>
          <w:szCs w:val="24"/>
        </w:rPr>
        <w:t>. [online] www.tourism.gov.vc. Available at: http://www.tourism.gov.vc/tourism/index.php?option=com_content&amp;view=article&amp;id=97&amp;Itemid=102 [Accessed 17 Dec. 2021].</w:t>
      </w:r>
    </w:p>
    <w:p w:rsidR="007B5A24" w:rsidRPr="007B5A24" w:rsidRDefault="007B5A24" w:rsidP="007B5A24">
      <w:pPr>
        <w:spacing w:after="240" w:line="360" w:lineRule="auto"/>
        <w:rPr>
          <w:rFonts w:ascii="Times New Roman" w:eastAsia="Times New Roman" w:hAnsi="Times New Roman" w:cs="Times New Roman"/>
          <w:sz w:val="24"/>
          <w:szCs w:val="24"/>
        </w:rPr>
      </w:pPr>
      <w:r w:rsidRPr="007B5A24">
        <w:rPr>
          <w:rFonts w:ascii="Times New Roman" w:eastAsia="Times New Roman" w:hAnsi="Times New Roman" w:cs="Times New Roman"/>
          <w:sz w:val="24"/>
          <w:szCs w:val="24"/>
        </w:rPr>
        <w:t xml:space="preserve">World Bank (2020). </w:t>
      </w:r>
      <w:r w:rsidRPr="007B5A24">
        <w:rPr>
          <w:rFonts w:ascii="Times New Roman" w:eastAsia="Times New Roman" w:hAnsi="Times New Roman" w:cs="Times New Roman"/>
          <w:i/>
          <w:iCs/>
          <w:sz w:val="24"/>
          <w:szCs w:val="24"/>
        </w:rPr>
        <w:t>Building a Sustainable and Resilient Economy in St. Vincent and the Grenadines</w:t>
      </w:r>
      <w:r w:rsidRPr="007B5A24">
        <w:rPr>
          <w:rFonts w:ascii="Times New Roman" w:eastAsia="Times New Roman" w:hAnsi="Times New Roman" w:cs="Times New Roman"/>
          <w:sz w:val="24"/>
          <w:szCs w:val="24"/>
        </w:rPr>
        <w:t>. [online] World Bank. Available at: https://www.worldbank.org/en/results/2020/10/26/building-a-sustainable-and-resilient-economy-in-st-vincent-and-the-grenadines [Accessed 16 Dec. 2021].</w:t>
      </w:r>
    </w:p>
    <w:p w:rsidR="007B5A24" w:rsidRPr="007B5A24" w:rsidRDefault="007B5A24" w:rsidP="007B5A24">
      <w:pPr>
        <w:spacing w:after="200" w:line="276" w:lineRule="auto"/>
        <w:rPr>
          <w:rFonts w:ascii="Times New Roman" w:eastAsia="Calibri" w:hAnsi="Times New Roman" w:cs="Times New Roman"/>
          <w:sz w:val="24"/>
          <w:szCs w:val="24"/>
          <w:lang w:val="en-GB"/>
        </w:rPr>
      </w:pPr>
    </w:p>
    <w:p w:rsidR="00F5195C" w:rsidRDefault="00F5195C" w:rsidP="00F5195C">
      <w:pPr>
        <w:spacing w:after="200" w:line="480" w:lineRule="auto"/>
        <w:rPr>
          <w:rFonts w:ascii="Times New Roman" w:eastAsia="Calibri" w:hAnsi="Times New Roman" w:cs="Times New Roman"/>
          <w:sz w:val="24"/>
          <w:szCs w:val="24"/>
          <w:lang w:val="en-GB"/>
        </w:rPr>
      </w:pPr>
    </w:p>
    <w:p w:rsidR="00F5195C" w:rsidRDefault="00F5195C">
      <w:pPr>
        <w:rPr>
          <w:rFonts w:ascii="Times New Roman" w:eastAsia="Calibri" w:hAnsi="Times New Roman" w:cs="Times New Roman"/>
          <w:sz w:val="24"/>
          <w:szCs w:val="24"/>
          <w:lang w:val="en-GB"/>
        </w:rPr>
      </w:pPr>
      <w:r>
        <w:rPr>
          <w:rFonts w:ascii="Times New Roman" w:eastAsia="Calibri" w:hAnsi="Times New Roman" w:cs="Times New Roman"/>
          <w:sz w:val="24"/>
          <w:szCs w:val="24"/>
          <w:lang w:val="en-GB"/>
        </w:rPr>
        <w:br w:type="page"/>
      </w:r>
    </w:p>
    <w:p w:rsidR="00F5195C" w:rsidRPr="007B5A24" w:rsidRDefault="00F5195C" w:rsidP="007B5A24">
      <w:pPr>
        <w:spacing w:after="200" w:line="480" w:lineRule="auto"/>
        <w:rPr>
          <w:rFonts w:ascii="Times New Roman" w:eastAsia="Calibri" w:hAnsi="Times New Roman" w:cs="Times New Roman"/>
          <w:b/>
          <w:sz w:val="24"/>
          <w:szCs w:val="24"/>
          <w:lang w:val="en-GB"/>
        </w:rPr>
      </w:pPr>
      <w:r w:rsidRPr="007B5A24">
        <w:rPr>
          <w:rFonts w:ascii="Times New Roman" w:eastAsia="Calibri" w:hAnsi="Times New Roman" w:cs="Times New Roman"/>
          <w:b/>
          <w:sz w:val="24"/>
          <w:szCs w:val="24"/>
          <w:lang w:val="en-GB"/>
        </w:rPr>
        <w:lastRenderedPageBreak/>
        <w:t>Guest experience</w:t>
      </w:r>
    </w:p>
    <w:p w:rsidR="00F5195C" w:rsidRPr="00F5195C" w:rsidRDefault="00F5195C" w:rsidP="00F5195C">
      <w:pPr>
        <w:spacing w:after="200" w:line="480" w:lineRule="auto"/>
        <w:rPr>
          <w:rFonts w:ascii="Times New Roman" w:eastAsia="Calibri" w:hAnsi="Times New Roman" w:cs="Times New Roman"/>
          <w:sz w:val="24"/>
          <w:szCs w:val="24"/>
          <w:lang w:val="en-GB"/>
        </w:rPr>
      </w:pPr>
      <w:r w:rsidRPr="00F5195C">
        <w:rPr>
          <w:rFonts w:ascii="Times New Roman" w:eastAsia="Calibri" w:hAnsi="Times New Roman" w:cs="Times New Roman"/>
          <w:sz w:val="24"/>
          <w:szCs w:val="24"/>
          <w:lang w:val="en-GB"/>
        </w:rPr>
        <w:t>Post pand</w:t>
      </w:r>
      <w:r w:rsidR="007B5A24">
        <w:rPr>
          <w:rFonts w:ascii="Times New Roman" w:eastAsia="Calibri" w:hAnsi="Times New Roman" w:cs="Times New Roman"/>
          <w:sz w:val="24"/>
          <w:szCs w:val="24"/>
          <w:lang w:val="en-GB"/>
        </w:rPr>
        <w:t>emic trends (Literature review)</w:t>
      </w:r>
    </w:p>
    <w:p w:rsidR="00F5195C" w:rsidRPr="00F5195C" w:rsidRDefault="00F5195C" w:rsidP="00F5195C">
      <w:pPr>
        <w:spacing w:after="200" w:line="480" w:lineRule="auto"/>
        <w:rPr>
          <w:rFonts w:ascii="Times New Roman" w:eastAsia="Calibri" w:hAnsi="Times New Roman" w:cs="Times New Roman"/>
          <w:sz w:val="24"/>
          <w:szCs w:val="24"/>
          <w:lang w:val="en-GB"/>
        </w:rPr>
      </w:pPr>
      <w:r w:rsidRPr="00F5195C">
        <w:rPr>
          <w:rFonts w:ascii="Times New Roman" w:eastAsia="Calibri" w:hAnsi="Times New Roman" w:cs="Times New Roman"/>
          <w:sz w:val="24"/>
          <w:szCs w:val="24"/>
          <w:lang w:val="en-GB"/>
        </w:rPr>
        <w:t xml:space="preserve">As the COVID-19 pandemic endures there is much speculation about future expectations in the tourism and hospitality sector. Prior to the pandemic the global industry saw soaring growth, in 2019 global travel trends showed that international arrivals were in excess of 1.5 billion solidifying a decade of year on year growth (UNWTO, 2020). There was so much growth in the industry that some destinations like Bali were labelled as over-exposed (Sperling, 2020). Brouder (2020) states that as the world grapples with the realities of the global pandemic there is an opportunity to rethink exactly what tourism will look like for the decades ahead. It can create new possibilities for redirecting tourism toward a better path in the future (Dobrescu and Mazilu, 2020). Furthermore, the pandemic occurred at a time when there was much discussion around the need for sector operatives to adopt more sound environmentally sustainable practices sooner rather than later. In 2019 70% of global travellers indicated that they would be more likely to book an accommodation knowing it was eco-friendly, and 55% of global travellers said they were more determined to make sustainable travel choices compared to 2018 (Booking global, 2019). </w:t>
      </w:r>
    </w:p>
    <w:p w:rsidR="00F5195C" w:rsidRPr="00F5195C" w:rsidRDefault="00F5195C" w:rsidP="00F5195C">
      <w:pPr>
        <w:spacing w:after="200" w:line="480" w:lineRule="auto"/>
        <w:rPr>
          <w:rFonts w:ascii="Times New Roman" w:eastAsia="Calibri" w:hAnsi="Times New Roman" w:cs="Times New Roman"/>
          <w:sz w:val="24"/>
          <w:szCs w:val="24"/>
          <w:lang w:val="en-GB"/>
        </w:rPr>
      </w:pPr>
      <w:r w:rsidRPr="00F5195C">
        <w:rPr>
          <w:rFonts w:ascii="Times New Roman" w:eastAsia="Calibri" w:hAnsi="Times New Roman" w:cs="Times New Roman"/>
          <w:sz w:val="24"/>
          <w:szCs w:val="24"/>
          <w:lang w:val="en-GB"/>
        </w:rPr>
        <w:t xml:space="preserve">Guest experience refers to the rational and emotional responses resulting from the communications between the guest and a product or service (Wilkins, Merrilees and Herington, 2007). Moreover, in a study tittled ‘Exploring sustainable experiences in tourism’ Breiby et al. (2020) defined Sustainable experience as “an experience that raises deep, meaningful emotions and memories that can encourage tourists’ contribution toward destination sustainability”. It identified four dimensions inclusive of interaction with the natural and cultural environment. </w:t>
      </w:r>
      <w:r w:rsidRPr="00F5195C">
        <w:rPr>
          <w:rFonts w:ascii="Times New Roman" w:eastAsia="Calibri" w:hAnsi="Times New Roman" w:cs="Times New Roman"/>
          <w:sz w:val="24"/>
          <w:szCs w:val="24"/>
          <w:lang w:val="en-GB"/>
        </w:rPr>
        <w:lastRenderedPageBreak/>
        <w:t xml:space="preserve">Based on these parameters a fair observation of the pandemic’s effect on guest experience can be summed up with the word ‘stifle’. </w:t>
      </w:r>
    </w:p>
    <w:p w:rsidR="00F5195C" w:rsidRPr="00F5195C" w:rsidRDefault="00F5195C" w:rsidP="00F5195C">
      <w:pPr>
        <w:spacing w:after="200" w:line="480" w:lineRule="auto"/>
        <w:rPr>
          <w:rFonts w:ascii="Times New Roman" w:eastAsia="Calibri" w:hAnsi="Times New Roman" w:cs="Times New Roman"/>
          <w:sz w:val="24"/>
          <w:szCs w:val="24"/>
          <w:lang w:val="en-GB"/>
        </w:rPr>
      </w:pPr>
      <w:r w:rsidRPr="00F5195C">
        <w:rPr>
          <w:rFonts w:ascii="Times New Roman" w:eastAsia="Calibri" w:hAnsi="Times New Roman" w:cs="Times New Roman"/>
          <w:sz w:val="24"/>
          <w:szCs w:val="24"/>
          <w:lang w:val="en-GB"/>
        </w:rPr>
        <w:t xml:space="preserve">The pandemic was declared in March of 2020 (WHO, 2020) and worldwide travel came to a halt. Many industries were affected especially the travel and hospitality sector which was rendered stationary (Brouder, 2020). The industry was deemed the worst affected by the health crisis (Pololikashvili, 2020). For most of 2020 leisure travel recorded sharp declines as countries closed their borders and enacted rigid health protocols in an attempt to curbed COVID-19 (Higgins-Desbiolles, 2020). Those who brave the new adventures of pandemic travel during 2020 were subjected to multiple PCR testing prior to travel, upon entry to their destination of choice and before returning home. As if the nasal swabbing was not inhospitable enough they were sometimes required to spend days and in unlucky cases weeks confined to the room. This phase severely limited interaction with the physical environment and halted altogether the cultural activities.  During the period accommodations entities scrambled to sort out the balance between safety and hospitality. Staff were retrained and certified in COVID-19 hospitality protocols, safety was the order: sanitisation, hand washing, social distancing and masking were foremost. The promise of a return to some semblance of a social life hanged on the introduction of vaccines in 2021, the industry had a glimmer of hope as travel increased. The guest experience in 2021 was certainly more comforting: destinations were marketing, planes were flying again, mandatory travel imposed quarantine were diminishing and operatives had figured out how to blend safety with that some personalised touch. </w:t>
      </w:r>
    </w:p>
    <w:p w:rsidR="00F5195C" w:rsidRPr="00F5195C" w:rsidRDefault="00F5195C" w:rsidP="00F5195C">
      <w:pPr>
        <w:spacing w:after="200" w:line="480" w:lineRule="auto"/>
        <w:rPr>
          <w:rFonts w:ascii="Times New Roman" w:eastAsia="Calibri" w:hAnsi="Times New Roman" w:cs="Times New Roman"/>
          <w:sz w:val="24"/>
          <w:szCs w:val="24"/>
          <w:lang w:val="en-GB"/>
        </w:rPr>
      </w:pPr>
      <w:r w:rsidRPr="00F5195C">
        <w:rPr>
          <w:rFonts w:ascii="Times New Roman" w:eastAsia="Calibri" w:hAnsi="Times New Roman" w:cs="Times New Roman"/>
          <w:sz w:val="24"/>
          <w:szCs w:val="24"/>
          <w:lang w:val="en-GB"/>
        </w:rPr>
        <w:t xml:space="preserve">UNWTO Secretary-General, Zurab Pololikashvili, proclaimed that sustainability must no longer be a niche part of tourism but must be the new norm for every part of our sector (UNWTO, 2020a). Thus transforming the pandemic to a conduit which exemplify the necessity of </w:t>
      </w:r>
      <w:r w:rsidRPr="00F5195C">
        <w:rPr>
          <w:rFonts w:ascii="Times New Roman" w:eastAsia="Calibri" w:hAnsi="Times New Roman" w:cs="Times New Roman"/>
          <w:sz w:val="24"/>
          <w:szCs w:val="24"/>
          <w:lang w:val="en-GB"/>
        </w:rPr>
        <w:lastRenderedPageBreak/>
        <w:t xml:space="preserve">sustainable actions within the industry. Consumers want more responsible travel options and need to feel safe to travel. The resulting effect includes offerings being packaged differently: staycations were promoted, guest were encouraged to stay in family bubbles, no more large groups and smaller lesser known destinations were desirable. This scenario lead to more intimate experiences and solo self-healing journeys. Operatives adopted more digital technology to reduce in person interactions (Abbas et al., 2021). Abbas et al (2021) explained that the main expected effects of the Covid-19 safety-conscious hotel measures on the guests comprised reassurance, quickness, proximity, and intimacy. The technological transformation include measure to further sustainable uses of resources like eco-aware temperature controls and AI-powered supply prediction to reduce waste (Milburn, 2021).There are still unanswered questions regarding whether these changes will be permanent features or just the industry adapting to survive the moment of crisis with possibilities of rollback post-pandemic. </w:t>
      </w:r>
    </w:p>
    <w:p w:rsidR="007B5A24" w:rsidRDefault="00F5195C" w:rsidP="00F5195C">
      <w:pPr>
        <w:spacing w:after="200" w:line="480" w:lineRule="auto"/>
        <w:rPr>
          <w:rFonts w:ascii="Times New Roman" w:eastAsia="Calibri" w:hAnsi="Times New Roman" w:cs="Times New Roman"/>
          <w:sz w:val="24"/>
          <w:szCs w:val="24"/>
          <w:lang w:val="en-GB"/>
        </w:rPr>
      </w:pPr>
      <w:r w:rsidRPr="00F5195C">
        <w:rPr>
          <w:rFonts w:ascii="Times New Roman" w:eastAsia="Calibri" w:hAnsi="Times New Roman" w:cs="Times New Roman"/>
          <w:sz w:val="24"/>
          <w:szCs w:val="24"/>
          <w:lang w:val="en-GB"/>
        </w:rPr>
        <w:t xml:space="preserve">Post-pandemic visitor will seek more basic experiences, prefer domestic travel and value spending quality time with friends and relatives (Wootton, 2020). It could give rise to more mindful visitors who reject the misleading promises of the mass tourism paradigm thus inspiring destinations to offer more authentic and sustainable experience (Stankov, Filimonau and Vujičić, 2020). Although nobody knows exactly what will happen in the post-pandemic world, one thing is clear travel will not be as carefree. Guests are also more likely be health and safety conscious and possibly willing to pay more to reduce COVID-19 exposure. For the moment the industry and its guest will continue to adapt to the realities of life with COVID-19 because new variants will prolong the lingering of the virus. The industry can anticipate a culture that promotes the real time sharing of accurate information to facilitate safer journeys. The expectation of innovation will be the norm as businesses look for ways to differentiate the delivery of </w:t>
      </w:r>
      <w:r w:rsidRPr="00F5195C">
        <w:rPr>
          <w:rFonts w:ascii="Times New Roman" w:eastAsia="Calibri" w:hAnsi="Times New Roman" w:cs="Times New Roman"/>
          <w:sz w:val="24"/>
          <w:szCs w:val="24"/>
          <w:lang w:val="en-GB"/>
        </w:rPr>
        <w:lastRenderedPageBreak/>
        <w:t>personalise customer service through streamlined technology and touchless contact points. More options for the guest to regain a modicum of control over their interactions will be prime because each is unique- some may prefer all contactless and some a hybrid of the in-person and contactless service.</w:t>
      </w:r>
    </w:p>
    <w:p w:rsidR="007B5A24" w:rsidRDefault="007B5A24">
      <w:pPr>
        <w:rPr>
          <w:rFonts w:ascii="Times New Roman" w:eastAsia="Calibri" w:hAnsi="Times New Roman" w:cs="Times New Roman"/>
          <w:sz w:val="24"/>
          <w:szCs w:val="24"/>
          <w:lang w:val="en-GB"/>
        </w:rPr>
      </w:pPr>
      <w:r>
        <w:rPr>
          <w:rFonts w:ascii="Times New Roman" w:eastAsia="Calibri" w:hAnsi="Times New Roman" w:cs="Times New Roman"/>
          <w:sz w:val="24"/>
          <w:szCs w:val="24"/>
          <w:lang w:val="en-GB"/>
        </w:rPr>
        <w:br w:type="page"/>
      </w:r>
    </w:p>
    <w:p w:rsidR="007B5A24" w:rsidRPr="007B5A24" w:rsidRDefault="007B5A24" w:rsidP="007B5A24">
      <w:pPr>
        <w:spacing w:after="240" w:line="360" w:lineRule="auto"/>
        <w:rPr>
          <w:rFonts w:ascii="Times New Roman" w:eastAsia="Times New Roman" w:hAnsi="Times New Roman" w:cs="Times New Roman"/>
          <w:sz w:val="32"/>
          <w:szCs w:val="32"/>
        </w:rPr>
      </w:pPr>
      <w:r w:rsidRPr="007B5A24">
        <w:rPr>
          <w:rFonts w:ascii="Times New Roman" w:eastAsia="Times New Roman" w:hAnsi="Times New Roman" w:cs="Times New Roman"/>
          <w:sz w:val="32"/>
          <w:szCs w:val="32"/>
        </w:rPr>
        <w:lastRenderedPageBreak/>
        <w:t xml:space="preserve">Reference </w:t>
      </w:r>
    </w:p>
    <w:p w:rsidR="007B5A24" w:rsidRPr="007B5A24" w:rsidRDefault="007B5A24" w:rsidP="007B5A24">
      <w:pPr>
        <w:spacing w:after="240" w:line="360" w:lineRule="auto"/>
        <w:rPr>
          <w:rFonts w:ascii="Times New Roman" w:eastAsia="Times New Roman" w:hAnsi="Times New Roman" w:cs="Times New Roman"/>
          <w:sz w:val="24"/>
          <w:szCs w:val="24"/>
        </w:rPr>
      </w:pPr>
      <w:r w:rsidRPr="007B5A24">
        <w:rPr>
          <w:rFonts w:ascii="Times New Roman" w:eastAsia="Times New Roman" w:hAnsi="Times New Roman" w:cs="Times New Roman"/>
          <w:sz w:val="24"/>
          <w:szCs w:val="24"/>
        </w:rPr>
        <w:t xml:space="preserve">Abbas, J., Mubeen, R., Iorember, P.T., Raza, S. and Mamirkulova, G. (2021). Exploring the impact of COVID-19 on tourism: transformational potential and implications for a sustainable recovery of the travel and leisure industry. </w:t>
      </w:r>
      <w:r w:rsidRPr="007B5A24">
        <w:rPr>
          <w:rFonts w:ascii="Times New Roman" w:eastAsia="Times New Roman" w:hAnsi="Times New Roman" w:cs="Times New Roman"/>
          <w:i/>
          <w:iCs/>
          <w:sz w:val="24"/>
          <w:szCs w:val="24"/>
        </w:rPr>
        <w:t>Current Research in Behavioral Sciences</w:t>
      </w:r>
      <w:r w:rsidRPr="007B5A24">
        <w:rPr>
          <w:rFonts w:ascii="Times New Roman" w:eastAsia="Times New Roman" w:hAnsi="Times New Roman" w:cs="Times New Roman"/>
          <w:sz w:val="24"/>
          <w:szCs w:val="24"/>
        </w:rPr>
        <w:t>, [online] 2(100033), p.100033. Available at: https://www.sciencedirect.com/science/article/pii/S2666518221000206.</w:t>
      </w:r>
    </w:p>
    <w:p w:rsidR="007B5A24" w:rsidRPr="007B5A24" w:rsidRDefault="007B5A24" w:rsidP="007B5A24">
      <w:pPr>
        <w:spacing w:after="240" w:line="360" w:lineRule="auto"/>
        <w:rPr>
          <w:rFonts w:ascii="Times New Roman" w:eastAsia="Times New Roman" w:hAnsi="Times New Roman" w:cs="Times New Roman"/>
          <w:sz w:val="24"/>
          <w:szCs w:val="24"/>
        </w:rPr>
      </w:pPr>
      <w:r w:rsidRPr="007B5A24">
        <w:rPr>
          <w:rFonts w:ascii="Times New Roman" w:eastAsia="Times New Roman" w:hAnsi="Times New Roman" w:cs="Times New Roman"/>
          <w:sz w:val="24"/>
          <w:szCs w:val="24"/>
        </w:rPr>
        <w:t xml:space="preserve">Booking global (2019). </w:t>
      </w:r>
      <w:r w:rsidRPr="007B5A24">
        <w:rPr>
          <w:rFonts w:ascii="Times New Roman" w:eastAsia="Times New Roman" w:hAnsi="Times New Roman" w:cs="Times New Roman"/>
          <w:i/>
          <w:iCs/>
          <w:sz w:val="24"/>
          <w:szCs w:val="24"/>
        </w:rPr>
        <w:t>Booking.com reveals key findings from its 2019 sustainable travel report</w:t>
      </w:r>
      <w:r w:rsidRPr="007B5A24">
        <w:rPr>
          <w:rFonts w:ascii="Times New Roman" w:eastAsia="Times New Roman" w:hAnsi="Times New Roman" w:cs="Times New Roman"/>
          <w:sz w:val="24"/>
          <w:szCs w:val="24"/>
        </w:rPr>
        <w:t>. [online] Booking.com reveals key findings from its 2019 sustainable travel report. Available at: https://globalnews.booking.com/bookingcom-reveals-key-findings-from-its-2019-sustainable-travel-report/ [Accessed 15 Dec. 2021].</w:t>
      </w:r>
    </w:p>
    <w:p w:rsidR="007B5A24" w:rsidRPr="007B5A24" w:rsidRDefault="007B5A24" w:rsidP="007B5A24">
      <w:pPr>
        <w:spacing w:after="240" w:line="360" w:lineRule="auto"/>
        <w:rPr>
          <w:rFonts w:ascii="Times New Roman" w:eastAsia="Times New Roman" w:hAnsi="Times New Roman" w:cs="Times New Roman"/>
          <w:sz w:val="24"/>
          <w:szCs w:val="24"/>
        </w:rPr>
      </w:pPr>
      <w:r w:rsidRPr="007B5A24">
        <w:rPr>
          <w:rFonts w:ascii="Times New Roman" w:eastAsia="Times New Roman" w:hAnsi="Times New Roman" w:cs="Times New Roman"/>
          <w:sz w:val="24"/>
          <w:szCs w:val="24"/>
        </w:rPr>
        <w:t xml:space="preserve">Breiby, M.A., Duedahl, E., Øian, H. and Ericsson, B. (2020). Exploring sustainable experiences in tourism. </w:t>
      </w:r>
      <w:r w:rsidRPr="007B5A24">
        <w:rPr>
          <w:rFonts w:ascii="Times New Roman" w:eastAsia="Times New Roman" w:hAnsi="Times New Roman" w:cs="Times New Roman"/>
          <w:i/>
          <w:iCs/>
          <w:sz w:val="24"/>
          <w:szCs w:val="24"/>
        </w:rPr>
        <w:t>Scandinavian Journal of Hospitality and Tourism</w:t>
      </w:r>
      <w:r w:rsidRPr="007B5A24">
        <w:rPr>
          <w:rFonts w:ascii="Times New Roman" w:eastAsia="Times New Roman" w:hAnsi="Times New Roman" w:cs="Times New Roman"/>
          <w:sz w:val="24"/>
          <w:szCs w:val="24"/>
        </w:rPr>
        <w:t>, [online] 20(4), pp.335–351. Available at: https://www.tandfonline.com/doi/full/10.1080/14616688.2020.1760928 [Accessed 24 Jul. 2021].</w:t>
      </w:r>
    </w:p>
    <w:p w:rsidR="007B5A24" w:rsidRPr="007B5A24" w:rsidRDefault="007B5A24" w:rsidP="007B5A24">
      <w:pPr>
        <w:spacing w:after="240" w:line="360" w:lineRule="auto"/>
        <w:rPr>
          <w:rFonts w:ascii="Times New Roman" w:eastAsia="Times New Roman" w:hAnsi="Times New Roman" w:cs="Times New Roman"/>
          <w:sz w:val="24"/>
          <w:szCs w:val="24"/>
        </w:rPr>
      </w:pPr>
      <w:r w:rsidRPr="007B5A24">
        <w:rPr>
          <w:rFonts w:ascii="Times New Roman" w:eastAsia="Times New Roman" w:hAnsi="Times New Roman" w:cs="Times New Roman"/>
          <w:sz w:val="24"/>
          <w:szCs w:val="24"/>
        </w:rPr>
        <w:t xml:space="preserve">Brouder, P. (2020). Reset redux: possible evolutionary pathways towards the transformation of tourism in a COVID-19 world. </w:t>
      </w:r>
      <w:r w:rsidRPr="007B5A24">
        <w:rPr>
          <w:rFonts w:ascii="Times New Roman" w:eastAsia="Times New Roman" w:hAnsi="Times New Roman" w:cs="Times New Roman"/>
          <w:i/>
          <w:iCs/>
          <w:sz w:val="24"/>
          <w:szCs w:val="24"/>
        </w:rPr>
        <w:t>Tourism Geographies</w:t>
      </w:r>
      <w:r w:rsidRPr="007B5A24">
        <w:rPr>
          <w:rFonts w:ascii="Times New Roman" w:eastAsia="Times New Roman" w:hAnsi="Times New Roman" w:cs="Times New Roman"/>
          <w:sz w:val="24"/>
          <w:szCs w:val="24"/>
        </w:rPr>
        <w:t>, 22(3), pp.1–7.</w:t>
      </w:r>
    </w:p>
    <w:p w:rsidR="007B5A24" w:rsidRPr="007B5A24" w:rsidRDefault="007B5A24" w:rsidP="007B5A24">
      <w:pPr>
        <w:spacing w:after="240" w:line="360" w:lineRule="auto"/>
        <w:rPr>
          <w:rFonts w:ascii="Times New Roman" w:eastAsia="Times New Roman" w:hAnsi="Times New Roman" w:cs="Times New Roman"/>
          <w:sz w:val="24"/>
          <w:szCs w:val="24"/>
        </w:rPr>
      </w:pPr>
      <w:r w:rsidRPr="007B5A24">
        <w:rPr>
          <w:rFonts w:ascii="Times New Roman" w:eastAsia="Times New Roman" w:hAnsi="Times New Roman" w:cs="Times New Roman"/>
          <w:sz w:val="24"/>
          <w:szCs w:val="24"/>
        </w:rPr>
        <w:t xml:space="preserve">Dobrescu, A. and Mazilu, M. (2020). </w:t>
      </w:r>
      <w:r w:rsidRPr="007B5A24">
        <w:rPr>
          <w:rFonts w:ascii="Times New Roman" w:eastAsia="Times New Roman" w:hAnsi="Times New Roman" w:cs="Times New Roman"/>
          <w:i/>
          <w:iCs/>
          <w:sz w:val="24"/>
          <w:szCs w:val="24"/>
        </w:rPr>
        <w:t>The Rebirth of Sustainable Post-Pandemic Tourism. Case Study: Romania</w:t>
      </w:r>
      <w:r w:rsidRPr="007B5A24">
        <w:rPr>
          <w:rFonts w:ascii="Times New Roman" w:eastAsia="Times New Roman" w:hAnsi="Times New Roman" w:cs="Times New Roman"/>
          <w:sz w:val="24"/>
          <w:szCs w:val="24"/>
        </w:rPr>
        <w:t>. [online] www.researchgate.net. Available at: https://www.researchgate.net/profile/Alexandru-Dobrescu-4/publication/347614378_The_Rebirth_of_Sustainable_Post-Pandemic_Tourism_Case_Study_Romania/links/60af5a69299bf13438ec4b50/The-Rebirth-of-Sustainable-Post-Pandemic-Tourism-Case-Study-Romania.pdf [Accessed 15 Dec. 2021].</w:t>
      </w:r>
    </w:p>
    <w:p w:rsidR="007B5A24" w:rsidRPr="007B5A24" w:rsidRDefault="007B5A24" w:rsidP="007B5A24">
      <w:pPr>
        <w:spacing w:after="240" w:line="360" w:lineRule="auto"/>
        <w:rPr>
          <w:rFonts w:ascii="Times New Roman" w:eastAsia="Times New Roman" w:hAnsi="Times New Roman" w:cs="Times New Roman"/>
          <w:sz w:val="24"/>
          <w:szCs w:val="24"/>
        </w:rPr>
      </w:pPr>
      <w:r w:rsidRPr="007B5A24">
        <w:rPr>
          <w:rFonts w:ascii="Times New Roman" w:eastAsia="Times New Roman" w:hAnsi="Times New Roman" w:cs="Times New Roman"/>
          <w:sz w:val="24"/>
          <w:szCs w:val="24"/>
        </w:rPr>
        <w:t xml:space="preserve">Higgins-Desbiolles, F. (2020). Socialising tourism for social and ecological justice after COVID-19. </w:t>
      </w:r>
      <w:r w:rsidRPr="007B5A24">
        <w:rPr>
          <w:rFonts w:ascii="Times New Roman" w:eastAsia="Times New Roman" w:hAnsi="Times New Roman" w:cs="Times New Roman"/>
          <w:i/>
          <w:iCs/>
          <w:sz w:val="24"/>
          <w:szCs w:val="24"/>
        </w:rPr>
        <w:t>Tourism Geographies</w:t>
      </w:r>
      <w:r w:rsidRPr="007B5A24">
        <w:rPr>
          <w:rFonts w:ascii="Times New Roman" w:eastAsia="Times New Roman" w:hAnsi="Times New Roman" w:cs="Times New Roman"/>
          <w:sz w:val="24"/>
          <w:szCs w:val="24"/>
        </w:rPr>
        <w:t>, [online] 22(3), pp.1–14. Available at: https://www.tandfonline.com/doi/full/10.1080/14616688.2020.1757748 [Accessed 16 Dec. 2021].</w:t>
      </w:r>
    </w:p>
    <w:p w:rsidR="007B5A24" w:rsidRPr="007B5A24" w:rsidRDefault="007B5A24" w:rsidP="007B5A24">
      <w:pPr>
        <w:spacing w:after="240" w:line="360" w:lineRule="auto"/>
        <w:rPr>
          <w:rFonts w:ascii="Times New Roman" w:eastAsia="Times New Roman" w:hAnsi="Times New Roman" w:cs="Times New Roman"/>
          <w:sz w:val="24"/>
          <w:szCs w:val="24"/>
        </w:rPr>
      </w:pPr>
      <w:r w:rsidRPr="007B5A24">
        <w:rPr>
          <w:rFonts w:ascii="Times New Roman" w:eastAsia="Times New Roman" w:hAnsi="Times New Roman" w:cs="Times New Roman"/>
          <w:sz w:val="24"/>
          <w:szCs w:val="24"/>
        </w:rPr>
        <w:lastRenderedPageBreak/>
        <w:t xml:space="preserve">Milburn, T. (2021). </w:t>
      </w:r>
      <w:r w:rsidRPr="007B5A24">
        <w:rPr>
          <w:rFonts w:ascii="Times New Roman" w:eastAsia="Times New Roman" w:hAnsi="Times New Roman" w:cs="Times New Roman"/>
          <w:i/>
          <w:iCs/>
          <w:sz w:val="24"/>
          <w:szCs w:val="24"/>
        </w:rPr>
        <w:t>The Post-COVID Renewal: The Shift To Sustainable Offerings in The Hospitality Sector</w:t>
      </w:r>
      <w:r w:rsidRPr="007B5A24">
        <w:rPr>
          <w:rFonts w:ascii="Times New Roman" w:eastAsia="Times New Roman" w:hAnsi="Times New Roman" w:cs="Times New Roman"/>
          <w:sz w:val="24"/>
          <w:szCs w:val="24"/>
        </w:rPr>
        <w:t>. [online] Hospitality Technology. Available at: https://hospitalitytech.com/post-covid-renewal-shift-sustainable-offerings-hospitality-sector [Accessed 16 Dec. 2021].</w:t>
      </w:r>
    </w:p>
    <w:p w:rsidR="007B5A24" w:rsidRPr="007B5A24" w:rsidRDefault="007B5A24" w:rsidP="007B5A24">
      <w:pPr>
        <w:spacing w:after="240" w:line="360" w:lineRule="auto"/>
        <w:rPr>
          <w:rFonts w:ascii="Times New Roman" w:eastAsia="Times New Roman" w:hAnsi="Times New Roman" w:cs="Times New Roman"/>
          <w:sz w:val="24"/>
          <w:szCs w:val="24"/>
        </w:rPr>
      </w:pPr>
      <w:r w:rsidRPr="007B5A24">
        <w:rPr>
          <w:rFonts w:ascii="Times New Roman" w:eastAsia="Times New Roman" w:hAnsi="Times New Roman" w:cs="Times New Roman"/>
          <w:sz w:val="24"/>
          <w:szCs w:val="24"/>
        </w:rPr>
        <w:t xml:space="preserve">Pololikashvili, Z. (2020). </w:t>
      </w:r>
      <w:r w:rsidRPr="007B5A24">
        <w:rPr>
          <w:rFonts w:ascii="Times New Roman" w:eastAsia="Times New Roman" w:hAnsi="Times New Roman" w:cs="Times New Roman"/>
          <w:i/>
          <w:iCs/>
          <w:sz w:val="24"/>
          <w:szCs w:val="24"/>
        </w:rPr>
        <w:t>Message from Madrid: Tourism and COVID-19 | UNWTO</w:t>
      </w:r>
      <w:r w:rsidRPr="007B5A24">
        <w:rPr>
          <w:rFonts w:ascii="Times New Roman" w:eastAsia="Times New Roman" w:hAnsi="Times New Roman" w:cs="Times New Roman"/>
          <w:sz w:val="24"/>
          <w:szCs w:val="24"/>
        </w:rPr>
        <w:t>. [online] www.unwto.org. Available at: https://www.unwto.org/news/madrid-tourism-covid-19 [Accessed 16 Dec. 2021].</w:t>
      </w:r>
    </w:p>
    <w:p w:rsidR="007B5A24" w:rsidRPr="007B5A24" w:rsidRDefault="007B5A24" w:rsidP="007B5A24">
      <w:pPr>
        <w:spacing w:after="240" w:line="360" w:lineRule="auto"/>
        <w:rPr>
          <w:rFonts w:ascii="Times New Roman" w:eastAsia="Times New Roman" w:hAnsi="Times New Roman" w:cs="Times New Roman"/>
          <w:sz w:val="24"/>
          <w:szCs w:val="24"/>
        </w:rPr>
      </w:pPr>
      <w:r w:rsidRPr="007B5A24">
        <w:rPr>
          <w:rFonts w:ascii="Times New Roman" w:eastAsia="Times New Roman" w:hAnsi="Times New Roman" w:cs="Times New Roman"/>
          <w:sz w:val="24"/>
          <w:szCs w:val="24"/>
        </w:rPr>
        <w:t xml:space="preserve">Sperling, E. (2020). </w:t>
      </w:r>
      <w:r w:rsidRPr="007B5A24">
        <w:rPr>
          <w:rFonts w:ascii="Times New Roman" w:eastAsia="Times New Roman" w:hAnsi="Times New Roman" w:cs="Times New Roman"/>
          <w:i/>
          <w:iCs/>
          <w:sz w:val="24"/>
          <w:szCs w:val="24"/>
        </w:rPr>
        <w:t>Over-Exposure to Tourism in Bali, Indonesia</w:t>
      </w:r>
      <w:r w:rsidRPr="007B5A24">
        <w:rPr>
          <w:rFonts w:ascii="Times New Roman" w:eastAsia="Times New Roman" w:hAnsi="Times New Roman" w:cs="Times New Roman"/>
          <w:sz w:val="24"/>
          <w:szCs w:val="24"/>
        </w:rPr>
        <w:t>. [online] ArcGIS StoryMaps. Available at: https://storymaps.arcgis.com/stories/eb1f5fbd18fc4c53bbde0713e06ab111.</w:t>
      </w:r>
    </w:p>
    <w:p w:rsidR="007B5A24" w:rsidRPr="007B5A24" w:rsidRDefault="007B5A24" w:rsidP="007B5A24">
      <w:pPr>
        <w:spacing w:after="240" w:line="360" w:lineRule="auto"/>
        <w:rPr>
          <w:rFonts w:ascii="Times New Roman" w:eastAsia="Times New Roman" w:hAnsi="Times New Roman" w:cs="Times New Roman"/>
          <w:sz w:val="24"/>
          <w:szCs w:val="24"/>
        </w:rPr>
      </w:pPr>
      <w:r w:rsidRPr="007B5A24">
        <w:rPr>
          <w:rFonts w:ascii="Times New Roman" w:eastAsia="Times New Roman" w:hAnsi="Times New Roman" w:cs="Times New Roman"/>
          <w:sz w:val="24"/>
          <w:szCs w:val="24"/>
        </w:rPr>
        <w:t xml:space="preserve">Stankov, U., Filimonau, V. and Vujičić, M.D. (2020). A mindful shift: an opportunity for mindfulness-driven tourism in a post-pandemic world. </w:t>
      </w:r>
      <w:r w:rsidRPr="007B5A24">
        <w:rPr>
          <w:rFonts w:ascii="Times New Roman" w:eastAsia="Times New Roman" w:hAnsi="Times New Roman" w:cs="Times New Roman"/>
          <w:i/>
          <w:iCs/>
          <w:sz w:val="24"/>
          <w:szCs w:val="24"/>
        </w:rPr>
        <w:t>Tourism Geographies</w:t>
      </w:r>
      <w:r w:rsidRPr="007B5A24">
        <w:rPr>
          <w:rFonts w:ascii="Times New Roman" w:eastAsia="Times New Roman" w:hAnsi="Times New Roman" w:cs="Times New Roman"/>
          <w:sz w:val="24"/>
          <w:szCs w:val="24"/>
        </w:rPr>
        <w:t>, 22(3), pp.703–712.</w:t>
      </w:r>
    </w:p>
    <w:p w:rsidR="007B5A24" w:rsidRPr="007B5A24" w:rsidRDefault="007B5A24" w:rsidP="007B5A24">
      <w:pPr>
        <w:spacing w:after="240" w:line="360" w:lineRule="auto"/>
        <w:rPr>
          <w:rFonts w:ascii="Times New Roman" w:eastAsia="Times New Roman" w:hAnsi="Times New Roman" w:cs="Times New Roman"/>
          <w:sz w:val="24"/>
          <w:szCs w:val="24"/>
        </w:rPr>
      </w:pPr>
      <w:r w:rsidRPr="007B5A24">
        <w:rPr>
          <w:rFonts w:ascii="Times New Roman" w:eastAsia="Times New Roman" w:hAnsi="Times New Roman" w:cs="Times New Roman"/>
          <w:sz w:val="24"/>
          <w:szCs w:val="24"/>
        </w:rPr>
        <w:t xml:space="preserve">UNWTO (2020a). </w:t>
      </w:r>
      <w:r w:rsidRPr="007B5A24">
        <w:rPr>
          <w:rFonts w:ascii="Times New Roman" w:eastAsia="Times New Roman" w:hAnsi="Times New Roman" w:cs="Times New Roman"/>
          <w:i/>
          <w:iCs/>
          <w:sz w:val="24"/>
          <w:szCs w:val="24"/>
        </w:rPr>
        <w:t>“Sustainability as the New Normal” a Vision for the Future of Tourism | UNWTO</w:t>
      </w:r>
      <w:r w:rsidRPr="007B5A24">
        <w:rPr>
          <w:rFonts w:ascii="Times New Roman" w:eastAsia="Times New Roman" w:hAnsi="Times New Roman" w:cs="Times New Roman"/>
          <w:sz w:val="24"/>
          <w:szCs w:val="24"/>
        </w:rPr>
        <w:t>. [online] www.unwto.org. Available at: https://www.unwto.org/covid-19-oneplanet-responsible-recovery [Accessed 16 Dec. 2021].</w:t>
      </w:r>
    </w:p>
    <w:p w:rsidR="007B5A24" w:rsidRPr="007B5A24" w:rsidRDefault="007B5A24" w:rsidP="007B5A24">
      <w:pPr>
        <w:spacing w:after="240" w:line="360" w:lineRule="auto"/>
        <w:rPr>
          <w:rFonts w:ascii="Times New Roman" w:eastAsia="Times New Roman" w:hAnsi="Times New Roman" w:cs="Times New Roman"/>
          <w:sz w:val="24"/>
          <w:szCs w:val="24"/>
        </w:rPr>
      </w:pPr>
      <w:r w:rsidRPr="007B5A24">
        <w:rPr>
          <w:rFonts w:ascii="Times New Roman" w:eastAsia="Times New Roman" w:hAnsi="Times New Roman" w:cs="Times New Roman"/>
          <w:sz w:val="24"/>
          <w:szCs w:val="24"/>
        </w:rPr>
        <w:t xml:space="preserve">UNWTO (2020b). </w:t>
      </w:r>
      <w:r w:rsidRPr="007B5A24">
        <w:rPr>
          <w:rFonts w:ascii="Times New Roman" w:eastAsia="Times New Roman" w:hAnsi="Times New Roman" w:cs="Times New Roman"/>
          <w:i/>
          <w:iCs/>
          <w:sz w:val="24"/>
          <w:szCs w:val="24"/>
        </w:rPr>
        <w:t>International tourism growth continues to outpace the global economy | UNWTO</w:t>
      </w:r>
      <w:r w:rsidRPr="007B5A24">
        <w:rPr>
          <w:rFonts w:ascii="Times New Roman" w:eastAsia="Times New Roman" w:hAnsi="Times New Roman" w:cs="Times New Roman"/>
          <w:sz w:val="24"/>
          <w:szCs w:val="24"/>
        </w:rPr>
        <w:t>. [online] www.unwto.org. Available at: https://www.unwto.org/international-tourism-growth-continues-to-outpace-the-economy [Accessed 15 Dec. 2021].</w:t>
      </w:r>
    </w:p>
    <w:p w:rsidR="007B5A24" w:rsidRPr="007B5A24" w:rsidRDefault="007B5A24" w:rsidP="007B5A24">
      <w:pPr>
        <w:spacing w:after="240" w:line="360" w:lineRule="auto"/>
        <w:rPr>
          <w:rFonts w:ascii="Times New Roman" w:eastAsia="Times New Roman" w:hAnsi="Times New Roman" w:cs="Times New Roman"/>
          <w:sz w:val="24"/>
          <w:szCs w:val="24"/>
        </w:rPr>
      </w:pPr>
      <w:r w:rsidRPr="007B5A24">
        <w:rPr>
          <w:rFonts w:ascii="Times New Roman" w:eastAsia="Times New Roman" w:hAnsi="Times New Roman" w:cs="Times New Roman"/>
          <w:sz w:val="24"/>
          <w:szCs w:val="24"/>
        </w:rPr>
        <w:t xml:space="preserve">WHO (2020). </w:t>
      </w:r>
      <w:r w:rsidRPr="007B5A24">
        <w:rPr>
          <w:rFonts w:ascii="Times New Roman" w:eastAsia="Times New Roman" w:hAnsi="Times New Roman" w:cs="Times New Roman"/>
          <w:i/>
          <w:iCs/>
          <w:sz w:val="24"/>
          <w:szCs w:val="24"/>
        </w:rPr>
        <w:t>Coronavirus Disease (COVID-19) - Events as They Happen</w:t>
      </w:r>
      <w:r w:rsidRPr="007B5A24">
        <w:rPr>
          <w:rFonts w:ascii="Times New Roman" w:eastAsia="Times New Roman" w:hAnsi="Times New Roman" w:cs="Times New Roman"/>
          <w:sz w:val="24"/>
          <w:szCs w:val="24"/>
        </w:rPr>
        <w:t>. [online] www.who.int. Available at: https://www.who.int/emergencies/diseases/novel-coronavirus-2019/events-as-they-happen.</w:t>
      </w:r>
    </w:p>
    <w:p w:rsidR="007B5A24" w:rsidRPr="007B5A24" w:rsidRDefault="007B5A24" w:rsidP="007B5A24">
      <w:pPr>
        <w:spacing w:after="240" w:line="360" w:lineRule="auto"/>
        <w:rPr>
          <w:rFonts w:ascii="Times New Roman" w:eastAsia="Times New Roman" w:hAnsi="Times New Roman" w:cs="Times New Roman"/>
          <w:sz w:val="24"/>
          <w:szCs w:val="24"/>
        </w:rPr>
      </w:pPr>
      <w:r w:rsidRPr="007B5A24">
        <w:rPr>
          <w:rFonts w:ascii="Times New Roman" w:eastAsia="Times New Roman" w:hAnsi="Times New Roman" w:cs="Times New Roman"/>
          <w:sz w:val="24"/>
          <w:szCs w:val="24"/>
        </w:rPr>
        <w:t xml:space="preserve">Wilkins, H., Merrilees, B. and Herington, C. (2007). Towards an understanding of total service quality in hotels. </w:t>
      </w:r>
      <w:r w:rsidRPr="007B5A24">
        <w:rPr>
          <w:rFonts w:ascii="Times New Roman" w:eastAsia="Times New Roman" w:hAnsi="Times New Roman" w:cs="Times New Roman"/>
          <w:i/>
          <w:iCs/>
          <w:sz w:val="24"/>
          <w:szCs w:val="24"/>
        </w:rPr>
        <w:t>International Journal of Hospitality Management</w:t>
      </w:r>
      <w:r w:rsidRPr="007B5A24">
        <w:rPr>
          <w:rFonts w:ascii="Times New Roman" w:eastAsia="Times New Roman" w:hAnsi="Times New Roman" w:cs="Times New Roman"/>
          <w:sz w:val="24"/>
          <w:szCs w:val="24"/>
        </w:rPr>
        <w:t>, [online] 26(4), pp.840–853. Available at: https://www.sciencedirect.com/science/article/pii/S0278431906000831 [Accessed 16 Oct. 2019].</w:t>
      </w:r>
    </w:p>
    <w:p w:rsidR="007B5A24" w:rsidRPr="007B5A24" w:rsidRDefault="007B5A24" w:rsidP="007B5A24">
      <w:pPr>
        <w:spacing w:after="240" w:line="360" w:lineRule="auto"/>
        <w:rPr>
          <w:rFonts w:ascii="Times New Roman" w:eastAsia="Times New Roman" w:hAnsi="Times New Roman" w:cs="Times New Roman"/>
          <w:sz w:val="24"/>
          <w:szCs w:val="24"/>
        </w:rPr>
      </w:pPr>
      <w:r w:rsidRPr="007B5A24">
        <w:rPr>
          <w:rFonts w:ascii="Times New Roman" w:eastAsia="Times New Roman" w:hAnsi="Times New Roman" w:cs="Times New Roman"/>
          <w:sz w:val="24"/>
          <w:szCs w:val="24"/>
        </w:rPr>
        <w:t xml:space="preserve">Wootton, H. (2020). </w:t>
      </w:r>
      <w:r w:rsidRPr="007B5A24">
        <w:rPr>
          <w:rFonts w:ascii="Times New Roman" w:eastAsia="Times New Roman" w:hAnsi="Times New Roman" w:cs="Times New Roman"/>
          <w:i/>
          <w:iCs/>
          <w:sz w:val="24"/>
          <w:szCs w:val="24"/>
        </w:rPr>
        <w:t>Consumers go “back to basics” post pandemic</w:t>
      </w:r>
      <w:r w:rsidRPr="007B5A24">
        <w:rPr>
          <w:rFonts w:ascii="Times New Roman" w:eastAsia="Times New Roman" w:hAnsi="Times New Roman" w:cs="Times New Roman"/>
          <w:sz w:val="24"/>
          <w:szCs w:val="24"/>
        </w:rPr>
        <w:t>. [online] Australian Financial Review. Available at: https://www.afr.com/companies/tourism/consumers-go-back-to-basics-post-pandemic-20200417-p54kpu [Accessed 15 Dec. 2021].</w:t>
      </w:r>
    </w:p>
    <w:p w:rsidR="007B5A24" w:rsidRPr="007B5A24" w:rsidRDefault="007B5A24" w:rsidP="007B5A24">
      <w:pPr>
        <w:spacing w:after="200" w:line="276" w:lineRule="auto"/>
        <w:rPr>
          <w:rFonts w:ascii="Times New Roman" w:eastAsia="Calibri" w:hAnsi="Times New Roman" w:cs="Times New Roman"/>
          <w:sz w:val="24"/>
          <w:szCs w:val="24"/>
          <w:lang w:val="en-GB"/>
        </w:rPr>
      </w:pPr>
    </w:p>
    <w:p w:rsidR="00F5195C" w:rsidRDefault="00F5195C" w:rsidP="00F5195C">
      <w:pPr>
        <w:spacing w:after="200" w:line="480" w:lineRule="auto"/>
        <w:rPr>
          <w:rFonts w:ascii="Times New Roman" w:eastAsia="Calibri" w:hAnsi="Times New Roman" w:cs="Times New Roman"/>
          <w:sz w:val="24"/>
          <w:szCs w:val="24"/>
          <w:lang w:val="en-GB"/>
        </w:rPr>
      </w:pPr>
    </w:p>
    <w:p w:rsidR="00F5195C" w:rsidRDefault="00F5195C">
      <w:pPr>
        <w:rPr>
          <w:rFonts w:ascii="Times New Roman" w:eastAsia="Calibri" w:hAnsi="Times New Roman" w:cs="Times New Roman"/>
          <w:sz w:val="24"/>
          <w:szCs w:val="24"/>
          <w:lang w:val="en-GB"/>
        </w:rPr>
      </w:pPr>
      <w:r>
        <w:rPr>
          <w:rFonts w:ascii="Times New Roman" w:eastAsia="Calibri" w:hAnsi="Times New Roman" w:cs="Times New Roman"/>
          <w:sz w:val="24"/>
          <w:szCs w:val="24"/>
          <w:lang w:val="en-GB"/>
        </w:rPr>
        <w:br w:type="page"/>
      </w:r>
    </w:p>
    <w:p w:rsidR="00F5195C" w:rsidRPr="00F5195C" w:rsidRDefault="00F5195C" w:rsidP="007B5A24">
      <w:pPr>
        <w:spacing w:after="200" w:line="480" w:lineRule="auto"/>
        <w:rPr>
          <w:rFonts w:ascii="Times New Roman" w:eastAsia="Calibri" w:hAnsi="Times New Roman" w:cs="Times New Roman"/>
          <w:b/>
          <w:sz w:val="24"/>
          <w:szCs w:val="24"/>
          <w:lang w:val="en-GB"/>
        </w:rPr>
      </w:pPr>
      <w:r w:rsidRPr="00F5195C">
        <w:rPr>
          <w:rFonts w:ascii="Times New Roman" w:eastAsia="Calibri" w:hAnsi="Times New Roman" w:cs="Times New Roman"/>
          <w:b/>
          <w:sz w:val="24"/>
          <w:szCs w:val="24"/>
          <w:lang w:val="en-GB"/>
        </w:rPr>
        <w:lastRenderedPageBreak/>
        <w:t>Brand image</w:t>
      </w:r>
    </w:p>
    <w:p w:rsidR="007B5A24" w:rsidRPr="00F5195C" w:rsidRDefault="00F5195C" w:rsidP="007B5A24">
      <w:pPr>
        <w:spacing w:after="200" w:line="480" w:lineRule="auto"/>
        <w:rPr>
          <w:rFonts w:ascii="Times New Roman" w:eastAsia="Calibri" w:hAnsi="Times New Roman" w:cs="Times New Roman"/>
          <w:sz w:val="24"/>
          <w:szCs w:val="24"/>
          <w:lang w:val="en-GB"/>
        </w:rPr>
      </w:pPr>
      <w:r w:rsidRPr="00F5195C">
        <w:rPr>
          <w:rFonts w:ascii="Times New Roman" w:eastAsia="Calibri" w:hAnsi="Times New Roman" w:cs="Times New Roman"/>
          <w:sz w:val="24"/>
          <w:szCs w:val="24"/>
          <w:lang w:val="en-GB"/>
        </w:rPr>
        <w:t>An assessme</w:t>
      </w:r>
      <w:r>
        <w:rPr>
          <w:rFonts w:ascii="Times New Roman" w:eastAsia="Calibri" w:hAnsi="Times New Roman" w:cs="Times New Roman"/>
          <w:sz w:val="24"/>
          <w:szCs w:val="24"/>
          <w:lang w:val="en-GB"/>
        </w:rPr>
        <w:t>nt of the Sandals brand (essay)</w:t>
      </w:r>
    </w:p>
    <w:p w:rsidR="00F5195C" w:rsidRPr="00F5195C" w:rsidRDefault="00F5195C" w:rsidP="00F5195C">
      <w:pPr>
        <w:spacing w:after="200" w:line="480" w:lineRule="auto"/>
        <w:rPr>
          <w:rFonts w:ascii="Times New Roman" w:eastAsia="Calibri" w:hAnsi="Times New Roman" w:cs="Times New Roman"/>
          <w:sz w:val="24"/>
          <w:szCs w:val="24"/>
          <w:lang w:val="en-GB"/>
        </w:rPr>
      </w:pPr>
      <w:r w:rsidRPr="00F5195C">
        <w:rPr>
          <w:rFonts w:ascii="Times New Roman" w:eastAsia="Calibri" w:hAnsi="Times New Roman" w:cs="Times New Roman"/>
          <w:sz w:val="24"/>
          <w:szCs w:val="24"/>
          <w:lang w:val="en-GB"/>
        </w:rPr>
        <w:t>The Caribbean region mainly consists of SIDS with limited natural resources and many territories lean on tourism as a major economic driver. As a consequence the travel and tourism industry constitute the largest part of the region’s economy (Hayle et al., 2010). In fact the region is considered to be the most tourism dependant in the world (WTTC, 2018). The Caribbean’s growing popularity in the tourism and hospitality sector is primarily based on its natural assets like scenic beaches, lush vegetation and abundant marine life. These natural features not only provides the region with a comparative advantage but also makes it more vulnerable to the effects of climate change. As coastal entities, climate change and its effects should be a main preoccupation of policy-makers and industry operatives however there are challenges defining ownership of the responsibility for the implementation of sustainability initiatives (Lewis, E. 2019).</w:t>
      </w:r>
    </w:p>
    <w:p w:rsidR="00F5195C" w:rsidRPr="00F5195C" w:rsidRDefault="00F5195C" w:rsidP="00F5195C">
      <w:pPr>
        <w:spacing w:after="200" w:line="480" w:lineRule="auto"/>
        <w:rPr>
          <w:rFonts w:ascii="Times New Roman" w:eastAsia="Calibri" w:hAnsi="Times New Roman" w:cs="Times New Roman"/>
          <w:sz w:val="24"/>
          <w:szCs w:val="24"/>
          <w:lang w:val="en-GB"/>
        </w:rPr>
      </w:pPr>
      <w:r w:rsidRPr="00F5195C">
        <w:rPr>
          <w:rFonts w:ascii="Times New Roman" w:eastAsia="Calibri" w:hAnsi="Times New Roman" w:cs="Times New Roman"/>
          <w:sz w:val="24"/>
          <w:szCs w:val="24"/>
          <w:lang w:val="en-GB"/>
        </w:rPr>
        <w:t xml:space="preserve">In 1981 Butch Stewart bought a rundown hotel on a prime beach front in Montego Bay, Jamaica. He had no prior hotel experience but was guided by a time tested principle-“Find out what people want, give it to them and in doing so - exceed their expectations.” After seven months and a $4 million upgrade, Sandals Montego Bay opened as the flagship of the now renowned brand. Sandals is an all-inclusive chain of luxury accommodations formally known as Sandals Resorts International (SRI). The brand presently operates nine resorts and three private villas in Jamaica, three resorts in St. Lucia, three in The Bahamas, one in Antigua, one in Grenada, two in Barbados, one in The Turks &amp; Caicos Islands and plans are afoot to open a Sandals Resorts in Curacao and a Beaches Resorts in St. Vincent &amp; The Grenadines (SVG). Since inception the </w:t>
      </w:r>
      <w:r w:rsidRPr="00F5195C">
        <w:rPr>
          <w:rFonts w:ascii="Times New Roman" w:eastAsia="Calibri" w:hAnsi="Times New Roman" w:cs="Times New Roman"/>
          <w:sz w:val="24"/>
          <w:szCs w:val="24"/>
          <w:lang w:val="en-GB"/>
        </w:rPr>
        <w:lastRenderedPageBreak/>
        <w:t xml:space="preserve">brand has been at the forefront of innovation in the hotel sector. SRI were early adopters to key amenities and became the first Caribbean entity to offer whirlpools, satellite television, swim-up pool bars, king-size bed and a hair dryer guarantees for every room. With a “We can do it better” principle of pleasing guests it is not surprising that they enjoy year-round occupancy levels of more than 85% and a repeat guest factor of 40%. </w:t>
      </w:r>
    </w:p>
    <w:p w:rsidR="00F5195C" w:rsidRPr="00F5195C" w:rsidRDefault="00F5195C" w:rsidP="00F5195C">
      <w:pPr>
        <w:spacing w:after="200" w:line="480" w:lineRule="auto"/>
        <w:rPr>
          <w:rFonts w:ascii="Times New Roman" w:eastAsia="Calibri" w:hAnsi="Times New Roman" w:cs="Times New Roman"/>
          <w:sz w:val="24"/>
          <w:szCs w:val="24"/>
          <w:lang w:val="en-GB"/>
        </w:rPr>
      </w:pPr>
      <w:r w:rsidRPr="00F5195C">
        <w:rPr>
          <w:rFonts w:ascii="Times New Roman" w:eastAsia="Calibri" w:hAnsi="Times New Roman" w:cs="Times New Roman"/>
          <w:sz w:val="24"/>
          <w:szCs w:val="24"/>
          <w:lang w:val="en-GB"/>
        </w:rPr>
        <w:t>Since inception the brand has carved out a leadership role in the tourism and hospitality sector and have attained many awards to justify this position. In 1997 the brand forge ahead in environmental stewardship when it formulated a corporate environmental health and safety policy for all its resorts and became the first hotel chain in the Caribbean to have a group director of environmental affairs whose sole responsibility is to lead the company's corporate environmental sustainability effort. By the following year (1998) Sandals Negril Beach Resort became the first all-inclusive resorts in the world to receive Earth Check environmental certification.</w:t>
      </w:r>
    </w:p>
    <w:p w:rsidR="00F5195C" w:rsidRPr="00F5195C" w:rsidRDefault="00F5195C" w:rsidP="00F5195C">
      <w:pPr>
        <w:spacing w:after="200" w:line="480" w:lineRule="auto"/>
        <w:rPr>
          <w:rFonts w:ascii="Times New Roman" w:eastAsia="Calibri" w:hAnsi="Times New Roman" w:cs="Times New Roman"/>
          <w:sz w:val="24"/>
          <w:szCs w:val="24"/>
          <w:lang w:val="en-GB"/>
        </w:rPr>
      </w:pPr>
      <w:r w:rsidRPr="00F5195C">
        <w:rPr>
          <w:rFonts w:ascii="Times New Roman" w:eastAsia="Calibri" w:hAnsi="Times New Roman" w:cs="Times New Roman"/>
          <w:sz w:val="24"/>
          <w:szCs w:val="24"/>
          <w:lang w:val="en-GB"/>
        </w:rPr>
        <w:t xml:space="preserve">In 2007, nearly a decade after its first Green Globe certification, all properties earned the Green Globe 21 certification and it became the only Caribbean hotel chain to have all properties with this achievement. That year Butch Stewart proclaimed ‘…that the travel and tourism industry has the potential to contribute significantly to environmental preservation…’ while reaffirming the brand’s commitment to being sustainable environmental stewards. To date nine Resorts have EarthCheck Master Certifications and are Blue Verified having earned the Blue two-star seal from Oceanic Global after eliminating single-use plastics from the front and back of house operations. </w:t>
      </w:r>
    </w:p>
    <w:p w:rsidR="00F5195C" w:rsidRPr="00F5195C" w:rsidRDefault="00F5195C" w:rsidP="00F5195C">
      <w:pPr>
        <w:spacing w:after="200" w:line="480" w:lineRule="auto"/>
        <w:rPr>
          <w:rFonts w:ascii="Times New Roman" w:eastAsia="Calibri" w:hAnsi="Times New Roman" w:cs="Times New Roman"/>
          <w:sz w:val="24"/>
          <w:szCs w:val="24"/>
          <w:lang w:val="en-GB"/>
        </w:rPr>
      </w:pPr>
      <w:r w:rsidRPr="00F5195C">
        <w:rPr>
          <w:rFonts w:ascii="Times New Roman" w:eastAsia="Calibri" w:hAnsi="Times New Roman" w:cs="Times New Roman"/>
          <w:sz w:val="24"/>
          <w:szCs w:val="24"/>
          <w:lang w:val="en-GB"/>
        </w:rPr>
        <w:lastRenderedPageBreak/>
        <w:t xml:space="preserve">Furthermore, all properties have programs in place for: energy management: smart LED bulbs, lighting and air conditioning sensors in guest rooms, laundry and kitchens; water management: recycling grey water for lawns and plants and encouraging guests to participate in their linen reuse program; solid waste management: garden composting, donating kitchen vegetable scraps to local famers for animal feed; returning glass bottles to suppliers, recycling kitchen grease for soap making, and donating shredded office paper to craft manufacturers; and control of hazardous substances: using eco-friendly chemicals and training staff in safety, storage, and maintenance. SRI stress that their staff awareness and involvement is an important part of their sustainable strategy. Each property has volunteer ‘Green Teams’ that embrace and reinforce the 3R’s.-Reduce, Recycle and Reuse. </w:t>
      </w:r>
    </w:p>
    <w:p w:rsidR="00F5195C" w:rsidRPr="00F5195C" w:rsidRDefault="00F5195C" w:rsidP="00F5195C">
      <w:pPr>
        <w:spacing w:after="200" w:line="480" w:lineRule="auto"/>
        <w:rPr>
          <w:rFonts w:ascii="Times New Roman" w:eastAsia="Calibri" w:hAnsi="Times New Roman" w:cs="Times New Roman"/>
          <w:sz w:val="24"/>
          <w:szCs w:val="24"/>
          <w:lang w:val="en-GB"/>
        </w:rPr>
      </w:pPr>
      <w:r w:rsidRPr="00F5195C">
        <w:rPr>
          <w:rFonts w:ascii="Times New Roman" w:eastAsia="Calibri" w:hAnsi="Times New Roman" w:cs="Times New Roman"/>
          <w:sz w:val="24"/>
          <w:szCs w:val="24"/>
          <w:lang w:val="en-GB"/>
        </w:rPr>
        <w:t>Part of their social responsibility policy is to actively support and spread awareness of marine conservation. All water sports staff share the importance of reef protection with guests and ensure that marine animals are not removed from the sea during water activities. In 2009 the brand created the Sandals foundation, a public home for its philanthropy. Part of the foundation’s mandate is to further awareness of sustainable environmental initiatives. To date such projects include coral restoration nurseries, management of marine sanctuaries and reforestation campaigns. The company has coined a campaign for its 4oth anniversary celebration- “40 for 40”. SRI plans to spearhead 40 sustainable community transformations with the first being a partnership with the Jamaica Conservation Development Trust to plant 7,000 trees and manage an additional 7,000 in the UNESCO World Heritage site, the Blue and John Crow Mountains National Park in Jamaica.</w:t>
      </w:r>
    </w:p>
    <w:p w:rsidR="007B5A24" w:rsidRDefault="00F5195C" w:rsidP="00F5195C">
      <w:pPr>
        <w:spacing w:after="200" w:line="480" w:lineRule="auto"/>
        <w:rPr>
          <w:rFonts w:ascii="Times New Roman" w:eastAsia="Calibri" w:hAnsi="Times New Roman" w:cs="Times New Roman"/>
          <w:sz w:val="24"/>
          <w:szCs w:val="24"/>
          <w:lang w:val="en-GB"/>
        </w:rPr>
      </w:pPr>
      <w:r w:rsidRPr="00F5195C">
        <w:rPr>
          <w:rFonts w:ascii="Times New Roman" w:eastAsia="Calibri" w:hAnsi="Times New Roman" w:cs="Times New Roman"/>
          <w:sz w:val="24"/>
          <w:szCs w:val="24"/>
          <w:lang w:val="en-GB"/>
        </w:rPr>
        <w:t xml:space="preserve">Before environmental sustainability became trendy SRI took initiatives to craft policy, followed up with credible actions and consistently encourage partnerships to offset negative </w:t>
      </w:r>
      <w:r w:rsidRPr="00F5195C">
        <w:rPr>
          <w:rFonts w:ascii="Times New Roman" w:eastAsia="Calibri" w:hAnsi="Times New Roman" w:cs="Times New Roman"/>
          <w:sz w:val="24"/>
          <w:szCs w:val="24"/>
          <w:lang w:val="en-GB"/>
        </w:rPr>
        <w:lastRenderedPageBreak/>
        <w:t>environmental impacts.  SRI should be commended for their foresight because the region, though coming around to the realities of pollution and climate change, still have a ways to go in enacting environmental regulations to mandate businesses to adopt more environmentally sustainable practices. The company’ strong sense of corporate responsibility is perhaps due it operating within its own ‘backyard’ of sorts. The brand is wholly owned by the Stewart family who are island people with a keen understanding of the region, the industry and the importance of maintaining that delicate balance at the heart of sustainability. The chain’s environmental policy should not be an example of an outlier but the benchmark for the region’s tourism and hospitality sector.</w:t>
      </w:r>
    </w:p>
    <w:p w:rsidR="007B5A24" w:rsidRDefault="007B5A24">
      <w:pPr>
        <w:rPr>
          <w:rFonts w:ascii="Times New Roman" w:eastAsia="Calibri" w:hAnsi="Times New Roman" w:cs="Times New Roman"/>
          <w:sz w:val="24"/>
          <w:szCs w:val="24"/>
          <w:lang w:val="en-GB"/>
        </w:rPr>
      </w:pPr>
      <w:r>
        <w:rPr>
          <w:rFonts w:ascii="Times New Roman" w:eastAsia="Calibri" w:hAnsi="Times New Roman" w:cs="Times New Roman"/>
          <w:sz w:val="24"/>
          <w:szCs w:val="24"/>
          <w:lang w:val="en-GB"/>
        </w:rPr>
        <w:br w:type="page"/>
      </w:r>
    </w:p>
    <w:p w:rsidR="007B5A24" w:rsidRPr="007B5A24" w:rsidRDefault="007B5A24" w:rsidP="007B5A24">
      <w:pPr>
        <w:spacing w:after="240" w:line="360" w:lineRule="auto"/>
        <w:rPr>
          <w:rFonts w:ascii="Times New Roman" w:eastAsia="Times New Roman" w:hAnsi="Times New Roman" w:cs="Times New Roman"/>
          <w:sz w:val="32"/>
          <w:szCs w:val="32"/>
        </w:rPr>
      </w:pPr>
      <w:r>
        <w:rPr>
          <w:rFonts w:ascii="Times New Roman" w:eastAsia="Times New Roman" w:hAnsi="Times New Roman" w:cs="Times New Roman"/>
          <w:sz w:val="32"/>
          <w:szCs w:val="32"/>
        </w:rPr>
        <w:lastRenderedPageBreak/>
        <w:t xml:space="preserve">Reference </w:t>
      </w:r>
    </w:p>
    <w:p w:rsidR="007B5A24" w:rsidRPr="007B5A24" w:rsidRDefault="007B5A24" w:rsidP="007B5A24">
      <w:pPr>
        <w:spacing w:after="240" w:line="360" w:lineRule="auto"/>
        <w:rPr>
          <w:rFonts w:ascii="Times New Roman" w:eastAsia="Times New Roman" w:hAnsi="Times New Roman" w:cs="Times New Roman"/>
          <w:sz w:val="24"/>
          <w:szCs w:val="24"/>
        </w:rPr>
      </w:pPr>
      <w:r w:rsidRPr="007B5A24">
        <w:rPr>
          <w:rFonts w:ascii="Times New Roman" w:eastAsia="Times New Roman" w:hAnsi="Times New Roman" w:cs="Times New Roman"/>
          <w:sz w:val="24"/>
          <w:szCs w:val="24"/>
        </w:rPr>
        <w:t xml:space="preserve">Barreiros, I. (2021). </w:t>
      </w:r>
      <w:r w:rsidRPr="007B5A24">
        <w:rPr>
          <w:rFonts w:ascii="Times New Roman" w:eastAsia="Times New Roman" w:hAnsi="Times New Roman" w:cs="Times New Roman"/>
          <w:i/>
          <w:iCs/>
          <w:sz w:val="24"/>
          <w:szCs w:val="24"/>
        </w:rPr>
        <w:t>What Sustainability means for the Future of your Hotel</w:t>
      </w:r>
      <w:r w:rsidRPr="007B5A24">
        <w:rPr>
          <w:rFonts w:ascii="Times New Roman" w:eastAsia="Times New Roman" w:hAnsi="Times New Roman" w:cs="Times New Roman"/>
          <w:sz w:val="24"/>
          <w:szCs w:val="24"/>
        </w:rPr>
        <w:t>. [online] Hospitality Net. Available at: https://www.hospitalitynet.org/opinion/4106628.html [Accessed 14 Dec. 2021].</w:t>
      </w:r>
    </w:p>
    <w:p w:rsidR="007B5A24" w:rsidRPr="007B5A24" w:rsidRDefault="007B5A24" w:rsidP="007B5A24">
      <w:pPr>
        <w:spacing w:after="240" w:line="360" w:lineRule="auto"/>
        <w:rPr>
          <w:rFonts w:ascii="Times New Roman" w:eastAsia="Times New Roman" w:hAnsi="Times New Roman" w:cs="Times New Roman"/>
          <w:sz w:val="24"/>
          <w:szCs w:val="24"/>
        </w:rPr>
      </w:pPr>
      <w:r w:rsidRPr="007B5A24">
        <w:rPr>
          <w:rFonts w:ascii="Times New Roman" w:eastAsia="Times New Roman" w:hAnsi="Times New Roman" w:cs="Times New Roman"/>
          <w:sz w:val="24"/>
          <w:szCs w:val="24"/>
        </w:rPr>
        <w:t xml:space="preserve">Ellis, D. (2007). </w:t>
      </w:r>
      <w:r w:rsidRPr="007B5A24">
        <w:rPr>
          <w:rFonts w:ascii="Times New Roman" w:eastAsia="Times New Roman" w:hAnsi="Times New Roman" w:cs="Times New Roman"/>
          <w:i/>
          <w:iCs/>
          <w:sz w:val="24"/>
          <w:szCs w:val="24"/>
        </w:rPr>
        <w:t>Sandals/Beaches resorts now “guardians of the environment.”</w:t>
      </w:r>
      <w:r w:rsidRPr="007B5A24">
        <w:rPr>
          <w:rFonts w:ascii="Times New Roman" w:eastAsia="Times New Roman" w:hAnsi="Times New Roman" w:cs="Times New Roman"/>
          <w:sz w:val="24"/>
          <w:szCs w:val="24"/>
        </w:rPr>
        <w:t xml:space="preserve"> [online] jamaicaobserver. Available at: https://www.jamaicaobserver.com/news/Sandals/Beaches-resorts-now-“guardians-of-the-environment”. [Accessed 14 December 2021]. [Accessed 14 Dec. 2021].</w:t>
      </w:r>
    </w:p>
    <w:p w:rsidR="007B5A24" w:rsidRPr="007B5A24" w:rsidRDefault="007B5A24" w:rsidP="007B5A24">
      <w:pPr>
        <w:spacing w:after="240" w:line="360" w:lineRule="auto"/>
        <w:rPr>
          <w:rFonts w:ascii="Times New Roman" w:eastAsia="Times New Roman" w:hAnsi="Times New Roman" w:cs="Times New Roman"/>
          <w:sz w:val="24"/>
          <w:szCs w:val="24"/>
        </w:rPr>
      </w:pPr>
      <w:r w:rsidRPr="007B5A24">
        <w:rPr>
          <w:rFonts w:ascii="Times New Roman" w:eastAsia="Times New Roman" w:hAnsi="Times New Roman" w:cs="Times New Roman"/>
          <w:sz w:val="24"/>
          <w:szCs w:val="24"/>
        </w:rPr>
        <w:t xml:space="preserve">Newsdesk (2021). </w:t>
      </w:r>
      <w:r w:rsidRPr="007B5A24">
        <w:rPr>
          <w:rFonts w:ascii="Times New Roman" w:eastAsia="Times New Roman" w:hAnsi="Times New Roman" w:cs="Times New Roman"/>
          <w:i/>
          <w:iCs/>
          <w:sz w:val="24"/>
          <w:szCs w:val="24"/>
        </w:rPr>
        <w:t>Sandals Resorts International Launches “40 for 40” Initiative</w:t>
      </w:r>
      <w:r w:rsidRPr="007B5A24">
        <w:rPr>
          <w:rFonts w:ascii="Times New Roman" w:eastAsia="Times New Roman" w:hAnsi="Times New Roman" w:cs="Times New Roman"/>
          <w:sz w:val="24"/>
          <w:szCs w:val="24"/>
        </w:rPr>
        <w:t>. [online] Travel Agent Central. Available at: https://www.travelagentcentral.com/hotels/sandals-resorts-international-launches-40-40-initiative [Accessed 15 Dec. 2021].</w:t>
      </w:r>
    </w:p>
    <w:p w:rsidR="007B5A24" w:rsidRPr="007B5A24" w:rsidRDefault="007B5A24" w:rsidP="007B5A24">
      <w:pPr>
        <w:spacing w:after="240" w:line="360" w:lineRule="auto"/>
        <w:rPr>
          <w:rFonts w:ascii="Times New Roman" w:eastAsia="Times New Roman" w:hAnsi="Times New Roman" w:cs="Times New Roman"/>
          <w:sz w:val="24"/>
          <w:szCs w:val="24"/>
        </w:rPr>
      </w:pPr>
      <w:r w:rsidRPr="007B5A24">
        <w:rPr>
          <w:rFonts w:ascii="Times New Roman" w:eastAsia="Times New Roman" w:hAnsi="Times New Roman" w:cs="Times New Roman"/>
          <w:sz w:val="24"/>
          <w:szCs w:val="24"/>
        </w:rPr>
        <w:t xml:space="preserve">Sandals Resorts. (2015a). </w:t>
      </w:r>
      <w:r w:rsidRPr="007B5A24">
        <w:rPr>
          <w:rFonts w:ascii="Times New Roman" w:eastAsia="Times New Roman" w:hAnsi="Times New Roman" w:cs="Times New Roman"/>
          <w:i/>
          <w:iCs/>
          <w:sz w:val="24"/>
          <w:szCs w:val="24"/>
        </w:rPr>
        <w:t>Our Founder</w:t>
      </w:r>
      <w:r w:rsidRPr="007B5A24">
        <w:rPr>
          <w:rFonts w:ascii="Times New Roman" w:eastAsia="Times New Roman" w:hAnsi="Times New Roman" w:cs="Times New Roman"/>
          <w:sz w:val="24"/>
          <w:szCs w:val="24"/>
        </w:rPr>
        <w:t>. [online] Available at: https://www.sandals.com/about/ [Accessed 14 Dec. 2021].</w:t>
      </w:r>
    </w:p>
    <w:p w:rsidR="007B5A24" w:rsidRPr="007B5A24" w:rsidRDefault="007B5A24" w:rsidP="007B5A24">
      <w:pPr>
        <w:spacing w:after="240" w:line="360" w:lineRule="auto"/>
        <w:rPr>
          <w:rFonts w:ascii="Times New Roman" w:eastAsia="Times New Roman" w:hAnsi="Times New Roman" w:cs="Times New Roman"/>
          <w:sz w:val="24"/>
          <w:szCs w:val="24"/>
        </w:rPr>
      </w:pPr>
      <w:r w:rsidRPr="007B5A24">
        <w:rPr>
          <w:rFonts w:ascii="Times New Roman" w:eastAsia="Times New Roman" w:hAnsi="Times New Roman" w:cs="Times New Roman"/>
          <w:sz w:val="24"/>
          <w:szCs w:val="24"/>
        </w:rPr>
        <w:t xml:space="preserve">Sandals Resorts. (2015b). </w:t>
      </w:r>
      <w:r w:rsidRPr="007B5A24">
        <w:rPr>
          <w:rFonts w:ascii="Times New Roman" w:eastAsia="Times New Roman" w:hAnsi="Times New Roman" w:cs="Times New Roman"/>
          <w:i/>
          <w:iCs/>
          <w:sz w:val="24"/>
          <w:szCs w:val="24"/>
        </w:rPr>
        <w:t>Our Values</w:t>
      </w:r>
      <w:r w:rsidRPr="007B5A24">
        <w:rPr>
          <w:rFonts w:ascii="Times New Roman" w:eastAsia="Times New Roman" w:hAnsi="Times New Roman" w:cs="Times New Roman"/>
          <w:sz w:val="24"/>
          <w:szCs w:val="24"/>
        </w:rPr>
        <w:t>. [online] Available at: https://www.sandals.com/about/ [Accessed 14 Dec. 2021].</w:t>
      </w:r>
    </w:p>
    <w:p w:rsidR="007B5A24" w:rsidRPr="007B5A24" w:rsidRDefault="007B5A24" w:rsidP="007B5A24">
      <w:pPr>
        <w:spacing w:after="240" w:line="360" w:lineRule="auto"/>
        <w:rPr>
          <w:rFonts w:ascii="Times New Roman" w:eastAsia="Times New Roman" w:hAnsi="Times New Roman" w:cs="Times New Roman"/>
          <w:sz w:val="24"/>
          <w:szCs w:val="24"/>
        </w:rPr>
      </w:pPr>
      <w:r w:rsidRPr="007B5A24">
        <w:rPr>
          <w:rFonts w:ascii="Times New Roman" w:eastAsia="Times New Roman" w:hAnsi="Times New Roman" w:cs="Times New Roman"/>
          <w:sz w:val="24"/>
          <w:szCs w:val="24"/>
        </w:rPr>
        <w:t xml:space="preserve">Sandals Resorts. (n.d.). </w:t>
      </w:r>
      <w:r w:rsidRPr="007B5A24">
        <w:rPr>
          <w:rFonts w:ascii="Times New Roman" w:eastAsia="Times New Roman" w:hAnsi="Times New Roman" w:cs="Times New Roman"/>
          <w:i/>
          <w:iCs/>
          <w:sz w:val="24"/>
          <w:szCs w:val="24"/>
        </w:rPr>
        <w:t>SANDALS® Sustainability &amp; Corporate Social Responsibility</w:t>
      </w:r>
      <w:r w:rsidRPr="007B5A24">
        <w:rPr>
          <w:rFonts w:ascii="Times New Roman" w:eastAsia="Times New Roman" w:hAnsi="Times New Roman" w:cs="Times New Roman"/>
          <w:sz w:val="24"/>
          <w:szCs w:val="24"/>
        </w:rPr>
        <w:t>. [online] Available at: https://www.sandals.com/corporate-responsibility/ [Accessed 14 Dec. 2021].</w:t>
      </w:r>
    </w:p>
    <w:p w:rsidR="007B5A24" w:rsidRPr="007B5A24" w:rsidRDefault="007B5A24" w:rsidP="007B5A24">
      <w:pPr>
        <w:spacing w:after="240" w:line="360" w:lineRule="auto"/>
        <w:rPr>
          <w:rFonts w:ascii="Times New Roman" w:eastAsia="Times New Roman" w:hAnsi="Times New Roman" w:cs="Times New Roman"/>
          <w:sz w:val="24"/>
          <w:szCs w:val="24"/>
        </w:rPr>
      </w:pPr>
      <w:r w:rsidRPr="007B5A24">
        <w:rPr>
          <w:rFonts w:ascii="Times New Roman" w:eastAsia="Times New Roman" w:hAnsi="Times New Roman" w:cs="Times New Roman"/>
          <w:sz w:val="24"/>
          <w:szCs w:val="24"/>
        </w:rPr>
        <w:t xml:space="preserve">Sandals Resorts. (2019). </w:t>
      </w:r>
      <w:r w:rsidRPr="007B5A24">
        <w:rPr>
          <w:rFonts w:ascii="Times New Roman" w:eastAsia="Times New Roman" w:hAnsi="Times New Roman" w:cs="Times New Roman"/>
          <w:i/>
          <w:iCs/>
          <w:sz w:val="24"/>
          <w:szCs w:val="24"/>
        </w:rPr>
        <w:t>Sustainability Policy</w:t>
      </w:r>
      <w:r w:rsidRPr="007B5A24">
        <w:rPr>
          <w:rFonts w:ascii="Times New Roman" w:eastAsia="Times New Roman" w:hAnsi="Times New Roman" w:cs="Times New Roman"/>
          <w:sz w:val="24"/>
          <w:szCs w:val="24"/>
        </w:rPr>
        <w:t>. [online] Available at: https://www.sandals.com/corporate-responsibility/#view-policy [Accessed 14 Dec. 2021].</w:t>
      </w:r>
    </w:p>
    <w:p w:rsidR="007B5A24" w:rsidRPr="007B5A24" w:rsidRDefault="007B5A24" w:rsidP="007B5A24">
      <w:pPr>
        <w:spacing w:after="240" w:line="360" w:lineRule="auto"/>
        <w:rPr>
          <w:rFonts w:ascii="Times New Roman" w:eastAsia="Times New Roman" w:hAnsi="Times New Roman" w:cs="Times New Roman"/>
          <w:sz w:val="24"/>
          <w:szCs w:val="24"/>
        </w:rPr>
      </w:pPr>
      <w:r w:rsidRPr="007B5A24">
        <w:rPr>
          <w:rFonts w:ascii="Times New Roman" w:eastAsia="Times New Roman" w:hAnsi="Times New Roman" w:cs="Times New Roman"/>
          <w:sz w:val="24"/>
          <w:szCs w:val="24"/>
        </w:rPr>
        <w:t xml:space="preserve">sandalsfoundation.org. (n.d.). </w:t>
      </w:r>
      <w:r w:rsidRPr="007B5A24">
        <w:rPr>
          <w:rFonts w:ascii="Times New Roman" w:eastAsia="Times New Roman" w:hAnsi="Times New Roman" w:cs="Times New Roman"/>
          <w:i/>
          <w:iCs/>
          <w:sz w:val="24"/>
          <w:szCs w:val="24"/>
        </w:rPr>
        <w:t>Environment - Project “Coral Restoration” | Sandals Foundation</w:t>
      </w:r>
      <w:r w:rsidRPr="007B5A24">
        <w:rPr>
          <w:rFonts w:ascii="Times New Roman" w:eastAsia="Times New Roman" w:hAnsi="Times New Roman" w:cs="Times New Roman"/>
          <w:sz w:val="24"/>
          <w:szCs w:val="24"/>
        </w:rPr>
        <w:t>. [online] Available at: https://sandalsfoundation.org/environment-project-coral-restoration [Accessed 15 Dec. 2021].</w:t>
      </w:r>
    </w:p>
    <w:p w:rsidR="007B5A24" w:rsidRPr="007B5A24" w:rsidRDefault="007B5A24" w:rsidP="007B5A24">
      <w:pPr>
        <w:spacing w:after="240" w:line="360" w:lineRule="auto"/>
        <w:rPr>
          <w:rFonts w:ascii="Times New Roman" w:eastAsia="Times New Roman" w:hAnsi="Times New Roman" w:cs="Times New Roman"/>
          <w:sz w:val="24"/>
          <w:szCs w:val="24"/>
        </w:rPr>
      </w:pPr>
      <w:r w:rsidRPr="007B5A24">
        <w:rPr>
          <w:rFonts w:ascii="Times New Roman" w:eastAsia="Times New Roman" w:hAnsi="Times New Roman" w:cs="Times New Roman"/>
          <w:sz w:val="24"/>
          <w:szCs w:val="24"/>
        </w:rPr>
        <w:t xml:space="preserve">sandalsfoundation.org. (n.d.). </w:t>
      </w:r>
      <w:r w:rsidRPr="007B5A24">
        <w:rPr>
          <w:rFonts w:ascii="Times New Roman" w:eastAsia="Times New Roman" w:hAnsi="Times New Roman" w:cs="Times New Roman"/>
          <w:i/>
          <w:iCs/>
          <w:sz w:val="24"/>
          <w:szCs w:val="24"/>
        </w:rPr>
        <w:t>Environment - Project “Whitehouse Sanctuary” | Sandals Foundation</w:t>
      </w:r>
      <w:r w:rsidRPr="007B5A24">
        <w:rPr>
          <w:rFonts w:ascii="Times New Roman" w:eastAsia="Times New Roman" w:hAnsi="Times New Roman" w:cs="Times New Roman"/>
          <w:sz w:val="24"/>
          <w:szCs w:val="24"/>
        </w:rPr>
        <w:t>. [online] Available at: https://sandalsfoundation.org/environment-project-whitehouse-sanctuary [Accessed 15 Dec. 2021].</w:t>
      </w:r>
    </w:p>
    <w:p w:rsidR="007B5A24" w:rsidRPr="007B5A24" w:rsidRDefault="007B5A24" w:rsidP="007B5A24">
      <w:pPr>
        <w:spacing w:after="240" w:line="360" w:lineRule="auto"/>
        <w:rPr>
          <w:rFonts w:ascii="Times New Roman" w:eastAsia="Times New Roman" w:hAnsi="Times New Roman" w:cs="Times New Roman"/>
          <w:sz w:val="24"/>
          <w:szCs w:val="24"/>
        </w:rPr>
      </w:pPr>
      <w:r w:rsidRPr="007B5A24">
        <w:rPr>
          <w:rFonts w:ascii="Times New Roman" w:eastAsia="Times New Roman" w:hAnsi="Times New Roman" w:cs="Times New Roman"/>
          <w:sz w:val="24"/>
          <w:szCs w:val="24"/>
        </w:rPr>
        <w:lastRenderedPageBreak/>
        <w:t xml:space="preserve">trivago Business Blog (2019). </w:t>
      </w:r>
      <w:r w:rsidRPr="007B5A24">
        <w:rPr>
          <w:rFonts w:ascii="Times New Roman" w:eastAsia="Times New Roman" w:hAnsi="Times New Roman" w:cs="Times New Roman"/>
          <w:i/>
          <w:iCs/>
          <w:sz w:val="24"/>
          <w:szCs w:val="24"/>
        </w:rPr>
        <w:t>Sustainable Hospitality: Eco-Friendly Industry Trends and Tips for Hotels</w:t>
      </w:r>
      <w:r w:rsidRPr="007B5A24">
        <w:rPr>
          <w:rFonts w:ascii="Times New Roman" w:eastAsia="Times New Roman" w:hAnsi="Times New Roman" w:cs="Times New Roman"/>
          <w:sz w:val="24"/>
          <w:szCs w:val="24"/>
        </w:rPr>
        <w:t>. [online] trivago Business Blog. Available at: https://businessblog.trivago.com/sustainable-hospitality-trends-eco-friendly-hotel-tips/ [Accessed 14 Dec. 2021].</w:t>
      </w:r>
    </w:p>
    <w:p w:rsidR="007B5A24" w:rsidRPr="007B5A24" w:rsidRDefault="007B5A24" w:rsidP="007B5A24">
      <w:pPr>
        <w:spacing w:after="240" w:line="360" w:lineRule="auto"/>
        <w:rPr>
          <w:rFonts w:ascii="Times New Roman" w:eastAsia="Times New Roman" w:hAnsi="Times New Roman" w:cs="Times New Roman"/>
          <w:sz w:val="24"/>
          <w:szCs w:val="24"/>
        </w:rPr>
      </w:pPr>
      <w:r w:rsidRPr="007B5A24">
        <w:rPr>
          <w:rFonts w:ascii="Times New Roman" w:eastAsia="Times New Roman" w:hAnsi="Times New Roman" w:cs="Times New Roman"/>
          <w:sz w:val="24"/>
          <w:szCs w:val="24"/>
        </w:rPr>
        <w:t xml:space="preserve">www.proquest.com. (n.d.). </w:t>
      </w:r>
      <w:r w:rsidRPr="007B5A24">
        <w:rPr>
          <w:rFonts w:ascii="Times New Roman" w:eastAsia="Times New Roman" w:hAnsi="Times New Roman" w:cs="Times New Roman"/>
          <w:i/>
          <w:iCs/>
          <w:sz w:val="24"/>
          <w:szCs w:val="24"/>
        </w:rPr>
        <w:t>Environmental regulations and their effect on - ProQuest</w:t>
      </w:r>
      <w:r w:rsidRPr="007B5A24">
        <w:rPr>
          <w:rFonts w:ascii="Times New Roman" w:eastAsia="Times New Roman" w:hAnsi="Times New Roman" w:cs="Times New Roman"/>
          <w:sz w:val="24"/>
          <w:szCs w:val="24"/>
        </w:rPr>
        <w:t>. [online] Available at: https://www.proquest.com/docview/2266927820?accountid=130472 [Accessed 14 Dec. 2021].</w:t>
      </w:r>
    </w:p>
    <w:p w:rsidR="007B5A24" w:rsidRPr="007B5A24" w:rsidRDefault="007B5A24" w:rsidP="007B5A24">
      <w:pPr>
        <w:spacing w:after="200" w:line="276" w:lineRule="auto"/>
        <w:rPr>
          <w:rFonts w:ascii="Calibri" w:eastAsia="Calibri" w:hAnsi="Calibri" w:cs="Calibri"/>
          <w:lang w:val="en-GB"/>
        </w:rPr>
      </w:pPr>
    </w:p>
    <w:p w:rsidR="00F5195C" w:rsidRDefault="00F5195C" w:rsidP="00F5195C">
      <w:pPr>
        <w:spacing w:after="200" w:line="480" w:lineRule="auto"/>
        <w:rPr>
          <w:rFonts w:ascii="Times New Roman" w:eastAsia="Calibri" w:hAnsi="Times New Roman" w:cs="Times New Roman"/>
          <w:sz w:val="24"/>
          <w:szCs w:val="24"/>
          <w:lang w:val="en-GB"/>
        </w:rPr>
      </w:pPr>
    </w:p>
    <w:p w:rsidR="00F5195C" w:rsidRDefault="00F5195C">
      <w:pPr>
        <w:rPr>
          <w:rFonts w:ascii="Times New Roman" w:eastAsia="Calibri" w:hAnsi="Times New Roman" w:cs="Times New Roman"/>
          <w:sz w:val="24"/>
          <w:szCs w:val="24"/>
          <w:lang w:val="en-GB"/>
        </w:rPr>
      </w:pPr>
      <w:r>
        <w:rPr>
          <w:rFonts w:ascii="Times New Roman" w:eastAsia="Calibri" w:hAnsi="Times New Roman" w:cs="Times New Roman"/>
          <w:sz w:val="24"/>
          <w:szCs w:val="24"/>
          <w:lang w:val="en-GB"/>
        </w:rPr>
        <w:br w:type="page"/>
      </w:r>
    </w:p>
    <w:p w:rsidR="00F5195C" w:rsidRPr="007B5A24" w:rsidRDefault="00F5195C" w:rsidP="007B5A24">
      <w:pPr>
        <w:spacing w:after="200" w:line="480" w:lineRule="auto"/>
        <w:rPr>
          <w:rFonts w:ascii="Times New Roman" w:eastAsia="Calibri" w:hAnsi="Times New Roman" w:cs="Times New Roman"/>
          <w:b/>
          <w:sz w:val="24"/>
          <w:szCs w:val="24"/>
          <w:lang w:val="en-GB"/>
        </w:rPr>
      </w:pPr>
      <w:r w:rsidRPr="007B5A24">
        <w:rPr>
          <w:rFonts w:ascii="Times New Roman" w:eastAsia="Calibri" w:hAnsi="Times New Roman" w:cs="Times New Roman"/>
          <w:b/>
          <w:sz w:val="24"/>
          <w:szCs w:val="24"/>
          <w:lang w:val="en-GB"/>
        </w:rPr>
        <w:lastRenderedPageBreak/>
        <w:t>Staff awareness</w:t>
      </w:r>
    </w:p>
    <w:p w:rsidR="00F5195C" w:rsidRPr="00F5195C" w:rsidRDefault="00F5195C" w:rsidP="007B5A24">
      <w:pPr>
        <w:spacing w:after="200" w:line="480" w:lineRule="auto"/>
        <w:rPr>
          <w:rFonts w:ascii="Times New Roman" w:eastAsia="Calibri" w:hAnsi="Times New Roman" w:cs="Times New Roman"/>
          <w:sz w:val="24"/>
          <w:szCs w:val="24"/>
          <w:lang w:val="en-GB"/>
        </w:rPr>
      </w:pPr>
      <w:r w:rsidRPr="00F5195C">
        <w:rPr>
          <w:rFonts w:ascii="Times New Roman" w:eastAsia="Calibri" w:hAnsi="Times New Roman" w:cs="Times New Roman"/>
          <w:sz w:val="24"/>
          <w:szCs w:val="24"/>
          <w:lang w:val="en-GB"/>
        </w:rPr>
        <w:t>An examination of the relationship between staff awareness and successful sustainable efforts in hospitality (Synthesis).</w:t>
      </w:r>
    </w:p>
    <w:p w:rsidR="00F5195C" w:rsidRPr="00F5195C" w:rsidRDefault="00F5195C" w:rsidP="007B5A24">
      <w:pPr>
        <w:spacing w:after="200" w:line="480" w:lineRule="auto"/>
        <w:jc w:val="center"/>
        <w:rPr>
          <w:rFonts w:ascii="Times New Roman" w:eastAsia="Calibri" w:hAnsi="Times New Roman" w:cs="Times New Roman"/>
          <w:sz w:val="24"/>
          <w:szCs w:val="24"/>
          <w:lang w:val="en-GB"/>
        </w:rPr>
      </w:pPr>
    </w:p>
    <w:p w:rsidR="00F5195C" w:rsidRPr="00F5195C" w:rsidRDefault="00F5195C" w:rsidP="00F5195C">
      <w:pPr>
        <w:spacing w:after="200" w:line="480" w:lineRule="auto"/>
        <w:rPr>
          <w:rFonts w:ascii="Times New Roman" w:eastAsia="Calibri" w:hAnsi="Times New Roman" w:cs="Times New Roman"/>
          <w:sz w:val="24"/>
          <w:szCs w:val="24"/>
          <w:lang w:val="en-GB"/>
        </w:rPr>
      </w:pPr>
      <w:r w:rsidRPr="00F5195C">
        <w:rPr>
          <w:rFonts w:ascii="Times New Roman" w:eastAsia="Calibri" w:hAnsi="Times New Roman" w:cs="Times New Roman"/>
          <w:sz w:val="24"/>
          <w:szCs w:val="24"/>
          <w:lang w:val="en-GB"/>
        </w:rPr>
        <w:t xml:space="preserve">Globally there is increased discussion on climate change which has spurred awareness of the need to safeguard the environment sooner rather than later. As a consequence, more tourism and hospitality operatives are adopting sound environmental sustainability practices in an effort to offset their negative impacts. The operation’s success in adopting green practices depends on its employees' personal beliefs and everyday actions (Chou, 2014). This transition is encourage by an age of conscious consumers who actively support businesses that are responsible stewards of the environment. In a study done on ‘Consumers’ willingness to pay for green initiatives of the hotel industry’ it was found that a positive link exist between guests’ environmental concerns and their willingness to pay more for an accommodation’s sustainable practices (Kang et al., 2012). Thus it is necessary to further examine the nature of the relationship between staff awareness and the success of the travel and hospitality sector’s environmentally sustainable practices. </w:t>
      </w:r>
    </w:p>
    <w:p w:rsidR="00F5195C" w:rsidRPr="00F5195C" w:rsidRDefault="00F5195C" w:rsidP="00F5195C">
      <w:pPr>
        <w:spacing w:after="200" w:line="480" w:lineRule="auto"/>
        <w:rPr>
          <w:rFonts w:ascii="Times New Roman" w:eastAsia="Calibri" w:hAnsi="Times New Roman" w:cs="Times New Roman"/>
          <w:sz w:val="24"/>
          <w:szCs w:val="24"/>
          <w:lang w:val="en-GB"/>
        </w:rPr>
      </w:pPr>
      <w:r w:rsidRPr="00F5195C">
        <w:rPr>
          <w:rFonts w:ascii="Times New Roman" w:eastAsia="Calibri" w:hAnsi="Times New Roman" w:cs="Times New Roman"/>
          <w:sz w:val="24"/>
          <w:szCs w:val="24"/>
          <w:lang w:val="en-GB"/>
        </w:rPr>
        <w:t xml:space="preserve">One can debate that the faith of tourism and hospitality is intertwined with that of the natural and physical environment. Bearing this stance in mind a natural progression for such operatives would be to act urgently in curbing activities that hasten environmental decline. However, reality has shown that change is rarely easy. Introducing Environmental Management Programs (EMP) may result in employees resisting the change because they have become complacent with their routine (Chan et al., 2014). Applying a change management theory to the issue at hand may </w:t>
      </w:r>
      <w:r w:rsidRPr="00F5195C">
        <w:rPr>
          <w:rFonts w:ascii="Times New Roman" w:eastAsia="Calibri" w:hAnsi="Times New Roman" w:cs="Times New Roman"/>
          <w:sz w:val="24"/>
          <w:szCs w:val="24"/>
          <w:lang w:val="en-GB"/>
        </w:rPr>
        <w:lastRenderedPageBreak/>
        <w:t xml:space="preserve">assist with understanding why staff should have an active role in the sustainability policies of an organisation. It is said that successful change is based on how it is facilitated at the individual level (Hiatt, J 2006). Hiatt’s  Awareness, Desire, Knowledge, Ability, Reinforcement (ADKAR) model focuses on the organisation’s base up which in theory increases the rate of adoption to the changes. The transition phase. Awareness and desire are needed to move employees out of the current state, where change is needed but has not started. Communication is key for the hospitality organisation that plans to enact sustainable changes in their operation. Staff must be provided with clear explanations for the need to change, why it is necessary and must agree with the reasons. A successful communication process should help staff understand the benefits to them for the change thus creating a desire for adoption of the change. Knowledge and ability occur during the transition phase which underscores staffs’ education, training and requires them to act in a new way for the change to be realized. The reinforcement continues into the future, once the change takes root it becomes the new normal. </w:t>
      </w:r>
    </w:p>
    <w:p w:rsidR="00F5195C" w:rsidRPr="00F5195C" w:rsidRDefault="00F5195C" w:rsidP="00F5195C">
      <w:pPr>
        <w:spacing w:after="200" w:line="480" w:lineRule="auto"/>
        <w:rPr>
          <w:rFonts w:ascii="Times New Roman" w:eastAsia="Calibri" w:hAnsi="Times New Roman" w:cs="Times New Roman"/>
          <w:sz w:val="24"/>
          <w:szCs w:val="24"/>
          <w:lang w:val="en-GB"/>
        </w:rPr>
      </w:pPr>
    </w:p>
    <w:p w:rsidR="00F5195C" w:rsidRPr="00F5195C" w:rsidRDefault="00F5195C" w:rsidP="00F5195C">
      <w:pPr>
        <w:spacing w:after="200" w:line="480" w:lineRule="auto"/>
        <w:rPr>
          <w:rFonts w:ascii="Times New Roman" w:eastAsia="Calibri" w:hAnsi="Times New Roman" w:cs="Times New Roman"/>
          <w:sz w:val="24"/>
          <w:szCs w:val="24"/>
          <w:lang w:val="en-GB"/>
        </w:rPr>
      </w:pPr>
      <w:r w:rsidRPr="00F5195C">
        <w:rPr>
          <w:rFonts w:ascii="Times New Roman" w:eastAsia="Calibri" w:hAnsi="Times New Roman" w:cs="Times New Roman"/>
          <w:sz w:val="24"/>
          <w:szCs w:val="24"/>
          <w:lang w:val="en-GB"/>
        </w:rPr>
        <w:t xml:space="preserve">Similarly, the Next Tourism Generation (NTG) Alliance is an organisation that believes that it is critical for hospitality staff to have requisite knowledge of green initiatives that are necessary to enact EMPs. One of their principal objectives is to identify present and future skill gaps that are necessary for the implementation of EMPs (NTG, 2019). The Alliance points out that sustainable initiatives like waste and energy management are the results of conscious efforts made by the human resource in the hospitality organisation (Park and E. Levy, 2014). To maintain and improve upon these systems the employees must possess the ability to recognize ecological issues and suggest possible solution thus arise the need for proficient training in ‘green skills’. According to NTG Alliance (2019) green skills include knowledge of the dangers and risks, </w:t>
      </w:r>
      <w:r w:rsidRPr="00F5195C">
        <w:rPr>
          <w:rFonts w:ascii="Times New Roman" w:eastAsia="Calibri" w:hAnsi="Times New Roman" w:cs="Times New Roman"/>
          <w:sz w:val="24"/>
          <w:szCs w:val="24"/>
          <w:lang w:val="en-GB"/>
        </w:rPr>
        <w:lastRenderedPageBreak/>
        <w:t>inherent to any activity, combined with proactive behaviour to avoid or minimize the negative impacts on all concerned parties – the hotel, the guests, nature, the destination and other stakeholders.</w:t>
      </w:r>
    </w:p>
    <w:p w:rsidR="00F5195C" w:rsidRPr="00F5195C" w:rsidRDefault="00F5195C" w:rsidP="00F5195C">
      <w:pPr>
        <w:spacing w:after="200" w:line="480" w:lineRule="auto"/>
        <w:rPr>
          <w:rFonts w:ascii="Times New Roman" w:eastAsia="Calibri" w:hAnsi="Times New Roman" w:cs="Times New Roman"/>
          <w:sz w:val="24"/>
          <w:szCs w:val="24"/>
          <w:lang w:val="en-GB"/>
        </w:rPr>
      </w:pPr>
      <w:r w:rsidRPr="00F5195C">
        <w:rPr>
          <w:rFonts w:ascii="Times New Roman" w:eastAsia="Calibri" w:hAnsi="Times New Roman" w:cs="Times New Roman"/>
          <w:sz w:val="24"/>
          <w:szCs w:val="24"/>
          <w:lang w:val="en-GB"/>
        </w:rPr>
        <w:t xml:space="preserve">Sandals Resort International (SRI) is one example of a hospitality brand that took initiative to be a stewardship leader for EMPs rollout and staff awareness. The brand operates in the Caribbean region which is heavily reliant on the natural physical resources of the environment to attract visitor. Thus part of their strategy is to enact initiative to conserve and protect the environment, the base on which the business is built. It can be said that the level of environmental concern among workers is influenced by the knowledge sharing that is encourage in the organisation thus employees that are more environmentally aware are more likely to engage in ecological behaviour in the workplace (Chan et al. 2014). This is proven accurate in SRI case where the staff actively volunteers to assist the brand with promoting sustainable initiative and environmental conservation within the communities where they operate. (Sandals foundation, 2021) SRI boldly promotes a culture of environmental stewardship at all their properties and admits that staff awareness is a key part of their strategy. To demonstrate their commitment to facilitating staff education and training SRI founded an exclusive corporate university in 2012 (Sandals Resorts, 2015). </w:t>
      </w:r>
    </w:p>
    <w:p w:rsidR="00F5195C" w:rsidRPr="00F5195C" w:rsidRDefault="00F5195C" w:rsidP="00F5195C">
      <w:pPr>
        <w:spacing w:after="200" w:line="480" w:lineRule="auto"/>
        <w:rPr>
          <w:rFonts w:ascii="Times New Roman" w:eastAsia="Calibri" w:hAnsi="Times New Roman" w:cs="Times New Roman"/>
          <w:sz w:val="24"/>
          <w:szCs w:val="24"/>
          <w:lang w:val="en-GB"/>
        </w:rPr>
      </w:pPr>
    </w:p>
    <w:p w:rsidR="00F5195C" w:rsidRDefault="00F5195C" w:rsidP="00F5195C">
      <w:pPr>
        <w:spacing w:after="200" w:line="480" w:lineRule="auto"/>
        <w:rPr>
          <w:rFonts w:ascii="Times New Roman" w:eastAsia="Calibri" w:hAnsi="Times New Roman" w:cs="Times New Roman"/>
          <w:sz w:val="24"/>
          <w:szCs w:val="24"/>
          <w:lang w:val="en-GB"/>
        </w:rPr>
      </w:pPr>
      <w:r w:rsidRPr="00F5195C">
        <w:rPr>
          <w:rFonts w:ascii="Times New Roman" w:eastAsia="Calibri" w:hAnsi="Times New Roman" w:cs="Times New Roman"/>
          <w:sz w:val="24"/>
          <w:szCs w:val="24"/>
          <w:lang w:val="en-GB"/>
        </w:rPr>
        <w:t xml:space="preserve">Responsible environmental stewards acknowledge the roles that staff play in creating and maintaining their environmental policies across the organisation. When a business makes provision for reducing environmental impacts it is an opportunity to positively influence staff’s self-esteem by providing a gateways to enact positive change (Paco and Nave, 2013 cited in </w:t>
      </w:r>
      <w:r w:rsidRPr="00F5195C">
        <w:rPr>
          <w:rFonts w:ascii="Times New Roman" w:eastAsia="Calibri" w:hAnsi="Times New Roman" w:cs="Times New Roman"/>
          <w:sz w:val="24"/>
          <w:szCs w:val="24"/>
          <w:lang w:val="en-GB"/>
        </w:rPr>
        <w:lastRenderedPageBreak/>
        <w:t>Sourvinou and Filimonau, 2017). EMPs are usually crafted by management with relevant consultants but it is also critical to include staff from all levels of the organisation throughout each phase of the plan. Hospitality staff play key roles not only in implementation but also in improving the process over time thus they are the stewards of sustaining the sustainable initiatives or EMPs. For example front line staff performs those daily task that underscores the activities of the business and as a consequence they may have developed unique insights into more efficient ways of doing a process or reducing wastage. Sustainability is a team effort and must incorporate awareness for all team members especially those who will be entrusted with the daily task for its success.</w:t>
      </w:r>
    </w:p>
    <w:p w:rsidR="00F5195C" w:rsidRDefault="00F5195C">
      <w:pPr>
        <w:rPr>
          <w:rFonts w:ascii="Times New Roman" w:eastAsia="Calibri" w:hAnsi="Times New Roman" w:cs="Times New Roman"/>
          <w:sz w:val="24"/>
          <w:szCs w:val="24"/>
          <w:lang w:val="en-GB"/>
        </w:rPr>
      </w:pPr>
      <w:r>
        <w:rPr>
          <w:rFonts w:ascii="Times New Roman" w:eastAsia="Calibri" w:hAnsi="Times New Roman" w:cs="Times New Roman"/>
          <w:sz w:val="24"/>
          <w:szCs w:val="24"/>
          <w:lang w:val="en-GB"/>
        </w:rPr>
        <w:br w:type="page"/>
      </w:r>
    </w:p>
    <w:p w:rsidR="00F5195C" w:rsidRDefault="007B5A24" w:rsidP="00F5195C">
      <w:pPr>
        <w:pStyle w:val="NormalWeb"/>
        <w:spacing w:before="0" w:beforeAutospacing="0" w:after="240" w:afterAutospacing="0" w:line="360" w:lineRule="auto"/>
        <w:rPr>
          <w:sz w:val="36"/>
          <w:szCs w:val="36"/>
        </w:rPr>
      </w:pPr>
      <w:r>
        <w:rPr>
          <w:sz w:val="36"/>
          <w:szCs w:val="36"/>
        </w:rPr>
        <w:lastRenderedPageBreak/>
        <w:t xml:space="preserve">Reference </w:t>
      </w:r>
    </w:p>
    <w:p w:rsidR="00F5195C" w:rsidRDefault="00F5195C" w:rsidP="00F5195C">
      <w:pPr>
        <w:pStyle w:val="NormalWeb"/>
        <w:spacing w:before="0" w:beforeAutospacing="0" w:after="240" w:afterAutospacing="0" w:line="360" w:lineRule="auto"/>
      </w:pPr>
      <w:r>
        <w:t xml:space="preserve">Chan, E.S.W., Hon, A.H.Y., Chan, W. and Okumus, F. (2014). What drives employees’ intentions to implement green practices in hotels? The role of knowledge, awareness, concern and ecological behaviour. </w:t>
      </w:r>
      <w:r>
        <w:rPr>
          <w:i/>
          <w:iCs/>
        </w:rPr>
        <w:t>International Journal of Hospitality Management</w:t>
      </w:r>
      <w:r>
        <w:t>, 40, pp.20–28.</w:t>
      </w:r>
    </w:p>
    <w:p w:rsidR="00F5195C" w:rsidRDefault="00F5195C" w:rsidP="00F5195C">
      <w:pPr>
        <w:pStyle w:val="NormalWeb"/>
        <w:spacing w:before="0" w:beforeAutospacing="0" w:after="240" w:afterAutospacing="0" w:line="360" w:lineRule="auto"/>
      </w:pPr>
      <w:r>
        <w:t xml:space="preserve">Chou, C.-J. (2014). Hotels’ environmental policies and employee personal environmental beliefs: Interactions and outcomes. </w:t>
      </w:r>
      <w:r>
        <w:rPr>
          <w:i/>
          <w:iCs/>
        </w:rPr>
        <w:t>Tourism Management</w:t>
      </w:r>
      <w:r>
        <w:t>, [online] 40, pp.436–446. Available at: https://www.sciencedirect.com/science/article/pii/S0261517713001477 [Accessed 8 Nov. 2019].</w:t>
      </w:r>
    </w:p>
    <w:p w:rsidR="00F5195C" w:rsidRDefault="00F5195C" w:rsidP="00F5195C">
      <w:pPr>
        <w:pStyle w:val="NormalWeb"/>
        <w:spacing w:before="0" w:beforeAutospacing="0" w:after="240" w:afterAutospacing="0" w:line="360" w:lineRule="auto"/>
      </w:pPr>
      <w:r>
        <w:t xml:space="preserve">Kang, K.H., Stein, L., Heo, C.Y. and Lee, S. (2012). Consumers’ willingness to pay for green initiatives of the hotel industry. </w:t>
      </w:r>
      <w:r>
        <w:rPr>
          <w:i/>
          <w:iCs/>
        </w:rPr>
        <w:t>International Journal of Hospitality Management</w:t>
      </w:r>
      <w:r>
        <w:t>, 31(2), pp.564–572.</w:t>
      </w:r>
    </w:p>
    <w:p w:rsidR="00F5195C" w:rsidRDefault="00F5195C" w:rsidP="00F5195C">
      <w:pPr>
        <w:pStyle w:val="NormalWeb"/>
        <w:spacing w:before="0" w:beforeAutospacing="0" w:after="240" w:afterAutospacing="0" w:line="360" w:lineRule="auto"/>
      </w:pPr>
      <w:r>
        <w:t xml:space="preserve">NTG. (2019). </w:t>
      </w:r>
      <w:r>
        <w:rPr>
          <w:i/>
          <w:iCs/>
        </w:rPr>
        <w:t>Sustainability and “green” skills in hospitality - how to make a sexy concept work?</w:t>
      </w:r>
      <w:r>
        <w:t xml:space="preserve"> [online] Available at: https://nexttourismgeneration.eu/sustainability-and-green-skills-in-hospitality-how-to-make-a-sexy-concept-work/.</w:t>
      </w:r>
    </w:p>
    <w:p w:rsidR="00F5195C" w:rsidRDefault="00F5195C" w:rsidP="00F5195C">
      <w:pPr>
        <w:pStyle w:val="NormalWeb"/>
        <w:spacing w:before="0" w:beforeAutospacing="0" w:after="240" w:afterAutospacing="0" w:line="360" w:lineRule="auto"/>
      </w:pPr>
      <w:r>
        <w:t xml:space="preserve">Park, S.-Y. and E. Levy, S. (2014). Corporate social responsibility: perspectives of hotel frontline employees. </w:t>
      </w:r>
      <w:r>
        <w:rPr>
          <w:i/>
          <w:iCs/>
        </w:rPr>
        <w:t>International Journal of Contemporary Hospitality Management</w:t>
      </w:r>
      <w:r>
        <w:t>, [online] 26(3), pp.332–348. Available at: https://repository.usfca.edu/cgi/viewcontent.cgi?referer=https://scholar.google.com.au/&amp;httpsredir=1&amp;article=1031&amp;context=esib [Accessed 3 Jun. 2019].</w:t>
      </w:r>
    </w:p>
    <w:p w:rsidR="00F5195C" w:rsidRDefault="00F5195C" w:rsidP="00F5195C">
      <w:pPr>
        <w:pStyle w:val="NormalWeb"/>
        <w:spacing w:before="0" w:beforeAutospacing="0" w:after="240" w:afterAutospacing="0" w:line="360" w:lineRule="auto"/>
      </w:pPr>
      <w:r>
        <w:t xml:space="preserve">Sandals foundation (2021). </w:t>
      </w:r>
      <w:r>
        <w:rPr>
          <w:i/>
          <w:iCs/>
        </w:rPr>
        <w:t>Category “Environment” | Sandals Foundation</w:t>
      </w:r>
      <w:r>
        <w:t>. [online] sandalsfoundation.org. Available at: https://sandalsfoundation.org/environment [Accessed 17 Dec. 2021].</w:t>
      </w:r>
    </w:p>
    <w:p w:rsidR="00F5195C" w:rsidRDefault="00F5195C" w:rsidP="00F5195C">
      <w:pPr>
        <w:pStyle w:val="NormalWeb"/>
        <w:spacing w:before="0" w:beforeAutospacing="0" w:after="240" w:afterAutospacing="0" w:line="360" w:lineRule="auto"/>
      </w:pPr>
      <w:r>
        <w:t xml:space="preserve">Sandals Resorts. (2015). </w:t>
      </w:r>
      <w:r>
        <w:rPr>
          <w:i/>
          <w:iCs/>
        </w:rPr>
        <w:t>Sandals Corporate University</w:t>
      </w:r>
      <w:r>
        <w:t>. [online] Available at: https://www.sandals.com/about/ [Accessed 17 Dec. 2021].</w:t>
      </w:r>
    </w:p>
    <w:p w:rsidR="00F5195C" w:rsidRDefault="00F5195C" w:rsidP="00F5195C">
      <w:pPr>
        <w:pStyle w:val="NormalWeb"/>
        <w:spacing w:before="0" w:beforeAutospacing="0" w:after="240" w:afterAutospacing="0" w:line="360" w:lineRule="auto"/>
      </w:pPr>
      <w:r>
        <w:t xml:space="preserve">Sourvinou, A. and Filimonau, V. (2017). Planning for an environmental management programme in a luxury hotel and its perceived impact on staff: an exploratory case study. </w:t>
      </w:r>
      <w:r>
        <w:rPr>
          <w:i/>
          <w:iCs/>
        </w:rPr>
        <w:t>Journal of Sustainable Tourism</w:t>
      </w:r>
      <w:r>
        <w:t>, 26(4), pp.649–667.</w:t>
      </w:r>
    </w:p>
    <w:sectPr w:rsidR="00F5195C">
      <w:footerReference w:type="default" r:id="rId1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8504E1" w:rsidRDefault="008504E1" w:rsidP="007B5A24">
      <w:pPr>
        <w:spacing w:after="0" w:line="240" w:lineRule="auto"/>
      </w:pPr>
      <w:r>
        <w:separator/>
      </w:r>
    </w:p>
  </w:endnote>
  <w:endnote w:type="continuationSeparator" w:id="0">
    <w:p w:rsidR="008504E1" w:rsidRDefault="008504E1" w:rsidP="007B5A2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31225741"/>
      <w:docPartObj>
        <w:docPartGallery w:val="Page Numbers (Bottom of Page)"/>
        <w:docPartUnique/>
      </w:docPartObj>
    </w:sdtPr>
    <w:sdtEndPr>
      <w:rPr>
        <w:noProof/>
      </w:rPr>
    </w:sdtEndPr>
    <w:sdtContent>
      <w:p w:rsidR="007B5A24" w:rsidRDefault="007B5A24">
        <w:pPr>
          <w:pStyle w:val="Footer"/>
          <w:jc w:val="right"/>
        </w:pPr>
        <w:r>
          <w:fldChar w:fldCharType="begin"/>
        </w:r>
        <w:r>
          <w:instrText xml:space="preserve"> PAGE   \* MERGEFORMAT </w:instrText>
        </w:r>
        <w:r>
          <w:fldChar w:fldCharType="separate"/>
        </w:r>
        <w:r w:rsidR="00EE4B12">
          <w:rPr>
            <w:noProof/>
          </w:rPr>
          <w:t>1</w:t>
        </w:r>
        <w:r>
          <w:rPr>
            <w:noProof/>
          </w:rPr>
          <w:fldChar w:fldCharType="end"/>
        </w:r>
      </w:p>
    </w:sdtContent>
  </w:sdt>
  <w:p w:rsidR="007B5A24" w:rsidRDefault="007B5A24">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8504E1" w:rsidRDefault="008504E1" w:rsidP="007B5A24">
      <w:pPr>
        <w:spacing w:after="0" w:line="240" w:lineRule="auto"/>
      </w:pPr>
      <w:r>
        <w:separator/>
      </w:r>
    </w:p>
  </w:footnote>
  <w:footnote w:type="continuationSeparator" w:id="0">
    <w:p w:rsidR="008504E1" w:rsidRDefault="008504E1" w:rsidP="007B5A24">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13D356C"/>
    <w:multiLevelType w:val="multilevel"/>
    <w:tmpl w:val="79B0DC4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99"/>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5195C"/>
    <w:rsid w:val="00091988"/>
    <w:rsid w:val="007B5A24"/>
    <w:rsid w:val="008504E1"/>
    <w:rsid w:val="00C12D37"/>
    <w:rsid w:val="00EE4B12"/>
    <w:rsid w:val="00F5195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C60B3F0C-6235-4D87-AAD9-E89830971B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F5195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F5195C"/>
    <w:pPr>
      <w:spacing w:before="100" w:beforeAutospacing="1" w:after="100" w:afterAutospacing="1" w:line="240" w:lineRule="auto"/>
    </w:pPr>
    <w:rPr>
      <w:rFonts w:ascii="Times New Roman" w:eastAsia="Times New Roman" w:hAnsi="Times New Roman" w:cs="Times New Roman"/>
      <w:sz w:val="24"/>
      <w:szCs w:val="24"/>
    </w:rPr>
  </w:style>
  <w:style w:type="paragraph" w:styleId="Header">
    <w:name w:val="header"/>
    <w:basedOn w:val="Normal"/>
    <w:link w:val="HeaderChar"/>
    <w:uiPriority w:val="99"/>
    <w:unhideWhenUsed/>
    <w:rsid w:val="007B5A24"/>
    <w:pPr>
      <w:tabs>
        <w:tab w:val="center" w:pos="4680"/>
        <w:tab w:val="right" w:pos="9360"/>
      </w:tabs>
      <w:spacing w:after="0" w:line="240" w:lineRule="auto"/>
    </w:pPr>
  </w:style>
  <w:style w:type="character" w:customStyle="1" w:styleId="HeaderChar">
    <w:name w:val="Header Char"/>
    <w:basedOn w:val="DefaultParagraphFont"/>
    <w:link w:val="Header"/>
    <w:uiPriority w:val="99"/>
    <w:rsid w:val="007B5A24"/>
  </w:style>
  <w:style w:type="paragraph" w:styleId="Footer">
    <w:name w:val="footer"/>
    <w:basedOn w:val="Normal"/>
    <w:link w:val="FooterChar"/>
    <w:uiPriority w:val="99"/>
    <w:unhideWhenUsed/>
    <w:rsid w:val="007B5A24"/>
    <w:pPr>
      <w:tabs>
        <w:tab w:val="center" w:pos="4680"/>
        <w:tab w:val="right" w:pos="9360"/>
      </w:tabs>
      <w:spacing w:after="0" w:line="240" w:lineRule="auto"/>
    </w:pPr>
  </w:style>
  <w:style w:type="character" w:customStyle="1" w:styleId="FooterChar">
    <w:name w:val="Footer Char"/>
    <w:basedOn w:val="DefaultParagraphFont"/>
    <w:link w:val="Footer"/>
    <w:uiPriority w:val="99"/>
    <w:rsid w:val="007B5A2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832525464">
      <w:bodyDiv w:val="1"/>
      <w:marLeft w:val="0"/>
      <w:marRight w:val="0"/>
      <w:marTop w:val="0"/>
      <w:marBottom w:val="0"/>
      <w:divBdr>
        <w:top w:val="none" w:sz="0" w:space="0" w:color="auto"/>
        <w:left w:val="none" w:sz="0" w:space="0" w:color="auto"/>
        <w:bottom w:val="none" w:sz="0" w:space="0" w:color="auto"/>
        <w:right w:val="none" w:sz="0" w:space="0" w:color="auto"/>
      </w:divBdr>
      <w:divsChild>
        <w:div w:id="39921099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jpeg"/><Relationship Id="rId5" Type="http://schemas.openxmlformats.org/officeDocument/2006/relationships/footnotes" Target="footnotes.xml"/><Relationship Id="rId10" Type="http://schemas.openxmlformats.org/officeDocument/2006/relationships/image" Target="media/image4.jpeg"/><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36</TotalTime>
  <Pages>36</Pages>
  <Words>7755</Words>
  <Characters>44205</Characters>
  <Application>Microsoft Office Word</Application>
  <DocSecurity>0</DocSecurity>
  <Lines>368</Lines>
  <Paragraphs>103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51857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Natasha Anderson</dc:creator>
  <cp:keywords/>
  <dc:description/>
  <cp:lastModifiedBy>Natasha Anderson</cp:lastModifiedBy>
  <cp:revision>2</cp:revision>
  <dcterms:created xsi:type="dcterms:W3CDTF">2021-12-17T22:39:00Z</dcterms:created>
  <dcterms:modified xsi:type="dcterms:W3CDTF">2021-12-17T23:27:00Z</dcterms:modified>
</cp:coreProperties>
</file>