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F6769" w14:textId="77777777" w:rsidR="00450CD9" w:rsidRDefault="00450CD9" w:rsidP="00450CD9">
      <w:pPr>
        <w:pStyle w:val="paragraph"/>
        <w:spacing w:line="480" w:lineRule="auto"/>
        <w:jc w:val="both"/>
        <w:textAlignment w:val="baseline"/>
        <w:rPr>
          <w:rStyle w:val="normaltextrun"/>
        </w:rPr>
      </w:pPr>
    </w:p>
    <w:p w14:paraId="3A9F0B19" w14:textId="77777777" w:rsidR="00450CD9" w:rsidRDefault="00450CD9" w:rsidP="00450CD9">
      <w:pPr>
        <w:pStyle w:val="paragraph"/>
        <w:spacing w:line="480" w:lineRule="auto"/>
        <w:jc w:val="both"/>
        <w:textAlignment w:val="baseline"/>
        <w:rPr>
          <w:rStyle w:val="normaltextrun"/>
        </w:rPr>
      </w:pPr>
    </w:p>
    <w:p w14:paraId="0279A3C4" w14:textId="77777777" w:rsidR="00450CD9" w:rsidRDefault="00450CD9" w:rsidP="00450CD9">
      <w:pPr>
        <w:pStyle w:val="paragraph"/>
        <w:spacing w:line="480" w:lineRule="auto"/>
        <w:jc w:val="both"/>
        <w:textAlignment w:val="baseline"/>
        <w:rPr>
          <w:rStyle w:val="normaltextrun"/>
        </w:rPr>
      </w:pPr>
    </w:p>
    <w:p w14:paraId="2E3DCCDF" w14:textId="77777777" w:rsidR="009F4DAA" w:rsidRDefault="009F4DAA" w:rsidP="009F4DAA">
      <w:pPr>
        <w:pStyle w:val="paragraph"/>
        <w:spacing w:line="480" w:lineRule="auto"/>
        <w:jc w:val="center"/>
        <w:textAlignment w:val="baseline"/>
        <w:rPr>
          <w:rStyle w:val="normaltextrun"/>
        </w:rPr>
      </w:pPr>
      <w:r>
        <w:rPr>
          <w:rStyle w:val="normaltextrun"/>
        </w:rPr>
        <w:t>Assignment 2</w:t>
      </w:r>
    </w:p>
    <w:p w14:paraId="13E94787" w14:textId="77777777" w:rsidR="009F4DAA" w:rsidRDefault="009F4DAA" w:rsidP="009F4DAA">
      <w:pPr>
        <w:pStyle w:val="paragraph"/>
        <w:spacing w:line="480" w:lineRule="auto"/>
        <w:jc w:val="center"/>
        <w:textAlignment w:val="baseline"/>
        <w:rPr>
          <w:rStyle w:val="normaltextrun"/>
        </w:rPr>
      </w:pPr>
      <w:r>
        <w:rPr>
          <w:rStyle w:val="normaltextrun"/>
        </w:rPr>
        <w:t>By Faisal Shamsdin</w:t>
      </w:r>
    </w:p>
    <w:p w14:paraId="7769C894" w14:textId="77777777" w:rsidR="009F4DAA" w:rsidRDefault="009F4DAA" w:rsidP="009F4DAA">
      <w:pPr>
        <w:pStyle w:val="paragraph"/>
        <w:spacing w:line="480" w:lineRule="auto"/>
        <w:jc w:val="center"/>
        <w:textAlignment w:val="baseline"/>
        <w:rPr>
          <w:rStyle w:val="normaltextrun"/>
        </w:rPr>
      </w:pPr>
    </w:p>
    <w:p w14:paraId="3040BAFF" w14:textId="77777777" w:rsidR="009F4DAA" w:rsidRDefault="009F4DAA" w:rsidP="009F4DAA">
      <w:pPr>
        <w:pStyle w:val="paragraph"/>
        <w:spacing w:line="480" w:lineRule="auto"/>
        <w:jc w:val="center"/>
        <w:textAlignment w:val="baseline"/>
        <w:rPr>
          <w:rStyle w:val="normaltextrun"/>
        </w:rPr>
      </w:pPr>
      <w:r>
        <w:rPr>
          <w:rStyle w:val="normaltextrun"/>
        </w:rPr>
        <w:t>Criminal Law</w:t>
      </w:r>
    </w:p>
    <w:p w14:paraId="3E528B66" w14:textId="77777777" w:rsidR="009F4DAA" w:rsidRDefault="009F4DAA" w:rsidP="009F4DAA">
      <w:pPr>
        <w:pStyle w:val="paragraph"/>
        <w:spacing w:line="480" w:lineRule="auto"/>
        <w:jc w:val="center"/>
        <w:textAlignment w:val="baseline"/>
        <w:rPr>
          <w:rStyle w:val="normaltextrun"/>
        </w:rPr>
      </w:pPr>
      <w:r>
        <w:rPr>
          <w:rStyle w:val="normaltextrun"/>
        </w:rPr>
        <w:t>For Laura Knight</w:t>
      </w:r>
    </w:p>
    <w:p w14:paraId="7FBA9BD2" w14:textId="77777777" w:rsidR="009F4DAA" w:rsidRDefault="009F4DAA" w:rsidP="009F4DAA">
      <w:pPr>
        <w:pStyle w:val="paragraph"/>
        <w:spacing w:line="480" w:lineRule="auto"/>
        <w:jc w:val="center"/>
        <w:textAlignment w:val="baseline"/>
        <w:rPr>
          <w:rStyle w:val="normaltextrun"/>
        </w:rPr>
      </w:pPr>
      <w:r>
        <w:rPr>
          <w:rStyle w:val="normaltextrun"/>
        </w:rPr>
        <w:t>UWTSD</w:t>
      </w:r>
    </w:p>
    <w:p w14:paraId="34F8CA57" w14:textId="77777777" w:rsidR="009F4DAA" w:rsidRDefault="009F4DAA" w:rsidP="009F4DAA">
      <w:pPr>
        <w:pStyle w:val="paragraph"/>
        <w:spacing w:line="480" w:lineRule="auto"/>
        <w:jc w:val="center"/>
        <w:textAlignment w:val="baseline"/>
        <w:rPr>
          <w:rStyle w:val="normaltextrun"/>
        </w:rPr>
      </w:pPr>
      <w:r>
        <w:rPr>
          <w:rStyle w:val="normaltextrun"/>
        </w:rPr>
        <w:t>Swansea</w:t>
      </w:r>
    </w:p>
    <w:p w14:paraId="4777399B" w14:textId="77777777" w:rsidR="009F4DAA" w:rsidRDefault="009F4DAA" w:rsidP="009F4DAA">
      <w:pPr>
        <w:pStyle w:val="paragraph"/>
        <w:spacing w:line="480" w:lineRule="auto"/>
        <w:jc w:val="center"/>
        <w:textAlignment w:val="baseline"/>
        <w:rPr>
          <w:rStyle w:val="normaltextrun"/>
        </w:rPr>
      </w:pPr>
      <w:r>
        <w:rPr>
          <w:rStyle w:val="normaltextrun"/>
        </w:rPr>
        <w:t>22/04/2021</w:t>
      </w:r>
    </w:p>
    <w:p w14:paraId="55604571" w14:textId="77777777" w:rsidR="00450CD9" w:rsidRDefault="00450CD9" w:rsidP="00450CD9">
      <w:pPr>
        <w:pStyle w:val="paragraph"/>
        <w:spacing w:line="480" w:lineRule="auto"/>
        <w:jc w:val="both"/>
        <w:textAlignment w:val="baseline"/>
        <w:rPr>
          <w:rStyle w:val="normaltextrun"/>
        </w:rPr>
      </w:pPr>
    </w:p>
    <w:p w14:paraId="6954ECFF" w14:textId="77777777" w:rsidR="00450CD9" w:rsidRDefault="00450CD9" w:rsidP="00450CD9">
      <w:pPr>
        <w:pStyle w:val="paragraph"/>
        <w:spacing w:line="480" w:lineRule="auto"/>
        <w:jc w:val="both"/>
        <w:textAlignment w:val="baseline"/>
        <w:rPr>
          <w:rStyle w:val="normaltextrun"/>
        </w:rPr>
      </w:pPr>
    </w:p>
    <w:p w14:paraId="7A14D085" w14:textId="77777777" w:rsidR="00450CD9" w:rsidRDefault="00450CD9" w:rsidP="00450CD9">
      <w:pPr>
        <w:pStyle w:val="paragraph"/>
        <w:spacing w:line="480" w:lineRule="auto"/>
        <w:jc w:val="both"/>
        <w:textAlignment w:val="baseline"/>
        <w:rPr>
          <w:rStyle w:val="normaltextrun"/>
        </w:rPr>
      </w:pPr>
    </w:p>
    <w:p w14:paraId="0B906F03" w14:textId="77777777" w:rsidR="00450CD9" w:rsidRDefault="00450CD9" w:rsidP="00450CD9">
      <w:pPr>
        <w:pStyle w:val="paragraph"/>
        <w:spacing w:line="480" w:lineRule="auto"/>
        <w:jc w:val="both"/>
        <w:textAlignment w:val="baseline"/>
        <w:rPr>
          <w:rStyle w:val="normaltextrun"/>
        </w:rPr>
      </w:pPr>
    </w:p>
    <w:p w14:paraId="3EFF80C2" w14:textId="77777777" w:rsidR="00450CD9" w:rsidRDefault="00450CD9" w:rsidP="00450CD9">
      <w:pPr>
        <w:pStyle w:val="paragraph"/>
        <w:spacing w:line="480" w:lineRule="auto"/>
        <w:jc w:val="both"/>
        <w:textAlignment w:val="baseline"/>
        <w:rPr>
          <w:rStyle w:val="normaltextrun"/>
        </w:rPr>
      </w:pPr>
    </w:p>
    <w:p w14:paraId="6AFB74EE" w14:textId="77777777" w:rsidR="00450CD9" w:rsidRDefault="00450CD9" w:rsidP="00450CD9">
      <w:pPr>
        <w:pStyle w:val="paragraph"/>
        <w:spacing w:line="480" w:lineRule="auto"/>
        <w:jc w:val="both"/>
        <w:textAlignment w:val="baseline"/>
        <w:rPr>
          <w:rStyle w:val="normaltextrun"/>
        </w:rPr>
      </w:pPr>
    </w:p>
    <w:p w14:paraId="4BC1C23A" w14:textId="77777777" w:rsidR="00450CD9" w:rsidRDefault="00450CD9" w:rsidP="00450CD9">
      <w:pPr>
        <w:pStyle w:val="paragraph"/>
        <w:spacing w:line="480" w:lineRule="auto"/>
        <w:jc w:val="both"/>
        <w:textAlignment w:val="baseline"/>
      </w:pPr>
      <w:r>
        <w:rPr>
          <w:rStyle w:val="normaltextrun"/>
        </w:rPr>
        <w:lastRenderedPageBreak/>
        <w:t>Question 1</w:t>
      </w:r>
      <w:r>
        <w:rPr>
          <w:rStyle w:val="eop"/>
        </w:rPr>
        <w:t> </w:t>
      </w:r>
    </w:p>
    <w:p w14:paraId="6344F6F9" w14:textId="7C132301" w:rsidR="00450CD9" w:rsidRDefault="00450CD9" w:rsidP="00450CD9">
      <w:pPr>
        <w:pStyle w:val="paragraph"/>
        <w:spacing w:line="480" w:lineRule="auto"/>
        <w:jc w:val="both"/>
        <w:textAlignment w:val="baseline"/>
      </w:pPr>
      <w:r>
        <w:rPr>
          <w:rStyle w:val="normaltextrun"/>
        </w:rPr>
        <w:t xml:space="preserve">The case of </w:t>
      </w:r>
      <w:proofErr w:type="spellStart"/>
      <w:r>
        <w:rPr>
          <w:rStyle w:val="normaltextrun"/>
        </w:rPr>
        <w:t>M’Naghten</w:t>
      </w:r>
      <w:proofErr w:type="spellEnd"/>
      <w:r w:rsidR="007A44C2">
        <w:rPr>
          <w:rStyle w:val="normaltextrun"/>
        </w:rPr>
        <w:t xml:space="preserve"> </w:t>
      </w:r>
      <w:r>
        <w:rPr>
          <w:rStyle w:val="normaltextrun"/>
        </w:rPr>
        <w:t>established the defense of</w:t>
      </w:r>
      <w:r w:rsidR="00CF3651">
        <w:rPr>
          <w:rStyle w:val="normaltextrun"/>
        </w:rPr>
        <w:t xml:space="preserve"> insanity</w:t>
      </w:r>
      <w:r>
        <w:rPr>
          <w:rStyle w:val="normaltextrun"/>
        </w:rPr>
        <w:t>.</w:t>
      </w:r>
      <w:r w:rsidR="00CF3651">
        <w:rPr>
          <w:rStyle w:val="normaltextrun"/>
        </w:rPr>
        <w:t xml:space="preserve"> </w:t>
      </w:r>
      <w:sdt>
        <w:sdtPr>
          <w:rPr>
            <w:rStyle w:val="normaltextrun"/>
          </w:rPr>
          <w:id w:val="-1145048838"/>
          <w:citation/>
        </w:sdtPr>
        <w:sdtEndPr>
          <w:rPr>
            <w:rStyle w:val="normaltextrun"/>
          </w:rPr>
        </w:sdtEndPr>
        <w:sdtContent>
          <w:r w:rsidR="00CF3651">
            <w:rPr>
              <w:rStyle w:val="normaltextrun"/>
            </w:rPr>
            <w:fldChar w:fldCharType="begin"/>
          </w:r>
          <w:r w:rsidR="00CF3651">
            <w:rPr>
              <w:rStyle w:val="normaltextrun"/>
              <w:lang w:val="en-GB"/>
            </w:rPr>
            <w:instrText xml:space="preserve"> CITATION Sco09 \l 2057 </w:instrText>
          </w:r>
          <w:r w:rsidR="00CF3651">
            <w:rPr>
              <w:rStyle w:val="normaltextrun"/>
            </w:rPr>
            <w:fldChar w:fldCharType="separate"/>
          </w:r>
          <w:r w:rsidR="000C024A" w:rsidRPr="000C024A">
            <w:rPr>
              <w:noProof/>
              <w:lang w:val="en-GB"/>
            </w:rPr>
            <w:t>(Scott &amp; Pinals, 2009)</w:t>
          </w:r>
          <w:r w:rsidR="00CF3651">
            <w:rPr>
              <w:rStyle w:val="normaltextrun"/>
            </w:rPr>
            <w:fldChar w:fldCharType="end"/>
          </w:r>
        </w:sdtContent>
      </w:sdt>
      <w:r w:rsidR="000A0AFC">
        <w:rPr>
          <w:rStyle w:val="normaltextrun"/>
        </w:rPr>
        <w:t>.</w:t>
      </w:r>
      <w:r>
        <w:rPr>
          <w:rStyle w:val="normaltextrun"/>
        </w:rPr>
        <w:t xml:space="preserve"> It established the requirements that need to be satisfied in order to prove insanity, popularly known as</w:t>
      </w:r>
      <w:r w:rsidR="00A803EC">
        <w:rPr>
          <w:rStyle w:val="normaltextrun"/>
        </w:rPr>
        <w:t xml:space="preserve"> </w:t>
      </w:r>
      <w:proofErr w:type="spellStart"/>
      <w:r w:rsidR="00A803EC">
        <w:rPr>
          <w:rStyle w:val="normaltextrun"/>
        </w:rPr>
        <w:t>M’Naghten</w:t>
      </w:r>
      <w:proofErr w:type="spellEnd"/>
      <w:r w:rsidR="00A803EC">
        <w:rPr>
          <w:rStyle w:val="normaltextrun"/>
        </w:rPr>
        <w:t xml:space="preserve"> rules</w:t>
      </w:r>
      <w:r>
        <w:rPr>
          <w:rStyle w:val="normaltextrun"/>
        </w:rPr>
        <w:t>.</w:t>
      </w:r>
      <w:r w:rsidR="00A803EC">
        <w:rPr>
          <w:rStyle w:val="normaltextrun"/>
        </w:rPr>
        <w:t xml:space="preserve"> </w:t>
      </w:r>
      <w:sdt>
        <w:sdtPr>
          <w:rPr>
            <w:rStyle w:val="normaltextrun"/>
          </w:rPr>
          <w:id w:val="-1733612482"/>
          <w:citation/>
        </w:sdtPr>
        <w:sdtEndPr>
          <w:rPr>
            <w:rStyle w:val="normaltextrun"/>
          </w:rPr>
        </w:sdtEndPr>
        <w:sdtContent>
          <w:r w:rsidR="00A803EC">
            <w:rPr>
              <w:rStyle w:val="normaltextrun"/>
            </w:rPr>
            <w:fldChar w:fldCharType="begin"/>
          </w:r>
          <w:r w:rsidR="00A803EC">
            <w:rPr>
              <w:rStyle w:val="normaltextrun"/>
              <w:lang w:val="en-GB"/>
            </w:rPr>
            <w:instrText xml:space="preserve"> CITATION FMc93 \l 2057 </w:instrText>
          </w:r>
          <w:r w:rsidR="00A803EC">
            <w:rPr>
              <w:rStyle w:val="normaltextrun"/>
            </w:rPr>
            <w:fldChar w:fldCharType="separate"/>
          </w:r>
          <w:r w:rsidR="000C024A" w:rsidRPr="000C024A">
            <w:rPr>
              <w:noProof/>
              <w:lang w:val="en-GB"/>
            </w:rPr>
            <w:t>(McAuley, 1993)</w:t>
          </w:r>
          <w:r w:rsidR="00A803EC">
            <w:rPr>
              <w:rStyle w:val="normaltextrun"/>
            </w:rPr>
            <w:fldChar w:fldCharType="end"/>
          </w:r>
        </w:sdtContent>
      </w:sdt>
      <w:r>
        <w:rPr>
          <w:rStyle w:val="normaltextrun"/>
        </w:rPr>
        <w:t xml:space="preserve"> The following are some of the requirements to be established: the accused performed an action under defect of reason, his or her actions arose from the disease of their mind which led to him or her not knowing the quality and nature of their act. In addition, the accused was not aware that he or she was doing a wrongful act. There is a presumption in Law that every person is sane. In instances where the prosecution team have proven the element of actus reus beyond reasonable doubt in a criminal case, the defendant needs to establish the requirements of proving insanity whose standard of proof is based on a balance of probabilities. In all instances, there will be a need for the defendant to adduce evidence that has been developed by medical practitioners who are registered. </w:t>
      </w:r>
      <w:r>
        <w:rPr>
          <w:rStyle w:val="eop"/>
        </w:rPr>
        <w:t> </w:t>
      </w:r>
    </w:p>
    <w:p w14:paraId="67C3885E" w14:textId="15F4014C" w:rsidR="00450CD9" w:rsidRDefault="00450CD9" w:rsidP="00450CD9">
      <w:pPr>
        <w:pStyle w:val="paragraph"/>
        <w:spacing w:line="480" w:lineRule="auto"/>
        <w:jc w:val="both"/>
        <w:textAlignment w:val="baseline"/>
      </w:pPr>
      <w:r>
        <w:rPr>
          <w:rStyle w:val="normaltextrun"/>
        </w:rPr>
        <w:t>On the element of defect of reason, it refers to the defendant proving that he or she was deprived thei</w:t>
      </w:r>
      <w:r w:rsidR="007A44C2">
        <w:rPr>
          <w:rStyle w:val="normaltextrun"/>
        </w:rPr>
        <w:t>r power to reason</w:t>
      </w:r>
      <w:r>
        <w:rPr>
          <w:rStyle w:val="normaltextrun"/>
        </w:rPr>
        <w:t>.</w:t>
      </w:r>
      <w:r w:rsidR="007A44C2">
        <w:rPr>
          <w:rStyle w:val="normaltextrun"/>
        </w:rPr>
        <w:t xml:space="preserve"> </w:t>
      </w:r>
      <w:sdt>
        <w:sdtPr>
          <w:rPr>
            <w:rStyle w:val="normaltextrun"/>
          </w:rPr>
          <w:id w:val="382218663"/>
          <w:citation/>
        </w:sdtPr>
        <w:sdtEndPr>
          <w:rPr>
            <w:rStyle w:val="normaltextrun"/>
          </w:rPr>
        </w:sdtEndPr>
        <w:sdtContent>
          <w:r w:rsidR="007A44C2">
            <w:rPr>
              <w:rStyle w:val="normaltextrun"/>
            </w:rPr>
            <w:fldChar w:fldCharType="begin"/>
          </w:r>
          <w:r w:rsidR="007A44C2">
            <w:rPr>
              <w:rStyle w:val="normaltextrun"/>
              <w:lang w:val="en-GB"/>
            </w:rPr>
            <w:instrText xml:space="preserve"> CITATION NAb79 \l 2057 </w:instrText>
          </w:r>
          <w:r w:rsidR="007A44C2">
            <w:rPr>
              <w:rStyle w:val="normaltextrun"/>
            </w:rPr>
            <w:fldChar w:fldCharType="separate"/>
          </w:r>
          <w:r w:rsidR="000C024A" w:rsidRPr="000C024A">
            <w:rPr>
              <w:noProof/>
              <w:lang w:val="en-GB"/>
            </w:rPr>
            <w:t>(Abrams, 1979)</w:t>
          </w:r>
          <w:r w:rsidR="007A44C2">
            <w:rPr>
              <w:rStyle w:val="normaltextrun"/>
            </w:rPr>
            <w:fldChar w:fldCharType="end"/>
          </w:r>
        </w:sdtContent>
      </w:sdt>
      <w:r w:rsidR="007A44C2">
        <w:rPr>
          <w:rStyle w:val="normaltextrun"/>
        </w:rPr>
        <w:t>.</w:t>
      </w:r>
      <w:r>
        <w:rPr>
          <w:rStyle w:val="normaltextrun"/>
        </w:rPr>
        <w:t xml:space="preserve"> Absentmindedness or distraction that is temporary do not suffice. In </w:t>
      </w:r>
      <w:r w:rsidR="007A44C2">
        <w:rPr>
          <w:rStyle w:val="normaltextrun"/>
          <w:i/>
          <w:iCs/>
        </w:rPr>
        <w:t>R vs Clarke,</w:t>
      </w:r>
      <w:r>
        <w:rPr>
          <w:rStyle w:val="normaltextrun"/>
        </w:rPr>
        <w:t xml:space="preserve"> the accused had been charged with robbery. She admitted that she had unlawfully taken the goods as a result of being absentminded at that moment. She had been suffering from depression. The court held that absentmindedness does not amount to defect of reason and therefore the defense failed.</w:t>
      </w:r>
      <w:r>
        <w:rPr>
          <w:rStyle w:val="eop"/>
        </w:rPr>
        <w:t> </w:t>
      </w:r>
    </w:p>
    <w:p w14:paraId="53537D27" w14:textId="499D3B37" w:rsidR="00450CD9" w:rsidRDefault="00450CD9" w:rsidP="00450CD9">
      <w:pPr>
        <w:pStyle w:val="paragraph"/>
        <w:spacing w:line="480" w:lineRule="auto"/>
        <w:jc w:val="both"/>
        <w:textAlignment w:val="baseline"/>
      </w:pPr>
      <w:r>
        <w:rPr>
          <w:rStyle w:val="normaltextrun"/>
        </w:rPr>
        <w:t xml:space="preserve">In </w:t>
      </w:r>
      <w:r w:rsidR="007A44C2">
        <w:rPr>
          <w:rStyle w:val="normaltextrun"/>
          <w:i/>
          <w:iCs/>
        </w:rPr>
        <w:t>R v Sullivan (1984)</w:t>
      </w:r>
      <w:r>
        <w:rPr>
          <w:rStyle w:val="normaltextrun"/>
        </w:rPr>
        <w:t xml:space="preserve">, a disease of the mind was defined as an illness that </w:t>
      </w:r>
      <w:proofErr w:type="gramStart"/>
      <w:r>
        <w:rPr>
          <w:rStyle w:val="normaltextrun"/>
        </w:rPr>
        <w:t>has an effect on</w:t>
      </w:r>
      <w:proofErr w:type="gramEnd"/>
      <w:r>
        <w:rPr>
          <w:rStyle w:val="normaltextrun"/>
        </w:rPr>
        <w:t xml:space="preserve"> the mental spaces for memory, reason and understanding. The disease of the mind does not arise from a cause that is external. In the case </w:t>
      </w:r>
      <w:r>
        <w:rPr>
          <w:rStyle w:val="normaltextrun"/>
          <w:i/>
          <w:iCs/>
        </w:rPr>
        <w:t>of R vs Sullivan</w:t>
      </w:r>
      <w:r>
        <w:rPr>
          <w:rStyle w:val="normaltextrun"/>
        </w:rPr>
        <w:t xml:space="preserve">, the defendant had been accused of kicking a man. At that </w:t>
      </w:r>
      <w:proofErr w:type="gramStart"/>
      <w:r>
        <w:rPr>
          <w:rStyle w:val="normaltextrun"/>
        </w:rPr>
        <w:t>particular time</w:t>
      </w:r>
      <w:proofErr w:type="gramEnd"/>
      <w:r>
        <w:rPr>
          <w:rStyle w:val="normaltextrun"/>
        </w:rPr>
        <w:t xml:space="preserve">, he was suffering from the disease of epilepsy. The court held that it was a factor that was internal and hence considered to be a disease of the mind. This led to the temporary suspension of the mental spaces of memory, reason and understanding </w:t>
      </w:r>
      <w:r>
        <w:rPr>
          <w:rStyle w:val="normaltextrun"/>
        </w:rPr>
        <w:lastRenderedPageBreak/>
        <w:t xml:space="preserve">which suffices as evidence. In the case of </w:t>
      </w:r>
      <w:r w:rsidR="007A44C2">
        <w:rPr>
          <w:rStyle w:val="normaltextrun"/>
          <w:i/>
          <w:iCs/>
        </w:rPr>
        <w:t>R vs Burgess (1991)</w:t>
      </w:r>
      <w:r>
        <w:rPr>
          <w:rStyle w:val="normaltextrun"/>
        </w:rPr>
        <w:t xml:space="preserve">, the accused had gone for a sleepover at the flat of his friend. Her friend attacked her as he was sleepwalking through hitting her head and strangling her. She screamed and as a result he got back into his rightful state of mind. The court held that sleepwalking can be believed to be an internal factor and constitutes as a disease of the mind. </w:t>
      </w:r>
      <w:r>
        <w:rPr>
          <w:rStyle w:val="eop"/>
        </w:rPr>
        <w:t> </w:t>
      </w:r>
    </w:p>
    <w:p w14:paraId="44F51670" w14:textId="411033A9" w:rsidR="00450CD9" w:rsidRDefault="00450CD9" w:rsidP="00450CD9">
      <w:pPr>
        <w:pStyle w:val="paragraph"/>
        <w:spacing w:line="480" w:lineRule="auto"/>
        <w:jc w:val="both"/>
        <w:textAlignment w:val="baseline"/>
      </w:pPr>
      <w:r>
        <w:rPr>
          <w:rStyle w:val="normaltextrun"/>
        </w:rPr>
        <w:t>Another element that must be proven is the effec</w:t>
      </w:r>
      <w:r w:rsidR="007A44C2">
        <w:rPr>
          <w:rStyle w:val="normaltextrun"/>
        </w:rPr>
        <w:t xml:space="preserve">t of the defect. </w:t>
      </w:r>
      <w:sdt>
        <w:sdtPr>
          <w:rPr>
            <w:rStyle w:val="normaltextrun"/>
          </w:rPr>
          <w:id w:val="-1932035627"/>
          <w:citation/>
        </w:sdtPr>
        <w:sdtEndPr>
          <w:rPr>
            <w:rStyle w:val="normaltextrun"/>
          </w:rPr>
        </w:sdtEndPr>
        <w:sdtContent>
          <w:r w:rsidR="007A44C2">
            <w:rPr>
              <w:rStyle w:val="normaltextrun"/>
            </w:rPr>
            <w:fldChar w:fldCharType="begin"/>
          </w:r>
          <w:r w:rsidR="007A44C2">
            <w:rPr>
              <w:rStyle w:val="normaltextrun"/>
              <w:lang w:val="en-GB"/>
            </w:rPr>
            <w:instrText xml:space="preserve"> CITATION JMo54 \l 2057 </w:instrText>
          </w:r>
          <w:r w:rsidR="007A44C2">
            <w:rPr>
              <w:rStyle w:val="normaltextrun"/>
            </w:rPr>
            <w:fldChar w:fldCharType="separate"/>
          </w:r>
          <w:r w:rsidR="000C024A" w:rsidRPr="000C024A">
            <w:rPr>
              <w:noProof/>
              <w:lang w:val="en-GB"/>
            </w:rPr>
            <w:t>(Montrose, 1954)</w:t>
          </w:r>
          <w:r w:rsidR="007A44C2">
            <w:rPr>
              <w:rStyle w:val="normaltextrun"/>
            </w:rPr>
            <w:fldChar w:fldCharType="end"/>
          </w:r>
        </w:sdtContent>
      </w:sdt>
      <w:r w:rsidR="007A44C2">
        <w:rPr>
          <w:rStyle w:val="normaltextrun"/>
        </w:rPr>
        <w:t>.</w:t>
      </w:r>
      <w:r>
        <w:rPr>
          <w:rStyle w:val="normaltextrun"/>
        </w:rPr>
        <w:t xml:space="preserve"> The effect is determined by the nature, quality, and wrongfulness. On the aspect of nature and quality, it refers to the ability of a defendant to acknowledge what he or she was doing physically and the physical consequences of their actions. In the case of </w:t>
      </w:r>
      <w:r>
        <w:rPr>
          <w:rStyle w:val="normaltextrun"/>
          <w:i/>
          <w:iCs/>
        </w:rPr>
        <w:t>R</w:t>
      </w:r>
      <w:r w:rsidR="007A44C2">
        <w:rPr>
          <w:rStyle w:val="normaltextrun"/>
          <w:i/>
          <w:iCs/>
        </w:rPr>
        <w:t xml:space="preserve"> vs </w:t>
      </w:r>
      <w:proofErr w:type="spellStart"/>
      <w:r w:rsidR="007A44C2">
        <w:rPr>
          <w:rStyle w:val="normaltextrun"/>
          <w:i/>
          <w:iCs/>
        </w:rPr>
        <w:t>Codere</w:t>
      </w:r>
      <w:proofErr w:type="spellEnd"/>
      <w:r w:rsidR="007A44C2">
        <w:rPr>
          <w:rStyle w:val="normaltextrun"/>
          <w:i/>
          <w:iCs/>
        </w:rPr>
        <w:t xml:space="preserve"> (1916)</w:t>
      </w:r>
      <w:r>
        <w:rPr>
          <w:rStyle w:val="normaltextrun"/>
        </w:rPr>
        <w:t xml:space="preserve">, the accused cut the throat of his wife while thinking that he was cutting a loaf. The defendant was charged with murder. The court argued that the element of the knowledge of the nature and quality of the actions of the defendant, according to </w:t>
      </w:r>
      <w:proofErr w:type="spellStart"/>
      <w:r>
        <w:rPr>
          <w:rStyle w:val="normaltextrun"/>
        </w:rPr>
        <w:t>M’Naghten</w:t>
      </w:r>
      <w:proofErr w:type="spellEnd"/>
      <w:r>
        <w:rPr>
          <w:rStyle w:val="normaltextrun"/>
        </w:rPr>
        <w:t xml:space="preserve"> rules, was linked to the physical nature of the action and not the moral or legal character. The court held that regardless of </w:t>
      </w:r>
      <w:proofErr w:type="spellStart"/>
      <w:r>
        <w:rPr>
          <w:rStyle w:val="normaltextrun"/>
        </w:rPr>
        <w:t>Codere</w:t>
      </w:r>
      <w:proofErr w:type="spellEnd"/>
      <w:r>
        <w:rPr>
          <w:rStyle w:val="normaltextrun"/>
        </w:rPr>
        <w:t xml:space="preserve"> being aware that murder is unlawful, he can still be exempted from comprehending the physical nature of an act of murder. On the aspect of the effect of the defect </w:t>
      </w:r>
      <w:proofErr w:type="gramStart"/>
      <w:r>
        <w:rPr>
          <w:rStyle w:val="normaltextrun"/>
        </w:rPr>
        <w:t>being considered to be</w:t>
      </w:r>
      <w:proofErr w:type="gramEnd"/>
      <w:r>
        <w:rPr>
          <w:rStyle w:val="normaltextrun"/>
        </w:rPr>
        <w:t xml:space="preserve"> wrong, this entails the accused being aware that his or her actions can be considered to be legally wrong and to not be morally wrong. In the case of </w:t>
      </w:r>
      <w:r w:rsidR="007A44C2">
        <w:rPr>
          <w:rStyle w:val="normaltextrun"/>
          <w:i/>
          <w:iCs/>
        </w:rPr>
        <w:t>R vs Windle (1952)</w:t>
      </w:r>
      <w:r>
        <w:rPr>
          <w:rStyle w:val="normaltextrun"/>
        </w:rPr>
        <w:t xml:space="preserve">, the accused suffered from a physiological disability and had incredibly low levels of resolve. He was not happy in his marriage with his wife who suffered from depression that was severe and has asked him to murder her. He agreed to it and gave her an overdose of aspirin. During his arrest by the police, he told them of the possibility of him being hanged because of aiding in the wife’s death. The court held that that the despite of the defect of reason that was cause by the disease of the mind, the defendant was aware that his actions were unlawful. He could not understand the reason of his actions being morally wrong. Therefore, his plea of sanity </w:t>
      </w:r>
      <w:proofErr w:type="gramStart"/>
      <w:r>
        <w:rPr>
          <w:rStyle w:val="normaltextrun"/>
        </w:rPr>
        <w:t>did not succeed</w:t>
      </w:r>
      <w:proofErr w:type="gramEnd"/>
      <w:r>
        <w:rPr>
          <w:rStyle w:val="normaltextrun"/>
        </w:rPr>
        <w:t xml:space="preserve">. </w:t>
      </w:r>
      <w:r>
        <w:rPr>
          <w:rStyle w:val="eop"/>
        </w:rPr>
        <w:t> </w:t>
      </w:r>
    </w:p>
    <w:p w14:paraId="096A954A" w14:textId="2FC801F8" w:rsidR="00450CD9" w:rsidRDefault="00450CD9" w:rsidP="00450CD9">
      <w:pPr>
        <w:pStyle w:val="paragraph"/>
        <w:spacing w:line="480" w:lineRule="auto"/>
        <w:jc w:val="both"/>
        <w:textAlignment w:val="baseline"/>
      </w:pPr>
      <w:r>
        <w:rPr>
          <w:rStyle w:val="normaltextrun"/>
        </w:rPr>
        <w:lastRenderedPageBreak/>
        <w:t xml:space="preserve">There has been a lot of criticism on the defendant having legal knowledge pertaining to the nature of his or her actions. It </w:t>
      </w:r>
      <w:proofErr w:type="gramStart"/>
      <w:r>
        <w:rPr>
          <w:rStyle w:val="normaltextrun"/>
        </w:rPr>
        <w:t>is considered to be</w:t>
      </w:r>
      <w:proofErr w:type="gramEnd"/>
      <w:r>
        <w:rPr>
          <w:rStyle w:val="normaltextrun"/>
        </w:rPr>
        <w:t xml:space="preserve"> very punitive on accused persons who are considered to be mentally ill and are entitled to be accorded the defense. For example, The Butler Committee on mental Abnormal Offenders wrote a report which stated that legal knowledge is deemed to be a very narrow basis of exemption because people who suffer from insanity have knowledge on the aspect of murder being a crime but still c</w:t>
      </w:r>
      <w:r w:rsidR="007A44C2">
        <w:rPr>
          <w:rStyle w:val="normaltextrun"/>
        </w:rPr>
        <w:t>ommit it</w:t>
      </w:r>
      <w:r>
        <w:rPr>
          <w:rStyle w:val="normaltextrun"/>
        </w:rPr>
        <w:t>.</w:t>
      </w:r>
      <w:r w:rsidR="007A44C2">
        <w:rPr>
          <w:rStyle w:val="normaltextrun"/>
        </w:rPr>
        <w:t xml:space="preserve"> </w:t>
      </w:r>
      <w:sdt>
        <w:sdtPr>
          <w:rPr>
            <w:rStyle w:val="normaltextrun"/>
          </w:rPr>
          <w:id w:val="-1894420243"/>
          <w:citation/>
        </w:sdtPr>
        <w:sdtEndPr>
          <w:rPr>
            <w:rStyle w:val="normaltextrun"/>
          </w:rPr>
        </w:sdtEndPr>
        <w:sdtContent>
          <w:r w:rsidR="007A44C2">
            <w:rPr>
              <w:rStyle w:val="normaltextrun"/>
            </w:rPr>
            <w:fldChar w:fldCharType="begin"/>
          </w:r>
          <w:r w:rsidR="007A44C2">
            <w:rPr>
              <w:rStyle w:val="normaltextrun"/>
              <w:lang w:val="en-GB"/>
            </w:rPr>
            <w:instrText xml:space="preserve"> CITATION HHo03 \l 2057 </w:instrText>
          </w:r>
          <w:r w:rsidR="007A44C2">
            <w:rPr>
              <w:rStyle w:val="normaltextrun"/>
            </w:rPr>
            <w:fldChar w:fldCharType="separate"/>
          </w:r>
          <w:r w:rsidR="000C024A" w:rsidRPr="000C024A">
            <w:rPr>
              <w:noProof/>
              <w:lang w:val="en-GB"/>
            </w:rPr>
            <w:t>(Howard, 2003)</w:t>
          </w:r>
          <w:r w:rsidR="007A44C2">
            <w:rPr>
              <w:rStyle w:val="normaltextrun"/>
            </w:rPr>
            <w:fldChar w:fldCharType="end"/>
          </w:r>
        </w:sdtContent>
      </w:sdt>
      <w:r>
        <w:rPr>
          <w:rStyle w:val="normaltextrun"/>
        </w:rPr>
        <w:t xml:space="preserve"> </w:t>
      </w:r>
      <w:r>
        <w:rPr>
          <w:rStyle w:val="eop"/>
        </w:rPr>
        <w:t> </w:t>
      </w:r>
    </w:p>
    <w:p w14:paraId="58EE001D" w14:textId="3F334885" w:rsidR="00450CD9" w:rsidRDefault="00450CD9" w:rsidP="00450CD9">
      <w:pPr>
        <w:pStyle w:val="paragraph"/>
        <w:spacing w:line="480" w:lineRule="auto"/>
        <w:jc w:val="both"/>
        <w:textAlignment w:val="baseline"/>
      </w:pPr>
      <w:r>
        <w:rPr>
          <w:rStyle w:val="normaltextrun"/>
        </w:rPr>
        <w:t xml:space="preserve">Another criticism has been that the burden of proof on the defendant is normally exceedingly high. The accused is needed to prove that his or her insanity was in existence during the time when the </w:t>
      </w:r>
      <w:r w:rsidR="003538E0">
        <w:rPr>
          <w:rStyle w:val="normaltextrun"/>
        </w:rPr>
        <w:t>crime was committed</w:t>
      </w:r>
      <w:r>
        <w:rPr>
          <w:rStyle w:val="normaltextrun"/>
        </w:rPr>
        <w:t>.</w:t>
      </w:r>
      <w:r w:rsidR="003538E0">
        <w:rPr>
          <w:rStyle w:val="normaltextrun"/>
        </w:rPr>
        <w:t xml:space="preserve"> </w:t>
      </w:r>
      <w:sdt>
        <w:sdtPr>
          <w:rPr>
            <w:rStyle w:val="normaltextrun"/>
          </w:rPr>
          <w:id w:val="-1851866824"/>
          <w:citation/>
        </w:sdtPr>
        <w:sdtEndPr>
          <w:rPr>
            <w:rStyle w:val="normaltextrun"/>
          </w:rPr>
        </w:sdtEndPr>
        <w:sdtContent>
          <w:r w:rsidR="003538E0">
            <w:rPr>
              <w:rStyle w:val="normaltextrun"/>
            </w:rPr>
            <w:fldChar w:fldCharType="begin"/>
          </w:r>
          <w:r w:rsidR="003538E0">
            <w:rPr>
              <w:rStyle w:val="normaltextrun"/>
              <w:lang w:val="en-GB"/>
            </w:rPr>
            <w:instrText xml:space="preserve"> CITATION CTW14 \l 2057 </w:instrText>
          </w:r>
          <w:r w:rsidR="003538E0">
            <w:rPr>
              <w:rStyle w:val="normaltextrun"/>
            </w:rPr>
            <w:fldChar w:fldCharType="separate"/>
          </w:r>
          <w:r w:rsidR="000C024A" w:rsidRPr="000C024A">
            <w:rPr>
              <w:noProof/>
              <w:lang w:val="en-GB"/>
            </w:rPr>
            <w:t>(Cockerham, 2014)</w:t>
          </w:r>
          <w:r w:rsidR="003538E0">
            <w:rPr>
              <w:rStyle w:val="normaltextrun"/>
            </w:rPr>
            <w:fldChar w:fldCharType="end"/>
          </w:r>
        </w:sdtContent>
      </w:sdt>
      <w:r w:rsidR="003538E0">
        <w:rPr>
          <w:rStyle w:val="normaltextrun"/>
        </w:rPr>
        <w:t>.</w:t>
      </w:r>
      <w:r>
        <w:rPr>
          <w:rStyle w:val="normaltextrun"/>
        </w:rPr>
        <w:t xml:space="preserve"> In addition, definition of insanity has been very problematic. In most instances, it is limited to psychosis which is likely to lead to other diseases of the mind not fitting within the classification of insanity hence the plea of sanity by the defendant may fail in such instances. </w:t>
      </w:r>
      <w:r>
        <w:rPr>
          <w:rStyle w:val="eop"/>
        </w:rPr>
        <w:t> </w:t>
      </w:r>
    </w:p>
    <w:p w14:paraId="59BA18AA" w14:textId="2D2B9340" w:rsidR="00467568" w:rsidRDefault="00450CD9" w:rsidP="00450CD9">
      <w:pPr>
        <w:pStyle w:val="paragraph"/>
        <w:spacing w:line="480" w:lineRule="auto"/>
        <w:jc w:val="both"/>
        <w:textAlignment w:val="baseline"/>
        <w:rPr>
          <w:rStyle w:val="normaltextrun"/>
        </w:rPr>
      </w:pPr>
      <w:r>
        <w:rPr>
          <w:rStyle w:val="normaltextrun"/>
        </w:rPr>
        <w:t>Diminished capacity or diminished responsibility have been put in place as partial defense or mitigating factors to crimes. This defense is applicable in more circumstances as opposed to the defense of insanity. The Homicide Act 1957 has provisions on the defense of diminished</w:t>
      </w:r>
      <w:r w:rsidR="00CC3769">
        <w:rPr>
          <w:rStyle w:val="normaltextrun"/>
        </w:rPr>
        <w:t xml:space="preserve"> responsibility</w:t>
      </w:r>
      <w:r>
        <w:rPr>
          <w:rStyle w:val="normaltextrun"/>
        </w:rPr>
        <w:t>.</w:t>
      </w:r>
      <w:r w:rsidR="00CC3769">
        <w:rPr>
          <w:rStyle w:val="normaltextrun"/>
        </w:rPr>
        <w:t xml:space="preserve"> </w:t>
      </w:r>
      <w:sdt>
        <w:sdtPr>
          <w:rPr>
            <w:rStyle w:val="normaltextrun"/>
          </w:rPr>
          <w:id w:val="-1100013425"/>
          <w:citation/>
        </w:sdtPr>
        <w:sdtEndPr>
          <w:rPr>
            <w:rStyle w:val="normaltextrun"/>
          </w:rPr>
        </w:sdtEndPr>
        <w:sdtContent>
          <w:r w:rsidR="00CC3769">
            <w:rPr>
              <w:rStyle w:val="normaltextrun"/>
            </w:rPr>
            <w:fldChar w:fldCharType="begin"/>
          </w:r>
          <w:r w:rsidR="00CC3769">
            <w:rPr>
              <w:rStyle w:val="normaltextrun"/>
              <w:lang w:val="en-GB"/>
            </w:rPr>
            <w:instrText xml:space="preserve"> CITATION SPr57 \l 2057 </w:instrText>
          </w:r>
          <w:r w:rsidR="00CC3769">
            <w:rPr>
              <w:rStyle w:val="normaltextrun"/>
            </w:rPr>
            <w:fldChar w:fldCharType="separate"/>
          </w:r>
          <w:r w:rsidR="000C024A" w:rsidRPr="000C024A">
            <w:rPr>
              <w:noProof/>
              <w:lang w:val="en-GB"/>
            </w:rPr>
            <w:t>(Prevezer, 1957)</w:t>
          </w:r>
          <w:r w:rsidR="00CC3769">
            <w:rPr>
              <w:rStyle w:val="normaltextrun"/>
            </w:rPr>
            <w:fldChar w:fldCharType="end"/>
          </w:r>
        </w:sdtContent>
      </w:sdt>
      <w:r w:rsidR="00CC3769">
        <w:rPr>
          <w:rStyle w:val="normaltextrun"/>
        </w:rPr>
        <w:t>.</w:t>
      </w:r>
      <w:r>
        <w:rPr>
          <w:rStyle w:val="normaltextrun"/>
        </w:rPr>
        <w:t xml:space="preserve"> Due to the high burden of proof on the defendant to prove insanity makes many of them to opt for diminished responsibility or diminished capacity.</w:t>
      </w:r>
    </w:p>
    <w:p w14:paraId="07BFCF42" w14:textId="11E72B5E" w:rsidR="00B453F8" w:rsidRDefault="00467568" w:rsidP="000C024A">
      <w:pPr>
        <w:pStyle w:val="paragraph"/>
        <w:spacing w:line="480" w:lineRule="auto"/>
        <w:jc w:val="both"/>
        <w:textAlignment w:val="baseline"/>
      </w:pPr>
      <w:r>
        <w:rPr>
          <w:rStyle w:val="normaltextrun"/>
        </w:rPr>
        <w:t xml:space="preserve">The defense of insanity is used to remove liability </w:t>
      </w:r>
      <w:r w:rsidR="00C10247">
        <w:rPr>
          <w:rStyle w:val="normaltextrun"/>
        </w:rPr>
        <w:t xml:space="preserve">from </w:t>
      </w:r>
      <w:r>
        <w:rPr>
          <w:rStyle w:val="normaltextrun"/>
        </w:rPr>
        <w:t>a person who is accused of committing crime. This defense has been used in several instances where the defendant</w:t>
      </w:r>
      <w:r w:rsidR="00C10247">
        <w:rPr>
          <w:rStyle w:val="normaltextrun"/>
        </w:rPr>
        <w:t xml:space="preserve"> is required to prove that</w:t>
      </w:r>
      <w:r>
        <w:rPr>
          <w:rStyle w:val="normaltextrun"/>
        </w:rPr>
        <w:t xml:space="preserve"> they performed an act under defect of reason due to a disease of the mind and he or she was not aware of the n</w:t>
      </w:r>
      <w:r w:rsidR="00FC6AF5">
        <w:rPr>
          <w:rStyle w:val="normaltextrun"/>
        </w:rPr>
        <w:t>ature and quality of their actions</w:t>
      </w:r>
      <w:r w:rsidR="00B16085">
        <w:rPr>
          <w:rStyle w:val="normaltextrun"/>
        </w:rPr>
        <w:t xml:space="preserve"> </w:t>
      </w:r>
      <w:proofErr w:type="gramStart"/>
      <w:r w:rsidR="00B16085">
        <w:rPr>
          <w:rStyle w:val="normaltextrun"/>
        </w:rPr>
        <w:t>The</w:t>
      </w:r>
      <w:proofErr w:type="gramEnd"/>
      <w:r w:rsidR="00B16085">
        <w:rPr>
          <w:rStyle w:val="normaltextrun"/>
        </w:rPr>
        <w:t xml:space="preserve"> burden of proof on the accused is too high hence is considered to be punitive to a person with mental illness.</w:t>
      </w:r>
      <w:r w:rsidR="00FC6AF5">
        <w:rPr>
          <w:rStyle w:val="normaltextrun"/>
        </w:rPr>
        <w:t xml:space="preserve"> As a result, many defendants are not successful in the use of insanity as </w:t>
      </w:r>
      <w:r w:rsidR="00855AB5">
        <w:rPr>
          <w:rStyle w:val="normaltextrun"/>
        </w:rPr>
        <w:t xml:space="preserve">a </w:t>
      </w:r>
      <w:r w:rsidR="00FC6AF5">
        <w:rPr>
          <w:rStyle w:val="normaltextrun"/>
        </w:rPr>
        <w:t>defense. Based on this,</w:t>
      </w:r>
      <w:r w:rsidR="00B16085">
        <w:rPr>
          <w:rStyle w:val="normaltextrun"/>
        </w:rPr>
        <w:t xml:space="preserve"> </w:t>
      </w:r>
      <w:r w:rsidR="00FC6AF5">
        <w:rPr>
          <w:rStyle w:val="normaltextrun"/>
        </w:rPr>
        <w:t xml:space="preserve">states have put </w:t>
      </w:r>
      <w:r w:rsidR="00FC6AF5">
        <w:rPr>
          <w:rStyle w:val="normaltextrun"/>
        </w:rPr>
        <w:lastRenderedPageBreak/>
        <w:t>in</w:t>
      </w:r>
      <w:r w:rsidR="00855AB5">
        <w:rPr>
          <w:rStyle w:val="normaltextrun"/>
        </w:rPr>
        <w:t xml:space="preserve"> place</w:t>
      </w:r>
      <w:r w:rsidR="00FC6AF5">
        <w:rPr>
          <w:rStyle w:val="normaltextrun"/>
        </w:rPr>
        <w:t xml:space="preserve"> mechanisms</w:t>
      </w:r>
      <w:r w:rsidR="00C10247">
        <w:rPr>
          <w:rStyle w:val="normaltextrun"/>
        </w:rPr>
        <w:t xml:space="preserve"> such as provisions of legislations</w:t>
      </w:r>
      <w:r w:rsidR="00FC6AF5">
        <w:rPr>
          <w:rStyle w:val="normaltextrun"/>
        </w:rPr>
        <w:t xml:space="preserve"> that offer an alternative defense such as diminished capacit</w:t>
      </w:r>
      <w:r w:rsidR="000C024A">
        <w:rPr>
          <w:rStyle w:val="normaltextrun"/>
        </w:rPr>
        <w:t>y or diminished responsibility.</w:t>
      </w:r>
    </w:p>
    <w:p w14:paraId="0739D7D3" w14:textId="77777777" w:rsidR="00450CD9" w:rsidRPr="008F0739" w:rsidRDefault="00450CD9" w:rsidP="00450CD9">
      <w:pPr>
        <w:pStyle w:val="paragraph"/>
        <w:spacing w:line="480" w:lineRule="auto"/>
        <w:jc w:val="both"/>
        <w:textAlignment w:val="baseline"/>
        <w:rPr>
          <w:b/>
          <w:bCs/>
        </w:rPr>
      </w:pPr>
      <w:r w:rsidRPr="008F0739">
        <w:rPr>
          <w:rStyle w:val="normaltextrun"/>
          <w:b/>
          <w:bCs/>
        </w:rPr>
        <w:t>Question 2</w:t>
      </w:r>
      <w:r w:rsidRPr="008F0739">
        <w:rPr>
          <w:rStyle w:val="eop"/>
          <w:b/>
          <w:bCs/>
        </w:rPr>
        <w:t> </w:t>
      </w:r>
    </w:p>
    <w:p w14:paraId="22BE70C1" w14:textId="486F02CC" w:rsidR="008F0739" w:rsidRPr="008F0739" w:rsidRDefault="00450CD9" w:rsidP="008F0739">
      <w:pPr>
        <w:pStyle w:val="paragraph"/>
        <w:numPr>
          <w:ilvl w:val="0"/>
          <w:numId w:val="1"/>
        </w:numPr>
        <w:spacing w:line="480" w:lineRule="auto"/>
        <w:ind w:left="1080" w:firstLine="0"/>
        <w:textAlignment w:val="baseline"/>
        <w:rPr>
          <w:rStyle w:val="normaltextrun"/>
          <w:b/>
          <w:bCs/>
        </w:rPr>
      </w:pPr>
      <w:r w:rsidRPr="008F0739">
        <w:rPr>
          <w:rStyle w:val="normaltextrun"/>
          <w:b/>
          <w:bCs/>
        </w:rPr>
        <w:t>Lee</w:t>
      </w:r>
      <w:r w:rsidRPr="008F0739">
        <w:rPr>
          <w:rStyle w:val="eop"/>
          <w:b/>
          <w:bCs/>
        </w:rPr>
        <w:t> </w:t>
      </w:r>
    </w:p>
    <w:p w14:paraId="3E2DE4EE" w14:textId="1BE4A5C6" w:rsidR="008F0739" w:rsidRDefault="008F0739" w:rsidP="00450CD9">
      <w:pPr>
        <w:pStyle w:val="paragraph"/>
        <w:spacing w:line="480" w:lineRule="auto"/>
        <w:jc w:val="both"/>
        <w:textAlignment w:val="baseline"/>
        <w:rPr>
          <w:rStyle w:val="normaltextrun"/>
        </w:rPr>
      </w:pPr>
      <w:r w:rsidRPr="008F0739">
        <w:rPr>
          <w:rStyle w:val="normaltextrun"/>
          <w:b/>
          <w:bCs/>
        </w:rPr>
        <w:t>Involuntary Manslaughter</w:t>
      </w:r>
    </w:p>
    <w:p w14:paraId="59CC8205" w14:textId="03A2F811" w:rsidR="00450CD9" w:rsidRDefault="00450CD9" w:rsidP="00450CD9">
      <w:pPr>
        <w:pStyle w:val="paragraph"/>
        <w:spacing w:line="480" w:lineRule="auto"/>
        <w:jc w:val="both"/>
        <w:textAlignment w:val="baseline"/>
        <w:rPr>
          <w:rStyle w:val="eop"/>
        </w:rPr>
      </w:pPr>
      <w:r>
        <w:rPr>
          <w:rStyle w:val="normaltextrun"/>
        </w:rPr>
        <w:t xml:space="preserve">Involuntary manslaughter refers to a defendant killing a person unlawfully, but they had not formed the </w:t>
      </w:r>
      <w:proofErr w:type="spellStart"/>
      <w:r>
        <w:rPr>
          <w:rStyle w:val="normaltextrun"/>
        </w:rPr>
        <w:t>mens</w:t>
      </w:r>
      <w:proofErr w:type="spellEnd"/>
      <w:r>
        <w:rPr>
          <w:rStyle w:val="normaltextrun"/>
        </w:rPr>
        <w:t xml:space="preserve"> rea which refers to the intention to cause grievous bodily harm or to ki</w:t>
      </w:r>
      <w:r w:rsidR="00984527">
        <w:rPr>
          <w:rStyle w:val="normaltextrun"/>
        </w:rPr>
        <w:t>ll the person</w:t>
      </w:r>
      <w:r>
        <w:rPr>
          <w:rStyle w:val="normaltextrun"/>
        </w:rPr>
        <w:t>.</w:t>
      </w:r>
      <w:r w:rsidR="00984527">
        <w:rPr>
          <w:rStyle w:val="normaltextrun"/>
        </w:rPr>
        <w:t xml:space="preserve"> </w:t>
      </w:r>
      <w:sdt>
        <w:sdtPr>
          <w:rPr>
            <w:rStyle w:val="normaltextrun"/>
          </w:rPr>
          <w:id w:val="-520006365"/>
          <w:citation/>
        </w:sdtPr>
        <w:sdtEndPr>
          <w:rPr>
            <w:rStyle w:val="normaltextrun"/>
          </w:rPr>
        </w:sdtEndPr>
        <w:sdtContent>
          <w:r w:rsidR="00984527">
            <w:rPr>
              <w:rStyle w:val="normaltextrun"/>
            </w:rPr>
            <w:fldChar w:fldCharType="begin"/>
          </w:r>
          <w:r w:rsidR="00984527">
            <w:rPr>
              <w:rStyle w:val="normaltextrun"/>
              <w:lang w:val="en-GB"/>
            </w:rPr>
            <w:instrText xml:space="preserve"> CITATION CMa77 \l 2057 </w:instrText>
          </w:r>
          <w:r w:rsidR="00984527">
            <w:rPr>
              <w:rStyle w:val="normaltextrun"/>
            </w:rPr>
            <w:fldChar w:fldCharType="separate"/>
          </w:r>
          <w:r w:rsidR="000C024A" w:rsidRPr="000C024A">
            <w:rPr>
              <w:noProof/>
              <w:lang w:val="en-GB"/>
            </w:rPr>
            <w:t>(Manchester, 1977)</w:t>
          </w:r>
          <w:r w:rsidR="00984527">
            <w:rPr>
              <w:rStyle w:val="normaltextrun"/>
            </w:rPr>
            <w:fldChar w:fldCharType="end"/>
          </w:r>
        </w:sdtContent>
      </w:sdt>
      <w:r w:rsidR="00984527">
        <w:rPr>
          <w:rStyle w:val="normaltextrun"/>
        </w:rPr>
        <w:t>.</w:t>
      </w:r>
      <w:r>
        <w:rPr>
          <w:rStyle w:val="normaltextrun"/>
        </w:rPr>
        <w:t xml:space="preserve"> It occurs in two instances: gross negligence manslaughter and dangerous and unlawful act manslaughter. </w:t>
      </w:r>
      <w:r>
        <w:rPr>
          <w:rStyle w:val="eop"/>
        </w:rPr>
        <w:t> </w:t>
      </w:r>
    </w:p>
    <w:p w14:paraId="34694EC4" w14:textId="626D964D" w:rsidR="008F0739" w:rsidRPr="008F0739" w:rsidRDefault="008F0739" w:rsidP="00450CD9">
      <w:pPr>
        <w:pStyle w:val="paragraph"/>
        <w:spacing w:line="480" w:lineRule="auto"/>
        <w:jc w:val="both"/>
        <w:textAlignment w:val="baseline"/>
        <w:rPr>
          <w:i/>
          <w:iCs/>
        </w:rPr>
      </w:pPr>
      <w:r w:rsidRPr="008F0739">
        <w:rPr>
          <w:rStyle w:val="eop"/>
          <w:i/>
          <w:iCs/>
        </w:rPr>
        <w:t>Actus Reus</w:t>
      </w:r>
    </w:p>
    <w:p w14:paraId="15A4CE43" w14:textId="64A223A3" w:rsidR="00450CD9" w:rsidRDefault="00450CD9" w:rsidP="00450CD9">
      <w:pPr>
        <w:pStyle w:val="paragraph"/>
        <w:spacing w:line="480" w:lineRule="auto"/>
        <w:jc w:val="both"/>
        <w:textAlignment w:val="baseline"/>
      </w:pPr>
      <w:r>
        <w:rPr>
          <w:rStyle w:val="normaltextrun"/>
        </w:rPr>
        <w:t xml:space="preserve">In order to establish that one is criminally liable for manslaughter, one must prove the following beyond reasonable doubt: the accused performed or committed an act that led to another person’s death. </w:t>
      </w:r>
      <w:r w:rsidR="00C875B9">
        <w:rPr>
          <w:rStyle w:val="normaltextrun"/>
          <w:i/>
          <w:iCs/>
        </w:rPr>
        <w:t>R vs Lowe (1973)</w:t>
      </w:r>
      <w:r>
        <w:rPr>
          <w:rStyle w:val="normaltextrun"/>
        </w:rPr>
        <w:t>, the court held that actus reus must be proven through establishing that the defendant physically did something. In this case Ali punched Lee’s stomach using so much force that he fell on the floor and became unconscious. Lee was taken to hospital but later died. Therefore, the actions of Ali led to the death of Lee.</w:t>
      </w:r>
      <w:r>
        <w:rPr>
          <w:rStyle w:val="eop"/>
        </w:rPr>
        <w:t> </w:t>
      </w:r>
    </w:p>
    <w:p w14:paraId="6E89AF03" w14:textId="3B3E1223" w:rsidR="00450CD9" w:rsidRDefault="00450CD9" w:rsidP="00450CD9">
      <w:pPr>
        <w:pStyle w:val="paragraph"/>
        <w:spacing w:line="480" w:lineRule="auto"/>
        <w:jc w:val="both"/>
        <w:textAlignment w:val="baseline"/>
      </w:pPr>
      <w:r>
        <w:rPr>
          <w:rStyle w:val="normaltextrun"/>
        </w:rPr>
        <w:t xml:space="preserve">Also, it must be proven that the accused’s action was a criminal offense. In the case of </w:t>
      </w:r>
      <w:r>
        <w:rPr>
          <w:rStyle w:val="normaltextrun"/>
          <w:i/>
          <w:iCs/>
        </w:rPr>
        <w:t>R v Franklin (1883)</w:t>
      </w:r>
      <w:r>
        <w:rPr>
          <w:rStyle w:val="normaltextrun"/>
        </w:rPr>
        <w:t xml:space="preserve">, the court held that the action of the defendant must be deemed to be a criminal offense. Manslaughter and Battery are forms of violence against a person that have been criminalized. Ali punching the stomach of Lee amounts to battery. Lee died as a result of Ali’s actions which amounts to voluntary manslaughter. Both battery and manslaughter </w:t>
      </w:r>
      <w:proofErr w:type="gramStart"/>
      <w:r>
        <w:rPr>
          <w:rStyle w:val="normaltextrun"/>
        </w:rPr>
        <w:t>are considered to be</w:t>
      </w:r>
      <w:proofErr w:type="gramEnd"/>
      <w:r>
        <w:rPr>
          <w:rStyle w:val="normaltextrun"/>
        </w:rPr>
        <w:t xml:space="preserve"> criminal offences. </w:t>
      </w:r>
      <w:r>
        <w:rPr>
          <w:rStyle w:val="eop"/>
        </w:rPr>
        <w:t> </w:t>
      </w:r>
    </w:p>
    <w:p w14:paraId="330BFBA7" w14:textId="5FCE22E3" w:rsidR="00450CD9" w:rsidRDefault="00450CD9" w:rsidP="00450CD9">
      <w:pPr>
        <w:pStyle w:val="paragraph"/>
        <w:spacing w:line="480" w:lineRule="auto"/>
        <w:jc w:val="both"/>
        <w:textAlignment w:val="baseline"/>
      </w:pPr>
      <w:r>
        <w:rPr>
          <w:rStyle w:val="normaltextrun"/>
        </w:rPr>
        <w:lastRenderedPageBreak/>
        <w:t xml:space="preserve">Also, the act should be perceived as being dangerous. In the case of </w:t>
      </w:r>
      <w:r>
        <w:rPr>
          <w:rStyle w:val="normaltextrun"/>
          <w:i/>
          <w:iCs/>
        </w:rPr>
        <w:t>R</w:t>
      </w:r>
      <w:r w:rsidR="00C875B9">
        <w:rPr>
          <w:rStyle w:val="normaltextrun"/>
          <w:i/>
          <w:iCs/>
        </w:rPr>
        <w:t xml:space="preserve"> vs Larkin (1942)</w:t>
      </w:r>
      <w:r>
        <w:rPr>
          <w:rStyle w:val="normaltextrun"/>
        </w:rPr>
        <w:t xml:space="preserve">, where the appellant waved a razor with the intention of frightening the love of his mistress and the mistress who was intoxicated stumbled on the razor which cut her throat. The court held that that the appellant’s action was unlawful and amounted to an unlawful and dangerous act. Any reasonable and sober person would have perceived this to be a dangerous act. In </w:t>
      </w:r>
      <w:r>
        <w:rPr>
          <w:rStyle w:val="normaltextrun"/>
          <w:i/>
          <w:iCs/>
        </w:rPr>
        <w:t xml:space="preserve">R v Church </w:t>
      </w:r>
      <w:r w:rsidR="0018122B">
        <w:rPr>
          <w:rStyle w:val="normaltextrun"/>
          <w:i/>
          <w:iCs/>
        </w:rPr>
        <w:t>(1966)</w:t>
      </w:r>
      <w:r>
        <w:rPr>
          <w:rStyle w:val="normaltextrun"/>
        </w:rPr>
        <w:t xml:space="preserve">, the court held that act should be deemed to be dangerous if there was a probable and objective risk that could occur as a result of it. Ali punched Lee’s stomach with so much force. This action is deemed to be dangerous as it was likely to have severe medical implications. In this instance, Lee became unconscious and later died. This demonstrates that the act committed by Ali amounts to a dangerous action. </w:t>
      </w:r>
      <w:r>
        <w:rPr>
          <w:rStyle w:val="eop"/>
        </w:rPr>
        <w:t> </w:t>
      </w:r>
    </w:p>
    <w:p w14:paraId="6DC20F5B" w14:textId="79A5B9CF" w:rsidR="00450CD9" w:rsidRDefault="00450CD9" w:rsidP="00450CD9">
      <w:pPr>
        <w:pStyle w:val="paragraph"/>
        <w:spacing w:line="480" w:lineRule="auto"/>
        <w:jc w:val="both"/>
        <w:textAlignment w:val="baseline"/>
        <w:rPr>
          <w:rStyle w:val="eop"/>
        </w:rPr>
      </w:pPr>
      <w:r>
        <w:rPr>
          <w:rStyle w:val="normaltextrun"/>
        </w:rPr>
        <w:t xml:space="preserve">The plaintiff must prove that the act caused the death of the victim. There should be a link between the action of the defendant and the death of the victim. This refers to the but for test. But for the action of the defendant, would have the defendant died at the time they did? The case of </w:t>
      </w:r>
      <w:r w:rsidRPr="00855AB5">
        <w:rPr>
          <w:rStyle w:val="normaltextrun"/>
          <w:i/>
          <w:iCs/>
        </w:rPr>
        <w:t xml:space="preserve">Hancock vs </w:t>
      </w:r>
      <w:proofErr w:type="spellStart"/>
      <w:r w:rsidRPr="00855AB5">
        <w:rPr>
          <w:rStyle w:val="normaltextrun"/>
          <w:i/>
          <w:iCs/>
        </w:rPr>
        <w:t>Shankland</w:t>
      </w:r>
      <w:proofErr w:type="spellEnd"/>
      <w:r w:rsidRPr="00855AB5">
        <w:rPr>
          <w:rStyle w:val="normaltextrun"/>
          <w:i/>
          <w:iCs/>
        </w:rPr>
        <w:t xml:space="preserve"> (198</w:t>
      </w:r>
      <w:r w:rsidR="00855AB5" w:rsidRPr="00855AB5">
        <w:rPr>
          <w:rStyle w:val="normaltextrun"/>
          <w:i/>
          <w:iCs/>
        </w:rPr>
        <w:t>5</w:t>
      </w:r>
      <w:r w:rsidR="0018122B">
        <w:rPr>
          <w:rStyle w:val="normaltextrun"/>
          <w:i/>
          <w:iCs/>
        </w:rPr>
        <w:t>),</w:t>
      </w:r>
      <w:r>
        <w:rPr>
          <w:rStyle w:val="normaltextrun"/>
        </w:rPr>
        <w:t xml:space="preserve"> the court stated that the consequences of the defendant’s actions were reasonably foreseeable. Lee became unconscious and later died as a result of Ali punching the stomach of Lee with so much force. If it were not for Ali’s Actions, Lee would have not become unconscious or died. Therefore, the death is as a result of the actions of Ali. </w:t>
      </w:r>
      <w:r>
        <w:rPr>
          <w:rStyle w:val="eop"/>
        </w:rPr>
        <w:t> </w:t>
      </w:r>
    </w:p>
    <w:p w14:paraId="7AF21959" w14:textId="073AF630" w:rsidR="008F0739" w:rsidRPr="003F2B29" w:rsidRDefault="008F0739" w:rsidP="00450CD9">
      <w:pPr>
        <w:pStyle w:val="paragraph"/>
        <w:spacing w:line="480" w:lineRule="auto"/>
        <w:jc w:val="both"/>
        <w:textAlignment w:val="baseline"/>
        <w:rPr>
          <w:rStyle w:val="eop"/>
          <w:i/>
          <w:iCs/>
        </w:rPr>
      </w:pPr>
      <w:proofErr w:type="spellStart"/>
      <w:r w:rsidRPr="003F2B29">
        <w:rPr>
          <w:rStyle w:val="eop"/>
          <w:i/>
          <w:iCs/>
        </w:rPr>
        <w:t>Mens</w:t>
      </w:r>
      <w:proofErr w:type="spellEnd"/>
      <w:r w:rsidRPr="003F2B29">
        <w:rPr>
          <w:rStyle w:val="eop"/>
          <w:i/>
          <w:iCs/>
        </w:rPr>
        <w:t xml:space="preserve"> Rea</w:t>
      </w:r>
    </w:p>
    <w:p w14:paraId="7C0354F8" w14:textId="6834C006" w:rsidR="008F0739" w:rsidRDefault="008F0739" w:rsidP="00450CD9">
      <w:pPr>
        <w:pStyle w:val="paragraph"/>
        <w:spacing w:line="480" w:lineRule="auto"/>
        <w:jc w:val="both"/>
        <w:textAlignment w:val="baseline"/>
        <w:rPr>
          <w:rStyle w:val="eop"/>
        </w:rPr>
      </w:pPr>
      <w:r>
        <w:rPr>
          <w:rStyle w:val="eop"/>
        </w:rPr>
        <w:t xml:space="preserve">The element of </w:t>
      </w:r>
      <w:proofErr w:type="spellStart"/>
      <w:r>
        <w:rPr>
          <w:rStyle w:val="eop"/>
        </w:rPr>
        <w:t>mens</w:t>
      </w:r>
      <w:proofErr w:type="spellEnd"/>
      <w:r>
        <w:rPr>
          <w:rStyle w:val="eop"/>
        </w:rPr>
        <w:t xml:space="preserve"> rea to be satisfied is that the defendant had the intent of committing an act that is illegal. In the case</w:t>
      </w:r>
      <w:r w:rsidR="0018122B">
        <w:rPr>
          <w:rStyle w:val="eop"/>
        </w:rPr>
        <w:t xml:space="preserve"> of DPP vs Newbury (1977)</w:t>
      </w:r>
      <w:r>
        <w:rPr>
          <w:rStyle w:val="eop"/>
        </w:rPr>
        <w:t xml:space="preserve">, the court that it was immaterial if the defendant had not foreseen that his or her actions would result into a particular consequence. Ali did not foresee that the punch would cause Lee’s death. He had the </w:t>
      </w:r>
      <w:proofErr w:type="spellStart"/>
      <w:r>
        <w:rPr>
          <w:rStyle w:val="eop"/>
        </w:rPr>
        <w:t>mens</w:t>
      </w:r>
      <w:proofErr w:type="spellEnd"/>
      <w:r>
        <w:rPr>
          <w:rStyle w:val="eop"/>
        </w:rPr>
        <w:t xml:space="preserve"> rea of causing grievous bodily harm that led to the death of Lee.</w:t>
      </w:r>
    </w:p>
    <w:p w14:paraId="2FFAC6C4" w14:textId="30DC8D60" w:rsidR="008F0739" w:rsidRPr="008F0739" w:rsidRDefault="008F0739" w:rsidP="00450CD9">
      <w:pPr>
        <w:pStyle w:val="paragraph"/>
        <w:spacing w:line="480" w:lineRule="auto"/>
        <w:jc w:val="both"/>
        <w:textAlignment w:val="baseline"/>
        <w:rPr>
          <w:i/>
          <w:iCs/>
        </w:rPr>
      </w:pPr>
      <w:r w:rsidRPr="008F0739">
        <w:rPr>
          <w:rStyle w:val="eop"/>
          <w:i/>
          <w:iCs/>
        </w:rPr>
        <w:lastRenderedPageBreak/>
        <w:t>Liability</w:t>
      </w:r>
    </w:p>
    <w:p w14:paraId="3751F25A" w14:textId="2FCC2CE6" w:rsidR="00855AB5" w:rsidRDefault="00450CD9" w:rsidP="00450CD9">
      <w:pPr>
        <w:pStyle w:val="paragraph"/>
        <w:spacing w:line="480" w:lineRule="auto"/>
        <w:jc w:val="both"/>
        <w:textAlignment w:val="baseline"/>
      </w:pPr>
      <w:r>
        <w:rPr>
          <w:rStyle w:val="normaltextrun"/>
        </w:rPr>
        <w:t>Ali is criminally liable for the death of Lee and will be charged for the involuntary manslaughter offence</w:t>
      </w:r>
      <w:r w:rsidR="00326863">
        <w:rPr>
          <w:rStyle w:val="normaltextrun"/>
        </w:rPr>
        <w:t xml:space="preserve"> because his actions, which a reasonable person may consider to be dangero</w:t>
      </w:r>
      <w:r w:rsidR="00855AB5">
        <w:rPr>
          <w:rStyle w:val="normaltextrun"/>
        </w:rPr>
        <w:t>us, caused the death of another person</w:t>
      </w:r>
      <w:r w:rsidR="008F0739">
        <w:rPr>
          <w:rStyle w:val="normaltextrun"/>
        </w:rPr>
        <w:t xml:space="preserve"> and had the intent of causing bodily harm</w:t>
      </w:r>
      <w:r w:rsidR="00855AB5">
        <w:rPr>
          <w:rStyle w:val="normaltextrun"/>
        </w:rPr>
        <w:t xml:space="preserve">. His actions led to Lee’s death which is a criminal offense. </w:t>
      </w:r>
      <w:r w:rsidR="00326863">
        <w:rPr>
          <w:rStyle w:val="normaltextrun"/>
        </w:rPr>
        <w:t xml:space="preserve"> </w:t>
      </w:r>
    </w:p>
    <w:p w14:paraId="0816E02B" w14:textId="46E32EF9" w:rsidR="00450CD9" w:rsidRDefault="00450CD9" w:rsidP="00450CD9">
      <w:pPr>
        <w:pStyle w:val="paragraph"/>
        <w:numPr>
          <w:ilvl w:val="0"/>
          <w:numId w:val="2"/>
        </w:numPr>
        <w:spacing w:line="480" w:lineRule="auto"/>
        <w:ind w:left="1080" w:firstLine="0"/>
        <w:textAlignment w:val="baseline"/>
        <w:rPr>
          <w:rStyle w:val="eop"/>
          <w:b/>
          <w:bCs/>
        </w:rPr>
      </w:pPr>
      <w:r w:rsidRPr="008F0739">
        <w:rPr>
          <w:rStyle w:val="normaltextrun"/>
          <w:b/>
          <w:bCs/>
        </w:rPr>
        <w:t>Collin</w:t>
      </w:r>
      <w:r w:rsidRPr="008F0739">
        <w:rPr>
          <w:rStyle w:val="eop"/>
          <w:b/>
          <w:bCs/>
        </w:rPr>
        <w:t> </w:t>
      </w:r>
    </w:p>
    <w:p w14:paraId="148DE1DF" w14:textId="17DFF529" w:rsidR="008F0739" w:rsidRDefault="008F0739" w:rsidP="008F0739">
      <w:pPr>
        <w:pStyle w:val="paragraph"/>
        <w:spacing w:line="480" w:lineRule="auto"/>
        <w:textAlignment w:val="baseline"/>
        <w:rPr>
          <w:rStyle w:val="eop"/>
          <w:b/>
          <w:bCs/>
        </w:rPr>
      </w:pPr>
      <w:r>
        <w:rPr>
          <w:rStyle w:val="eop"/>
          <w:b/>
          <w:bCs/>
        </w:rPr>
        <w:t>Murder</w:t>
      </w:r>
    </w:p>
    <w:p w14:paraId="05CCD840" w14:textId="5FDC7AFA" w:rsidR="003F2B29" w:rsidRPr="003F2B29" w:rsidRDefault="003F2B29" w:rsidP="008F0739">
      <w:pPr>
        <w:pStyle w:val="paragraph"/>
        <w:spacing w:line="480" w:lineRule="auto"/>
        <w:textAlignment w:val="baseline"/>
        <w:rPr>
          <w:i/>
          <w:iCs/>
        </w:rPr>
      </w:pPr>
      <w:r w:rsidRPr="003F2B29">
        <w:rPr>
          <w:rStyle w:val="eop"/>
          <w:i/>
          <w:iCs/>
        </w:rPr>
        <w:t>Actus reus</w:t>
      </w:r>
    </w:p>
    <w:p w14:paraId="70A278BB" w14:textId="0ADB59E0" w:rsidR="00450CD9" w:rsidRDefault="00450CD9" w:rsidP="00450CD9">
      <w:pPr>
        <w:pStyle w:val="paragraph"/>
        <w:spacing w:line="480" w:lineRule="auto"/>
        <w:jc w:val="both"/>
        <w:textAlignment w:val="baseline"/>
        <w:rPr>
          <w:rStyle w:val="eop"/>
        </w:rPr>
      </w:pPr>
      <w:r>
        <w:rPr>
          <w:rStyle w:val="normaltextrun"/>
        </w:rPr>
        <w:t>Murder refers to the unlawful killing of a person with malice aforethought. Killing refers to an action that leads to the death of person. The actus reus refers to an external element that leads to a person enga</w:t>
      </w:r>
      <w:r w:rsidR="0018122B">
        <w:rPr>
          <w:rStyle w:val="normaltextrun"/>
        </w:rPr>
        <w:t>ging in a crime</w:t>
      </w:r>
      <w:r>
        <w:rPr>
          <w:rStyle w:val="normaltextrun"/>
        </w:rPr>
        <w:t>.</w:t>
      </w:r>
      <w:r w:rsidR="0018122B">
        <w:rPr>
          <w:rStyle w:val="normaltextrun"/>
        </w:rPr>
        <w:t xml:space="preserve"> </w:t>
      </w:r>
      <w:sdt>
        <w:sdtPr>
          <w:rPr>
            <w:rStyle w:val="normaltextrun"/>
          </w:rPr>
          <w:id w:val="982122207"/>
          <w:citation/>
        </w:sdtPr>
        <w:sdtEndPr>
          <w:rPr>
            <w:rStyle w:val="normaltextrun"/>
          </w:rPr>
        </w:sdtEndPr>
        <w:sdtContent>
          <w:r w:rsidR="0018122B">
            <w:rPr>
              <w:rStyle w:val="normaltextrun"/>
            </w:rPr>
            <w:fldChar w:fldCharType="begin"/>
          </w:r>
          <w:r w:rsidR="0018122B">
            <w:rPr>
              <w:rStyle w:val="normaltextrun"/>
              <w:lang w:val="en-GB"/>
            </w:rPr>
            <w:instrText xml:space="preserve"> CITATION EBu57 \l 2057 </w:instrText>
          </w:r>
          <w:r w:rsidR="0018122B">
            <w:rPr>
              <w:rStyle w:val="normaltextrun"/>
            </w:rPr>
            <w:fldChar w:fldCharType="separate"/>
          </w:r>
          <w:r w:rsidR="000C024A" w:rsidRPr="000C024A">
            <w:rPr>
              <w:noProof/>
              <w:lang w:val="en-GB"/>
            </w:rPr>
            <w:t>(Burchell, 1957)</w:t>
          </w:r>
          <w:r w:rsidR="0018122B">
            <w:rPr>
              <w:rStyle w:val="normaltextrun"/>
            </w:rPr>
            <w:fldChar w:fldCharType="end"/>
          </w:r>
        </w:sdtContent>
      </w:sdt>
      <w:r w:rsidR="0018122B">
        <w:rPr>
          <w:rStyle w:val="normaltextrun"/>
        </w:rPr>
        <w:t>.</w:t>
      </w:r>
      <w:r>
        <w:rPr>
          <w:rStyle w:val="normaltextrun"/>
        </w:rPr>
        <w:t xml:space="preserve"> The pre-condition of a criminal liability is a crime’s actus reus which need human action and is voluntarily done. In a murder case, the actus reus refers to unlawful killing of a person. The killing is deemed to be an unlawful act. In the case of </w:t>
      </w:r>
      <w:r w:rsidR="0018122B">
        <w:rPr>
          <w:rStyle w:val="normaltextrun"/>
          <w:i/>
          <w:iCs/>
        </w:rPr>
        <w:t>R vs Inglis (2011)</w:t>
      </w:r>
      <w:r>
        <w:rPr>
          <w:rStyle w:val="normaltextrun"/>
        </w:rPr>
        <w:t>, a mother killed her son who had terminal illness through injecting her son with heroin. The court held that the killing of her son was unlawful. Therefore, the mother was criminally liable for the murder of her son. In this case, Ali approached Collin when he was on his way home from work. He asked Collin what he had informed the police concerning the cause of Lee’s death. Collin informed Ali that he had not informed the police anything and continued walking. Ali held his arm and stabbed Collin. Collin bled heavily and fell on the ground where he died within a few minutes. His actions were voluntary as he was in possession of a weapon which he used to stab Collin. Killing of Collin is an unlawful act. Ali stabbing Collin satisfies the element of actus reus.</w:t>
      </w:r>
      <w:r>
        <w:rPr>
          <w:rStyle w:val="eop"/>
        </w:rPr>
        <w:t> </w:t>
      </w:r>
    </w:p>
    <w:p w14:paraId="479CC3D1" w14:textId="63358945" w:rsidR="003F2B29" w:rsidRPr="003F2B29" w:rsidRDefault="003F2B29" w:rsidP="00450CD9">
      <w:pPr>
        <w:pStyle w:val="paragraph"/>
        <w:spacing w:line="480" w:lineRule="auto"/>
        <w:jc w:val="both"/>
        <w:textAlignment w:val="baseline"/>
        <w:rPr>
          <w:i/>
          <w:iCs/>
        </w:rPr>
      </w:pPr>
      <w:proofErr w:type="spellStart"/>
      <w:r w:rsidRPr="003F2B29">
        <w:rPr>
          <w:rStyle w:val="eop"/>
          <w:i/>
          <w:iCs/>
        </w:rPr>
        <w:lastRenderedPageBreak/>
        <w:t>Mens</w:t>
      </w:r>
      <w:proofErr w:type="spellEnd"/>
      <w:r w:rsidRPr="003F2B29">
        <w:rPr>
          <w:rStyle w:val="eop"/>
          <w:i/>
          <w:iCs/>
        </w:rPr>
        <w:t xml:space="preserve"> Rea</w:t>
      </w:r>
    </w:p>
    <w:p w14:paraId="23FE9718" w14:textId="6530F665" w:rsidR="00450CD9" w:rsidRDefault="00450CD9" w:rsidP="00450CD9">
      <w:pPr>
        <w:pStyle w:val="paragraph"/>
        <w:spacing w:line="480" w:lineRule="auto"/>
        <w:jc w:val="both"/>
        <w:textAlignment w:val="baseline"/>
        <w:rPr>
          <w:rStyle w:val="eop"/>
        </w:rPr>
      </w:pPr>
      <w:r>
        <w:rPr>
          <w:rStyle w:val="normaltextrun"/>
        </w:rPr>
        <w:t xml:space="preserve">According to </w:t>
      </w:r>
      <w:r w:rsidR="0018122B">
        <w:rPr>
          <w:rStyle w:val="normaltextrun"/>
          <w:i/>
          <w:iCs/>
        </w:rPr>
        <w:t>R v Cunningham (1982)</w:t>
      </w:r>
      <w:r>
        <w:rPr>
          <w:rStyle w:val="normaltextrun"/>
        </w:rPr>
        <w:t xml:space="preserve">, malice aforethought refers to having the intention to cause grievous bodily harm or having the intent of killing person. Malice aforethought is also referred to as </w:t>
      </w:r>
      <w:proofErr w:type="spellStart"/>
      <w:r>
        <w:rPr>
          <w:rStyle w:val="normaltextrun"/>
        </w:rPr>
        <w:t>Mens</w:t>
      </w:r>
      <w:proofErr w:type="spellEnd"/>
      <w:r>
        <w:rPr>
          <w:rStyle w:val="normaltextrun"/>
        </w:rPr>
        <w:t xml:space="preserve"> Rea. </w:t>
      </w:r>
      <w:proofErr w:type="spellStart"/>
      <w:r>
        <w:rPr>
          <w:rStyle w:val="normaltextrun"/>
        </w:rPr>
        <w:t>Mens</w:t>
      </w:r>
      <w:proofErr w:type="spellEnd"/>
      <w:r>
        <w:rPr>
          <w:rStyle w:val="normaltextrun"/>
        </w:rPr>
        <w:t xml:space="preserve"> Rea is considered an essential element of proving a defendant is guilty of committing murder. It establishes that the state of mind of the defendant when he or she </w:t>
      </w:r>
      <w:r w:rsidR="0018122B">
        <w:rPr>
          <w:rStyle w:val="normaltextrun"/>
        </w:rPr>
        <w:t>committed the crime</w:t>
      </w:r>
      <w:r>
        <w:rPr>
          <w:rStyle w:val="normaltextrun"/>
        </w:rPr>
        <w:t>.</w:t>
      </w:r>
      <w:r w:rsidR="0018122B">
        <w:rPr>
          <w:rStyle w:val="normaltextrun"/>
        </w:rPr>
        <w:t xml:space="preserve"> </w:t>
      </w:r>
      <w:sdt>
        <w:sdtPr>
          <w:rPr>
            <w:rStyle w:val="normaltextrun"/>
          </w:rPr>
          <w:id w:val="-850250592"/>
          <w:citation/>
        </w:sdtPr>
        <w:sdtEndPr>
          <w:rPr>
            <w:rStyle w:val="normaltextrun"/>
          </w:rPr>
        </w:sdtEndPr>
        <w:sdtContent>
          <w:r w:rsidR="0018122B">
            <w:rPr>
              <w:rStyle w:val="normaltextrun"/>
            </w:rPr>
            <w:fldChar w:fldCharType="begin"/>
          </w:r>
          <w:r w:rsidR="0018122B">
            <w:rPr>
              <w:rStyle w:val="normaltextrun"/>
              <w:lang w:val="en-GB"/>
            </w:rPr>
            <w:instrText xml:space="preserve"> CITATION LGo87 \l 2057 </w:instrText>
          </w:r>
          <w:r w:rsidR="0018122B">
            <w:rPr>
              <w:rStyle w:val="normaltextrun"/>
            </w:rPr>
            <w:fldChar w:fldCharType="separate"/>
          </w:r>
          <w:r w:rsidR="000C024A" w:rsidRPr="000C024A">
            <w:rPr>
              <w:noProof/>
              <w:lang w:val="en-GB"/>
            </w:rPr>
            <w:t>(Goff, 1987)</w:t>
          </w:r>
          <w:r w:rsidR="0018122B">
            <w:rPr>
              <w:rStyle w:val="normaltextrun"/>
            </w:rPr>
            <w:fldChar w:fldCharType="end"/>
          </w:r>
        </w:sdtContent>
      </w:sdt>
      <w:r w:rsidR="0018122B">
        <w:rPr>
          <w:rStyle w:val="normaltextrun"/>
        </w:rPr>
        <w:t>.</w:t>
      </w:r>
      <w:r>
        <w:rPr>
          <w:rStyle w:val="normaltextrun"/>
        </w:rPr>
        <w:t xml:space="preserve"> The </w:t>
      </w:r>
      <w:proofErr w:type="spellStart"/>
      <w:r>
        <w:rPr>
          <w:rStyle w:val="normaltextrun"/>
        </w:rPr>
        <w:t>mens</w:t>
      </w:r>
      <w:proofErr w:type="spellEnd"/>
      <w:r>
        <w:rPr>
          <w:rStyle w:val="normaltextrun"/>
        </w:rPr>
        <w:t xml:space="preserve"> rea requirement on matters pertaining to murder refers to the intention to kill an individual or causing of grievous bodily harm. In </w:t>
      </w:r>
      <w:proofErr w:type="spellStart"/>
      <w:r w:rsidR="0018122B">
        <w:rPr>
          <w:rStyle w:val="normaltextrun"/>
          <w:i/>
          <w:iCs/>
        </w:rPr>
        <w:t>Hyam</w:t>
      </w:r>
      <w:proofErr w:type="spellEnd"/>
      <w:r w:rsidR="0018122B">
        <w:rPr>
          <w:rStyle w:val="normaltextrun"/>
          <w:i/>
          <w:iCs/>
        </w:rPr>
        <w:t xml:space="preserve"> v DPP (1974)</w:t>
      </w:r>
      <w:r>
        <w:rPr>
          <w:rStyle w:val="normaltextrun"/>
        </w:rPr>
        <w:t xml:space="preserve">, the jury were directed that the team of the prosecution should prove beyond reasonable doubt that the defendant had the intention of killing or causing grievous bodily harm to a person. In this instance, when Ali approached Collin when he was from work, Ali was in possession of a weapon which he used to stab Collin who died a few minutes later after bleeding profusely. Previously, when Ali saw Jenny with Collin, he begun to make offensive comments that made Collin to retaliate, and a fire broke out. These encounters prove beyond reasonable doubt that Ali had form the </w:t>
      </w:r>
      <w:proofErr w:type="spellStart"/>
      <w:r>
        <w:rPr>
          <w:rStyle w:val="normaltextrun"/>
        </w:rPr>
        <w:t>mens</w:t>
      </w:r>
      <w:proofErr w:type="spellEnd"/>
      <w:r>
        <w:rPr>
          <w:rStyle w:val="normaltextrun"/>
        </w:rPr>
        <w:t xml:space="preserve"> rea to cause grievous bodily harm which led to the death of Colins. </w:t>
      </w:r>
      <w:r>
        <w:rPr>
          <w:rStyle w:val="eop"/>
        </w:rPr>
        <w:t> </w:t>
      </w:r>
    </w:p>
    <w:p w14:paraId="73F160FB" w14:textId="2E88D158" w:rsidR="003F2B29" w:rsidRPr="003F2B29" w:rsidRDefault="003F2B29" w:rsidP="00450CD9">
      <w:pPr>
        <w:pStyle w:val="paragraph"/>
        <w:spacing w:line="480" w:lineRule="auto"/>
        <w:jc w:val="both"/>
        <w:textAlignment w:val="baseline"/>
        <w:rPr>
          <w:i/>
          <w:iCs/>
        </w:rPr>
      </w:pPr>
      <w:r w:rsidRPr="003F2B29">
        <w:rPr>
          <w:rStyle w:val="eop"/>
          <w:i/>
          <w:iCs/>
        </w:rPr>
        <w:t>Liability</w:t>
      </w:r>
    </w:p>
    <w:p w14:paraId="71CD08FD" w14:textId="15F4ED32" w:rsidR="00855AB5" w:rsidRDefault="00450CD9" w:rsidP="00450CD9">
      <w:pPr>
        <w:pStyle w:val="paragraph"/>
        <w:spacing w:line="480" w:lineRule="auto"/>
        <w:jc w:val="both"/>
        <w:textAlignment w:val="baseline"/>
        <w:rPr>
          <w:rStyle w:val="eop"/>
        </w:rPr>
      </w:pPr>
      <w:r>
        <w:rPr>
          <w:rStyle w:val="normaltextrun"/>
        </w:rPr>
        <w:t xml:space="preserve">Based on the establishment of the elements of murder, that is, the actus reus and </w:t>
      </w:r>
      <w:proofErr w:type="spellStart"/>
      <w:r>
        <w:rPr>
          <w:rStyle w:val="normaltextrun"/>
        </w:rPr>
        <w:t>mens</w:t>
      </w:r>
      <w:proofErr w:type="spellEnd"/>
      <w:r>
        <w:rPr>
          <w:rStyle w:val="normaltextrun"/>
        </w:rPr>
        <w:t xml:space="preserve"> rea of Ali, he is criminally liable for the murder of Collin. </w:t>
      </w:r>
      <w:r w:rsidR="00855AB5">
        <w:rPr>
          <w:rStyle w:val="eop"/>
        </w:rPr>
        <w:t>He had planned to kill Collin and stabbed him with a knife which made Collin to bleed heavily and ultimately led to his death.</w:t>
      </w:r>
    </w:p>
    <w:p w14:paraId="703C5786" w14:textId="77777777" w:rsidR="003F2B29" w:rsidRDefault="003F2B29" w:rsidP="00450CD9">
      <w:pPr>
        <w:pStyle w:val="paragraph"/>
        <w:spacing w:line="480" w:lineRule="auto"/>
        <w:jc w:val="both"/>
        <w:textAlignment w:val="baseline"/>
        <w:rPr>
          <w:rStyle w:val="eop"/>
        </w:rPr>
      </w:pPr>
    </w:p>
    <w:p w14:paraId="1BAFC758" w14:textId="77777777" w:rsidR="00984527" w:rsidRDefault="00984527" w:rsidP="003F2B29">
      <w:pPr>
        <w:pStyle w:val="paragraph"/>
        <w:spacing w:line="480" w:lineRule="auto"/>
        <w:jc w:val="center"/>
        <w:textAlignment w:val="baseline"/>
        <w:rPr>
          <w:rStyle w:val="eop"/>
          <w:b/>
          <w:bCs/>
        </w:rPr>
      </w:pPr>
    </w:p>
    <w:p w14:paraId="07C87391" w14:textId="22EB7EA7" w:rsidR="003F2B29" w:rsidRPr="003F2B29" w:rsidRDefault="003F2B29" w:rsidP="000C024A">
      <w:pPr>
        <w:pStyle w:val="paragraph"/>
        <w:spacing w:line="480" w:lineRule="auto"/>
        <w:textAlignment w:val="baseline"/>
        <w:rPr>
          <w:rStyle w:val="eop"/>
          <w:b/>
          <w:bCs/>
        </w:rPr>
      </w:pPr>
    </w:p>
    <w:p w14:paraId="68B0CC37" w14:textId="77777777" w:rsidR="000C024A" w:rsidRDefault="00450CD9" w:rsidP="00A977A5">
      <w:pPr>
        <w:pStyle w:val="paragraph"/>
        <w:spacing w:line="480" w:lineRule="auto"/>
        <w:jc w:val="both"/>
        <w:textAlignment w:val="baseline"/>
      </w:pPr>
      <w:r>
        <w:rPr>
          <w:rStyle w:val="normaltextrun"/>
        </w:rPr>
        <w:lastRenderedPageBreak/>
        <w:t> </w:t>
      </w:r>
      <w:r>
        <w:rPr>
          <w:rStyle w:val="eop"/>
        </w:rPr>
        <w:t> </w:t>
      </w:r>
    </w:p>
    <w:sdt>
      <w:sdtPr>
        <w:rPr>
          <w:rFonts w:asciiTheme="minorHAnsi" w:eastAsiaTheme="minorHAnsi" w:hAnsiTheme="minorHAnsi" w:cstheme="minorBidi"/>
          <w:color w:val="auto"/>
          <w:sz w:val="22"/>
          <w:szCs w:val="22"/>
        </w:rPr>
        <w:id w:val="384069947"/>
        <w:docPartObj>
          <w:docPartGallery w:val="Bibliographies"/>
          <w:docPartUnique/>
        </w:docPartObj>
      </w:sdtPr>
      <w:sdtEndPr/>
      <w:sdtContent>
        <w:p w14:paraId="61975409" w14:textId="6FA0EB5D" w:rsidR="000C024A" w:rsidRDefault="000C024A">
          <w:pPr>
            <w:pStyle w:val="Heading1"/>
          </w:pPr>
          <w:r>
            <w:t>References</w:t>
          </w:r>
        </w:p>
        <w:sdt>
          <w:sdtPr>
            <w:id w:val="-573587230"/>
            <w:bibliography/>
          </w:sdtPr>
          <w:sdtEndPr/>
          <w:sdtContent>
            <w:p w14:paraId="5808DBCF" w14:textId="77777777" w:rsidR="000C024A" w:rsidRDefault="000C024A" w:rsidP="000C024A">
              <w:pPr>
                <w:pStyle w:val="Bibliography"/>
                <w:rPr>
                  <w:noProof/>
                  <w:sz w:val="24"/>
                  <w:szCs w:val="24"/>
                </w:rPr>
              </w:pPr>
              <w:r>
                <w:fldChar w:fldCharType="begin"/>
              </w:r>
              <w:r>
                <w:instrText xml:space="preserve"> BIBLIOGRAPHY </w:instrText>
              </w:r>
              <w:r>
                <w:fldChar w:fldCharType="separate"/>
              </w:r>
              <w:r>
                <w:rPr>
                  <w:noProof/>
                </w:rPr>
                <w:t xml:space="preserve">Abrams, N., 1979. Definitions of mental illness and the insanity defense. In: </w:t>
              </w:r>
              <w:r>
                <w:rPr>
                  <w:i/>
                  <w:iCs/>
                  <w:noProof/>
                </w:rPr>
                <w:t xml:space="preserve">The journal of psychiatry and law. </w:t>
              </w:r>
              <w:r>
                <w:rPr>
                  <w:noProof/>
                </w:rPr>
                <w:t>s.l.:s.n., pp. 441-456.</w:t>
              </w:r>
            </w:p>
            <w:p w14:paraId="66E58843" w14:textId="77777777" w:rsidR="000C024A" w:rsidRDefault="000C024A" w:rsidP="000C024A">
              <w:pPr>
                <w:pStyle w:val="Bibliography"/>
                <w:rPr>
                  <w:noProof/>
                </w:rPr>
              </w:pPr>
              <w:r>
                <w:rPr>
                  <w:noProof/>
                </w:rPr>
                <w:t xml:space="preserve">Burchell, E., 1957. Murder: Mens Rea and Actus Reus. </w:t>
              </w:r>
              <w:r>
                <w:rPr>
                  <w:i/>
                  <w:iCs/>
                  <w:noProof/>
                </w:rPr>
                <w:t>South African Journal.</w:t>
              </w:r>
            </w:p>
            <w:p w14:paraId="0EA95A0B" w14:textId="77777777" w:rsidR="000C024A" w:rsidRDefault="000C024A" w:rsidP="000C024A">
              <w:pPr>
                <w:pStyle w:val="Bibliography"/>
                <w:rPr>
                  <w:noProof/>
                </w:rPr>
              </w:pPr>
              <w:r>
                <w:rPr>
                  <w:noProof/>
                </w:rPr>
                <w:t xml:space="preserve">Cockerham, C., 2014. Insanity Defense. In: </w:t>
              </w:r>
              <w:r>
                <w:rPr>
                  <w:i/>
                  <w:iCs/>
                  <w:noProof/>
                </w:rPr>
                <w:t xml:space="preserve">The Wiley Blackwell Encyclopedia of Health, Illnesa, Behaviour and Society. </w:t>
              </w:r>
              <w:r>
                <w:rPr>
                  <w:noProof/>
                </w:rPr>
                <w:t>s.l.:s.n., pp. 1247-1252.</w:t>
              </w:r>
            </w:p>
            <w:p w14:paraId="11F01A76" w14:textId="77777777" w:rsidR="000C024A" w:rsidRDefault="000C024A" w:rsidP="000C024A">
              <w:pPr>
                <w:pStyle w:val="Bibliography"/>
                <w:rPr>
                  <w:noProof/>
                </w:rPr>
              </w:pPr>
              <w:r>
                <w:rPr>
                  <w:noProof/>
                </w:rPr>
                <w:t xml:space="preserve">Goff, L., 1987. The mental element in the crime of murder. In: </w:t>
              </w:r>
              <w:r>
                <w:rPr>
                  <w:i/>
                  <w:iCs/>
                  <w:noProof/>
                </w:rPr>
                <w:t xml:space="preserve">Israel Law Review. </w:t>
              </w:r>
              <w:r>
                <w:rPr>
                  <w:noProof/>
                </w:rPr>
                <w:t>s.l.:s.n., pp. 1-36.</w:t>
              </w:r>
            </w:p>
            <w:p w14:paraId="4333D8C4" w14:textId="77777777" w:rsidR="000C024A" w:rsidRDefault="000C024A" w:rsidP="000C024A">
              <w:pPr>
                <w:pStyle w:val="Bibliography"/>
                <w:rPr>
                  <w:noProof/>
                </w:rPr>
              </w:pPr>
              <w:r>
                <w:rPr>
                  <w:noProof/>
                </w:rPr>
                <w:t xml:space="preserve">Howard, H., 2003. Reform of the insanity defense: Theoretical Issues. In: </w:t>
              </w:r>
              <w:r>
                <w:rPr>
                  <w:i/>
                  <w:iCs/>
                  <w:noProof/>
                </w:rPr>
                <w:t xml:space="preserve">The Journal of Criminal Law. </w:t>
              </w:r>
              <w:r>
                <w:rPr>
                  <w:noProof/>
                </w:rPr>
                <w:t>s.l.:s.n., pp. 51-67.</w:t>
              </w:r>
            </w:p>
            <w:p w14:paraId="370F9E03" w14:textId="77777777" w:rsidR="000C024A" w:rsidRDefault="000C024A" w:rsidP="000C024A">
              <w:pPr>
                <w:pStyle w:val="Bibliography"/>
                <w:rPr>
                  <w:noProof/>
                </w:rPr>
              </w:pPr>
              <w:r>
                <w:rPr>
                  <w:noProof/>
                </w:rPr>
                <w:t xml:space="preserve">Manchester, C., 1977. Manslaughter by an Unlawful Act. In: </w:t>
              </w:r>
              <w:r>
                <w:rPr>
                  <w:i/>
                  <w:iCs/>
                  <w:noProof/>
                </w:rPr>
                <w:t xml:space="preserve">The Law Teacher. </w:t>
              </w:r>
              <w:r>
                <w:rPr>
                  <w:noProof/>
                </w:rPr>
                <w:t>s.l.:s.n., pp. 32-37.</w:t>
              </w:r>
            </w:p>
            <w:p w14:paraId="6D2DA584" w14:textId="77777777" w:rsidR="000C024A" w:rsidRDefault="000C024A" w:rsidP="000C024A">
              <w:pPr>
                <w:pStyle w:val="Bibliography"/>
                <w:rPr>
                  <w:noProof/>
                </w:rPr>
              </w:pPr>
              <w:r>
                <w:rPr>
                  <w:noProof/>
                </w:rPr>
                <w:t xml:space="preserve">McAuley, F., 1993. In: </w:t>
              </w:r>
              <w:r>
                <w:rPr>
                  <w:i/>
                  <w:iCs/>
                  <w:noProof/>
                </w:rPr>
                <w:t xml:space="preserve">Insanity, Psychiatry and Criminal Responsility. </w:t>
              </w:r>
              <w:r>
                <w:rPr>
                  <w:noProof/>
                </w:rPr>
                <w:t>s.l.:Round Hall Press.</w:t>
              </w:r>
            </w:p>
            <w:p w14:paraId="0B339D49" w14:textId="77777777" w:rsidR="000C024A" w:rsidRDefault="000C024A" w:rsidP="000C024A">
              <w:pPr>
                <w:pStyle w:val="Bibliography"/>
                <w:rPr>
                  <w:noProof/>
                </w:rPr>
              </w:pPr>
              <w:r>
                <w:rPr>
                  <w:noProof/>
                </w:rPr>
                <w:t xml:space="preserve">Montrose, J., 1954. The M'Naghten Rules. In: </w:t>
              </w:r>
              <w:r>
                <w:rPr>
                  <w:i/>
                  <w:iCs/>
                  <w:noProof/>
                </w:rPr>
                <w:t xml:space="preserve">The modern law review. </w:t>
              </w:r>
              <w:r>
                <w:rPr>
                  <w:noProof/>
                </w:rPr>
                <w:t>s.l.:s.n., pp. 383-386.</w:t>
              </w:r>
            </w:p>
            <w:p w14:paraId="5625B563" w14:textId="77777777" w:rsidR="000C024A" w:rsidRDefault="000C024A" w:rsidP="000C024A">
              <w:pPr>
                <w:pStyle w:val="Bibliography"/>
                <w:rPr>
                  <w:noProof/>
                </w:rPr>
              </w:pPr>
              <w:r>
                <w:rPr>
                  <w:noProof/>
                </w:rPr>
                <w:t xml:space="preserve">Prevezer, S., 1957. The English Homicide Act: A New Attempt to Revise the Law of Murder. In: </w:t>
              </w:r>
              <w:r>
                <w:rPr>
                  <w:i/>
                  <w:iCs/>
                  <w:noProof/>
                </w:rPr>
                <w:t xml:space="preserve">Columbia Law Review. </w:t>
              </w:r>
              <w:r>
                <w:rPr>
                  <w:noProof/>
                </w:rPr>
                <w:t>s.l.:s.n., pp. 624-652.</w:t>
              </w:r>
            </w:p>
            <w:p w14:paraId="7FAC75D2" w14:textId="77777777" w:rsidR="000C024A" w:rsidRDefault="000C024A" w:rsidP="000C024A">
              <w:pPr>
                <w:pStyle w:val="Bibliography"/>
                <w:rPr>
                  <w:noProof/>
                </w:rPr>
              </w:pPr>
              <w:r>
                <w:rPr>
                  <w:noProof/>
                </w:rPr>
                <w:t xml:space="preserve">Scott, C. L. &amp; Pinals, D. A., 2009. Insanity: Defense. In: </w:t>
              </w:r>
              <w:r>
                <w:rPr>
                  <w:i/>
                  <w:iCs/>
                  <w:noProof/>
                </w:rPr>
                <w:t xml:space="preserve">Wiley Encyclopedia of Forensic Science. </w:t>
              </w:r>
              <w:r>
                <w:rPr>
                  <w:noProof/>
                </w:rPr>
                <w:t>s.l.:s.n.</w:t>
              </w:r>
            </w:p>
            <w:p w14:paraId="057FD95B" w14:textId="1630F7D9" w:rsidR="000C024A" w:rsidRDefault="000C024A" w:rsidP="000C024A">
              <w:r>
                <w:rPr>
                  <w:b/>
                  <w:bCs/>
                  <w:noProof/>
                </w:rPr>
                <w:fldChar w:fldCharType="end"/>
              </w:r>
            </w:p>
          </w:sdtContent>
        </w:sdt>
      </w:sdtContent>
    </w:sdt>
    <w:p w14:paraId="145F8310" w14:textId="05D21D0A" w:rsidR="00CE4177" w:rsidRDefault="00CE4177" w:rsidP="00A977A5">
      <w:pPr>
        <w:pStyle w:val="paragraph"/>
        <w:spacing w:line="480" w:lineRule="auto"/>
        <w:jc w:val="both"/>
        <w:textAlignment w:val="baseline"/>
      </w:pPr>
    </w:p>
    <w:sectPr w:rsidR="00CE417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C3396" w14:textId="77777777" w:rsidR="008E6DCD" w:rsidRDefault="008E6DCD" w:rsidP="00795086">
      <w:pPr>
        <w:spacing w:after="0" w:line="240" w:lineRule="auto"/>
      </w:pPr>
      <w:r>
        <w:separator/>
      </w:r>
    </w:p>
  </w:endnote>
  <w:endnote w:type="continuationSeparator" w:id="0">
    <w:p w14:paraId="2CB907B6" w14:textId="77777777" w:rsidR="008E6DCD" w:rsidRDefault="008E6DCD" w:rsidP="00795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3DD9B" w14:textId="77777777" w:rsidR="00795086" w:rsidRDefault="007950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9EC09" w14:textId="77777777" w:rsidR="00795086" w:rsidRDefault="007950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33B2F" w14:textId="77777777" w:rsidR="00795086" w:rsidRDefault="007950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03897" w14:textId="77777777" w:rsidR="008E6DCD" w:rsidRDefault="008E6DCD" w:rsidP="00795086">
      <w:pPr>
        <w:spacing w:after="0" w:line="240" w:lineRule="auto"/>
      </w:pPr>
      <w:r>
        <w:separator/>
      </w:r>
    </w:p>
  </w:footnote>
  <w:footnote w:type="continuationSeparator" w:id="0">
    <w:p w14:paraId="06BA160C" w14:textId="77777777" w:rsidR="008E6DCD" w:rsidRDefault="008E6DCD" w:rsidP="007950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BE08D" w14:textId="77777777" w:rsidR="00795086" w:rsidRDefault="007950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B5E49" w14:textId="77777777" w:rsidR="00795086" w:rsidRDefault="007950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974BDF" w14:textId="77777777" w:rsidR="00795086" w:rsidRDefault="007950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D6140"/>
    <w:multiLevelType w:val="multilevel"/>
    <w:tmpl w:val="656EB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5231D6"/>
    <w:multiLevelType w:val="multilevel"/>
    <w:tmpl w:val="51DCDA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0CD9"/>
    <w:rsid w:val="000A0487"/>
    <w:rsid w:val="000A0AFC"/>
    <w:rsid w:val="000C024A"/>
    <w:rsid w:val="0018122B"/>
    <w:rsid w:val="00326863"/>
    <w:rsid w:val="003538E0"/>
    <w:rsid w:val="003F2B29"/>
    <w:rsid w:val="00450CD9"/>
    <w:rsid w:val="00467568"/>
    <w:rsid w:val="00773811"/>
    <w:rsid w:val="00795086"/>
    <w:rsid w:val="007A44C2"/>
    <w:rsid w:val="00855AB5"/>
    <w:rsid w:val="008E6DCD"/>
    <w:rsid w:val="008F0739"/>
    <w:rsid w:val="00984527"/>
    <w:rsid w:val="009F4DAA"/>
    <w:rsid w:val="009F7EFA"/>
    <w:rsid w:val="00A803EC"/>
    <w:rsid w:val="00A977A5"/>
    <w:rsid w:val="00B16085"/>
    <w:rsid w:val="00B453F8"/>
    <w:rsid w:val="00B9547A"/>
    <w:rsid w:val="00BA103D"/>
    <w:rsid w:val="00C10247"/>
    <w:rsid w:val="00C52EBD"/>
    <w:rsid w:val="00C875B9"/>
    <w:rsid w:val="00CC3769"/>
    <w:rsid w:val="00CE4177"/>
    <w:rsid w:val="00CF3651"/>
    <w:rsid w:val="00FC6A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DBC900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CD9"/>
  </w:style>
  <w:style w:type="paragraph" w:styleId="Heading1">
    <w:name w:val="heading 1"/>
    <w:basedOn w:val="Normal"/>
    <w:next w:val="Normal"/>
    <w:link w:val="Heading1Char"/>
    <w:uiPriority w:val="9"/>
    <w:qFormat/>
    <w:rsid w:val="00B453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50CD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450CD9"/>
  </w:style>
  <w:style w:type="character" w:customStyle="1" w:styleId="eop">
    <w:name w:val="eop"/>
    <w:basedOn w:val="DefaultParagraphFont"/>
    <w:rsid w:val="00450CD9"/>
  </w:style>
  <w:style w:type="paragraph" w:styleId="Header">
    <w:name w:val="header"/>
    <w:basedOn w:val="Normal"/>
    <w:link w:val="HeaderChar"/>
    <w:uiPriority w:val="99"/>
    <w:unhideWhenUsed/>
    <w:rsid w:val="007950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5086"/>
  </w:style>
  <w:style w:type="paragraph" w:styleId="Footer">
    <w:name w:val="footer"/>
    <w:basedOn w:val="Normal"/>
    <w:link w:val="FooterChar"/>
    <w:uiPriority w:val="99"/>
    <w:unhideWhenUsed/>
    <w:rsid w:val="007950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5086"/>
  </w:style>
  <w:style w:type="character" w:customStyle="1" w:styleId="Heading1Char">
    <w:name w:val="Heading 1 Char"/>
    <w:basedOn w:val="DefaultParagraphFont"/>
    <w:link w:val="Heading1"/>
    <w:uiPriority w:val="9"/>
    <w:rsid w:val="00B453F8"/>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B453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92602">
      <w:bodyDiv w:val="1"/>
      <w:marLeft w:val="0"/>
      <w:marRight w:val="0"/>
      <w:marTop w:val="0"/>
      <w:marBottom w:val="0"/>
      <w:divBdr>
        <w:top w:val="none" w:sz="0" w:space="0" w:color="auto"/>
        <w:left w:val="none" w:sz="0" w:space="0" w:color="auto"/>
        <w:bottom w:val="none" w:sz="0" w:space="0" w:color="auto"/>
        <w:right w:val="none" w:sz="0" w:space="0" w:color="auto"/>
      </w:divBdr>
    </w:div>
    <w:div w:id="134302474">
      <w:bodyDiv w:val="1"/>
      <w:marLeft w:val="0"/>
      <w:marRight w:val="0"/>
      <w:marTop w:val="0"/>
      <w:marBottom w:val="0"/>
      <w:divBdr>
        <w:top w:val="none" w:sz="0" w:space="0" w:color="auto"/>
        <w:left w:val="none" w:sz="0" w:space="0" w:color="auto"/>
        <w:bottom w:val="none" w:sz="0" w:space="0" w:color="auto"/>
        <w:right w:val="none" w:sz="0" w:space="0" w:color="auto"/>
      </w:divBdr>
    </w:div>
    <w:div w:id="138427828">
      <w:bodyDiv w:val="1"/>
      <w:marLeft w:val="0"/>
      <w:marRight w:val="0"/>
      <w:marTop w:val="0"/>
      <w:marBottom w:val="0"/>
      <w:divBdr>
        <w:top w:val="none" w:sz="0" w:space="0" w:color="auto"/>
        <w:left w:val="none" w:sz="0" w:space="0" w:color="auto"/>
        <w:bottom w:val="none" w:sz="0" w:space="0" w:color="auto"/>
        <w:right w:val="none" w:sz="0" w:space="0" w:color="auto"/>
      </w:divBdr>
    </w:div>
    <w:div w:id="214121336">
      <w:bodyDiv w:val="1"/>
      <w:marLeft w:val="0"/>
      <w:marRight w:val="0"/>
      <w:marTop w:val="0"/>
      <w:marBottom w:val="0"/>
      <w:divBdr>
        <w:top w:val="none" w:sz="0" w:space="0" w:color="auto"/>
        <w:left w:val="none" w:sz="0" w:space="0" w:color="auto"/>
        <w:bottom w:val="none" w:sz="0" w:space="0" w:color="auto"/>
        <w:right w:val="none" w:sz="0" w:space="0" w:color="auto"/>
      </w:divBdr>
    </w:div>
    <w:div w:id="240867874">
      <w:bodyDiv w:val="1"/>
      <w:marLeft w:val="0"/>
      <w:marRight w:val="0"/>
      <w:marTop w:val="0"/>
      <w:marBottom w:val="0"/>
      <w:divBdr>
        <w:top w:val="none" w:sz="0" w:space="0" w:color="auto"/>
        <w:left w:val="none" w:sz="0" w:space="0" w:color="auto"/>
        <w:bottom w:val="none" w:sz="0" w:space="0" w:color="auto"/>
        <w:right w:val="none" w:sz="0" w:space="0" w:color="auto"/>
      </w:divBdr>
    </w:div>
    <w:div w:id="267390464">
      <w:bodyDiv w:val="1"/>
      <w:marLeft w:val="0"/>
      <w:marRight w:val="0"/>
      <w:marTop w:val="0"/>
      <w:marBottom w:val="0"/>
      <w:divBdr>
        <w:top w:val="none" w:sz="0" w:space="0" w:color="auto"/>
        <w:left w:val="none" w:sz="0" w:space="0" w:color="auto"/>
        <w:bottom w:val="none" w:sz="0" w:space="0" w:color="auto"/>
        <w:right w:val="none" w:sz="0" w:space="0" w:color="auto"/>
      </w:divBdr>
    </w:div>
    <w:div w:id="294216381">
      <w:bodyDiv w:val="1"/>
      <w:marLeft w:val="0"/>
      <w:marRight w:val="0"/>
      <w:marTop w:val="0"/>
      <w:marBottom w:val="0"/>
      <w:divBdr>
        <w:top w:val="none" w:sz="0" w:space="0" w:color="auto"/>
        <w:left w:val="none" w:sz="0" w:space="0" w:color="auto"/>
        <w:bottom w:val="none" w:sz="0" w:space="0" w:color="auto"/>
        <w:right w:val="none" w:sz="0" w:space="0" w:color="auto"/>
      </w:divBdr>
    </w:div>
    <w:div w:id="348223202">
      <w:bodyDiv w:val="1"/>
      <w:marLeft w:val="0"/>
      <w:marRight w:val="0"/>
      <w:marTop w:val="0"/>
      <w:marBottom w:val="0"/>
      <w:divBdr>
        <w:top w:val="none" w:sz="0" w:space="0" w:color="auto"/>
        <w:left w:val="none" w:sz="0" w:space="0" w:color="auto"/>
        <w:bottom w:val="none" w:sz="0" w:space="0" w:color="auto"/>
        <w:right w:val="none" w:sz="0" w:space="0" w:color="auto"/>
      </w:divBdr>
    </w:div>
    <w:div w:id="589000205">
      <w:bodyDiv w:val="1"/>
      <w:marLeft w:val="0"/>
      <w:marRight w:val="0"/>
      <w:marTop w:val="0"/>
      <w:marBottom w:val="0"/>
      <w:divBdr>
        <w:top w:val="none" w:sz="0" w:space="0" w:color="auto"/>
        <w:left w:val="none" w:sz="0" w:space="0" w:color="auto"/>
        <w:bottom w:val="none" w:sz="0" w:space="0" w:color="auto"/>
        <w:right w:val="none" w:sz="0" w:space="0" w:color="auto"/>
      </w:divBdr>
    </w:div>
    <w:div w:id="606929452">
      <w:bodyDiv w:val="1"/>
      <w:marLeft w:val="0"/>
      <w:marRight w:val="0"/>
      <w:marTop w:val="0"/>
      <w:marBottom w:val="0"/>
      <w:divBdr>
        <w:top w:val="none" w:sz="0" w:space="0" w:color="auto"/>
        <w:left w:val="none" w:sz="0" w:space="0" w:color="auto"/>
        <w:bottom w:val="none" w:sz="0" w:space="0" w:color="auto"/>
        <w:right w:val="none" w:sz="0" w:space="0" w:color="auto"/>
      </w:divBdr>
    </w:div>
    <w:div w:id="654266637">
      <w:bodyDiv w:val="1"/>
      <w:marLeft w:val="0"/>
      <w:marRight w:val="0"/>
      <w:marTop w:val="0"/>
      <w:marBottom w:val="0"/>
      <w:divBdr>
        <w:top w:val="none" w:sz="0" w:space="0" w:color="auto"/>
        <w:left w:val="none" w:sz="0" w:space="0" w:color="auto"/>
        <w:bottom w:val="none" w:sz="0" w:space="0" w:color="auto"/>
        <w:right w:val="none" w:sz="0" w:space="0" w:color="auto"/>
      </w:divBdr>
    </w:div>
    <w:div w:id="794131816">
      <w:bodyDiv w:val="1"/>
      <w:marLeft w:val="0"/>
      <w:marRight w:val="0"/>
      <w:marTop w:val="0"/>
      <w:marBottom w:val="0"/>
      <w:divBdr>
        <w:top w:val="none" w:sz="0" w:space="0" w:color="auto"/>
        <w:left w:val="none" w:sz="0" w:space="0" w:color="auto"/>
        <w:bottom w:val="none" w:sz="0" w:space="0" w:color="auto"/>
        <w:right w:val="none" w:sz="0" w:space="0" w:color="auto"/>
      </w:divBdr>
    </w:div>
    <w:div w:id="844520807">
      <w:bodyDiv w:val="1"/>
      <w:marLeft w:val="0"/>
      <w:marRight w:val="0"/>
      <w:marTop w:val="0"/>
      <w:marBottom w:val="0"/>
      <w:divBdr>
        <w:top w:val="none" w:sz="0" w:space="0" w:color="auto"/>
        <w:left w:val="none" w:sz="0" w:space="0" w:color="auto"/>
        <w:bottom w:val="none" w:sz="0" w:space="0" w:color="auto"/>
        <w:right w:val="none" w:sz="0" w:space="0" w:color="auto"/>
      </w:divBdr>
    </w:div>
    <w:div w:id="880094200">
      <w:bodyDiv w:val="1"/>
      <w:marLeft w:val="0"/>
      <w:marRight w:val="0"/>
      <w:marTop w:val="0"/>
      <w:marBottom w:val="0"/>
      <w:divBdr>
        <w:top w:val="none" w:sz="0" w:space="0" w:color="auto"/>
        <w:left w:val="none" w:sz="0" w:space="0" w:color="auto"/>
        <w:bottom w:val="none" w:sz="0" w:space="0" w:color="auto"/>
        <w:right w:val="none" w:sz="0" w:space="0" w:color="auto"/>
      </w:divBdr>
    </w:div>
    <w:div w:id="919875998">
      <w:bodyDiv w:val="1"/>
      <w:marLeft w:val="0"/>
      <w:marRight w:val="0"/>
      <w:marTop w:val="0"/>
      <w:marBottom w:val="0"/>
      <w:divBdr>
        <w:top w:val="none" w:sz="0" w:space="0" w:color="auto"/>
        <w:left w:val="none" w:sz="0" w:space="0" w:color="auto"/>
        <w:bottom w:val="none" w:sz="0" w:space="0" w:color="auto"/>
        <w:right w:val="none" w:sz="0" w:space="0" w:color="auto"/>
      </w:divBdr>
    </w:div>
    <w:div w:id="995108601">
      <w:bodyDiv w:val="1"/>
      <w:marLeft w:val="0"/>
      <w:marRight w:val="0"/>
      <w:marTop w:val="0"/>
      <w:marBottom w:val="0"/>
      <w:divBdr>
        <w:top w:val="none" w:sz="0" w:space="0" w:color="auto"/>
        <w:left w:val="none" w:sz="0" w:space="0" w:color="auto"/>
        <w:bottom w:val="none" w:sz="0" w:space="0" w:color="auto"/>
        <w:right w:val="none" w:sz="0" w:space="0" w:color="auto"/>
      </w:divBdr>
    </w:div>
    <w:div w:id="1033111829">
      <w:bodyDiv w:val="1"/>
      <w:marLeft w:val="0"/>
      <w:marRight w:val="0"/>
      <w:marTop w:val="0"/>
      <w:marBottom w:val="0"/>
      <w:divBdr>
        <w:top w:val="none" w:sz="0" w:space="0" w:color="auto"/>
        <w:left w:val="none" w:sz="0" w:space="0" w:color="auto"/>
        <w:bottom w:val="none" w:sz="0" w:space="0" w:color="auto"/>
        <w:right w:val="none" w:sz="0" w:space="0" w:color="auto"/>
      </w:divBdr>
    </w:div>
    <w:div w:id="1138494912">
      <w:bodyDiv w:val="1"/>
      <w:marLeft w:val="0"/>
      <w:marRight w:val="0"/>
      <w:marTop w:val="0"/>
      <w:marBottom w:val="0"/>
      <w:divBdr>
        <w:top w:val="none" w:sz="0" w:space="0" w:color="auto"/>
        <w:left w:val="none" w:sz="0" w:space="0" w:color="auto"/>
        <w:bottom w:val="none" w:sz="0" w:space="0" w:color="auto"/>
        <w:right w:val="none" w:sz="0" w:space="0" w:color="auto"/>
      </w:divBdr>
    </w:div>
    <w:div w:id="1149320966">
      <w:bodyDiv w:val="1"/>
      <w:marLeft w:val="0"/>
      <w:marRight w:val="0"/>
      <w:marTop w:val="0"/>
      <w:marBottom w:val="0"/>
      <w:divBdr>
        <w:top w:val="none" w:sz="0" w:space="0" w:color="auto"/>
        <w:left w:val="none" w:sz="0" w:space="0" w:color="auto"/>
        <w:bottom w:val="none" w:sz="0" w:space="0" w:color="auto"/>
        <w:right w:val="none" w:sz="0" w:space="0" w:color="auto"/>
      </w:divBdr>
    </w:div>
    <w:div w:id="1151286681">
      <w:bodyDiv w:val="1"/>
      <w:marLeft w:val="0"/>
      <w:marRight w:val="0"/>
      <w:marTop w:val="0"/>
      <w:marBottom w:val="0"/>
      <w:divBdr>
        <w:top w:val="none" w:sz="0" w:space="0" w:color="auto"/>
        <w:left w:val="none" w:sz="0" w:space="0" w:color="auto"/>
        <w:bottom w:val="none" w:sz="0" w:space="0" w:color="auto"/>
        <w:right w:val="none" w:sz="0" w:space="0" w:color="auto"/>
      </w:divBdr>
    </w:div>
    <w:div w:id="1167937383">
      <w:bodyDiv w:val="1"/>
      <w:marLeft w:val="0"/>
      <w:marRight w:val="0"/>
      <w:marTop w:val="0"/>
      <w:marBottom w:val="0"/>
      <w:divBdr>
        <w:top w:val="none" w:sz="0" w:space="0" w:color="auto"/>
        <w:left w:val="none" w:sz="0" w:space="0" w:color="auto"/>
        <w:bottom w:val="none" w:sz="0" w:space="0" w:color="auto"/>
        <w:right w:val="none" w:sz="0" w:space="0" w:color="auto"/>
      </w:divBdr>
    </w:div>
    <w:div w:id="1210141741">
      <w:bodyDiv w:val="1"/>
      <w:marLeft w:val="0"/>
      <w:marRight w:val="0"/>
      <w:marTop w:val="0"/>
      <w:marBottom w:val="0"/>
      <w:divBdr>
        <w:top w:val="none" w:sz="0" w:space="0" w:color="auto"/>
        <w:left w:val="none" w:sz="0" w:space="0" w:color="auto"/>
        <w:bottom w:val="none" w:sz="0" w:space="0" w:color="auto"/>
        <w:right w:val="none" w:sz="0" w:space="0" w:color="auto"/>
      </w:divBdr>
    </w:div>
    <w:div w:id="1606495396">
      <w:bodyDiv w:val="1"/>
      <w:marLeft w:val="0"/>
      <w:marRight w:val="0"/>
      <w:marTop w:val="0"/>
      <w:marBottom w:val="0"/>
      <w:divBdr>
        <w:top w:val="none" w:sz="0" w:space="0" w:color="auto"/>
        <w:left w:val="none" w:sz="0" w:space="0" w:color="auto"/>
        <w:bottom w:val="none" w:sz="0" w:space="0" w:color="auto"/>
        <w:right w:val="none" w:sz="0" w:space="0" w:color="auto"/>
      </w:divBdr>
    </w:div>
    <w:div w:id="1686008027">
      <w:bodyDiv w:val="1"/>
      <w:marLeft w:val="0"/>
      <w:marRight w:val="0"/>
      <w:marTop w:val="0"/>
      <w:marBottom w:val="0"/>
      <w:divBdr>
        <w:top w:val="none" w:sz="0" w:space="0" w:color="auto"/>
        <w:left w:val="none" w:sz="0" w:space="0" w:color="auto"/>
        <w:bottom w:val="none" w:sz="0" w:space="0" w:color="auto"/>
        <w:right w:val="none" w:sz="0" w:space="0" w:color="auto"/>
      </w:divBdr>
    </w:div>
    <w:div w:id="1825852742">
      <w:bodyDiv w:val="1"/>
      <w:marLeft w:val="0"/>
      <w:marRight w:val="0"/>
      <w:marTop w:val="0"/>
      <w:marBottom w:val="0"/>
      <w:divBdr>
        <w:top w:val="none" w:sz="0" w:space="0" w:color="auto"/>
        <w:left w:val="none" w:sz="0" w:space="0" w:color="auto"/>
        <w:bottom w:val="none" w:sz="0" w:space="0" w:color="auto"/>
        <w:right w:val="none" w:sz="0" w:space="0" w:color="auto"/>
      </w:divBdr>
    </w:div>
    <w:div w:id="1871449775">
      <w:bodyDiv w:val="1"/>
      <w:marLeft w:val="0"/>
      <w:marRight w:val="0"/>
      <w:marTop w:val="0"/>
      <w:marBottom w:val="0"/>
      <w:divBdr>
        <w:top w:val="none" w:sz="0" w:space="0" w:color="auto"/>
        <w:left w:val="none" w:sz="0" w:space="0" w:color="auto"/>
        <w:bottom w:val="none" w:sz="0" w:space="0" w:color="auto"/>
        <w:right w:val="none" w:sz="0" w:space="0" w:color="auto"/>
      </w:divBdr>
    </w:div>
    <w:div w:id="1889880676">
      <w:bodyDiv w:val="1"/>
      <w:marLeft w:val="0"/>
      <w:marRight w:val="0"/>
      <w:marTop w:val="0"/>
      <w:marBottom w:val="0"/>
      <w:divBdr>
        <w:top w:val="none" w:sz="0" w:space="0" w:color="auto"/>
        <w:left w:val="none" w:sz="0" w:space="0" w:color="auto"/>
        <w:bottom w:val="none" w:sz="0" w:space="0" w:color="auto"/>
        <w:right w:val="none" w:sz="0" w:space="0" w:color="auto"/>
      </w:divBdr>
    </w:div>
    <w:div w:id="2044019823">
      <w:bodyDiv w:val="1"/>
      <w:marLeft w:val="0"/>
      <w:marRight w:val="0"/>
      <w:marTop w:val="0"/>
      <w:marBottom w:val="0"/>
      <w:divBdr>
        <w:top w:val="none" w:sz="0" w:space="0" w:color="auto"/>
        <w:left w:val="none" w:sz="0" w:space="0" w:color="auto"/>
        <w:bottom w:val="none" w:sz="0" w:space="0" w:color="auto"/>
        <w:right w:val="none" w:sz="0" w:space="0" w:color="auto"/>
      </w:divBdr>
    </w:div>
    <w:div w:id="2059470962">
      <w:bodyDiv w:val="1"/>
      <w:marLeft w:val="0"/>
      <w:marRight w:val="0"/>
      <w:marTop w:val="0"/>
      <w:marBottom w:val="0"/>
      <w:divBdr>
        <w:top w:val="none" w:sz="0" w:space="0" w:color="auto"/>
        <w:left w:val="none" w:sz="0" w:space="0" w:color="auto"/>
        <w:bottom w:val="none" w:sz="0" w:space="0" w:color="auto"/>
        <w:right w:val="none" w:sz="0" w:space="0" w:color="auto"/>
      </w:divBdr>
    </w:div>
    <w:div w:id="2064211813">
      <w:bodyDiv w:val="1"/>
      <w:marLeft w:val="0"/>
      <w:marRight w:val="0"/>
      <w:marTop w:val="0"/>
      <w:marBottom w:val="0"/>
      <w:divBdr>
        <w:top w:val="none" w:sz="0" w:space="0" w:color="auto"/>
        <w:left w:val="none" w:sz="0" w:space="0" w:color="auto"/>
        <w:bottom w:val="none" w:sz="0" w:space="0" w:color="auto"/>
        <w:right w:val="none" w:sz="0" w:space="0" w:color="auto"/>
      </w:divBdr>
    </w:div>
    <w:div w:id="2126344939">
      <w:bodyDiv w:val="1"/>
      <w:marLeft w:val="0"/>
      <w:marRight w:val="0"/>
      <w:marTop w:val="0"/>
      <w:marBottom w:val="0"/>
      <w:divBdr>
        <w:top w:val="none" w:sz="0" w:space="0" w:color="auto"/>
        <w:left w:val="none" w:sz="0" w:space="0" w:color="auto"/>
        <w:bottom w:val="none" w:sz="0" w:space="0" w:color="auto"/>
        <w:right w:val="none" w:sz="0" w:space="0" w:color="auto"/>
      </w:divBdr>
    </w:div>
    <w:div w:id="2143115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FMc93</b:Tag>
    <b:SourceType>BookSection</b:SourceType>
    <b:Guid>{1F8B9A9C-C75F-425F-83CF-CC9D1C1EF934}</b:Guid>
    <b:Year>1993</b:Year>
    <b:Author>
      <b:Author>
        <b:NameList>
          <b:Person>
            <b:Last>McAuley</b:Last>
            <b:First>F</b:First>
          </b:Person>
        </b:NameList>
      </b:Author>
    </b:Author>
    <b:BookTitle>Insanity, Psychiatry and Criminal Responsility</b:BookTitle>
    <b:Publisher>Round Hall Press</b:Publisher>
    <b:RefOrder>2</b:RefOrder>
  </b:Source>
  <b:Source>
    <b:Tag>Sco09</b:Tag>
    <b:SourceType>BookSection</b:SourceType>
    <b:Guid>{476BF1D4-B834-4182-B369-DFD5D6A88CF1}</b:Guid>
    <b:Title>Insanity: Defense</b:Title>
    <b:BookTitle>Wiley Encyclopedia of Forensic Science</b:BookTitle>
    <b:Year>2009</b:Year>
    <b:Author>
      <b:Author>
        <b:NameList>
          <b:Person>
            <b:Last>Scott</b:Last>
            <b:First>C</b:First>
            <b:Middle>L</b:Middle>
          </b:Person>
          <b:Person>
            <b:Last>Pinals</b:Last>
            <b:First>D A</b:First>
          </b:Person>
        </b:NameList>
      </b:Author>
    </b:Author>
    <b:RefOrder>1</b:RefOrder>
  </b:Source>
  <b:Source>
    <b:Tag>NAb79</b:Tag>
    <b:SourceType>BookSection</b:SourceType>
    <b:Guid>{618A702C-E81E-4D03-A8DA-51C63BD0C87B}</b:Guid>
    <b:Author>
      <b:Author>
        <b:NameList>
          <b:Person>
            <b:Last>Abrams</b:Last>
            <b:First>N</b:First>
          </b:Person>
        </b:NameList>
      </b:Author>
    </b:Author>
    <b:Title>Definitions of mental illness and the insanity defense</b:Title>
    <b:BookTitle>The journal of psychiatry and law</b:BookTitle>
    <b:Year>1979</b:Year>
    <b:Pages>441-456</b:Pages>
    <b:RefOrder>3</b:RefOrder>
  </b:Source>
  <b:Source>
    <b:Tag>JMo54</b:Tag>
    <b:SourceType>BookSection</b:SourceType>
    <b:Guid>{D6E4FDA8-A561-444C-A174-D8B80EDB76D1}</b:Guid>
    <b:Author>
      <b:Author>
        <b:NameList>
          <b:Person>
            <b:Last>Montrose</b:Last>
            <b:First>J</b:First>
          </b:Person>
        </b:NameList>
      </b:Author>
    </b:Author>
    <b:Title>The M'Naghten Rules</b:Title>
    <b:BookTitle>The modern law review</b:BookTitle>
    <b:Year>1954</b:Year>
    <b:Pages>383-386</b:Pages>
    <b:RefOrder>4</b:RefOrder>
  </b:Source>
  <b:Source>
    <b:Tag>HHo03</b:Tag>
    <b:SourceType>BookSection</b:SourceType>
    <b:Guid>{5273F4FE-70FE-4D9A-8419-9E41F53BD6A7}</b:Guid>
    <b:Author>
      <b:Author>
        <b:NameList>
          <b:Person>
            <b:Last>Howard</b:Last>
            <b:First>H</b:First>
          </b:Person>
        </b:NameList>
      </b:Author>
    </b:Author>
    <b:Title>Reform of the insanity defense: Theoretical Issues</b:Title>
    <b:BookTitle>The Journal of Criminal Law</b:BookTitle>
    <b:Year>2003</b:Year>
    <b:Pages>51-67</b:Pages>
    <b:RefOrder>5</b:RefOrder>
  </b:Source>
  <b:Source>
    <b:Tag>CTW14</b:Tag>
    <b:SourceType>BookSection</b:SourceType>
    <b:Guid>{D99AE6B7-717C-4C78-8C22-FE3D9D8CED14}</b:Guid>
    <b:Author>
      <b:Author>
        <b:NameList>
          <b:Person>
            <b:Last>Cockerham</b:Last>
            <b:First>C.T.W.C</b:First>
          </b:Person>
        </b:NameList>
      </b:Author>
    </b:Author>
    <b:Title>Insanity Defense</b:Title>
    <b:BookTitle>The Wiley Blackwell Encyclopedia of Health, Illnesa, Behaviour and Society</b:BookTitle>
    <b:Year>2014</b:Year>
    <b:Pages>1247-1252</b:Pages>
    <b:RefOrder>6</b:RefOrder>
  </b:Source>
  <b:Source>
    <b:Tag>SPr57</b:Tag>
    <b:SourceType>BookSection</b:SourceType>
    <b:Guid>{EAFEA1E4-09CC-4562-A44F-3ED9E84C0E50}</b:Guid>
    <b:Author>
      <b:Author>
        <b:NameList>
          <b:Person>
            <b:Last>Prevezer</b:Last>
            <b:First>S</b:First>
          </b:Person>
        </b:NameList>
      </b:Author>
    </b:Author>
    <b:Title>The English Homicide Act: A New Attempt to Revise the Law of Murder</b:Title>
    <b:BookTitle>Columbia Law Review</b:BookTitle>
    <b:Year>1957</b:Year>
    <b:Pages>624-652</b:Pages>
    <b:RefOrder>7</b:RefOrder>
  </b:Source>
  <b:Source>
    <b:Tag>CMa77</b:Tag>
    <b:SourceType>BookSection</b:SourceType>
    <b:Guid>{AA61C72E-8535-433C-BC18-86AE3BB3F27B}</b:Guid>
    <b:Author>
      <b:Author>
        <b:NameList>
          <b:Person>
            <b:Last>Manchester</b:Last>
            <b:First>C</b:First>
          </b:Person>
        </b:NameList>
      </b:Author>
    </b:Author>
    <b:Title>Manslaughter by an Unlawful Act</b:Title>
    <b:BookTitle>The Law Teacher</b:BookTitle>
    <b:Year>1977</b:Year>
    <b:Pages>32-37</b:Pages>
    <b:RefOrder>8</b:RefOrder>
  </b:Source>
  <b:Source>
    <b:Tag>EBu57</b:Tag>
    <b:SourceType>JournalArticle</b:SourceType>
    <b:Guid>{9C2CAE21-58B6-49CE-811A-3832D7AF05E8}</b:Guid>
    <b:Title>Murder: Mens Rea and Actus Reus</b:Title>
    <b:Year>1957</b:Year>
    <b:Author>
      <b:Author>
        <b:NameList>
          <b:Person>
            <b:Last>Burchell</b:Last>
            <b:First>E</b:First>
          </b:Person>
        </b:NameList>
      </b:Author>
    </b:Author>
    <b:JournalName>South African Journal</b:JournalName>
    <b:RefOrder>9</b:RefOrder>
  </b:Source>
  <b:Source>
    <b:Tag>LGo87</b:Tag>
    <b:SourceType>BookSection</b:SourceType>
    <b:Guid>{ED586930-E6C4-436F-BA8A-8E899CE5B49B}</b:Guid>
    <b:Title>The mental element in the crime of murder</b:Title>
    <b:Year>1987</b:Year>
    <b:Pages>1-36</b:Pages>
    <b:Author>
      <b:Author>
        <b:NameList>
          <b:Person>
            <b:Last>Goff</b:Last>
            <b:First>L</b:First>
          </b:Person>
        </b:NameList>
      </b:Author>
    </b:Author>
    <b:BookTitle>Israel Law Review</b:BookTitle>
    <b:RefOrder>10</b:RefOrder>
  </b:Source>
</b:Sources>
</file>

<file path=customXml/itemProps1.xml><?xml version="1.0" encoding="utf-8"?>
<ds:datastoreItem xmlns:ds="http://schemas.openxmlformats.org/officeDocument/2006/customXml" ds:itemID="{0440DF49-681D-4C44-B922-29FB770C2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2187</Words>
  <Characters>12466</Characters>
  <Application>Microsoft Office Word</Application>
  <DocSecurity>4</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2021-05-05T17:38:00Z</dcterms:created>
  <dcterms:modified xsi:type="dcterms:W3CDTF">2021-05-05T17:38:00Z</dcterms:modified>
</cp:coreProperties>
</file>