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CAED9A" w14:textId="77777777" w:rsidR="00BE38E0" w:rsidRPr="00732310" w:rsidRDefault="00BE38E0" w:rsidP="00BE38E0">
      <w:pPr>
        <w:jc w:val="center"/>
        <w:rPr>
          <w:rFonts w:ascii="Arial" w:hAnsi="Arial" w:cs="Arial"/>
          <w:b/>
          <w:sz w:val="24"/>
          <w:szCs w:val="24"/>
        </w:rPr>
      </w:pPr>
    </w:p>
    <w:p w14:paraId="38E0C5AE" w14:textId="77777777" w:rsidR="00BE38E0" w:rsidRPr="00732310" w:rsidRDefault="00BE38E0" w:rsidP="00BE38E0">
      <w:pPr>
        <w:jc w:val="center"/>
        <w:rPr>
          <w:rFonts w:ascii="Arial" w:hAnsi="Arial" w:cs="Arial"/>
          <w:b/>
          <w:sz w:val="24"/>
          <w:szCs w:val="24"/>
        </w:rPr>
      </w:pPr>
    </w:p>
    <w:p w14:paraId="507296C1" w14:textId="77777777" w:rsidR="00BE38E0" w:rsidRPr="00732310" w:rsidRDefault="00BE38E0" w:rsidP="00BE38E0">
      <w:pPr>
        <w:jc w:val="center"/>
        <w:rPr>
          <w:rFonts w:ascii="Arial" w:hAnsi="Arial" w:cs="Arial"/>
          <w:b/>
          <w:sz w:val="24"/>
          <w:szCs w:val="24"/>
        </w:rPr>
      </w:pPr>
    </w:p>
    <w:p w14:paraId="1A010B1D" w14:textId="220C645A" w:rsidR="00E74FEE" w:rsidRPr="00732310" w:rsidRDefault="00BE38E0" w:rsidP="00BE38E0">
      <w:pPr>
        <w:jc w:val="center"/>
        <w:rPr>
          <w:rFonts w:ascii="Times New Roman" w:hAnsi="Times New Roman" w:cs="Times New Roman"/>
          <w:b/>
          <w:sz w:val="36"/>
          <w:szCs w:val="36"/>
        </w:rPr>
      </w:pPr>
      <w:r w:rsidRPr="00732310">
        <w:rPr>
          <w:rFonts w:ascii="Times New Roman" w:hAnsi="Times New Roman" w:cs="Times New Roman"/>
          <w:b/>
          <w:sz w:val="36"/>
          <w:szCs w:val="36"/>
        </w:rPr>
        <w:t>BMPL4009_CARD</w:t>
      </w:r>
    </w:p>
    <w:p w14:paraId="46F6A951" w14:textId="583EFCEF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36"/>
          <w:szCs w:val="36"/>
        </w:rPr>
      </w:pPr>
      <w:r w:rsidRPr="00732310">
        <w:rPr>
          <w:rFonts w:ascii="Times New Roman" w:hAnsi="Times New Roman" w:cs="Times New Roman"/>
          <w:b/>
          <w:sz w:val="36"/>
          <w:szCs w:val="36"/>
        </w:rPr>
        <w:t>Criminal</w:t>
      </w:r>
      <w:r w:rsidR="007F4C20">
        <w:rPr>
          <w:rFonts w:ascii="Times New Roman" w:hAnsi="Times New Roman" w:cs="Times New Roman"/>
          <w:b/>
          <w:sz w:val="36"/>
          <w:szCs w:val="36"/>
        </w:rPr>
        <w:t xml:space="preserve"> </w:t>
      </w:r>
      <w:r w:rsidRPr="00732310">
        <w:rPr>
          <w:rFonts w:ascii="Times New Roman" w:hAnsi="Times New Roman" w:cs="Times New Roman"/>
          <w:b/>
          <w:sz w:val="36"/>
          <w:szCs w:val="36"/>
        </w:rPr>
        <w:t>Law</w:t>
      </w:r>
    </w:p>
    <w:p w14:paraId="16ACC302" w14:textId="77777777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36"/>
          <w:szCs w:val="36"/>
        </w:rPr>
      </w:pPr>
    </w:p>
    <w:p w14:paraId="34DF66C0" w14:textId="10487666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36"/>
          <w:szCs w:val="36"/>
        </w:rPr>
      </w:pPr>
      <w:r w:rsidRPr="00732310">
        <w:rPr>
          <w:rFonts w:ascii="Times New Roman" w:hAnsi="Times New Roman" w:cs="Times New Roman"/>
          <w:b/>
          <w:sz w:val="36"/>
          <w:szCs w:val="36"/>
        </w:rPr>
        <w:t>Assignment</w:t>
      </w:r>
      <w:r w:rsidR="007F4C20">
        <w:rPr>
          <w:rFonts w:ascii="Times New Roman" w:hAnsi="Times New Roman" w:cs="Times New Roman"/>
          <w:b/>
          <w:sz w:val="36"/>
          <w:szCs w:val="36"/>
        </w:rPr>
        <w:t xml:space="preserve"> </w:t>
      </w:r>
      <w:r w:rsidRPr="00732310">
        <w:rPr>
          <w:rFonts w:ascii="Times New Roman" w:hAnsi="Times New Roman" w:cs="Times New Roman"/>
          <w:b/>
          <w:sz w:val="36"/>
          <w:szCs w:val="36"/>
        </w:rPr>
        <w:t>Title:</w:t>
      </w:r>
      <w:r w:rsidR="007F4C20">
        <w:rPr>
          <w:rFonts w:ascii="Times New Roman" w:hAnsi="Times New Roman" w:cs="Times New Roman"/>
          <w:b/>
          <w:sz w:val="36"/>
          <w:szCs w:val="36"/>
        </w:rPr>
        <w:t xml:space="preserve"> </w:t>
      </w:r>
      <w:r w:rsidRPr="00732310">
        <w:rPr>
          <w:rFonts w:ascii="Times New Roman" w:hAnsi="Times New Roman" w:cs="Times New Roman"/>
          <w:b/>
          <w:sz w:val="36"/>
          <w:szCs w:val="36"/>
        </w:rPr>
        <w:t>Scenario</w:t>
      </w:r>
      <w:r w:rsidR="007F4C20">
        <w:rPr>
          <w:rFonts w:ascii="Times New Roman" w:hAnsi="Times New Roman" w:cs="Times New Roman"/>
          <w:b/>
          <w:sz w:val="36"/>
          <w:szCs w:val="36"/>
        </w:rPr>
        <w:t xml:space="preserve"> </w:t>
      </w:r>
      <w:r w:rsidRPr="00732310">
        <w:rPr>
          <w:rFonts w:ascii="Times New Roman" w:hAnsi="Times New Roman" w:cs="Times New Roman"/>
          <w:b/>
          <w:sz w:val="36"/>
          <w:szCs w:val="36"/>
        </w:rPr>
        <w:t>question</w:t>
      </w:r>
    </w:p>
    <w:p w14:paraId="67FE119F" w14:textId="77777777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6267E53" w14:textId="77777777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7C49A6F" w14:textId="38BAEC9F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32310">
        <w:rPr>
          <w:rFonts w:ascii="Times New Roman" w:hAnsi="Times New Roman" w:cs="Times New Roman"/>
          <w:b/>
          <w:sz w:val="24"/>
          <w:szCs w:val="24"/>
        </w:rPr>
        <w:t>Student</w:t>
      </w:r>
      <w:r w:rsidR="007F4C2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/>
          <w:sz w:val="24"/>
          <w:szCs w:val="24"/>
        </w:rPr>
        <w:t>Name:</w:t>
      </w:r>
      <w:r w:rsidR="00AD686C">
        <w:rPr>
          <w:rFonts w:ascii="Times New Roman" w:hAnsi="Times New Roman" w:cs="Times New Roman"/>
          <w:b/>
          <w:sz w:val="24"/>
          <w:szCs w:val="24"/>
        </w:rPr>
        <w:t xml:space="preserve"> Gabriel Calin Moldovan</w:t>
      </w:r>
    </w:p>
    <w:p w14:paraId="42B243B0" w14:textId="0FD0F6BE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732310">
        <w:rPr>
          <w:rFonts w:ascii="Times New Roman" w:hAnsi="Times New Roman" w:cs="Times New Roman"/>
          <w:b/>
          <w:sz w:val="24"/>
          <w:szCs w:val="24"/>
        </w:rPr>
        <w:t>Student</w:t>
      </w:r>
      <w:r w:rsidR="007F4C2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/>
          <w:sz w:val="24"/>
          <w:szCs w:val="24"/>
        </w:rPr>
        <w:t>ID:</w:t>
      </w:r>
      <w:r w:rsidR="00AD686C">
        <w:rPr>
          <w:rFonts w:ascii="Times New Roman" w:hAnsi="Times New Roman" w:cs="Times New Roman"/>
          <w:b/>
          <w:sz w:val="24"/>
          <w:szCs w:val="24"/>
        </w:rPr>
        <w:t>2314720</w:t>
      </w:r>
    </w:p>
    <w:p w14:paraId="1890562E" w14:textId="77777777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1118D61" w14:textId="1A27FA11" w:rsidR="00BE38E0" w:rsidRPr="00732310" w:rsidRDefault="00BE38E0" w:rsidP="00AD686C">
      <w:pPr>
        <w:rPr>
          <w:rFonts w:ascii="Times New Roman" w:hAnsi="Times New Roman" w:cs="Times New Roman"/>
          <w:b/>
          <w:sz w:val="24"/>
          <w:szCs w:val="24"/>
        </w:rPr>
      </w:pPr>
    </w:p>
    <w:p w14:paraId="585D644E" w14:textId="77777777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428A706" w14:textId="29D90B7B" w:rsidR="00AA4ED0" w:rsidRDefault="00AA4ED0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069A2BF4" w14:textId="77777777" w:rsidR="00BE38E0" w:rsidRPr="00732310" w:rsidRDefault="00BE38E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688516931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4"/>
        </w:rPr>
      </w:sdtEndPr>
      <w:sdtContent>
        <w:p w14:paraId="16992202" w14:textId="0D6B18D4" w:rsidR="00732310" w:rsidRPr="00732310" w:rsidRDefault="00732310" w:rsidP="007F4C20">
          <w:pPr>
            <w:pStyle w:val="TOCHeading"/>
          </w:pPr>
          <w:r w:rsidRPr="00732310">
            <w:t>Table</w:t>
          </w:r>
          <w:r w:rsidR="007F4C20">
            <w:t xml:space="preserve"> </w:t>
          </w:r>
          <w:r w:rsidRPr="00732310">
            <w:t>of</w:t>
          </w:r>
          <w:r w:rsidR="007F4C20">
            <w:t xml:space="preserve"> </w:t>
          </w:r>
          <w:r w:rsidRPr="00732310">
            <w:t>Contents</w:t>
          </w:r>
        </w:p>
        <w:p w14:paraId="5C018B46" w14:textId="01E5AED5" w:rsidR="00AA4ED0" w:rsidRDefault="0073231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732310">
            <w:rPr>
              <w:sz w:val="24"/>
              <w:szCs w:val="24"/>
            </w:rPr>
            <w:fldChar w:fldCharType="begin"/>
          </w:r>
          <w:r w:rsidRPr="00732310">
            <w:rPr>
              <w:sz w:val="24"/>
              <w:szCs w:val="24"/>
            </w:rPr>
            <w:instrText xml:space="preserve"> TOC \o "1-3" \h \z \u </w:instrText>
          </w:r>
          <w:r w:rsidRPr="00732310">
            <w:rPr>
              <w:sz w:val="24"/>
              <w:szCs w:val="24"/>
            </w:rPr>
            <w:fldChar w:fldCharType="separate"/>
          </w:r>
          <w:hyperlink w:anchor="_Toc172904757" w:history="1">
            <w:r w:rsidR="00AA4ED0" w:rsidRPr="006D2296">
              <w:rPr>
                <w:rStyle w:val="Hyperlink"/>
                <w:noProof/>
              </w:rPr>
              <w:t>Introduction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_Toc172904757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3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4248E5B4" w14:textId="5D075F15" w:rsidR="00AA4ED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58" w:history="1">
            <w:r w:rsidR="00AA4ED0" w:rsidRPr="006D2296">
              <w:rPr>
                <w:rStyle w:val="Hyperlink"/>
                <w:noProof/>
              </w:rPr>
              <w:t>Potential Criminal Offences for Linda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_Toc172904758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3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01A10C1A" w14:textId="3910CA84" w:rsidR="00AA4ED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59" w:history="1">
            <w:r w:rsidR="00AA4ED0" w:rsidRPr="006D2296">
              <w:rPr>
                <w:rStyle w:val="Hyperlink"/>
                <w:noProof/>
              </w:rPr>
              <w:t>Burglary by Linda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_Toc172904759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3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1A59EF87" w14:textId="2E6B343E" w:rsidR="00AA4ED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0" w:history="1">
            <w:r w:rsidR="00AA4ED0" w:rsidRPr="006D2296">
              <w:rPr>
                <w:rStyle w:val="Hyperlink"/>
                <w:noProof/>
              </w:rPr>
              <w:t>Criminal Damage by Linda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_Toc172904760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4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0746DCB9" w14:textId="77F777C4" w:rsidR="00AA4ED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1" w:history="1">
            <w:r w:rsidR="00AA4ED0" w:rsidRPr="006D2296">
              <w:rPr>
                <w:rStyle w:val="Hyperlink"/>
                <w:noProof/>
              </w:rPr>
              <w:t>Assault Occasioning Actual Bodily Harm by Linda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_Toc172904761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4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448E598B" w14:textId="6B4BE7EC" w:rsidR="00AA4ED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2" w:history="1">
            <w:r w:rsidR="00AA4ED0" w:rsidRPr="006D2296">
              <w:rPr>
                <w:rStyle w:val="Hyperlink"/>
                <w:noProof/>
              </w:rPr>
              <w:t>Potential Criminal Offences for Michael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_Toc172904762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5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240E11C3" w14:textId="48E1EA7E" w:rsidR="00AA4ED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3" w:history="1">
            <w:r w:rsidR="00AA4ED0" w:rsidRPr="006D2296">
              <w:rPr>
                <w:rStyle w:val="Hyperlink"/>
                <w:noProof/>
              </w:rPr>
              <w:t>Involuntary Manslaughter by Michael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_Toc172904763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5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4ACC22FB" w14:textId="222E6FB0" w:rsidR="00AA4ED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4" w:history="1">
            <w:r w:rsidR="00AA4ED0" w:rsidRPr="006D2296">
              <w:rPr>
                <w:rStyle w:val="Hyperlink"/>
                <w:noProof/>
              </w:rPr>
              <w:t>Battery by Michael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_Toc172904764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5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1466D96B" w14:textId="58150AB6" w:rsidR="00AA4ED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5" w:history="1">
            <w:r w:rsidR="00AA4ED0" w:rsidRPr="006D2296">
              <w:rPr>
                <w:rStyle w:val="Hyperlink"/>
                <w:noProof/>
              </w:rPr>
              <w:t>Conclusion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_Toc172904765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6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48AF965E" w14:textId="4EF1B73D" w:rsidR="00AA4ED0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6" w:history="1">
            <w:r w:rsidR="00AA4ED0" w:rsidRPr="006D2296">
              <w:rPr>
                <w:rStyle w:val="Hyperlink"/>
                <w:noProof/>
              </w:rPr>
              <w:t>References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_Toc172904766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7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13286C58" w14:textId="4AAD70D2" w:rsidR="00AA4ED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7" w:history="1">
            <w:r w:rsidR="00AA4ED0" w:rsidRPr="006D2296">
              <w:rPr>
                <w:rStyle w:val="Hyperlink"/>
                <w:noProof/>
              </w:rPr>
              <w:t>Law Cases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_Toc172904767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7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10D1176E" w14:textId="12A07782" w:rsidR="00AA4ED0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72904768" w:history="1">
            <w:r w:rsidR="00AA4ED0" w:rsidRPr="006D2296">
              <w:rPr>
                <w:rStyle w:val="Hyperlink"/>
                <w:noProof/>
              </w:rPr>
              <w:t>Acts</w:t>
            </w:r>
            <w:r w:rsidR="00AA4ED0">
              <w:rPr>
                <w:noProof/>
                <w:webHidden/>
              </w:rPr>
              <w:tab/>
            </w:r>
            <w:r w:rsidR="00AA4ED0">
              <w:rPr>
                <w:noProof/>
                <w:webHidden/>
              </w:rPr>
              <w:fldChar w:fldCharType="begin"/>
            </w:r>
            <w:r w:rsidR="00AA4ED0">
              <w:rPr>
                <w:noProof/>
                <w:webHidden/>
              </w:rPr>
              <w:instrText xml:space="preserve"> PAGEREF _Toc172904768 \h </w:instrText>
            </w:r>
            <w:r w:rsidR="00AA4ED0">
              <w:rPr>
                <w:noProof/>
                <w:webHidden/>
              </w:rPr>
            </w:r>
            <w:r w:rsidR="00AA4ED0">
              <w:rPr>
                <w:noProof/>
                <w:webHidden/>
              </w:rPr>
              <w:fldChar w:fldCharType="separate"/>
            </w:r>
            <w:r w:rsidR="00AA4ED0">
              <w:rPr>
                <w:noProof/>
                <w:webHidden/>
              </w:rPr>
              <w:t>7</w:t>
            </w:r>
            <w:r w:rsidR="00AA4ED0">
              <w:rPr>
                <w:noProof/>
                <w:webHidden/>
              </w:rPr>
              <w:fldChar w:fldCharType="end"/>
            </w:r>
          </w:hyperlink>
        </w:p>
        <w:p w14:paraId="0BBA6CCA" w14:textId="407C97ED" w:rsidR="00732310" w:rsidRPr="00732310" w:rsidRDefault="00732310">
          <w:pPr>
            <w:rPr>
              <w:sz w:val="24"/>
              <w:szCs w:val="24"/>
            </w:rPr>
          </w:pPr>
          <w:r w:rsidRPr="00732310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9B7CD03" w14:textId="77777777" w:rsidR="00732310" w:rsidRPr="00732310" w:rsidRDefault="0073231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0F39759" w14:textId="77777777" w:rsidR="00732310" w:rsidRPr="00732310" w:rsidRDefault="00732310" w:rsidP="00BE38E0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3E11980" w14:textId="6394E0F1" w:rsidR="00AA4ED0" w:rsidRDefault="00AA4ED0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7F2521F8" w14:textId="7E1D6C92" w:rsidR="001F6BE0" w:rsidRDefault="001F6BE0" w:rsidP="007F4C20">
      <w:pPr>
        <w:pStyle w:val="Heading1"/>
      </w:pPr>
      <w:bookmarkStart w:id="0" w:name="_Toc172904757"/>
      <w:r>
        <w:lastRenderedPageBreak/>
        <w:t>Introduction</w:t>
      </w:r>
      <w:bookmarkEnd w:id="0"/>
    </w:p>
    <w:p w14:paraId="76230383" w14:textId="4B4C3EB3" w:rsidR="001F6BE0" w:rsidRPr="001F6BE0" w:rsidRDefault="001F6BE0" w:rsidP="001F6BE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F6BE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paper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examines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potential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offences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committed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two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individuals,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Linda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Michael,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based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given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scenario.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analysis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covers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>burglary</w:t>
      </w:r>
      <w:r w:rsidRPr="001F6BE0">
        <w:rPr>
          <w:rFonts w:ascii="Times New Roman" w:hAnsi="Times New Roman" w:cs="Times New Roman"/>
          <w:bCs/>
          <w:sz w:val="24"/>
          <w:szCs w:val="24"/>
        </w:rPr>
        <w:t>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damage,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assault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occasioning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actual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harm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Linda,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well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involuntary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manslaughter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assault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Michael.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Relevant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statutes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law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used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support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discussion,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focusing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actus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reus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mens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rea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elements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required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each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offence.</w:t>
      </w:r>
    </w:p>
    <w:p w14:paraId="41E996B2" w14:textId="02797C3D" w:rsidR="00732310" w:rsidRPr="007F4C20" w:rsidRDefault="00732310" w:rsidP="007F4C20">
      <w:pPr>
        <w:pStyle w:val="Heading1"/>
      </w:pPr>
      <w:bookmarkStart w:id="1" w:name="_Toc172904758"/>
      <w:r w:rsidRPr="007F4C20">
        <w:t>Potential</w:t>
      </w:r>
      <w:r w:rsidR="007F4C20">
        <w:t xml:space="preserve"> </w:t>
      </w:r>
      <w:r w:rsidRPr="007F4C20">
        <w:t>Criminal</w:t>
      </w:r>
      <w:r w:rsidR="007F4C20">
        <w:t xml:space="preserve"> </w:t>
      </w:r>
      <w:r w:rsidRPr="007F4C20">
        <w:t>Offences</w:t>
      </w:r>
      <w:r w:rsidR="007F4C20">
        <w:t xml:space="preserve"> </w:t>
      </w:r>
      <w:r w:rsidRPr="007F4C20">
        <w:t>for</w:t>
      </w:r>
      <w:r w:rsidR="007F4C20">
        <w:t xml:space="preserve"> </w:t>
      </w:r>
      <w:r w:rsidRPr="007F4C20">
        <w:t>Linda</w:t>
      </w:r>
      <w:bookmarkEnd w:id="1"/>
    </w:p>
    <w:p w14:paraId="39470178" w14:textId="7045D3F1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When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investigating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E57E9">
        <w:rPr>
          <w:rFonts w:ascii="Times New Roman" w:hAnsi="Times New Roman" w:cs="Times New Roman"/>
          <w:bCs/>
          <w:sz w:val="24"/>
          <w:szCs w:val="24"/>
        </w:rPr>
        <w:t>behaviour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aforementioned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circumstance,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critical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look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possible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charges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such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6BE0">
        <w:rPr>
          <w:rFonts w:ascii="Times New Roman" w:hAnsi="Times New Roman" w:cs="Times New Roman"/>
          <w:bCs/>
          <w:sz w:val="24"/>
          <w:szCs w:val="24"/>
        </w:rPr>
        <w:t>burglary</w:t>
      </w:r>
      <w:r w:rsidRPr="00732310">
        <w:rPr>
          <w:rFonts w:ascii="Times New Roman" w:hAnsi="Times New Roman" w:cs="Times New Roman"/>
          <w:bCs/>
          <w:sz w:val="24"/>
          <w:szCs w:val="24"/>
        </w:rPr>
        <w:t>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assault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resulting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actual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injury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(ABH).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extensive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examination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will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focus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each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crime's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components,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supported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relevant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statute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provisions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law.</w:t>
      </w:r>
    </w:p>
    <w:p w14:paraId="74102FCF" w14:textId="00D3B1AE" w:rsidR="00732310" w:rsidRPr="007F4C20" w:rsidRDefault="001F6BE0" w:rsidP="007F4C20">
      <w:pPr>
        <w:pStyle w:val="Heading2"/>
      </w:pPr>
      <w:bookmarkStart w:id="2" w:name="_Toc172904759"/>
      <w:r w:rsidRPr="007F4C20">
        <w:t>Burglary</w:t>
      </w:r>
      <w:r w:rsidR="007F4C20">
        <w:t xml:space="preserve"> </w:t>
      </w:r>
      <w:r w:rsidR="00732310" w:rsidRPr="007F4C20">
        <w:t>by</w:t>
      </w:r>
      <w:r w:rsidR="007F4C20">
        <w:t xml:space="preserve"> </w:t>
      </w:r>
      <w:r w:rsidR="00732310" w:rsidRPr="007F4C20">
        <w:t>Linda</w:t>
      </w:r>
      <w:bookmarkEnd w:id="2"/>
    </w:p>
    <w:p w14:paraId="2C070286" w14:textId="58DCA0A5" w:rsidR="00732310" w:rsidRPr="00732310" w:rsidRDefault="001F6BE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person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guilty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burglary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enter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building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part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building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trespasser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with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intent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commit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theft,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inflict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grievous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harm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(GBH),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cause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unlawful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damage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specified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Section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9(1)(a)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Theft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1968.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entering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Aida's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house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without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permission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taking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jewels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fits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criteria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burglary.</w:t>
      </w:r>
    </w:p>
    <w:p w14:paraId="694C057F" w14:textId="13672C8C" w:rsidR="001F6BE0" w:rsidRPr="001F6BE0" w:rsidRDefault="001F6BE0" w:rsidP="00732310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F6BE0">
        <w:rPr>
          <w:rFonts w:ascii="Times New Roman" w:hAnsi="Times New Roman" w:cs="Times New Roman"/>
          <w:b/>
          <w:sz w:val="24"/>
          <w:szCs w:val="24"/>
        </w:rPr>
        <w:t>Actus</w:t>
      </w:r>
      <w:r w:rsidR="007F4C2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/>
          <w:sz w:val="24"/>
          <w:szCs w:val="24"/>
        </w:rPr>
        <w:t>Reus</w:t>
      </w:r>
    </w:p>
    <w:p w14:paraId="23F89EEE" w14:textId="2E3C11E9" w:rsidR="00732310" w:rsidRDefault="001F6BE0" w:rsidP="001F6BE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Entry: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Linda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entered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Aida’s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house.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common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law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established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even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partial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entry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body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suffices,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seen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Ryan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[1996],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where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defendant's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head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being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inside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enough.</w:t>
      </w:r>
    </w:p>
    <w:p w14:paraId="434B9DA6" w14:textId="676DD2D6" w:rsidR="001F6BE0" w:rsidRDefault="001F6BE0" w:rsidP="001F6BE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Building: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house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qualifies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building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under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Theft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1968,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structure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with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degree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permanence</w:t>
      </w:r>
      <w:r>
        <w:rPr>
          <w:rFonts w:ascii="Times New Roman" w:hAnsi="Times New Roman" w:cs="Times New Roman"/>
          <w:bCs/>
          <w:sz w:val="24"/>
          <w:szCs w:val="24"/>
        </w:rPr>
        <w:t>.</w:t>
      </w:r>
    </w:p>
    <w:p w14:paraId="3A44303E" w14:textId="17737C36" w:rsidR="001F6BE0" w:rsidRDefault="001F6BE0" w:rsidP="001F6BE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Trespasser: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Linda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entered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property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without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permission,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making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trespasser</w:t>
      </w:r>
      <w:r>
        <w:rPr>
          <w:rFonts w:ascii="Times New Roman" w:hAnsi="Times New Roman" w:cs="Times New Roman"/>
          <w:bCs/>
          <w:sz w:val="24"/>
          <w:szCs w:val="24"/>
        </w:rPr>
        <w:t>.</w:t>
      </w:r>
    </w:p>
    <w:p w14:paraId="576B099D" w14:textId="382C4310" w:rsidR="001F6BE0" w:rsidRPr="001F6BE0" w:rsidRDefault="001F6BE0" w:rsidP="00732310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F6BE0">
        <w:rPr>
          <w:rFonts w:ascii="Times New Roman" w:hAnsi="Times New Roman" w:cs="Times New Roman"/>
          <w:b/>
          <w:sz w:val="24"/>
          <w:szCs w:val="24"/>
        </w:rPr>
        <w:t>Mens</w:t>
      </w:r>
      <w:r w:rsidR="007F4C20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/>
          <w:sz w:val="24"/>
          <w:szCs w:val="24"/>
        </w:rPr>
        <w:t>Rea</w:t>
      </w:r>
    </w:p>
    <w:p w14:paraId="4AB32D6A" w14:textId="5E44A970" w:rsidR="001F6BE0" w:rsidRPr="001F6BE0" w:rsidRDefault="001F6BE0" w:rsidP="001F6BE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F6BE0">
        <w:rPr>
          <w:rFonts w:ascii="Times New Roman" w:hAnsi="Times New Roman" w:cs="Times New Roman"/>
          <w:bCs/>
          <w:sz w:val="24"/>
          <w:szCs w:val="24"/>
        </w:rPr>
        <w:t>Knowledge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Recklessness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Trespassing: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Linda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knew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entering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without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permission,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fulfilling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element.</w:t>
      </w:r>
    </w:p>
    <w:p w14:paraId="2FF1B1FF" w14:textId="04D1AC99" w:rsidR="001F6BE0" w:rsidRDefault="001F6BE0" w:rsidP="001F6BE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F6BE0">
        <w:rPr>
          <w:rFonts w:ascii="Times New Roman" w:hAnsi="Times New Roman" w:cs="Times New Roman"/>
          <w:bCs/>
          <w:sz w:val="24"/>
          <w:szCs w:val="24"/>
        </w:rPr>
        <w:t>Intent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Commit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Theft: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Linda’s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intent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steal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clear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from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actions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taking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jewels,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satisfying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ulterior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intent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required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under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Section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1F6BE0">
        <w:rPr>
          <w:rFonts w:ascii="Times New Roman" w:hAnsi="Times New Roman" w:cs="Times New Roman"/>
          <w:bCs/>
          <w:sz w:val="24"/>
          <w:szCs w:val="24"/>
        </w:rPr>
        <w:t>9(1)(a).</w:t>
      </w:r>
    </w:p>
    <w:p w14:paraId="13F5D88C" w14:textId="415FCE1A" w:rsidR="00732310" w:rsidRPr="00732310" w:rsidRDefault="00732310" w:rsidP="007F4C20">
      <w:pPr>
        <w:pStyle w:val="Heading2"/>
      </w:pPr>
      <w:bookmarkStart w:id="3" w:name="_Toc172904760"/>
      <w:r w:rsidRPr="00732310">
        <w:lastRenderedPageBreak/>
        <w:t>Criminal</w:t>
      </w:r>
      <w:r w:rsidR="007F4C20">
        <w:t xml:space="preserve"> </w:t>
      </w:r>
      <w:r w:rsidRPr="00732310">
        <w:t>Damage</w:t>
      </w:r>
      <w:r w:rsidR="007F4C20">
        <w:t xml:space="preserve"> </w:t>
      </w:r>
      <w:r w:rsidRPr="00732310">
        <w:t>by</w:t>
      </w:r>
      <w:r w:rsidR="007F4C20">
        <w:t xml:space="preserve"> </w:t>
      </w:r>
      <w:r w:rsidRPr="00732310">
        <w:t>Linda</w:t>
      </w:r>
      <w:bookmarkEnd w:id="3"/>
    </w:p>
    <w:p w14:paraId="59811C4B" w14:textId="06CDA037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cutting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holes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Aida's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clothing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constitutes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under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Section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1(1)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1971,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prohibits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destruction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property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belonging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another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without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legitimate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reason.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refers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6BE0">
        <w:rPr>
          <w:rFonts w:ascii="Times New Roman" w:hAnsi="Times New Roman" w:cs="Times New Roman"/>
          <w:bCs/>
          <w:sz w:val="24"/>
          <w:szCs w:val="24"/>
        </w:rPr>
        <w:t>intention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6BE0">
        <w:rPr>
          <w:rFonts w:ascii="Times New Roman" w:hAnsi="Times New Roman" w:cs="Times New Roman"/>
          <w:bCs/>
          <w:sz w:val="24"/>
          <w:szCs w:val="24"/>
        </w:rPr>
        <w:t>recklessness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producing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refers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property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damage.</w:t>
      </w:r>
    </w:p>
    <w:p w14:paraId="4927543E" w14:textId="19881FEC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Pembliton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[1874</w:t>
      </w:r>
      <w:r w:rsidR="000E57E9">
        <w:rPr>
          <w:rFonts w:ascii="Times New Roman" w:hAnsi="Times New Roman" w:cs="Times New Roman"/>
          <w:bCs/>
          <w:sz w:val="24"/>
          <w:szCs w:val="24"/>
        </w:rPr>
        <w:t>]</w:t>
      </w:r>
      <w:r w:rsidRPr="00732310">
        <w:rPr>
          <w:rFonts w:ascii="Times New Roman" w:hAnsi="Times New Roman" w:cs="Times New Roman"/>
          <w:bCs/>
          <w:sz w:val="24"/>
          <w:szCs w:val="24"/>
        </w:rPr>
        <w:t>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i/>
          <w:iCs/>
          <w:sz w:val="24"/>
          <w:szCs w:val="24"/>
        </w:rPr>
        <w:t>recklessness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defined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being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aware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danger.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purposeful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inflicting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clothing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clear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example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recklessness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since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would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have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foreseen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repercussions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actions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nonetheless.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Smith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[1974]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supports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view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property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whether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transitory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permanent,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fits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threshold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Furthermore,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[2003],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court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ruled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recklessness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requires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defendant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have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anticipated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danger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have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unreasonably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persisted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their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acts.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consistent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with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definition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carelessness,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making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liable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4D7B70D" w14:textId="2AB75C40" w:rsidR="00732310" w:rsidRPr="00732310" w:rsidRDefault="00732310" w:rsidP="007F4C20">
      <w:pPr>
        <w:pStyle w:val="Heading2"/>
      </w:pPr>
      <w:bookmarkStart w:id="4" w:name="_Toc172904761"/>
      <w:r w:rsidRPr="00732310">
        <w:t>Assault</w:t>
      </w:r>
      <w:r w:rsidR="007F4C20">
        <w:t xml:space="preserve"> </w:t>
      </w:r>
      <w:r w:rsidRPr="00732310">
        <w:t>Occasioning</w:t>
      </w:r>
      <w:r w:rsidR="007F4C20">
        <w:t xml:space="preserve"> </w:t>
      </w:r>
      <w:r w:rsidRPr="00732310">
        <w:t>Actual</w:t>
      </w:r>
      <w:r w:rsidR="007F4C20">
        <w:t xml:space="preserve"> </w:t>
      </w:r>
      <w:r w:rsidRPr="00732310">
        <w:t>Bodily</w:t>
      </w:r>
      <w:r w:rsidR="007F4C20">
        <w:t xml:space="preserve"> </w:t>
      </w:r>
      <w:r w:rsidRPr="00732310">
        <w:t>Harm</w:t>
      </w:r>
      <w:r w:rsidR="007F4C20">
        <w:t xml:space="preserve"> </w:t>
      </w:r>
      <w:r w:rsidRPr="00732310">
        <w:t>by</w:t>
      </w:r>
      <w:r w:rsidR="007F4C20">
        <w:t xml:space="preserve"> </w:t>
      </w:r>
      <w:r w:rsidRPr="00732310">
        <w:t>Linda</w:t>
      </w:r>
      <w:bookmarkEnd w:id="4"/>
    </w:p>
    <w:p w14:paraId="6296301B" w14:textId="163D4E38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hitting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Aida,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resulted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small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abrasion,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considered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assault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occasioning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actual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(ABH)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under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Section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47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Offences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Against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Person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1861.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6BE0">
        <w:rPr>
          <w:rFonts w:ascii="Times New Roman" w:hAnsi="Times New Roman" w:cs="Times New Roman"/>
          <w:bCs/>
          <w:sz w:val="24"/>
          <w:szCs w:val="24"/>
        </w:rPr>
        <w:t>intention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6BE0">
        <w:rPr>
          <w:rFonts w:ascii="Times New Roman" w:hAnsi="Times New Roman" w:cs="Times New Roman"/>
          <w:bCs/>
          <w:sz w:val="24"/>
          <w:szCs w:val="24"/>
        </w:rPr>
        <w:t>recklessness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6BE0">
        <w:rPr>
          <w:rFonts w:ascii="Times New Roman" w:hAnsi="Times New Roman" w:cs="Times New Roman"/>
          <w:bCs/>
          <w:sz w:val="24"/>
          <w:szCs w:val="24"/>
        </w:rPr>
        <w:t>assault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true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harm.</w:t>
      </w:r>
    </w:p>
    <w:p w14:paraId="36C07977" w14:textId="48EE77A3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Roberts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[1971]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indicates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ABH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occurs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when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defendant's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hurt.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strike,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injured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Aida,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satisfies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criteria.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Furthermore,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Savage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[1991]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indicates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ABH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includes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carelessness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some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hurt,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applies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acts.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court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Chan-Fook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[1994]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concluded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"actual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harm"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refers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more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insignificant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not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severe.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term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includes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small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abrasion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created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hit.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Furthermore,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DPP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Smith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[2006]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E57E9">
        <w:rPr>
          <w:rFonts w:ascii="Times New Roman" w:hAnsi="Times New Roman" w:cs="Times New Roman"/>
          <w:bCs/>
          <w:sz w:val="24"/>
          <w:szCs w:val="24"/>
        </w:rPr>
        <w:t>emphasises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must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not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severe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significant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enough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impair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victim's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health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comfort.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Aida's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slight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abrasion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meets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criteria.</w:t>
      </w:r>
    </w:p>
    <w:p w14:paraId="11009529" w14:textId="1FBBA3A4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result,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Linda's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meets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criteria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81843">
        <w:rPr>
          <w:rFonts w:ascii="Times New Roman" w:hAnsi="Times New Roman" w:cs="Times New Roman"/>
          <w:bCs/>
          <w:sz w:val="24"/>
          <w:szCs w:val="24"/>
        </w:rPr>
        <w:t>burglary</w:t>
      </w:r>
      <w:r w:rsidRPr="00732310">
        <w:rPr>
          <w:rFonts w:ascii="Times New Roman" w:hAnsi="Times New Roman" w:cs="Times New Roman"/>
          <w:bCs/>
          <w:sz w:val="24"/>
          <w:szCs w:val="24"/>
        </w:rPr>
        <w:t>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damage,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assault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81843">
        <w:rPr>
          <w:rFonts w:ascii="Times New Roman" w:hAnsi="Times New Roman" w:cs="Times New Roman"/>
          <w:bCs/>
          <w:sz w:val="24"/>
          <w:szCs w:val="24"/>
        </w:rPr>
        <w:t>actual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aspects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well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supported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legislative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legislation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law,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indicating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possible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responsibility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violations.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E6711F2" w14:textId="5C9F5EA0" w:rsidR="00732310" w:rsidRPr="00732310" w:rsidRDefault="00732310" w:rsidP="007F4C20">
      <w:pPr>
        <w:pStyle w:val="Heading1"/>
      </w:pPr>
      <w:bookmarkStart w:id="5" w:name="_Toc172904762"/>
      <w:r w:rsidRPr="00732310">
        <w:lastRenderedPageBreak/>
        <w:t>Potential</w:t>
      </w:r>
      <w:r w:rsidR="007F4C20">
        <w:t xml:space="preserve"> </w:t>
      </w:r>
      <w:r w:rsidRPr="00732310">
        <w:t>Criminal</w:t>
      </w:r>
      <w:r w:rsidR="007F4C20">
        <w:t xml:space="preserve"> </w:t>
      </w:r>
      <w:r w:rsidRPr="00732310">
        <w:t>Offences</w:t>
      </w:r>
      <w:r w:rsidR="007F4C20">
        <w:t xml:space="preserve"> </w:t>
      </w:r>
      <w:r w:rsidRPr="00732310">
        <w:t>for</w:t>
      </w:r>
      <w:r w:rsidR="007F4C20">
        <w:t xml:space="preserve"> </w:t>
      </w:r>
      <w:r w:rsidRPr="00732310">
        <w:t>Michael</w:t>
      </w:r>
      <w:bookmarkEnd w:id="5"/>
    </w:p>
    <w:p w14:paraId="332858C4" w14:textId="2AC32DE4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Michael's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probable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criminal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responsibility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needs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thorough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examination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circumstances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Billy's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analysis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will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focus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crimes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involuntary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manslaughter,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especially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illegal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manslaughter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assault,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supported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relevant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statutes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law.</w:t>
      </w:r>
    </w:p>
    <w:p w14:paraId="2DE2279A" w14:textId="486E5DCD" w:rsidR="00732310" w:rsidRPr="00732310" w:rsidRDefault="00732310" w:rsidP="007F4C20">
      <w:pPr>
        <w:pStyle w:val="Heading2"/>
      </w:pPr>
      <w:bookmarkStart w:id="6" w:name="_Toc172904763"/>
      <w:r w:rsidRPr="00732310">
        <w:t>Involuntary</w:t>
      </w:r>
      <w:r w:rsidR="007F4C20">
        <w:t xml:space="preserve"> </w:t>
      </w:r>
      <w:r w:rsidRPr="00732310">
        <w:t>Manslaughter</w:t>
      </w:r>
      <w:r w:rsidR="007F4C20">
        <w:t xml:space="preserve"> </w:t>
      </w:r>
      <w:r w:rsidRPr="00732310">
        <w:t>by</w:t>
      </w:r>
      <w:r w:rsidR="007F4C20">
        <w:t xml:space="preserve"> </w:t>
      </w:r>
      <w:r w:rsidRPr="00732310">
        <w:t>Michael</w:t>
      </w:r>
      <w:bookmarkEnd w:id="6"/>
    </w:p>
    <w:p w14:paraId="581614F6" w14:textId="7F707204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i/>
          <w:iCs/>
          <w:sz w:val="24"/>
          <w:szCs w:val="24"/>
        </w:rPr>
        <w:t>Involuntary</w:t>
      </w:r>
      <w:r w:rsidR="007F4C20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i/>
          <w:iCs/>
          <w:sz w:val="24"/>
          <w:szCs w:val="24"/>
        </w:rPr>
        <w:t>manslaughter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defined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inflicting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without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intending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kill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serious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bodily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Michael's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Billy's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might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termed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E52EE">
        <w:rPr>
          <w:rFonts w:ascii="Times New Roman" w:hAnsi="Times New Roman" w:cs="Times New Roman"/>
          <w:bCs/>
          <w:sz w:val="24"/>
          <w:szCs w:val="24"/>
        </w:rPr>
        <w:t>unlawful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manslaughter.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implies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unlawful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E52EE">
        <w:rPr>
          <w:rFonts w:ascii="Times New Roman" w:hAnsi="Times New Roman" w:cs="Times New Roman"/>
          <w:bCs/>
          <w:sz w:val="24"/>
          <w:szCs w:val="24"/>
        </w:rPr>
        <w:t>behaviour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harmful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results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mortality.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relates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illegal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mens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refers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purpose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using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without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expecting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serious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harm.</w:t>
      </w:r>
    </w:p>
    <w:p w14:paraId="622F0F49" w14:textId="17D30070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decision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Church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[1966]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established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must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such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sober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reasonable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people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would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perceive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possibility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some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harm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emerging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from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it.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Michael's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violent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push,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although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not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meets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condition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since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reasonable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person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would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E57E9">
        <w:rPr>
          <w:rFonts w:ascii="Times New Roman" w:hAnsi="Times New Roman" w:cs="Times New Roman"/>
          <w:bCs/>
          <w:sz w:val="24"/>
          <w:szCs w:val="24"/>
        </w:rPr>
        <w:t>recognise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probability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some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injury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from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such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action.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Furthermore,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Goodfellow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[1986]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established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illegal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must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significant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instance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since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Billy's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directly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traceable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thrust.</w:t>
      </w:r>
    </w:p>
    <w:p w14:paraId="426A4F44" w14:textId="14C47B44" w:rsidR="00732310" w:rsidRPr="00732310" w:rsidRDefault="0073231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court's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decision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Larkin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[1943]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gives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more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evidence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i/>
          <w:iCs/>
          <w:sz w:val="24"/>
          <w:szCs w:val="24"/>
        </w:rPr>
        <w:t>manslaughter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defined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illegal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injury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another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person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results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Billy's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directly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Michael's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E52EE">
        <w:rPr>
          <w:rFonts w:ascii="Times New Roman" w:hAnsi="Times New Roman" w:cs="Times New Roman"/>
          <w:bCs/>
          <w:sz w:val="24"/>
          <w:szCs w:val="24"/>
        </w:rPr>
        <w:t>unlawful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pushing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him,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qualifies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for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unlawful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manslaughter.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confirmed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by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case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R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v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Mitchell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[1983],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which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elderly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lady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died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consequence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shove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in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post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office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line.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court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decided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the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push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constituted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illegal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conduct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that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was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dangerous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and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caused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death,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so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establishing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32310">
        <w:rPr>
          <w:rFonts w:ascii="Times New Roman" w:hAnsi="Times New Roman" w:cs="Times New Roman"/>
          <w:bCs/>
          <w:sz w:val="24"/>
          <w:szCs w:val="24"/>
        </w:rPr>
        <w:t>manslaughter.</w:t>
      </w:r>
      <w:r w:rsidR="007F4C20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36FC530" w14:textId="1F5B8CE3" w:rsidR="00732310" w:rsidRPr="00732310" w:rsidRDefault="00AD686C" w:rsidP="007F4C20">
      <w:pPr>
        <w:pStyle w:val="Heading2"/>
      </w:pPr>
      <w:bookmarkStart w:id="7" w:name="_Toc172904764"/>
      <w:r>
        <w:t>Recklessness</w:t>
      </w:r>
      <w:r w:rsidR="007F4C20">
        <w:t xml:space="preserve"> </w:t>
      </w:r>
      <w:r w:rsidR="00732310" w:rsidRPr="00732310">
        <w:t>by</w:t>
      </w:r>
      <w:r w:rsidR="007F4C20">
        <w:t xml:space="preserve"> </w:t>
      </w:r>
      <w:r w:rsidR="00732310" w:rsidRPr="00732310">
        <w:t>Michael</w:t>
      </w:r>
      <w:bookmarkEnd w:id="7"/>
    </w:p>
    <w:p w14:paraId="71EC81F9" w14:textId="21835679" w:rsidR="00AA4ED0" w:rsidRDefault="007F4C20" w:rsidP="0073231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Michael's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push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might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charged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with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both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54C6">
        <w:rPr>
          <w:rFonts w:ascii="Times New Roman" w:hAnsi="Times New Roman" w:cs="Times New Roman"/>
          <w:bCs/>
          <w:sz w:val="24"/>
          <w:szCs w:val="24"/>
        </w:rPr>
        <w:t>recklessness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manslaughter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established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intended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was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using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Billy.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E023D">
        <w:rPr>
          <w:rFonts w:ascii="Times New Roman" w:hAnsi="Times New Roman" w:cs="Times New Roman"/>
          <w:bCs/>
          <w:sz w:val="24"/>
          <w:szCs w:val="24"/>
        </w:rPr>
        <w:t>Crime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intentional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infliction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unlawful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personal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violence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upon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another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person.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mens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rea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intention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recklessness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using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while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application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unlawful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</w:t>
      </w:r>
      <w:r>
        <w:rPr>
          <w:rFonts w:ascii="Times New Roman" w:hAnsi="Times New Roman" w:cs="Times New Roman"/>
          <w:bCs/>
          <w:sz w:val="24"/>
          <w:szCs w:val="24"/>
        </w:rPr>
        <w:t>.</w:t>
      </w:r>
    </w:p>
    <w:p w14:paraId="2DCD8B5D" w14:textId="77777777" w:rsidR="00AA4ED0" w:rsidRDefault="00AA4ED0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 w:type="page"/>
      </w:r>
    </w:p>
    <w:p w14:paraId="047B5746" w14:textId="1DD0F311" w:rsidR="007F4C20" w:rsidRP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F4C20">
        <w:rPr>
          <w:rFonts w:ascii="Times New Roman" w:hAnsi="Times New Roman" w:cs="Times New Roman"/>
          <w:b/>
          <w:sz w:val="24"/>
          <w:szCs w:val="24"/>
        </w:rPr>
        <w:lastRenderedPageBreak/>
        <w:t>Actus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/>
          <w:sz w:val="24"/>
          <w:szCs w:val="24"/>
        </w:rPr>
        <w:t>Reus</w:t>
      </w:r>
    </w:p>
    <w:p w14:paraId="60A616C3" w14:textId="519BE949" w:rsidR="007F4C20" w:rsidRPr="007F4C20" w:rsidRDefault="007F4C20" w:rsidP="00AA4ED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Application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54C6">
        <w:rPr>
          <w:rFonts w:ascii="Times New Roman" w:hAnsi="Times New Roman" w:cs="Times New Roman"/>
          <w:bCs/>
          <w:sz w:val="24"/>
          <w:szCs w:val="24"/>
        </w:rPr>
        <w:t>recklessness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unlawful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application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to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another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person.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Fagan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MPC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[1968],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was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held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results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being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applied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to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another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person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constitutes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54C6">
        <w:rPr>
          <w:rFonts w:ascii="Times New Roman" w:hAnsi="Times New Roman" w:cs="Times New Roman"/>
          <w:bCs/>
          <w:sz w:val="24"/>
          <w:szCs w:val="24"/>
        </w:rPr>
        <w:t>recklessness</w:t>
      </w:r>
      <w:r w:rsidRPr="007F4C20">
        <w:rPr>
          <w:rFonts w:ascii="Times New Roman" w:hAnsi="Times New Roman" w:cs="Times New Roman"/>
          <w:bCs/>
          <w:sz w:val="24"/>
          <w:szCs w:val="24"/>
        </w:rPr>
        <w:t>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Michael's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push,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which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caused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Billy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to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fall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sustain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fatal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injuries,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clearly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involves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application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force.</w:t>
      </w:r>
    </w:p>
    <w:p w14:paraId="5EC4238F" w14:textId="4DF14750" w:rsidR="007F4C20" w:rsidRPr="007F4C20" w:rsidRDefault="007F4C20" w:rsidP="00AA4ED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Unlawful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Personal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Violence: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violence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inflicted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must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unlawful.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Cole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Turner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[1704],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was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established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slightest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touch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could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constitute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E023D">
        <w:rPr>
          <w:rFonts w:ascii="Times New Roman" w:hAnsi="Times New Roman" w:cs="Times New Roman"/>
          <w:bCs/>
          <w:sz w:val="24"/>
          <w:szCs w:val="24"/>
        </w:rPr>
        <w:t>crime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done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anger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with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unlawful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intent.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Michael's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push,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done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anger,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fits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criterion.</w:t>
      </w:r>
    </w:p>
    <w:p w14:paraId="2595144B" w14:textId="49151CF5" w:rsidR="007F4C20" w:rsidRP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F4C20">
        <w:rPr>
          <w:rFonts w:ascii="Times New Roman" w:hAnsi="Times New Roman" w:cs="Times New Roman"/>
          <w:b/>
          <w:sz w:val="24"/>
          <w:szCs w:val="24"/>
        </w:rPr>
        <w:t>Mens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/>
          <w:sz w:val="24"/>
          <w:szCs w:val="24"/>
        </w:rPr>
        <w:t>Rea</w:t>
      </w:r>
    </w:p>
    <w:p w14:paraId="0392721A" w14:textId="2600555F" w:rsidR="007F4C20" w:rsidRPr="007F4C20" w:rsidRDefault="007F4C20" w:rsidP="007F4C2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Intention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Recklessness: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mens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rea</w:t>
      </w:r>
      <w:r w:rsidR="00D054C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can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either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direct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intention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subjective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recklessness.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Venna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[1976],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court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held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E023D">
        <w:rPr>
          <w:rFonts w:ascii="Times New Roman" w:hAnsi="Times New Roman" w:cs="Times New Roman"/>
          <w:bCs/>
          <w:sz w:val="24"/>
          <w:szCs w:val="24"/>
        </w:rPr>
        <w:t>crime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can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committed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recklessly.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Michael’s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push,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even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not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intended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to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cause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serious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harm,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demonstrates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recklessness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disregarded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risk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causing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injury.</w:t>
      </w:r>
    </w:p>
    <w:p w14:paraId="41697C13" w14:textId="77A270D8" w:rsidR="00732310" w:rsidRPr="00732310" w:rsidRDefault="007F4C20" w:rsidP="007F4C20">
      <w:pPr>
        <w:spacing w:line="360" w:lineRule="auto"/>
        <w:ind w:left="142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Subjective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Recklessness: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defined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Cunningham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[1957]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reinforced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v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[2003],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recklessness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involves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foreseeing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risk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unreasonably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taking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risk.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Michael's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push,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knowing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could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result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Billy's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harm,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E57E9">
        <w:rPr>
          <w:rFonts w:ascii="Times New Roman" w:hAnsi="Times New Roman" w:cs="Times New Roman"/>
          <w:bCs/>
          <w:sz w:val="24"/>
          <w:szCs w:val="24"/>
        </w:rPr>
        <w:t>fulfils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requirement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recklessness.</w:t>
      </w:r>
    </w:p>
    <w:p w14:paraId="26D94AD8" w14:textId="77777777" w:rsidR="007F4C20" w:rsidRPr="007F4C20" w:rsidRDefault="007F4C20" w:rsidP="007F4C20">
      <w:pPr>
        <w:pStyle w:val="Heading1"/>
      </w:pPr>
      <w:bookmarkStart w:id="8" w:name="_Toc172904765"/>
      <w:r w:rsidRPr="007F4C20">
        <w:t>Conclusion</w:t>
      </w:r>
      <w:bookmarkEnd w:id="8"/>
    </w:p>
    <w:p w14:paraId="7DD252F1" w14:textId="1A9B16DA" w:rsidR="007F4C20" w:rsidRP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Linda's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actions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entering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Aida's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house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without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permission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taking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jewels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E57E9">
        <w:rPr>
          <w:rFonts w:ascii="Times New Roman" w:hAnsi="Times New Roman" w:cs="Times New Roman"/>
          <w:bCs/>
          <w:sz w:val="24"/>
          <w:szCs w:val="24"/>
        </w:rPr>
        <w:t>fulfil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criteria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burglary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under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Theft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1968.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Additionally,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deliberate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cutting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holes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Aida’s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clothing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constitutes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criminal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damage,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physical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assault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Aida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meets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requirements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assault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occasioning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actual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bodily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harm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(ABH).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analysis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demonstrates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Linda's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conduct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meets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both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mens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rea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elements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these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offences,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indicating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potential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liability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burglary,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criminal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damage,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ABH.</w:t>
      </w:r>
    </w:p>
    <w:p w14:paraId="365AEC2D" w14:textId="3474E99C" w:rsid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Michael,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push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that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resulted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Billy's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fatal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fall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can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E57E9">
        <w:rPr>
          <w:rFonts w:ascii="Times New Roman" w:hAnsi="Times New Roman" w:cs="Times New Roman"/>
          <w:bCs/>
          <w:sz w:val="24"/>
          <w:szCs w:val="24"/>
        </w:rPr>
        <w:t>categorised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involuntary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manslaughter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under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unlawful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manslaughter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doctrine.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push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also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constitutes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battery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involved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intentional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reckless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application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unlawful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force.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Michael's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actions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meet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actus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reus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mens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rea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elements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required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both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manslaughter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54C6">
        <w:rPr>
          <w:rFonts w:ascii="Times New Roman" w:hAnsi="Times New Roman" w:cs="Times New Roman"/>
          <w:bCs/>
          <w:sz w:val="24"/>
          <w:szCs w:val="24"/>
        </w:rPr>
        <w:t>recklessness</w:t>
      </w:r>
      <w:r w:rsidRPr="007F4C20">
        <w:rPr>
          <w:rFonts w:ascii="Times New Roman" w:hAnsi="Times New Roman" w:cs="Times New Roman"/>
          <w:bCs/>
          <w:sz w:val="24"/>
          <w:szCs w:val="24"/>
        </w:rPr>
        <w:t>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making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him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potentially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liable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for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these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offences.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analysis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highlights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the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seriousness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of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Michael's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conduct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and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its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fatal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consequences,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underscoring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his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criminal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7F4C20">
        <w:rPr>
          <w:rFonts w:ascii="Times New Roman" w:hAnsi="Times New Roman" w:cs="Times New Roman"/>
          <w:bCs/>
          <w:sz w:val="24"/>
          <w:szCs w:val="24"/>
        </w:rPr>
        <w:t>responsibility.</w:t>
      </w:r>
      <w:r>
        <w:rPr>
          <w:rFonts w:ascii="Times New Roman" w:hAnsi="Times New Roman" w:cs="Times New Roman"/>
          <w:bCs/>
          <w:sz w:val="24"/>
          <w:szCs w:val="24"/>
        </w:rPr>
        <w:br w:type="page"/>
      </w:r>
    </w:p>
    <w:p w14:paraId="4A975995" w14:textId="4228E80C" w:rsidR="00BE38E0" w:rsidRPr="00732310" w:rsidRDefault="00732310" w:rsidP="007F4C20">
      <w:pPr>
        <w:pStyle w:val="Heading1"/>
      </w:pPr>
      <w:bookmarkStart w:id="9" w:name="_Toc172904766"/>
      <w:r w:rsidRPr="00732310">
        <w:lastRenderedPageBreak/>
        <w:t>References</w:t>
      </w:r>
      <w:bookmarkEnd w:id="9"/>
    </w:p>
    <w:p w14:paraId="6FF4B546" w14:textId="5D1C1CBB" w:rsidR="00732310" w:rsidRPr="00732310" w:rsidRDefault="00732310" w:rsidP="007F4C20">
      <w:pPr>
        <w:pStyle w:val="Heading2"/>
      </w:pPr>
      <w:bookmarkStart w:id="10" w:name="_Toc172904767"/>
      <w:r w:rsidRPr="00732310">
        <w:t>Law</w:t>
      </w:r>
      <w:r w:rsidR="007F4C20">
        <w:t xml:space="preserve"> </w:t>
      </w:r>
      <w:r w:rsidRPr="00732310">
        <w:t>Cases</w:t>
      </w:r>
      <w:bookmarkEnd w:id="10"/>
    </w:p>
    <w:p w14:paraId="52CF9151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Cole v Turner (1704) 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>Modern Reports</w:t>
      </w:r>
      <w:r w:rsidRPr="000E57E9">
        <w:rPr>
          <w:rFonts w:ascii="Times New Roman" w:hAnsi="Times New Roman" w:cs="Times New Roman"/>
          <w:bCs/>
          <w:sz w:val="24"/>
          <w:szCs w:val="24"/>
        </w:rPr>
        <w:t>, 6, pp. 149.</w:t>
      </w:r>
    </w:p>
    <w:p w14:paraId="0006AD0B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Fagan v Metropolitan Police Commissioner (1968)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Queen’s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Bench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439.</w:t>
      </w:r>
    </w:p>
    <w:p w14:paraId="1B291F98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Chan-Fook (1994) 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>Weekly Law Reports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689.</w:t>
      </w:r>
    </w:p>
    <w:p w14:paraId="13ADBE39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Church (1966)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Queen’s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Bench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59.</w:t>
      </w:r>
    </w:p>
    <w:p w14:paraId="0B675412" w14:textId="77777777" w:rsid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Cunningham (1957)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Queen’s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Bench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396.</w:t>
      </w:r>
    </w:p>
    <w:p w14:paraId="1610F555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Goodfellow (1986) 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>Criminal Appeal Reports</w:t>
      </w:r>
      <w:r w:rsidRPr="000E57E9">
        <w:rPr>
          <w:rFonts w:ascii="Times New Roman" w:hAnsi="Times New Roman" w:cs="Times New Roman"/>
          <w:bCs/>
          <w:sz w:val="24"/>
          <w:szCs w:val="24"/>
        </w:rPr>
        <w:t>, 83, pp. 23.</w:t>
      </w:r>
    </w:p>
    <w:p w14:paraId="23A07999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Larkin (1943)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King’s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Bench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174.</w:t>
      </w:r>
    </w:p>
    <w:p w14:paraId="5E65B381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Mitchell (1983)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Queen’s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Bench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741.</w:t>
      </w:r>
    </w:p>
    <w:p w14:paraId="7EA43C4B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Pembliton (1874) 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>Law Reports</w:t>
      </w:r>
      <w:r w:rsidRPr="000E57E9">
        <w:rPr>
          <w:rFonts w:ascii="Times New Roman" w:hAnsi="Times New Roman" w:cs="Times New Roman"/>
          <w:bCs/>
          <w:sz w:val="24"/>
          <w:szCs w:val="24"/>
        </w:rPr>
        <w:t>, 2, pp. 119.</w:t>
      </w:r>
    </w:p>
    <w:p w14:paraId="7DAA00AE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Roberts (1971) 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>Criminal Appeal Reports</w:t>
      </w:r>
      <w:r w:rsidRPr="000E57E9">
        <w:rPr>
          <w:rFonts w:ascii="Times New Roman" w:hAnsi="Times New Roman" w:cs="Times New Roman"/>
          <w:bCs/>
          <w:sz w:val="24"/>
          <w:szCs w:val="24"/>
        </w:rPr>
        <w:t>, 56, pp. 95.</w:t>
      </w:r>
    </w:p>
    <w:p w14:paraId="7DE901BA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Ryan (1996) 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>Weekly Law Reports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67.</w:t>
      </w:r>
    </w:p>
    <w:p w14:paraId="6EF439C6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Savage; Parmenter (1991) 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>Criminal Appeal Reports</w:t>
      </w:r>
      <w:r w:rsidRPr="000E57E9">
        <w:rPr>
          <w:rFonts w:ascii="Times New Roman" w:hAnsi="Times New Roman" w:cs="Times New Roman"/>
          <w:bCs/>
          <w:sz w:val="24"/>
          <w:szCs w:val="24"/>
        </w:rPr>
        <w:t>, 94, pp. 193.</w:t>
      </w:r>
    </w:p>
    <w:p w14:paraId="2A594EDA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Smith (1974)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Queen’s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Bench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354.</w:t>
      </w:r>
    </w:p>
    <w:p w14:paraId="3F32C6A7" w14:textId="77777777" w:rsidR="000E57E9" w:rsidRPr="000E57E9" w:rsidRDefault="000E57E9" w:rsidP="000E57E9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0E57E9">
        <w:rPr>
          <w:rFonts w:ascii="Times New Roman" w:hAnsi="Times New Roman" w:cs="Times New Roman"/>
          <w:bCs/>
          <w:sz w:val="24"/>
          <w:szCs w:val="24"/>
        </w:rPr>
        <w:t xml:space="preserve">R v Venna (1976)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Queen’s</w:t>
      </w:r>
      <w:r w:rsidRPr="000E57E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Bench</w:t>
      </w:r>
      <w:r w:rsidRPr="000E57E9">
        <w:rPr>
          <w:rFonts w:ascii="Times New Roman" w:hAnsi="Times New Roman" w:cs="Times New Roman"/>
          <w:bCs/>
          <w:sz w:val="24"/>
          <w:szCs w:val="24"/>
        </w:rPr>
        <w:t>, 1, pp. 421.</w:t>
      </w:r>
    </w:p>
    <w:p w14:paraId="70B29D54" w14:textId="535C37E1" w:rsidR="007F4C20" w:rsidRPr="007F4C20" w:rsidRDefault="007F4C20" w:rsidP="007F4C20">
      <w:pPr>
        <w:pStyle w:val="Heading2"/>
      </w:pPr>
      <w:bookmarkStart w:id="11" w:name="_Toc172904768"/>
      <w:r>
        <w:t>Acts</w:t>
      </w:r>
      <w:bookmarkEnd w:id="11"/>
    </w:p>
    <w:p w14:paraId="18783EAD" w14:textId="77777777" w:rsidR="007F4C20" w:rsidRP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Theft Act 1968, c. 60.</w:t>
      </w:r>
    </w:p>
    <w:p w14:paraId="580922E0" w14:textId="77777777" w:rsidR="007F4C20" w:rsidRP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Criminal Damage Act 1971, c. 48.</w:t>
      </w:r>
    </w:p>
    <w:p w14:paraId="718BD5C5" w14:textId="77777777" w:rsidR="007F4C20" w:rsidRP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Offences Against the Person Act 1861, c. 100.</w:t>
      </w:r>
    </w:p>
    <w:p w14:paraId="4944455F" w14:textId="1C94E413" w:rsidR="007F4C20" w:rsidRPr="007F4C20" w:rsidRDefault="007F4C20" w:rsidP="007F4C20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7F4C20">
        <w:rPr>
          <w:rFonts w:ascii="Times New Roman" w:hAnsi="Times New Roman" w:cs="Times New Roman"/>
          <w:bCs/>
          <w:sz w:val="24"/>
          <w:szCs w:val="24"/>
        </w:rPr>
        <w:t>Criminal Justice Act 1988, c. 33.</w:t>
      </w:r>
    </w:p>
    <w:sectPr w:rsidR="007F4C20" w:rsidRPr="007F4C2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1AA422" w14:textId="77777777" w:rsidR="006E380F" w:rsidRDefault="006E380F" w:rsidP="00BE38E0">
      <w:pPr>
        <w:spacing w:after="0" w:line="240" w:lineRule="auto"/>
      </w:pPr>
      <w:r>
        <w:separator/>
      </w:r>
    </w:p>
  </w:endnote>
  <w:endnote w:type="continuationSeparator" w:id="0">
    <w:p w14:paraId="6644434C" w14:textId="77777777" w:rsidR="006E380F" w:rsidRDefault="006E380F" w:rsidP="00BE38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282843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A30DAC" w14:textId="3A31C005" w:rsidR="00732310" w:rsidRDefault="007323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E89CA3" w14:textId="77777777" w:rsidR="00732310" w:rsidRDefault="007323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14A15B" w14:textId="77777777" w:rsidR="006E380F" w:rsidRDefault="006E380F" w:rsidP="00BE38E0">
      <w:pPr>
        <w:spacing w:after="0" w:line="240" w:lineRule="auto"/>
      </w:pPr>
      <w:r>
        <w:separator/>
      </w:r>
    </w:p>
  </w:footnote>
  <w:footnote w:type="continuationSeparator" w:id="0">
    <w:p w14:paraId="3236B0D6" w14:textId="77777777" w:rsidR="006E380F" w:rsidRDefault="006E380F" w:rsidP="00BE38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F2A329" w14:textId="2ACFEFF4" w:rsidR="00BE38E0" w:rsidRDefault="00BE38E0">
    <w:pPr>
      <w:pStyle w:val="Header"/>
    </w:pPr>
    <w:r w:rsidRPr="00BE38E0">
      <w:rPr>
        <w:noProof/>
      </w:rPr>
      <w:drawing>
        <wp:inline distT="0" distB="0" distL="0" distR="0" wp14:anchorId="2FCDB978" wp14:editId="23F075D1">
          <wp:extent cx="1447800" cy="476250"/>
          <wp:effectExtent l="0" t="0" r="0" b="0"/>
          <wp:docPr id="899646217" name="Picture 1" descr="A close-up of black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99646217" name="Picture 1" descr="A close-up of black text&#10;&#10;Description automatically generated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448007" cy="47631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5B4D492" w14:textId="77777777" w:rsidR="00BE38E0" w:rsidRDefault="00BE38E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C92244"/>
    <w:multiLevelType w:val="multilevel"/>
    <w:tmpl w:val="78D62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57764A0"/>
    <w:multiLevelType w:val="multilevel"/>
    <w:tmpl w:val="556690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92506557">
    <w:abstractNumId w:val="1"/>
  </w:num>
  <w:num w:numId="2" w16cid:durableId="4234553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F1E"/>
    <w:rsid w:val="0001670A"/>
    <w:rsid w:val="00047389"/>
    <w:rsid w:val="000E57E9"/>
    <w:rsid w:val="00135F1E"/>
    <w:rsid w:val="00156FC1"/>
    <w:rsid w:val="001F6BE0"/>
    <w:rsid w:val="00381843"/>
    <w:rsid w:val="00405FCD"/>
    <w:rsid w:val="004E4AEA"/>
    <w:rsid w:val="005353B6"/>
    <w:rsid w:val="00630C4D"/>
    <w:rsid w:val="006C5660"/>
    <w:rsid w:val="006E380F"/>
    <w:rsid w:val="00732310"/>
    <w:rsid w:val="007E52EE"/>
    <w:rsid w:val="007F4C20"/>
    <w:rsid w:val="0088651B"/>
    <w:rsid w:val="00AA4ED0"/>
    <w:rsid w:val="00AD686C"/>
    <w:rsid w:val="00BE023D"/>
    <w:rsid w:val="00BE38E0"/>
    <w:rsid w:val="00C502E5"/>
    <w:rsid w:val="00C84BA0"/>
    <w:rsid w:val="00D054C6"/>
    <w:rsid w:val="00E74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268E60"/>
  <w15:chartTrackingRefBased/>
  <w15:docId w15:val="{4F344818-7138-477F-A12B-921054EA6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4C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4C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5F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5F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5F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5F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5F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5F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5F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4C20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7F4C20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5F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5F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5F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5F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5F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5F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5F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5F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5F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5F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5F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5F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5F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5F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5F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5F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5F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5F1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E38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38E0"/>
  </w:style>
  <w:style w:type="paragraph" w:styleId="Footer">
    <w:name w:val="footer"/>
    <w:basedOn w:val="Normal"/>
    <w:link w:val="FooterChar"/>
    <w:uiPriority w:val="99"/>
    <w:unhideWhenUsed/>
    <w:rsid w:val="00BE38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38E0"/>
  </w:style>
  <w:style w:type="paragraph" w:styleId="TOCHeading">
    <w:name w:val="TOC Heading"/>
    <w:basedOn w:val="Heading1"/>
    <w:next w:val="Normal"/>
    <w:uiPriority w:val="39"/>
    <w:unhideWhenUsed/>
    <w:qFormat/>
    <w:rsid w:val="0073231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3231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3231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3231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90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1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1652</Words>
  <Characters>9421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Calin Moldovan</dc:creator>
  <cp:keywords/>
  <dc:description/>
  <cp:lastModifiedBy>Ana Moldovan</cp:lastModifiedBy>
  <cp:revision>3</cp:revision>
  <dcterms:created xsi:type="dcterms:W3CDTF">2024-07-26T22:29:00Z</dcterms:created>
  <dcterms:modified xsi:type="dcterms:W3CDTF">2024-07-26T22:30:00Z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951fefe0827a84c3d2c3d08e7b1d6db71e791ba29a3044336f9593d258f75600</vt:lpwstr>
  </property>
</Properties>
</file>