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C3691" w14:textId="2F0B2200" w:rsidR="00BB3B4E" w:rsidRPr="00952444" w:rsidRDefault="00BB3B4E">
      <w:pPr>
        <w:rPr>
          <w:rFonts w:cstheme="minorHAnsi"/>
          <w:sz w:val="24"/>
          <w:szCs w:val="24"/>
        </w:rPr>
      </w:pPr>
      <w:r w:rsidRPr="00952444">
        <w:rPr>
          <w:rFonts w:cstheme="minorHAnsi"/>
          <w:sz w:val="24"/>
          <w:szCs w:val="24"/>
        </w:rPr>
        <w:t>Consider how useful Childe’s criteria for the emergence of towns and/or states are for interpreting the emergence of social complexity in the East Mediterranean in the Bronze Age.</w:t>
      </w:r>
    </w:p>
    <w:p w14:paraId="618B1FF2" w14:textId="77777777" w:rsidR="00952444" w:rsidRPr="00952444" w:rsidRDefault="00BB3B4E">
      <w:pPr>
        <w:rPr>
          <w:rFonts w:cstheme="minorHAnsi"/>
          <w:sz w:val="24"/>
          <w:szCs w:val="24"/>
        </w:rPr>
      </w:pPr>
      <w:r w:rsidRPr="00952444">
        <w:rPr>
          <w:rFonts w:cstheme="minorHAnsi"/>
          <w:sz w:val="24"/>
          <w:szCs w:val="24"/>
        </w:rPr>
        <w:t xml:space="preserve">Childe’s </w:t>
      </w:r>
      <w:r w:rsidR="000E4597" w:rsidRPr="00952444">
        <w:rPr>
          <w:rFonts w:cstheme="minorHAnsi"/>
          <w:sz w:val="24"/>
          <w:szCs w:val="24"/>
        </w:rPr>
        <w:t>ten-point</w:t>
      </w:r>
      <w:r w:rsidRPr="00952444">
        <w:rPr>
          <w:rFonts w:cstheme="minorHAnsi"/>
          <w:sz w:val="24"/>
          <w:szCs w:val="24"/>
        </w:rPr>
        <w:t xml:space="preserve"> criteria can be extremely useful in studying the development of the civilised city states, especially in reference to the ancient Egyptians. Many aspects of their society do </w:t>
      </w:r>
      <w:r w:rsidR="000E4597" w:rsidRPr="00952444">
        <w:rPr>
          <w:rFonts w:cstheme="minorHAnsi"/>
          <w:sz w:val="24"/>
          <w:szCs w:val="24"/>
        </w:rPr>
        <w:t xml:space="preserve">coincide with the aspects of his theory, particularly in the development of a script, the sciences and international trade. However, Childe’s theory, written in 1950, can also now be interpreted as extremely outdated and </w:t>
      </w:r>
      <w:r w:rsidR="00F9280E" w:rsidRPr="00952444">
        <w:rPr>
          <w:rFonts w:cstheme="minorHAnsi"/>
          <w:sz w:val="24"/>
          <w:szCs w:val="24"/>
        </w:rPr>
        <w:t xml:space="preserve">ignorant, especially in his use of terminology. Andrew </w:t>
      </w:r>
      <w:proofErr w:type="spellStart"/>
      <w:r w:rsidR="00F9280E" w:rsidRPr="00952444">
        <w:rPr>
          <w:rFonts w:cstheme="minorHAnsi"/>
          <w:sz w:val="24"/>
          <w:szCs w:val="24"/>
        </w:rPr>
        <w:t>Sherrat</w:t>
      </w:r>
      <w:proofErr w:type="spellEnd"/>
      <w:r w:rsidR="00F9280E" w:rsidRPr="00952444">
        <w:rPr>
          <w:rFonts w:cstheme="minorHAnsi"/>
          <w:sz w:val="24"/>
          <w:szCs w:val="24"/>
        </w:rPr>
        <w:t xml:space="preserve"> </w:t>
      </w:r>
      <w:r w:rsidR="00C81A49" w:rsidRPr="00952444">
        <w:rPr>
          <w:rFonts w:cstheme="minorHAnsi"/>
          <w:sz w:val="24"/>
          <w:szCs w:val="24"/>
        </w:rPr>
        <w:t>describes</w:t>
      </w:r>
      <w:r w:rsidR="00F9280E" w:rsidRPr="00952444">
        <w:rPr>
          <w:rFonts w:cstheme="minorHAnsi"/>
          <w:sz w:val="24"/>
          <w:szCs w:val="24"/>
        </w:rPr>
        <w:t xml:space="preserve"> much of Childe’s work as “antiquated” (</w:t>
      </w:r>
      <w:proofErr w:type="spellStart"/>
      <w:r w:rsidR="00F9280E" w:rsidRPr="00952444">
        <w:rPr>
          <w:rFonts w:cstheme="minorHAnsi"/>
          <w:sz w:val="24"/>
          <w:szCs w:val="24"/>
        </w:rPr>
        <w:t>Sherrat</w:t>
      </w:r>
      <w:proofErr w:type="spellEnd"/>
      <w:r w:rsidR="00F9280E" w:rsidRPr="00952444">
        <w:rPr>
          <w:rFonts w:cstheme="minorHAnsi"/>
          <w:sz w:val="24"/>
          <w:szCs w:val="24"/>
        </w:rPr>
        <w:t>, 199</w:t>
      </w:r>
      <w:r w:rsidR="00C81A49" w:rsidRPr="00952444">
        <w:rPr>
          <w:rFonts w:cstheme="minorHAnsi"/>
          <w:sz w:val="24"/>
          <w:szCs w:val="24"/>
        </w:rPr>
        <w:t>7</w:t>
      </w:r>
      <w:r w:rsidR="00F9280E" w:rsidRPr="00952444">
        <w:rPr>
          <w:rFonts w:cstheme="minorHAnsi"/>
          <w:sz w:val="24"/>
          <w:szCs w:val="24"/>
        </w:rPr>
        <w:t xml:space="preserve">) and when considered in the light of modern-day terminology and cultural change, it is extremely easy to see why. </w:t>
      </w:r>
      <w:r w:rsidR="00C81A49" w:rsidRPr="00952444">
        <w:rPr>
          <w:rFonts w:cstheme="minorHAnsi"/>
          <w:sz w:val="24"/>
          <w:szCs w:val="24"/>
        </w:rPr>
        <w:t>The use of terms such as “savages” and “barbarians” (Childe, 1950) make it hard for the modern historian to develop an unbiased opinion of the ancient societies</w:t>
      </w:r>
      <w:r w:rsidR="00BD0CBF" w:rsidRPr="00952444">
        <w:rPr>
          <w:rFonts w:cstheme="minorHAnsi"/>
          <w:sz w:val="24"/>
          <w:szCs w:val="24"/>
        </w:rPr>
        <w:t xml:space="preserve"> – often meaning that their magnificence goes un-recognised</w:t>
      </w:r>
      <w:r w:rsidR="00C81A49" w:rsidRPr="00952444">
        <w:rPr>
          <w:rFonts w:cstheme="minorHAnsi"/>
          <w:sz w:val="24"/>
          <w:szCs w:val="24"/>
        </w:rPr>
        <w:t xml:space="preserve">. </w:t>
      </w:r>
      <w:r w:rsidR="000A4DCE" w:rsidRPr="00952444">
        <w:rPr>
          <w:rFonts w:cstheme="minorHAnsi"/>
          <w:sz w:val="24"/>
          <w:szCs w:val="24"/>
        </w:rPr>
        <w:t xml:space="preserve">However, </w:t>
      </w:r>
      <w:r w:rsidR="00C4105D" w:rsidRPr="00952444">
        <w:rPr>
          <w:rFonts w:cstheme="minorHAnsi"/>
          <w:sz w:val="24"/>
          <w:szCs w:val="24"/>
        </w:rPr>
        <w:t xml:space="preserve">V. </w:t>
      </w:r>
      <w:r w:rsidR="000A4DCE" w:rsidRPr="00952444">
        <w:rPr>
          <w:rFonts w:cstheme="minorHAnsi"/>
          <w:sz w:val="24"/>
          <w:szCs w:val="24"/>
        </w:rPr>
        <w:t xml:space="preserve">Gordon Childe’s </w:t>
      </w:r>
      <w:r w:rsidR="00007658" w:rsidRPr="00952444">
        <w:rPr>
          <w:rFonts w:cstheme="minorHAnsi"/>
          <w:sz w:val="24"/>
          <w:szCs w:val="24"/>
        </w:rPr>
        <w:t xml:space="preserve">theories </w:t>
      </w:r>
      <w:r w:rsidR="000A4DCE" w:rsidRPr="00952444">
        <w:rPr>
          <w:rFonts w:cstheme="minorHAnsi"/>
          <w:sz w:val="24"/>
          <w:szCs w:val="24"/>
        </w:rPr>
        <w:t>of the industrial and urban revolutions, were written so that they could correspond with Morgan’s theory which split societies into three different stages of evolution – savagery, barbarianism and civilisation</w:t>
      </w:r>
      <w:r w:rsidR="00BD0CBF" w:rsidRPr="00952444">
        <w:rPr>
          <w:rFonts w:cstheme="minorHAnsi"/>
          <w:sz w:val="24"/>
          <w:szCs w:val="24"/>
        </w:rPr>
        <w:t xml:space="preserve"> (Morgan, 1877)</w:t>
      </w:r>
      <w:r w:rsidR="000A4DCE" w:rsidRPr="00952444">
        <w:rPr>
          <w:rFonts w:cstheme="minorHAnsi"/>
          <w:sz w:val="24"/>
          <w:szCs w:val="24"/>
        </w:rPr>
        <w:t xml:space="preserve">. </w:t>
      </w:r>
      <w:r w:rsidR="00007658" w:rsidRPr="00952444">
        <w:rPr>
          <w:rFonts w:cstheme="minorHAnsi"/>
          <w:sz w:val="24"/>
          <w:szCs w:val="24"/>
        </w:rPr>
        <w:t>Therefore,</w:t>
      </w:r>
      <w:r w:rsidR="000A4DCE" w:rsidRPr="00952444">
        <w:rPr>
          <w:rFonts w:cstheme="minorHAnsi"/>
          <w:sz w:val="24"/>
          <w:szCs w:val="24"/>
        </w:rPr>
        <w:t xml:space="preserve"> to some extent, Childe was just building upon his </w:t>
      </w:r>
      <w:r w:rsidR="00007658" w:rsidRPr="00952444">
        <w:rPr>
          <w:rFonts w:cstheme="minorHAnsi"/>
          <w:sz w:val="24"/>
          <w:szCs w:val="24"/>
        </w:rPr>
        <w:t>predecessor’s</w:t>
      </w:r>
      <w:r w:rsidR="000A4DCE" w:rsidRPr="00952444">
        <w:rPr>
          <w:rFonts w:cstheme="minorHAnsi"/>
          <w:sz w:val="24"/>
          <w:szCs w:val="24"/>
        </w:rPr>
        <w:t xml:space="preserve"> ideas, and </w:t>
      </w:r>
      <w:r w:rsidR="00007658" w:rsidRPr="00952444">
        <w:rPr>
          <w:rFonts w:cstheme="minorHAnsi"/>
          <w:sz w:val="24"/>
          <w:szCs w:val="24"/>
        </w:rPr>
        <w:t xml:space="preserve">supporting his choice of wording. </w:t>
      </w:r>
      <w:r w:rsidR="001E598F" w:rsidRPr="00952444">
        <w:rPr>
          <w:rFonts w:cstheme="minorHAnsi"/>
          <w:sz w:val="24"/>
          <w:szCs w:val="24"/>
        </w:rPr>
        <w:t>As such, Childe is useful to some extent for interpreting the social complexity of the Bronze Age, however he cannot be referred to as a wholly trustworthy source, he is after all just a secondary interpretation, who was writing from the twentieth century when there was far less archaeological information available than today.</w:t>
      </w:r>
    </w:p>
    <w:p w14:paraId="69718F5D" w14:textId="5CB10648" w:rsidR="00952444" w:rsidRPr="00952444" w:rsidRDefault="00952444" w:rsidP="00952444">
      <w:pPr>
        <w:rPr>
          <w:rFonts w:cstheme="minorHAnsi"/>
          <w:sz w:val="24"/>
          <w:szCs w:val="24"/>
        </w:rPr>
      </w:pPr>
      <w:r w:rsidRPr="00952444">
        <w:rPr>
          <w:rFonts w:cstheme="minorHAnsi"/>
          <w:sz w:val="24"/>
          <w:szCs w:val="24"/>
        </w:rPr>
        <w:t>V. Gordon Childe’s work was undoubtedly among the finest work of historians and archaeologists during his contemporary time; he can even be termed as the ‘founding father’ of modern archaeology, because of the fresh interpretation that he took of the societies. However, because of the fast-paced development of archaeology in the twentieth century (and with recent technologies), “it would not be unfair to say that many of his principal conclusions about the European Neolithic and Bronze Ages have been shown to be largely incorrect” (</w:t>
      </w:r>
      <w:proofErr w:type="spellStart"/>
      <w:r w:rsidRPr="00952444">
        <w:rPr>
          <w:rFonts w:cstheme="minorHAnsi"/>
          <w:sz w:val="24"/>
          <w:szCs w:val="24"/>
        </w:rPr>
        <w:t>Sherrat</w:t>
      </w:r>
      <w:proofErr w:type="spellEnd"/>
      <w:r w:rsidRPr="00952444">
        <w:rPr>
          <w:rFonts w:cstheme="minorHAnsi"/>
          <w:sz w:val="24"/>
          <w:szCs w:val="24"/>
        </w:rPr>
        <w:t>, 1989: 153). Despite this, Childe still today leaves a huge cultural impact upon the study of ancient and pre-historic civilisations, largely in his dedicat</w:t>
      </w:r>
      <w:r w:rsidR="00E4132E">
        <w:rPr>
          <w:rFonts w:cstheme="minorHAnsi"/>
          <w:sz w:val="24"/>
          <w:szCs w:val="24"/>
        </w:rPr>
        <w:t>ion</w:t>
      </w:r>
      <w:r w:rsidRPr="00952444">
        <w:rPr>
          <w:rFonts w:cstheme="minorHAnsi"/>
          <w:sz w:val="24"/>
          <w:szCs w:val="24"/>
        </w:rPr>
        <w:t xml:space="preserve"> to the study of “archaeology as a social science” (Sherrat,1989)</w:t>
      </w:r>
      <w:r w:rsidR="00E4132E">
        <w:rPr>
          <w:rFonts w:cstheme="minorHAnsi"/>
          <w:sz w:val="24"/>
          <w:szCs w:val="24"/>
        </w:rPr>
        <w:t>.</w:t>
      </w:r>
    </w:p>
    <w:p w14:paraId="7B8D4877" w14:textId="28742D6F" w:rsidR="00C81A49" w:rsidRPr="00952444" w:rsidRDefault="006B51FD">
      <w:pPr>
        <w:rPr>
          <w:rFonts w:cstheme="minorHAnsi"/>
          <w:sz w:val="24"/>
          <w:szCs w:val="24"/>
        </w:rPr>
      </w:pPr>
      <w:r w:rsidRPr="00952444">
        <w:rPr>
          <w:rFonts w:cstheme="minorHAnsi"/>
          <w:sz w:val="24"/>
          <w:szCs w:val="24"/>
        </w:rPr>
        <w:t xml:space="preserve">The development of the “full time specialists” </w:t>
      </w:r>
      <w:r w:rsidR="00504492" w:rsidRPr="00952444">
        <w:rPr>
          <w:rFonts w:cstheme="minorHAnsi"/>
          <w:sz w:val="24"/>
          <w:szCs w:val="24"/>
        </w:rPr>
        <w:t xml:space="preserve">(Childe, 1950) </w:t>
      </w:r>
      <w:r w:rsidRPr="00952444">
        <w:rPr>
          <w:rFonts w:cstheme="minorHAnsi"/>
          <w:sz w:val="24"/>
          <w:szCs w:val="24"/>
        </w:rPr>
        <w:t>is</w:t>
      </w:r>
      <w:r w:rsidR="00E4132E">
        <w:rPr>
          <w:rFonts w:cstheme="minorHAnsi"/>
          <w:sz w:val="24"/>
          <w:szCs w:val="24"/>
        </w:rPr>
        <w:t xml:space="preserve"> an</w:t>
      </w:r>
      <w:r w:rsidRPr="00952444">
        <w:rPr>
          <w:rFonts w:cstheme="minorHAnsi"/>
          <w:sz w:val="24"/>
          <w:szCs w:val="24"/>
        </w:rPr>
        <w:t xml:space="preserve"> incredibly important</w:t>
      </w:r>
      <w:r w:rsidR="00E4132E">
        <w:rPr>
          <w:rFonts w:cstheme="minorHAnsi"/>
          <w:sz w:val="24"/>
          <w:szCs w:val="24"/>
        </w:rPr>
        <w:t xml:space="preserve"> idea</w:t>
      </w:r>
      <w:r w:rsidRPr="00952444">
        <w:rPr>
          <w:rFonts w:cstheme="minorHAnsi"/>
          <w:sz w:val="24"/>
          <w:szCs w:val="24"/>
        </w:rPr>
        <w:t xml:space="preserve"> in Childe’s theory </w:t>
      </w:r>
      <w:r w:rsidR="008B553A" w:rsidRPr="00952444">
        <w:rPr>
          <w:rFonts w:cstheme="minorHAnsi"/>
          <w:sz w:val="24"/>
          <w:szCs w:val="24"/>
        </w:rPr>
        <w:t xml:space="preserve">and can clearly be seen to be present during the Egyptian </w:t>
      </w:r>
      <w:r w:rsidR="00504492" w:rsidRPr="00952444">
        <w:rPr>
          <w:rFonts w:cstheme="minorHAnsi"/>
          <w:sz w:val="24"/>
          <w:szCs w:val="24"/>
        </w:rPr>
        <w:t>era. Originally, in the Stone Age societies, it would have been custom for each household to make their own necessities – each would have the basic ability to carve their own tools, sew their clothes and create the simplest ornaments. However, according to Childe, one of the first signs of the development of a city would be the emergence of these ‘specialists’ of their craft, who would “depend for their livelihood on food produced by others and secured in exchange for material or immaterial goods or services” (Childe, 1950: 6). Essentially, the specialists would exchange in a sort of bartering system, swap</w:t>
      </w:r>
      <w:r w:rsidR="00296EB6" w:rsidRPr="00952444">
        <w:rPr>
          <w:rFonts w:cstheme="minorHAnsi"/>
          <w:sz w:val="24"/>
          <w:szCs w:val="24"/>
        </w:rPr>
        <w:t>ping</w:t>
      </w:r>
      <w:r w:rsidR="00504492" w:rsidRPr="00952444">
        <w:rPr>
          <w:rFonts w:cstheme="minorHAnsi"/>
          <w:sz w:val="24"/>
          <w:szCs w:val="24"/>
        </w:rPr>
        <w:t xml:space="preserve"> items for food or material goods. </w:t>
      </w:r>
      <w:r w:rsidR="00296EB6" w:rsidRPr="00952444">
        <w:rPr>
          <w:rFonts w:cstheme="minorHAnsi"/>
          <w:sz w:val="24"/>
          <w:szCs w:val="24"/>
        </w:rPr>
        <w:t xml:space="preserve">This custom clearly emerged during the </w:t>
      </w:r>
      <w:r w:rsidR="003A6790" w:rsidRPr="00952444">
        <w:rPr>
          <w:rFonts w:cstheme="minorHAnsi"/>
          <w:sz w:val="24"/>
          <w:szCs w:val="24"/>
        </w:rPr>
        <w:t>Pre and Early D</w:t>
      </w:r>
      <w:r w:rsidR="00296EB6" w:rsidRPr="00952444">
        <w:rPr>
          <w:rFonts w:cstheme="minorHAnsi"/>
          <w:sz w:val="24"/>
          <w:szCs w:val="24"/>
        </w:rPr>
        <w:t xml:space="preserve">ynastic </w:t>
      </w:r>
      <w:r w:rsidR="003A6790" w:rsidRPr="00952444">
        <w:rPr>
          <w:rFonts w:cstheme="minorHAnsi"/>
          <w:sz w:val="24"/>
          <w:szCs w:val="24"/>
        </w:rPr>
        <w:t xml:space="preserve">periods </w:t>
      </w:r>
      <w:r w:rsidR="00296EB6" w:rsidRPr="00952444">
        <w:rPr>
          <w:rFonts w:cstheme="minorHAnsi"/>
          <w:sz w:val="24"/>
          <w:szCs w:val="24"/>
        </w:rPr>
        <w:t xml:space="preserve">of ancient Egypt, as can be seen by the abundance of luxury goods that have since been excavated. The most obvious customers of these specialists would have been from the elite </w:t>
      </w:r>
      <w:r w:rsidR="00296EB6" w:rsidRPr="00952444">
        <w:rPr>
          <w:rFonts w:cstheme="minorHAnsi"/>
          <w:sz w:val="24"/>
          <w:szCs w:val="24"/>
        </w:rPr>
        <w:lastRenderedPageBreak/>
        <w:t xml:space="preserve">classes, who had the expenditure available for these luxury items. </w:t>
      </w:r>
      <w:r w:rsidR="00B44C68" w:rsidRPr="00952444">
        <w:rPr>
          <w:rFonts w:cstheme="minorHAnsi"/>
          <w:sz w:val="24"/>
          <w:szCs w:val="24"/>
        </w:rPr>
        <w:t>Many o</w:t>
      </w:r>
      <w:r w:rsidR="003A6790" w:rsidRPr="00952444">
        <w:rPr>
          <w:rFonts w:cstheme="minorHAnsi"/>
          <w:sz w:val="24"/>
          <w:szCs w:val="24"/>
        </w:rPr>
        <w:t xml:space="preserve">f these were placed in burial hoards along with their owners, especially in the royal tombs of the kings. The “need to provide fine goods for the king’s and his courtiers’ survival in the afterlife appears to have been the catalyst for a major explosion in the arts during the Early Dynastic period” (Freeman, 1996). </w:t>
      </w:r>
      <w:r w:rsidR="00404296" w:rsidRPr="00952444">
        <w:rPr>
          <w:rFonts w:cstheme="minorHAnsi"/>
          <w:sz w:val="24"/>
          <w:szCs w:val="24"/>
        </w:rPr>
        <w:t xml:space="preserve">As Childe describes in his </w:t>
      </w:r>
      <w:r w:rsidR="00404296" w:rsidRPr="00952444">
        <w:rPr>
          <w:rFonts w:cstheme="minorHAnsi"/>
          <w:i/>
          <w:iCs/>
          <w:sz w:val="24"/>
          <w:szCs w:val="24"/>
        </w:rPr>
        <w:t>‘Urban Revolution’</w:t>
      </w:r>
      <w:r w:rsidR="00404296" w:rsidRPr="00952444">
        <w:rPr>
          <w:rFonts w:cstheme="minorHAnsi"/>
          <w:sz w:val="24"/>
          <w:szCs w:val="24"/>
        </w:rPr>
        <w:t xml:space="preserve"> the emergence of these specialists allows for a boom in the cultural arts present in these areas. </w:t>
      </w:r>
    </w:p>
    <w:p w14:paraId="1315F52A" w14:textId="69A45BFE" w:rsidR="000A7CB0" w:rsidRPr="00952444" w:rsidRDefault="000A7CB0">
      <w:pPr>
        <w:rPr>
          <w:rFonts w:cstheme="minorHAnsi"/>
          <w:sz w:val="24"/>
          <w:szCs w:val="24"/>
        </w:rPr>
      </w:pPr>
      <w:r w:rsidRPr="00952444">
        <w:rPr>
          <w:rFonts w:cstheme="minorHAnsi"/>
          <w:sz w:val="24"/>
          <w:szCs w:val="24"/>
        </w:rPr>
        <w:t>Many critics disagree with Childe's criteria for what makes a civilisation, referring to it as a descriptive, rather than an explanatory interpretation of the past. One issue that many critics hold, is that the emergence of a craft specialist would have required an "accumulation of wealth" (</w:t>
      </w:r>
      <w:proofErr w:type="spellStart"/>
      <w:r w:rsidR="000A4DCE" w:rsidRPr="00952444">
        <w:rPr>
          <w:rFonts w:cstheme="minorHAnsi"/>
          <w:sz w:val="24"/>
          <w:szCs w:val="24"/>
        </w:rPr>
        <w:t>Ravetz</w:t>
      </w:r>
      <w:proofErr w:type="spellEnd"/>
      <w:r w:rsidR="000A4DCE" w:rsidRPr="00952444">
        <w:rPr>
          <w:rFonts w:cstheme="minorHAnsi"/>
          <w:sz w:val="24"/>
          <w:szCs w:val="24"/>
        </w:rPr>
        <w:t>, 1950</w:t>
      </w:r>
      <w:r w:rsidRPr="00952444">
        <w:rPr>
          <w:rFonts w:cstheme="minorHAnsi"/>
          <w:sz w:val="24"/>
          <w:szCs w:val="24"/>
        </w:rPr>
        <w:t>) necessary for them to acquire the materials and tools needed for such a venture.</w:t>
      </w:r>
      <w:r w:rsidR="000A4DCE" w:rsidRPr="00952444">
        <w:rPr>
          <w:rFonts w:cstheme="minorHAnsi"/>
          <w:sz w:val="24"/>
          <w:szCs w:val="24"/>
        </w:rPr>
        <w:t xml:space="preserve"> Admittedly, it does seem far fetched that a specialist</w:t>
      </w:r>
      <w:r w:rsidR="00007658" w:rsidRPr="00952444">
        <w:rPr>
          <w:rFonts w:cstheme="minorHAnsi"/>
          <w:sz w:val="24"/>
          <w:szCs w:val="24"/>
        </w:rPr>
        <w:t xml:space="preserve">, typically delegated to the position of the lower classes, </w:t>
      </w:r>
      <w:r w:rsidR="000A4DCE" w:rsidRPr="00952444">
        <w:rPr>
          <w:rFonts w:cstheme="minorHAnsi"/>
          <w:sz w:val="24"/>
          <w:szCs w:val="24"/>
        </w:rPr>
        <w:t xml:space="preserve"> would have been able to fund his own learning and perfection of his medium, as well as then being able to afford the materials needed. </w:t>
      </w:r>
    </w:p>
    <w:p w14:paraId="2A9FDEE5" w14:textId="07541463" w:rsidR="00D70ECB" w:rsidRPr="00952444" w:rsidRDefault="00404296">
      <w:pPr>
        <w:rPr>
          <w:rFonts w:cstheme="minorHAnsi"/>
          <w:sz w:val="24"/>
          <w:szCs w:val="24"/>
        </w:rPr>
      </w:pPr>
      <w:r w:rsidRPr="00952444">
        <w:rPr>
          <w:rFonts w:cstheme="minorHAnsi"/>
          <w:sz w:val="24"/>
          <w:szCs w:val="24"/>
        </w:rPr>
        <w:t>The production of such luxurious items also allows for the emergence (and enforcement) of the hierarchal system</w:t>
      </w:r>
      <w:r w:rsidR="00A40876" w:rsidRPr="00952444">
        <w:rPr>
          <w:rFonts w:cstheme="minorHAnsi"/>
          <w:sz w:val="24"/>
          <w:szCs w:val="24"/>
        </w:rPr>
        <w:t>. The elite groups were those that were exempt from manual labour because instead they served a civil service to the rest of the city, and were supported by “the surplus accumulated in temples or royal granaries an</w:t>
      </w:r>
      <w:r w:rsidR="006F7B2C" w:rsidRPr="00952444">
        <w:rPr>
          <w:rFonts w:cstheme="minorHAnsi"/>
          <w:sz w:val="24"/>
          <w:szCs w:val="24"/>
        </w:rPr>
        <w:t>d</w:t>
      </w:r>
      <w:r w:rsidR="00A40876" w:rsidRPr="00952444">
        <w:rPr>
          <w:rFonts w:cstheme="minorHAnsi"/>
          <w:sz w:val="24"/>
          <w:szCs w:val="24"/>
        </w:rPr>
        <w:t xml:space="preserve"> were thus dependent </w:t>
      </w:r>
      <w:r w:rsidR="006F7B2C" w:rsidRPr="00952444">
        <w:rPr>
          <w:rFonts w:cstheme="minorHAnsi"/>
          <w:sz w:val="24"/>
          <w:szCs w:val="24"/>
        </w:rPr>
        <w:t xml:space="preserve">on temple or court” (Childe, 1950: 12). This </w:t>
      </w:r>
      <w:r w:rsidR="001B1310" w:rsidRPr="00952444">
        <w:rPr>
          <w:rFonts w:cstheme="minorHAnsi"/>
          <w:sz w:val="24"/>
          <w:szCs w:val="24"/>
        </w:rPr>
        <w:t>group</w:t>
      </w:r>
      <w:r w:rsidR="006F7B2C" w:rsidRPr="00952444">
        <w:rPr>
          <w:rFonts w:cstheme="minorHAnsi"/>
          <w:sz w:val="24"/>
          <w:szCs w:val="24"/>
        </w:rPr>
        <w:t xml:space="preserve"> mainly consisted of the </w:t>
      </w:r>
      <w:r w:rsidR="001B1310" w:rsidRPr="00952444">
        <w:rPr>
          <w:rFonts w:cstheme="minorHAnsi"/>
          <w:sz w:val="24"/>
          <w:szCs w:val="24"/>
        </w:rPr>
        <w:t xml:space="preserve">priests, civil and military leaders and </w:t>
      </w:r>
      <w:r w:rsidR="00D70ECB" w:rsidRPr="00952444">
        <w:rPr>
          <w:rFonts w:cstheme="minorHAnsi"/>
          <w:sz w:val="24"/>
          <w:szCs w:val="24"/>
        </w:rPr>
        <w:t xml:space="preserve">any </w:t>
      </w:r>
      <w:r w:rsidR="001B1310" w:rsidRPr="00952444">
        <w:rPr>
          <w:rFonts w:cstheme="minorHAnsi"/>
          <w:sz w:val="24"/>
          <w:szCs w:val="24"/>
        </w:rPr>
        <w:t>official</w:t>
      </w:r>
      <w:r w:rsidR="00D70ECB" w:rsidRPr="00952444">
        <w:rPr>
          <w:rFonts w:cstheme="minorHAnsi"/>
          <w:sz w:val="24"/>
          <w:szCs w:val="24"/>
        </w:rPr>
        <w:t xml:space="preserve">s, who </w:t>
      </w:r>
      <w:r w:rsidR="001B1310" w:rsidRPr="00952444">
        <w:rPr>
          <w:rFonts w:cstheme="minorHAnsi"/>
          <w:sz w:val="24"/>
          <w:szCs w:val="24"/>
        </w:rPr>
        <w:t xml:space="preserve">thus formed a </w:t>
      </w:r>
      <w:r w:rsidR="00D70ECB" w:rsidRPr="00952444">
        <w:rPr>
          <w:rFonts w:cstheme="minorHAnsi"/>
          <w:sz w:val="24"/>
          <w:szCs w:val="24"/>
        </w:rPr>
        <w:t>‘</w:t>
      </w:r>
      <w:r w:rsidR="001B1310" w:rsidRPr="00952444">
        <w:rPr>
          <w:rFonts w:cstheme="minorHAnsi"/>
          <w:sz w:val="24"/>
          <w:szCs w:val="24"/>
        </w:rPr>
        <w:t>ruling class’</w:t>
      </w:r>
      <w:r w:rsidR="00D70ECB" w:rsidRPr="00952444">
        <w:rPr>
          <w:rFonts w:cstheme="minorHAnsi"/>
          <w:sz w:val="24"/>
          <w:szCs w:val="24"/>
        </w:rPr>
        <w:t xml:space="preserve"> </w:t>
      </w:r>
      <w:r w:rsidR="001B1310" w:rsidRPr="00952444">
        <w:rPr>
          <w:rFonts w:cstheme="minorHAnsi"/>
          <w:sz w:val="24"/>
          <w:szCs w:val="24"/>
        </w:rPr>
        <w:t xml:space="preserve">(Childe, 1950). </w:t>
      </w:r>
      <w:r w:rsidR="00C1230B" w:rsidRPr="00952444">
        <w:rPr>
          <w:rFonts w:cstheme="minorHAnsi"/>
          <w:sz w:val="24"/>
          <w:szCs w:val="24"/>
        </w:rPr>
        <w:t xml:space="preserve">The production of this elitist class is arguably what allowed for the development of the civilisation, since the </w:t>
      </w:r>
      <w:r w:rsidR="00CE45B9" w:rsidRPr="00952444">
        <w:rPr>
          <w:rFonts w:cstheme="minorHAnsi"/>
          <w:sz w:val="24"/>
          <w:szCs w:val="24"/>
        </w:rPr>
        <w:t xml:space="preserve">collection of a tithe or tax, enables the king to pay for the grand monumental structures and for the development of religion – much of the money given would be in the name of a deity, and would go towards building new temples and religious festivals. </w:t>
      </w:r>
      <w:r w:rsidR="00C1230B" w:rsidRPr="00952444">
        <w:rPr>
          <w:rFonts w:cstheme="minorHAnsi"/>
          <w:sz w:val="24"/>
          <w:szCs w:val="24"/>
        </w:rPr>
        <w:t>In Egypt this can be seen</w:t>
      </w:r>
      <w:r w:rsidR="001E598F" w:rsidRPr="00952444">
        <w:rPr>
          <w:rFonts w:cstheme="minorHAnsi"/>
          <w:sz w:val="24"/>
          <w:szCs w:val="24"/>
        </w:rPr>
        <w:t>, since</w:t>
      </w:r>
      <w:r w:rsidR="00C1230B" w:rsidRPr="00952444">
        <w:rPr>
          <w:rFonts w:cstheme="minorHAnsi"/>
          <w:sz w:val="24"/>
          <w:szCs w:val="24"/>
        </w:rPr>
        <w:t xml:space="preserve"> “taxes were collected in kind by the court and then stored in granaries before being rationed out to support building projects and the feeding of labourers” (Freeman, 1996). </w:t>
      </w:r>
    </w:p>
    <w:p w14:paraId="56BFAEB5" w14:textId="18380416" w:rsidR="00CE45B9" w:rsidRPr="00952444" w:rsidRDefault="00CE1EFB">
      <w:pPr>
        <w:rPr>
          <w:rFonts w:cstheme="minorHAnsi"/>
          <w:sz w:val="24"/>
          <w:szCs w:val="24"/>
        </w:rPr>
      </w:pPr>
      <w:r w:rsidRPr="00952444">
        <w:rPr>
          <w:rFonts w:cstheme="minorHAnsi"/>
          <w:sz w:val="24"/>
          <w:szCs w:val="24"/>
        </w:rPr>
        <w:t xml:space="preserve">The pyramids were likely funded by these taxes, as they hosted not only the Pharaoh’s  burial site, but also the place for the cult worship of the King after their death. Another of Gordon Childe’s criteria </w:t>
      </w:r>
      <w:r w:rsidR="002C20F4" w:rsidRPr="00952444">
        <w:rPr>
          <w:rFonts w:cstheme="minorHAnsi"/>
          <w:sz w:val="24"/>
          <w:szCs w:val="24"/>
        </w:rPr>
        <w:t>states that “truly monumental public buildings not only distinguish each known city from any village but also symbolise the concentration of the social surplus” (Childe, 1950: 12). Now whilst there isn’t any evidence that has yet been excavated to suggest the presence of grand temples or palaces, the “whole Nile valley was dominated by the gigantic tombs of the divine pharaohs while royal granaries are attested from the literary record” (Childe, 1950: 12).</w:t>
      </w:r>
      <w:r w:rsidR="008E0881" w:rsidRPr="00952444">
        <w:rPr>
          <w:rFonts w:cstheme="minorHAnsi"/>
          <w:sz w:val="24"/>
          <w:szCs w:val="24"/>
        </w:rPr>
        <w:t xml:space="preserve"> </w:t>
      </w:r>
      <w:r w:rsidR="002C20F4" w:rsidRPr="00952444">
        <w:rPr>
          <w:rFonts w:cstheme="minorHAnsi"/>
          <w:sz w:val="24"/>
          <w:szCs w:val="24"/>
        </w:rPr>
        <w:t xml:space="preserve"> </w:t>
      </w:r>
      <w:r w:rsidR="00DA197D" w:rsidRPr="00952444">
        <w:rPr>
          <w:rFonts w:cstheme="minorHAnsi"/>
          <w:sz w:val="24"/>
          <w:szCs w:val="24"/>
        </w:rPr>
        <w:t xml:space="preserve">The pyramids can thus be interpreted as being the ‘monumental public buildings’ that Childe refers to, especially since they would be home to cult worship after the </w:t>
      </w:r>
      <w:r w:rsidR="00E4132E" w:rsidRPr="00952444">
        <w:rPr>
          <w:rFonts w:cstheme="minorHAnsi"/>
          <w:sz w:val="24"/>
          <w:szCs w:val="24"/>
        </w:rPr>
        <w:t>king’s</w:t>
      </w:r>
      <w:r w:rsidR="00DA197D" w:rsidRPr="00952444">
        <w:rPr>
          <w:rFonts w:cstheme="minorHAnsi"/>
          <w:sz w:val="24"/>
          <w:szCs w:val="24"/>
        </w:rPr>
        <w:t xml:space="preserve"> death.</w:t>
      </w:r>
      <w:r w:rsidR="008E0881" w:rsidRPr="00952444">
        <w:rPr>
          <w:rFonts w:cstheme="minorHAnsi"/>
          <w:sz w:val="24"/>
          <w:szCs w:val="24"/>
        </w:rPr>
        <w:t xml:space="preserve"> The pharaoh, believed to be the direct heir of the Sun God Ra, were often thought to join Ra on his journey after their death, and as such these pyramids often held extra doors, specifically for the God to pass through when collecting the heir.</w:t>
      </w:r>
      <w:r w:rsidR="00DA197D" w:rsidRPr="00952444">
        <w:rPr>
          <w:rFonts w:cstheme="minorHAnsi"/>
          <w:sz w:val="24"/>
          <w:szCs w:val="24"/>
        </w:rPr>
        <w:t xml:space="preserve"> Also, it is clear that there was a distinct social surplus given to the deity, because of the grand offerings placed in the tombs with the deceased that would be expected to nourish them throughout the afterlife. It was common that grain, fruit and wine would be </w:t>
      </w:r>
      <w:r w:rsidR="00034188" w:rsidRPr="00952444">
        <w:rPr>
          <w:rFonts w:cstheme="minorHAnsi"/>
          <w:sz w:val="24"/>
          <w:szCs w:val="24"/>
        </w:rPr>
        <w:t xml:space="preserve">placed in </w:t>
      </w:r>
      <w:r w:rsidR="00034188" w:rsidRPr="00952444">
        <w:rPr>
          <w:rFonts w:cstheme="minorHAnsi"/>
          <w:sz w:val="24"/>
          <w:szCs w:val="24"/>
        </w:rPr>
        <w:lastRenderedPageBreak/>
        <w:t>the tomb with them.</w:t>
      </w:r>
      <w:r w:rsidR="00C6221A" w:rsidRPr="00952444">
        <w:rPr>
          <w:rFonts w:cstheme="minorHAnsi"/>
          <w:sz w:val="24"/>
          <w:szCs w:val="24"/>
        </w:rPr>
        <w:t xml:space="preserve"> The Egyptians have often been referred to as being “obsessed with death and it’s continuation” (</w:t>
      </w:r>
      <w:proofErr w:type="spellStart"/>
      <w:r w:rsidR="00AF3E76" w:rsidRPr="00952444">
        <w:rPr>
          <w:rFonts w:cstheme="minorHAnsi"/>
          <w:sz w:val="24"/>
          <w:szCs w:val="24"/>
        </w:rPr>
        <w:t>Inkram</w:t>
      </w:r>
      <w:proofErr w:type="spellEnd"/>
      <w:r w:rsidR="00AF3E76" w:rsidRPr="00952444">
        <w:rPr>
          <w:rFonts w:cstheme="minorHAnsi"/>
          <w:sz w:val="24"/>
          <w:szCs w:val="24"/>
        </w:rPr>
        <w:t xml:space="preserve">, 2015) and this is particularly clear in their rituals to prepare a king for his journey to the afterlife. The pyramids are arguably one of the biggest contributors to the idea of a unified city-state </w:t>
      </w:r>
      <w:r w:rsidR="002362A5" w:rsidRPr="00952444">
        <w:rPr>
          <w:rFonts w:cstheme="minorHAnsi"/>
          <w:sz w:val="24"/>
          <w:szCs w:val="24"/>
        </w:rPr>
        <w:t>in Egypt, since the construction of such</w:t>
      </w:r>
      <w:r w:rsidR="008E0881" w:rsidRPr="00952444">
        <w:rPr>
          <w:rFonts w:cstheme="minorHAnsi"/>
          <w:sz w:val="24"/>
          <w:szCs w:val="24"/>
        </w:rPr>
        <w:t xml:space="preserve"> monumental</w:t>
      </w:r>
      <w:r w:rsidR="002362A5" w:rsidRPr="00952444">
        <w:rPr>
          <w:rFonts w:cstheme="minorHAnsi"/>
          <w:sz w:val="24"/>
          <w:szCs w:val="24"/>
        </w:rPr>
        <w:t xml:space="preserve"> buildings suggests an organised and methodical system of control and planning</w:t>
      </w:r>
      <w:r w:rsidR="008E0881" w:rsidRPr="00952444">
        <w:rPr>
          <w:rFonts w:cstheme="minorHAnsi"/>
          <w:sz w:val="24"/>
          <w:szCs w:val="24"/>
        </w:rPr>
        <w:t xml:space="preserve">; which </w:t>
      </w:r>
      <w:r w:rsidR="00E4132E">
        <w:rPr>
          <w:rFonts w:cstheme="minorHAnsi"/>
          <w:sz w:val="24"/>
          <w:szCs w:val="24"/>
        </w:rPr>
        <w:t>proposes</w:t>
      </w:r>
      <w:r w:rsidR="008E0881" w:rsidRPr="00952444">
        <w:rPr>
          <w:rFonts w:cstheme="minorHAnsi"/>
          <w:sz w:val="24"/>
          <w:szCs w:val="24"/>
        </w:rPr>
        <w:t xml:space="preserve"> the presence of an extremely strong and culturally aware ruling class. </w:t>
      </w:r>
    </w:p>
    <w:p w14:paraId="11C33343" w14:textId="35E38D42" w:rsidR="002362A5" w:rsidRPr="00952444" w:rsidRDefault="002362A5">
      <w:pPr>
        <w:rPr>
          <w:rFonts w:cstheme="minorHAnsi"/>
          <w:sz w:val="24"/>
          <w:szCs w:val="24"/>
        </w:rPr>
      </w:pPr>
      <w:r w:rsidRPr="00952444">
        <w:rPr>
          <w:rFonts w:cstheme="minorHAnsi"/>
          <w:sz w:val="24"/>
          <w:szCs w:val="24"/>
        </w:rPr>
        <w:t>The development of a form of script is also a major contributor to the elevation of a society, since it allows for the introduction of “exact and predictive sciences – arithmetic, geometry and astronomy” (Childe, 1950)</w:t>
      </w:r>
      <w:r w:rsidR="00943F04" w:rsidRPr="00952444">
        <w:rPr>
          <w:rFonts w:cstheme="minorHAnsi"/>
          <w:sz w:val="24"/>
          <w:szCs w:val="24"/>
        </w:rPr>
        <w:t xml:space="preserve"> alongside written records, which detail the hierarchy and life in the </w:t>
      </w:r>
      <w:r w:rsidR="00E4132E">
        <w:rPr>
          <w:rFonts w:cstheme="minorHAnsi"/>
          <w:sz w:val="24"/>
          <w:szCs w:val="24"/>
        </w:rPr>
        <w:t xml:space="preserve">contemporary </w:t>
      </w:r>
      <w:r w:rsidR="00943F04" w:rsidRPr="00952444">
        <w:rPr>
          <w:rFonts w:cstheme="minorHAnsi"/>
          <w:sz w:val="24"/>
          <w:szCs w:val="24"/>
        </w:rPr>
        <w:t>society</w:t>
      </w:r>
      <w:r w:rsidRPr="00952444">
        <w:rPr>
          <w:rFonts w:cstheme="minorHAnsi"/>
          <w:sz w:val="24"/>
          <w:szCs w:val="24"/>
        </w:rPr>
        <w:t>. In Egypt specifically, the establishment of Hieroglyphics allowed for the creation of the calendar</w:t>
      </w:r>
      <w:r w:rsidR="00320714" w:rsidRPr="00952444">
        <w:rPr>
          <w:rFonts w:cstheme="minorHAnsi"/>
          <w:sz w:val="24"/>
          <w:szCs w:val="24"/>
        </w:rPr>
        <w:t xml:space="preserve">; </w:t>
      </w:r>
      <w:r w:rsidRPr="00952444">
        <w:rPr>
          <w:rFonts w:cstheme="minorHAnsi"/>
          <w:sz w:val="24"/>
          <w:szCs w:val="24"/>
        </w:rPr>
        <w:t>originally based upon the Nile’s annual flooding, th</w:t>
      </w:r>
      <w:r w:rsidR="00320714" w:rsidRPr="00952444">
        <w:rPr>
          <w:rFonts w:cstheme="minorHAnsi"/>
          <w:sz w:val="24"/>
          <w:szCs w:val="24"/>
        </w:rPr>
        <w:t>is allowed them</w:t>
      </w:r>
      <w:r w:rsidRPr="00952444">
        <w:rPr>
          <w:rFonts w:cstheme="minorHAnsi"/>
          <w:sz w:val="24"/>
          <w:szCs w:val="24"/>
        </w:rPr>
        <w:t xml:space="preserve"> to </w:t>
      </w:r>
      <w:r w:rsidR="00320714" w:rsidRPr="00952444">
        <w:rPr>
          <w:rFonts w:cstheme="minorHAnsi"/>
          <w:sz w:val="24"/>
          <w:szCs w:val="24"/>
        </w:rPr>
        <w:t xml:space="preserve">accurately record the expected yield of the crop fields and also then achieve better trade routes and intercultural links with other societies. </w:t>
      </w:r>
      <w:r w:rsidR="00406E45" w:rsidRPr="00952444">
        <w:rPr>
          <w:rFonts w:cstheme="minorHAnsi"/>
          <w:sz w:val="24"/>
          <w:szCs w:val="24"/>
        </w:rPr>
        <w:t>Some of the biggest example</w:t>
      </w:r>
      <w:r w:rsidR="0000025D" w:rsidRPr="00952444">
        <w:rPr>
          <w:rFonts w:cstheme="minorHAnsi"/>
          <w:sz w:val="24"/>
          <w:szCs w:val="24"/>
        </w:rPr>
        <w:t xml:space="preserve">s </w:t>
      </w:r>
      <w:r w:rsidR="00406E45" w:rsidRPr="00952444">
        <w:rPr>
          <w:rFonts w:cstheme="minorHAnsi"/>
          <w:sz w:val="24"/>
          <w:szCs w:val="24"/>
        </w:rPr>
        <w:t>of recorded</w:t>
      </w:r>
      <w:r w:rsidR="0000025D" w:rsidRPr="00952444">
        <w:rPr>
          <w:rFonts w:cstheme="minorHAnsi"/>
          <w:sz w:val="24"/>
          <w:szCs w:val="24"/>
        </w:rPr>
        <w:t xml:space="preserve"> </w:t>
      </w:r>
      <w:r w:rsidR="007A6617" w:rsidRPr="00952444">
        <w:rPr>
          <w:rFonts w:cstheme="minorHAnsi"/>
          <w:sz w:val="24"/>
          <w:szCs w:val="24"/>
        </w:rPr>
        <w:t xml:space="preserve">script in </w:t>
      </w:r>
      <w:r w:rsidR="00E4132E">
        <w:rPr>
          <w:rFonts w:cstheme="minorHAnsi"/>
          <w:sz w:val="24"/>
          <w:szCs w:val="24"/>
        </w:rPr>
        <w:t xml:space="preserve">the </w:t>
      </w:r>
      <w:r w:rsidR="007A6617" w:rsidRPr="00952444">
        <w:rPr>
          <w:rFonts w:cstheme="minorHAnsi"/>
          <w:sz w:val="24"/>
          <w:szCs w:val="24"/>
        </w:rPr>
        <w:t>pre</w:t>
      </w:r>
      <w:r w:rsidR="00E4132E">
        <w:rPr>
          <w:rFonts w:cstheme="minorHAnsi"/>
          <w:sz w:val="24"/>
          <w:szCs w:val="24"/>
        </w:rPr>
        <w:t xml:space="preserve">- </w:t>
      </w:r>
      <w:r w:rsidR="007A6617" w:rsidRPr="00952444">
        <w:rPr>
          <w:rFonts w:cstheme="minorHAnsi"/>
          <w:sz w:val="24"/>
          <w:szCs w:val="24"/>
        </w:rPr>
        <w:t>and early</w:t>
      </w:r>
      <w:r w:rsidR="00E4132E">
        <w:rPr>
          <w:rFonts w:cstheme="minorHAnsi"/>
          <w:sz w:val="24"/>
          <w:szCs w:val="24"/>
        </w:rPr>
        <w:t>-</w:t>
      </w:r>
      <w:r w:rsidR="007A6617" w:rsidRPr="00952444">
        <w:rPr>
          <w:rFonts w:cstheme="minorHAnsi"/>
          <w:sz w:val="24"/>
          <w:szCs w:val="24"/>
        </w:rPr>
        <w:t xml:space="preserve">dynastic </w:t>
      </w:r>
      <w:r w:rsidR="00656279" w:rsidRPr="00952444">
        <w:rPr>
          <w:rFonts w:cstheme="minorHAnsi"/>
          <w:sz w:val="24"/>
          <w:szCs w:val="24"/>
        </w:rPr>
        <w:t xml:space="preserve">era </w:t>
      </w:r>
      <w:r w:rsidR="007A6617" w:rsidRPr="00952444">
        <w:rPr>
          <w:rFonts w:cstheme="minorHAnsi"/>
          <w:sz w:val="24"/>
          <w:szCs w:val="24"/>
        </w:rPr>
        <w:t xml:space="preserve">exists in the tombs of </w:t>
      </w:r>
      <w:r w:rsidR="00410DA1" w:rsidRPr="00952444">
        <w:rPr>
          <w:rFonts w:cstheme="minorHAnsi"/>
          <w:sz w:val="24"/>
          <w:szCs w:val="24"/>
        </w:rPr>
        <w:t xml:space="preserve">the </w:t>
      </w:r>
      <w:r w:rsidR="00656279" w:rsidRPr="00952444">
        <w:rPr>
          <w:rFonts w:cstheme="minorHAnsi"/>
          <w:sz w:val="24"/>
          <w:szCs w:val="24"/>
        </w:rPr>
        <w:t>Egyptian pharaohs. The ‘Pyramid Texts’ can be dated to circa 2500 BCE, and</w:t>
      </w:r>
      <w:r w:rsidR="00821C82" w:rsidRPr="00952444">
        <w:rPr>
          <w:rFonts w:cstheme="minorHAnsi"/>
          <w:sz w:val="24"/>
          <w:szCs w:val="24"/>
        </w:rPr>
        <w:t xml:space="preserve"> “reflect not only an Egyptian vision of the afterlife but also the entire background of Old Kingdom religious and social structures” (</w:t>
      </w:r>
      <w:r w:rsidR="00943F04" w:rsidRPr="00952444">
        <w:rPr>
          <w:rFonts w:cstheme="minorHAnsi"/>
          <w:sz w:val="24"/>
          <w:szCs w:val="24"/>
        </w:rPr>
        <w:t xml:space="preserve">Allen, 2005). Because of these texts written upon the walls of the tombs of kings, historians and archaeologists can understand the chronology and the cultural importance of the items placed inside. The introduction of the script is thus extremely important for studying the emergence of towns and social complexity during the era. </w:t>
      </w:r>
    </w:p>
    <w:p w14:paraId="5C0643CF" w14:textId="79F4A001" w:rsidR="00943F04" w:rsidRPr="00952444" w:rsidRDefault="00943F04">
      <w:pPr>
        <w:rPr>
          <w:rFonts w:cstheme="minorHAnsi"/>
          <w:sz w:val="24"/>
          <w:szCs w:val="24"/>
        </w:rPr>
      </w:pPr>
      <w:r w:rsidRPr="00952444">
        <w:rPr>
          <w:rFonts w:cstheme="minorHAnsi"/>
          <w:sz w:val="24"/>
          <w:szCs w:val="24"/>
        </w:rPr>
        <w:t xml:space="preserve">However, </w:t>
      </w:r>
      <w:r w:rsidR="00FA34CB" w:rsidRPr="00952444">
        <w:rPr>
          <w:rFonts w:cstheme="minorHAnsi"/>
          <w:sz w:val="24"/>
          <w:szCs w:val="24"/>
        </w:rPr>
        <w:t xml:space="preserve">the idea of Childe’s that in order to become a civilised </w:t>
      </w:r>
      <w:r w:rsidR="002F722D" w:rsidRPr="00952444">
        <w:rPr>
          <w:rFonts w:cstheme="minorHAnsi"/>
          <w:sz w:val="24"/>
          <w:szCs w:val="24"/>
        </w:rPr>
        <w:t>society</w:t>
      </w:r>
      <w:r w:rsidR="00FA34CB" w:rsidRPr="00952444">
        <w:rPr>
          <w:rFonts w:cstheme="minorHAnsi"/>
          <w:sz w:val="24"/>
          <w:szCs w:val="24"/>
        </w:rPr>
        <w:t xml:space="preserve"> it was necessary for there to be a script or writing system, is in many ways derogatory to the intelligence of the societies that existed. </w:t>
      </w:r>
      <w:r w:rsidR="002F722D" w:rsidRPr="00952444">
        <w:rPr>
          <w:rFonts w:cstheme="minorHAnsi"/>
          <w:sz w:val="24"/>
          <w:szCs w:val="24"/>
        </w:rPr>
        <w:t>“The study of the correlation between the writing and records and hierarchy… shows that there are many societies with a developed hierarchy but without a written language” and as such “there is no reason to consider writing as an obligatory attitude of civilisation and state” (</w:t>
      </w:r>
      <w:proofErr w:type="spellStart"/>
      <w:r w:rsidR="002F722D" w:rsidRPr="00952444">
        <w:rPr>
          <w:rFonts w:cstheme="minorHAnsi"/>
          <w:sz w:val="24"/>
          <w:szCs w:val="24"/>
        </w:rPr>
        <w:t>Kradin</w:t>
      </w:r>
      <w:proofErr w:type="spellEnd"/>
      <w:r w:rsidR="002F722D" w:rsidRPr="00952444">
        <w:rPr>
          <w:rFonts w:cstheme="minorHAnsi"/>
          <w:sz w:val="24"/>
          <w:szCs w:val="24"/>
        </w:rPr>
        <w:t xml:space="preserve">, 2006). The expectation of there being a writing system is based upon our modern-day interpretation, and because it is one of the leading reasons why we, as historians, can discover so much about the ancient world. It is entirely possible that other societies did indeed develop, just without the records and written communication that Egypt exhibited. </w:t>
      </w:r>
    </w:p>
    <w:p w14:paraId="0FCB0B3F" w14:textId="0005A54F" w:rsidR="00C81A49" w:rsidRPr="00952444" w:rsidRDefault="008E0881">
      <w:pPr>
        <w:rPr>
          <w:rFonts w:cstheme="minorHAnsi"/>
          <w:sz w:val="24"/>
          <w:szCs w:val="24"/>
        </w:rPr>
      </w:pPr>
      <w:r w:rsidRPr="00952444">
        <w:rPr>
          <w:rFonts w:cstheme="minorHAnsi"/>
          <w:sz w:val="24"/>
          <w:szCs w:val="24"/>
        </w:rPr>
        <w:t xml:space="preserve">Overall, Childe’s criteria for what makes a civilisation can be extremely useful – he clearly states ten points which, whilst </w:t>
      </w:r>
      <w:r w:rsidR="001E5A83" w:rsidRPr="00952444">
        <w:rPr>
          <w:rFonts w:cstheme="minorHAnsi"/>
          <w:sz w:val="24"/>
          <w:szCs w:val="24"/>
        </w:rPr>
        <w:t>limiting the societies to an extremely reductive and two-dimensional state of being, does also inhabit a lot of the major societies which were beginning to be understood during the twentieth century. However, Childe’s tick list criteria also fails to explain individual peculiarities in the different regions and delegates many communities to just being ‘savages’</w:t>
      </w:r>
      <w:r w:rsidR="00E4132E">
        <w:rPr>
          <w:rFonts w:cstheme="minorHAnsi"/>
          <w:sz w:val="24"/>
          <w:szCs w:val="24"/>
        </w:rPr>
        <w:t xml:space="preserve">, thereby </w:t>
      </w:r>
      <w:r w:rsidR="001E5A83" w:rsidRPr="00952444">
        <w:rPr>
          <w:rFonts w:cstheme="minorHAnsi"/>
          <w:sz w:val="24"/>
          <w:szCs w:val="24"/>
        </w:rPr>
        <w:t>refus</w:t>
      </w:r>
      <w:r w:rsidR="00E4132E">
        <w:rPr>
          <w:rFonts w:cstheme="minorHAnsi"/>
          <w:sz w:val="24"/>
          <w:szCs w:val="24"/>
        </w:rPr>
        <w:t>ing</w:t>
      </w:r>
      <w:r w:rsidR="001E5A83" w:rsidRPr="00952444">
        <w:rPr>
          <w:rFonts w:cstheme="minorHAnsi"/>
          <w:sz w:val="24"/>
          <w:szCs w:val="24"/>
        </w:rPr>
        <w:t xml:space="preserve"> to recognise each group for their singularity and individual merits.  Instead, he tries to investigate the whole of the ancient world, in just a </w:t>
      </w:r>
      <w:r w:rsidR="00E4132E" w:rsidRPr="00952444">
        <w:rPr>
          <w:rFonts w:cstheme="minorHAnsi"/>
          <w:sz w:val="24"/>
          <w:szCs w:val="24"/>
        </w:rPr>
        <w:t>seventeen-page</w:t>
      </w:r>
      <w:r w:rsidR="001E5A83" w:rsidRPr="00952444">
        <w:rPr>
          <w:rFonts w:cstheme="minorHAnsi"/>
          <w:sz w:val="24"/>
          <w:szCs w:val="24"/>
        </w:rPr>
        <w:t xml:space="preserve"> article, which needless to say, falls short on most aspects. </w:t>
      </w:r>
      <w:r w:rsidR="008D71C6" w:rsidRPr="00952444">
        <w:rPr>
          <w:rFonts w:cstheme="minorHAnsi"/>
          <w:sz w:val="24"/>
          <w:szCs w:val="24"/>
        </w:rPr>
        <w:t xml:space="preserve">As Anthony </w:t>
      </w:r>
      <w:proofErr w:type="spellStart"/>
      <w:r w:rsidR="008D71C6" w:rsidRPr="00952444">
        <w:rPr>
          <w:rFonts w:cstheme="minorHAnsi"/>
          <w:sz w:val="24"/>
          <w:szCs w:val="24"/>
        </w:rPr>
        <w:t>Sherrat</w:t>
      </w:r>
      <w:proofErr w:type="spellEnd"/>
      <w:r w:rsidR="008D71C6" w:rsidRPr="00952444">
        <w:rPr>
          <w:rFonts w:cstheme="minorHAnsi"/>
          <w:sz w:val="24"/>
          <w:szCs w:val="24"/>
        </w:rPr>
        <w:t xml:space="preserve"> states “Childe helped take archaeology out of its childhood… but now himself looks childish” (</w:t>
      </w:r>
      <w:proofErr w:type="spellStart"/>
      <w:r w:rsidR="008D71C6" w:rsidRPr="00952444">
        <w:rPr>
          <w:rFonts w:cstheme="minorHAnsi"/>
          <w:sz w:val="24"/>
          <w:szCs w:val="24"/>
        </w:rPr>
        <w:t>Sherrat</w:t>
      </w:r>
      <w:proofErr w:type="spellEnd"/>
      <w:r w:rsidR="008D71C6" w:rsidRPr="00952444">
        <w:rPr>
          <w:rFonts w:cstheme="minorHAnsi"/>
          <w:sz w:val="24"/>
          <w:szCs w:val="24"/>
        </w:rPr>
        <w:t xml:space="preserve">, 1997). </w:t>
      </w:r>
      <w:r w:rsidR="00C4105D" w:rsidRPr="00952444">
        <w:rPr>
          <w:rFonts w:cstheme="minorHAnsi"/>
          <w:sz w:val="24"/>
          <w:szCs w:val="24"/>
        </w:rPr>
        <w:t xml:space="preserve">V. </w:t>
      </w:r>
      <w:r w:rsidR="008D71C6" w:rsidRPr="00952444">
        <w:rPr>
          <w:rFonts w:cstheme="minorHAnsi"/>
          <w:sz w:val="24"/>
          <w:szCs w:val="24"/>
        </w:rPr>
        <w:t>Gordon</w:t>
      </w:r>
      <w:r w:rsidR="00C4105D" w:rsidRPr="00952444">
        <w:rPr>
          <w:rFonts w:cstheme="minorHAnsi"/>
          <w:sz w:val="24"/>
          <w:szCs w:val="24"/>
        </w:rPr>
        <w:t xml:space="preserve"> </w:t>
      </w:r>
      <w:r w:rsidR="008D71C6" w:rsidRPr="00952444">
        <w:rPr>
          <w:rFonts w:cstheme="minorHAnsi"/>
          <w:sz w:val="24"/>
          <w:szCs w:val="24"/>
        </w:rPr>
        <w:t xml:space="preserve">Childe’s work can thus be useful when first </w:t>
      </w:r>
      <w:r w:rsidR="008D71C6" w:rsidRPr="00952444">
        <w:rPr>
          <w:rFonts w:cstheme="minorHAnsi"/>
          <w:sz w:val="24"/>
          <w:szCs w:val="24"/>
        </w:rPr>
        <w:lastRenderedPageBreak/>
        <w:t xml:space="preserve">investigating social complexity, but with modern archaeology and evidence, can hardly be trusted as a worthy source upon it. </w:t>
      </w:r>
    </w:p>
    <w:p w14:paraId="3ACFE221" w14:textId="77777777" w:rsidR="00952444" w:rsidRPr="00952444" w:rsidRDefault="00952444">
      <w:pPr>
        <w:rPr>
          <w:rFonts w:cstheme="minorHAnsi"/>
          <w:sz w:val="24"/>
          <w:szCs w:val="24"/>
        </w:rPr>
      </w:pPr>
    </w:p>
    <w:p w14:paraId="5347B06A" w14:textId="77777777" w:rsidR="00952444" w:rsidRPr="00952444" w:rsidRDefault="00952444">
      <w:pPr>
        <w:rPr>
          <w:rFonts w:cstheme="minorHAnsi"/>
          <w:sz w:val="24"/>
          <w:szCs w:val="24"/>
        </w:rPr>
      </w:pPr>
      <w:r w:rsidRPr="00952444">
        <w:rPr>
          <w:rFonts w:cstheme="minorHAnsi"/>
          <w:sz w:val="24"/>
          <w:szCs w:val="24"/>
        </w:rPr>
        <w:t>Allen, J., 2005. </w:t>
      </w:r>
      <w:r w:rsidRPr="00952444">
        <w:rPr>
          <w:rFonts w:cstheme="minorHAnsi"/>
          <w:i/>
          <w:iCs/>
          <w:sz w:val="24"/>
          <w:szCs w:val="24"/>
        </w:rPr>
        <w:t>The Ancient Egyptian Pyramid Texts</w:t>
      </w:r>
      <w:r w:rsidRPr="00952444">
        <w:rPr>
          <w:rFonts w:cstheme="minorHAnsi"/>
          <w:sz w:val="24"/>
          <w:szCs w:val="24"/>
        </w:rPr>
        <w:t>. Atlanta: Society of Biblical Literature.</w:t>
      </w:r>
    </w:p>
    <w:p w14:paraId="0047ABAD" w14:textId="77777777" w:rsidR="00952444" w:rsidRPr="00952444" w:rsidRDefault="00952444">
      <w:pPr>
        <w:rPr>
          <w:rFonts w:cstheme="minorHAnsi"/>
          <w:sz w:val="24"/>
          <w:szCs w:val="24"/>
        </w:rPr>
      </w:pPr>
      <w:r w:rsidRPr="00952444">
        <w:rPr>
          <w:rFonts w:cstheme="minorHAnsi"/>
          <w:sz w:val="24"/>
          <w:szCs w:val="24"/>
        </w:rPr>
        <w:t>Childe, V., 1950. The Urban Revolution. </w:t>
      </w:r>
      <w:r w:rsidRPr="00952444">
        <w:rPr>
          <w:rFonts w:cstheme="minorHAnsi"/>
          <w:i/>
          <w:iCs/>
          <w:sz w:val="24"/>
          <w:szCs w:val="24"/>
        </w:rPr>
        <w:t>Town Planning Review</w:t>
      </w:r>
      <w:r w:rsidRPr="00952444">
        <w:rPr>
          <w:rFonts w:cstheme="minorHAnsi"/>
          <w:sz w:val="24"/>
          <w:szCs w:val="24"/>
        </w:rPr>
        <w:t>, 21(1), pp.3-17.</w:t>
      </w:r>
    </w:p>
    <w:p w14:paraId="5891C52B" w14:textId="77777777" w:rsidR="00952444" w:rsidRPr="00952444" w:rsidRDefault="00952444">
      <w:pPr>
        <w:rPr>
          <w:rFonts w:cstheme="minorHAnsi"/>
          <w:color w:val="000000"/>
          <w:sz w:val="24"/>
          <w:szCs w:val="24"/>
          <w:shd w:val="clear" w:color="auto" w:fill="FFFFFF"/>
        </w:rPr>
      </w:pPr>
      <w:r w:rsidRPr="00952444">
        <w:rPr>
          <w:rFonts w:cstheme="minorHAnsi"/>
          <w:color w:val="000000"/>
          <w:sz w:val="24"/>
          <w:szCs w:val="24"/>
          <w:shd w:val="clear" w:color="auto" w:fill="FFFFFF"/>
        </w:rPr>
        <w:t xml:space="preserve">Freeman, C., 1996. </w:t>
      </w:r>
      <w:r w:rsidRPr="00952444">
        <w:rPr>
          <w:rFonts w:cstheme="minorHAnsi"/>
          <w:i/>
          <w:iCs/>
          <w:color w:val="000000"/>
          <w:sz w:val="24"/>
          <w:szCs w:val="24"/>
          <w:shd w:val="clear" w:color="auto" w:fill="FFFFFF"/>
        </w:rPr>
        <w:t xml:space="preserve">Egypt, Greece and Rome: Civilisations of the Ancient </w:t>
      </w:r>
      <w:proofErr w:type="spellStart"/>
      <w:r w:rsidRPr="00952444">
        <w:rPr>
          <w:rFonts w:cstheme="minorHAnsi"/>
          <w:i/>
          <w:iCs/>
          <w:color w:val="000000"/>
          <w:sz w:val="24"/>
          <w:szCs w:val="24"/>
          <w:shd w:val="clear" w:color="auto" w:fill="FFFFFF"/>
        </w:rPr>
        <w:t>Meditteranean</w:t>
      </w:r>
      <w:proofErr w:type="spellEnd"/>
      <w:r w:rsidRPr="00952444">
        <w:rPr>
          <w:rFonts w:cstheme="minorHAnsi"/>
          <w:i/>
          <w:iCs/>
          <w:color w:val="000000"/>
          <w:sz w:val="24"/>
          <w:szCs w:val="24"/>
          <w:shd w:val="clear" w:color="auto" w:fill="FFFFFF"/>
        </w:rPr>
        <w:t xml:space="preserve">. </w:t>
      </w:r>
      <w:r w:rsidRPr="00952444">
        <w:rPr>
          <w:rFonts w:cstheme="minorHAnsi"/>
          <w:color w:val="000000"/>
          <w:sz w:val="24"/>
          <w:szCs w:val="24"/>
          <w:shd w:val="clear" w:color="auto" w:fill="FFFFFF"/>
        </w:rPr>
        <w:t>New York: Oxford University Press</w:t>
      </w:r>
    </w:p>
    <w:p w14:paraId="6B45DABC" w14:textId="77777777" w:rsidR="00952444" w:rsidRPr="00952444" w:rsidRDefault="00952444">
      <w:pPr>
        <w:rPr>
          <w:rFonts w:cstheme="minorHAnsi"/>
          <w:sz w:val="24"/>
          <w:szCs w:val="24"/>
        </w:rPr>
      </w:pPr>
      <w:proofErr w:type="spellStart"/>
      <w:r w:rsidRPr="00952444">
        <w:rPr>
          <w:rFonts w:cstheme="minorHAnsi"/>
          <w:sz w:val="24"/>
          <w:szCs w:val="24"/>
        </w:rPr>
        <w:t>Inkram</w:t>
      </w:r>
      <w:proofErr w:type="spellEnd"/>
      <w:r w:rsidRPr="00952444">
        <w:rPr>
          <w:rFonts w:cstheme="minorHAnsi"/>
          <w:sz w:val="24"/>
          <w:szCs w:val="24"/>
        </w:rPr>
        <w:t>, S., 2015. </w:t>
      </w:r>
      <w:r w:rsidRPr="00952444">
        <w:rPr>
          <w:rFonts w:cstheme="minorHAnsi"/>
          <w:i/>
          <w:iCs/>
          <w:sz w:val="24"/>
          <w:szCs w:val="24"/>
        </w:rPr>
        <w:t xml:space="preserve">Death </w:t>
      </w:r>
      <w:proofErr w:type="gramStart"/>
      <w:r w:rsidRPr="00952444">
        <w:rPr>
          <w:rFonts w:cstheme="minorHAnsi"/>
          <w:i/>
          <w:iCs/>
          <w:sz w:val="24"/>
          <w:szCs w:val="24"/>
        </w:rPr>
        <w:t>And</w:t>
      </w:r>
      <w:proofErr w:type="gramEnd"/>
      <w:r w:rsidRPr="00952444">
        <w:rPr>
          <w:rFonts w:cstheme="minorHAnsi"/>
          <w:i/>
          <w:iCs/>
          <w:sz w:val="24"/>
          <w:szCs w:val="24"/>
        </w:rPr>
        <w:t xml:space="preserve"> Burial In Ancient Egypt</w:t>
      </w:r>
      <w:r w:rsidRPr="00952444">
        <w:rPr>
          <w:rFonts w:cstheme="minorHAnsi"/>
          <w:sz w:val="24"/>
          <w:szCs w:val="24"/>
        </w:rPr>
        <w:t>. Cairo: The American University in Cairo Press.</w:t>
      </w:r>
    </w:p>
    <w:p w14:paraId="71E55DE6" w14:textId="77777777" w:rsidR="00952444" w:rsidRPr="00952444" w:rsidRDefault="00952444">
      <w:pPr>
        <w:rPr>
          <w:rFonts w:cstheme="minorHAnsi"/>
          <w:color w:val="000000"/>
          <w:sz w:val="24"/>
          <w:szCs w:val="24"/>
          <w:shd w:val="clear" w:color="auto" w:fill="FFFFFF"/>
        </w:rPr>
      </w:pPr>
      <w:r w:rsidRPr="00952444">
        <w:rPr>
          <w:rFonts w:cstheme="minorHAnsi"/>
          <w:color w:val="000000"/>
          <w:sz w:val="24"/>
          <w:szCs w:val="24"/>
          <w:shd w:val="clear" w:color="auto" w:fill="FFFFFF"/>
        </w:rPr>
        <w:t xml:space="preserve">Morgan, L. H., 1877. </w:t>
      </w:r>
      <w:r w:rsidRPr="00952444">
        <w:rPr>
          <w:rFonts w:cstheme="minorHAnsi"/>
          <w:i/>
          <w:iCs/>
          <w:color w:val="000000"/>
          <w:sz w:val="24"/>
          <w:szCs w:val="24"/>
          <w:shd w:val="clear" w:color="auto" w:fill="FFFFFF"/>
        </w:rPr>
        <w:t xml:space="preserve">Ancient Society. </w:t>
      </w:r>
      <w:r w:rsidRPr="00952444">
        <w:rPr>
          <w:rFonts w:cstheme="minorHAnsi"/>
          <w:color w:val="000000"/>
          <w:sz w:val="24"/>
          <w:szCs w:val="24"/>
          <w:shd w:val="clear" w:color="auto" w:fill="FFFFFF"/>
        </w:rPr>
        <w:t>New York: Henry Holt and Company</w:t>
      </w:r>
    </w:p>
    <w:p w14:paraId="07502749" w14:textId="77777777" w:rsidR="00952444" w:rsidRPr="00952444" w:rsidRDefault="00952444">
      <w:pPr>
        <w:rPr>
          <w:rFonts w:cstheme="minorHAnsi"/>
          <w:sz w:val="24"/>
          <w:szCs w:val="24"/>
        </w:rPr>
      </w:pPr>
      <w:proofErr w:type="spellStart"/>
      <w:r w:rsidRPr="00952444">
        <w:rPr>
          <w:rFonts w:cstheme="minorHAnsi"/>
          <w:color w:val="000000"/>
          <w:sz w:val="24"/>
          <w:szCs w:val="24"/>
          <w:shd w:val="clear" w:color="auto" w:fill="FFFFFF"/>
        </w:rPr>
        <w:t>Ravetz</w:t>
      </w:r>
      <w:proofErr w:type="spellEnd"/>
      <w:r w:rsidRPr="00952444">
        <w:rPr>
          <w:rFonts w:cstheme="minorHAnsi"/>
          <w:color w:val="000000"/>
          <w:sz w:val="24"/>
          <w:szCs w:val="24"/>
          <w:shd w:val="clear" w:color="auto" w:fill="FFFFFF"/>
        </w:rPr>
        <w:t xml:space="preserve">, A., 1959. A Note on V. G. Childe. </w:t>
      </w:r>
      <w:r w:rsidRPr="00952444">
        <w:rPr>
          <w:rFonts w:cstheme="minorHAnsi"/>
          <w:i/>
          <w:iCs/>
          <w:color w:val="000000"/>
          <w:sz w:val="24"/>
          <w:szCs w:val="24"/>
          <w:shd w:val="clear" w:color="auto" w:fill="FFFFFF"/>
        </w:rPr>
        <w:t xml:space="preserve">The New Reasoner, </w:t>
      </w:r>
      <w:r w:rsidRPr="00952444">
        <w:rPr>
          <w:rFonts w:cstheme="minorHAnsi"/>
          <w:color w:val="000000"/>
          <w:sz w:val="24"/>
          <w:szCs w:val="24"/>
          <w:shd w:val="clear" w:color="auto" w:fill="FFFFFF"/>
        </w:rPr>
        <w:t>10, pp.57-59</w:t>
      </w:r>
    </w:p>
    <w:p w14:paraId="28FFD032" w14:textId="77777777" w:rsidR="00952444" w:rsidRPr="00952444" w:rsidRDefault="00952444">
      <w:pPr>
        <w:rPr>
          <w:rFonts w:cstheme="minorHAnsi"/>
          <w:color w:val="000000"/>
          <w:sz w:val="24"/>
          <w:szCs w:val="24"/>
          <w:shd w:val="clear" w:color="auto" w:fill="FFFFFF"/>
        </w:rPr>
      </w:pPr>
      <w:proofErr w:type="spellStart"/>
      <w:r>
        <w:rPr>
          <w:rFonts w:cstheme="minorHAnsi"/>
          <w:color w:val="000000"/>
          <w:sz w:val="24"/>
          <w:szCs w:val="24"/>
          <w:shd w:val="clear" w:color="auto" w:fill="FFFFFF"/>
        </w:rPr>
        <w:t>Sherrat</w:t>
      </w:r>
      <w:proofErr w:type="spellEnd"/>
      <w:r>
        <w:rPr>
          <w:rFonts w:cstheme="minorHAnsi"/>
          <w:color w:val="000000"/>
          <w:sz w:val="24"/>
          <w:szCs w:val="24"/>
          <w:shd w:val="clear" w:color="auto" w:fill="FFFFFF"/>
        </w:rPr>
        <w:t xml:space="preserve">, A. 1989. </w:t>
      </w:r>
      <w:r w:rsidRPr="00952444">
        <w:rPr>
          <w:rFonts w:cstheme="minorHAnsi"/>
          <w:color w:val="000000"/>
          <w:sz w:val="24"/>
          <w:szCs w:val="24"/>
          <w:shd w:val="clear" w:color="auto" w:fill="FFFFFF"/>
        </w:rPr>
        <w:t>V.</w:t>
      </w:r>
      <w:r w:rsidRPr="00952444">
        <w:rPr>
          <w:rFonts w:cstheme="minorHAnsi"/>
          <w:b/>
          <w:bCs/>
          <w:color w:val="000000"/>
          <w:sz w:val="24"/>
          <w:szCs w:val="24"/>
          <w:shd w:val="clear" w:color="auto" w:fill="FFFFFF"/>
        </w:rPr>
        <w:t xml:space="preserve"> </w:t>
      </w:r>
      <w:r w:rsidRPr="00952444">
        <w:rPr>
          <w:rFonts w:cstheme="minorHAnsi"/>
          <w:color w:val="000000"/>
          <w:sz w:val="24"/>
          <w:szCs w:val="24"/>
          <w:shd w:val="clear" w:color="auto" w:fill="FFFFFF"/>
        </w:rPr>
        <w:t>Gordon Childe: Archaeology and Intellectual History</w:t>
      </w:r>
      <w:r>
        <w:rPr>
          <w:rFonts w:cstheme="minorHAnsi"/>
          <w:color w:val="000000"/>
          <w:sz w:val="24"/>
          <w:szCs w:val="24"/>
          <w:shd w:val="clear" w:color="auto" w:fill="FFFFFF"/>
        </w:rPr>
        <w:t xml:space="preserve">. </w:t>
      </w:r>
      <w:r>
        <w:rPr>
          <w:rFonts w:cstheme="minorHAnsi"/>
          <w:i/>
          <w:iCs/>
          <w:color w:val="000000"/>
          <w:sz w:val="24"/>
          <w:szCs w:val="24"/>
          <w:shd w:val="clear" w:color="auto" w:fill="FFFFFF"/>
        </w:rPr>
        <w:t xml:space="preserve">Past and Present, </w:t>
      </w:r>
      <w:r>
        <w:rPr>
          <w:rFonts w:cstheme="minorHAnsi"/>
          <w:color w:val="000000"/>
          <w:sz w:val="24"/>
          <w:szCs w:val="24"/>
          <w:shd w:val="clear" w:color="auto" w:fill="FFFFFF"/>
        </w:rPr>
        <w:t>125, pp.151-160</w:t>
      </w:r>
    </w:p>
    <w:p w14:paraId="78E2DC3C" w14:textId="77777777" w:rsidR="00952444" w:rsidRPr="00952444" w:rsidRDefault="00952444">
      <w:pPr>
        <w:rPr>
          <w:rFonts w:cstheme="minorHAnsi"/>
          <w:color w:val="000000"/>
          <w:sz w:val="24"/>
          <w:szCs w:val="24"/>
          <w:shd w:val="clear" w:color="auto" w:fill="FFFFFF"/>
        </w:rPr>
      </w:pPr>
      <w:proofErr w:type="spellStart"/>
      <w:r w:rsidRPr="00952444">
        <w:rPr>
          <w:rFonts w:cstheme="minorHAnsi"/>
          <w:color w:val="000000"/>
          <w:sz w:val="24"/>
          <w:szCs w:val="24"/>
          <w:shd w:val="clear" w:color="auto" w:fill="FFFFFF"/>
        </w:rPr>
        <w:t>Sherrat</w:t>
      </w:r>
      <w:proofErr w:type="spellEnd"/>
      <w:r w:rsidRPr="00952444">
        <w:rPr>
          <w:rFonts w:cstheme="minorHAnsi"/>
          <w:color w:val="000000"/>
          <w:sz w:val="24"/>
          <w:szCs w:val="24"/>
          <w:shd w:val="clear" w:color="auto" w:fill="FFFFFF"/>
        </w:rPr>
        <w:t>, A., 1997. </w:t>
      </w:r>
      <w:r w:rsidRPr="00952444">
        <w:rPr>
          <w:rFonts w:cstheme="minorHAnsi"/>
          <w:i/>
          <w:iCs/>
          <w:color w:val="000000"/>
          <w:sz w:val="24"/>
          <w:szCs w:val="24"/>
          <w:shd w:val="clear" w:color="auto" w:fill="FFFFFF"/>
        </w:rPr>
        <w:t xml:space="preserve">Economy </w:t>
      </w:r>
      <w:proofErr w:type="gramStart"/>
      <w:r w:rsidRPr="00952444">
        <w:rPr>
          <w:rFonts w:cstheme="minorHAnsi"/>
          <w:i/>
          <w:iCs/>
          <w:color w:val="000000"/>
          <w:sz w:val="24"/>
          <w:szCs w:val="24"/>
          <w:shd w:val="clear" w:color="auto" w:fill="FFFFFF"/>
        </w:rPr>
        <w:t>And</w:t>
      </w:r>
      <w:proofErr w:type="gramEnd"/>
      <w:r w:rsidRPr="00952444">
        <w:rPr>
          <w:rFonts w:cstheme="minorHAnsi"/>
          <w:i/>
          <w:iCs/>
          <w:color w:val="000000"/>
          <w:sz w:val="24"/>
          <w:szCs w:val="24"/>
          <w:shd w:val="clear" w:color="auto" w:fill="FFFFFF"/>
        </w:rPr>
        <w:t xml:space="preserve"> Society In Prehistoric Europe</w:t>
      </w:r>
      <w:r w:rsidRPr="00952444">
        <w:rPr>
          <w:rFonts w:cstheme="minorHAnsi"/>
          <w:color w:val="000000"/>
          <w:sz w:val="24"/>
          <w:szCs w:val="24"/>
          <w:shd w:val="clear" w:color="auto" w:fill="FFFFFF"/>
        </w:rPr>
        <w:t>. Edinburgh: Edinburgh University Press, pp.490-505.</w:t>
      </w:r>
      <w:bookmarkStart w:id="0" w:name="_GoBack"/>
      <w:bookmarkEnd w:id="0"/>
    </w:p>
    <w:sectPr w:rsidR="00952444" w:rsidRPr="0095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B4E"/>
    <w:rsid w:val="0000025D"/>
    <w:rsid w:val="00007658"/>
    <w:rsid w:val="00034188"/>
    <w:rsid w:val="000A4DCE"/>
    <w:rsid w:val="000A7CB0"/>
    <w:rsid w:val="000E4597"/>
    <w:rsid w:val="001B1310"/>
    <w:rsid w:val="001E598F"/>
    <w:rsid w:val="001E5A83"/>
    <w:rsid w:val="002362A5"/>
    <w:rsid w:val="00296EB6"/>
    <w:rsid w:val="002C20F4"/>
    <w:rsid w:val="002F722D"/>
    <w:rsid w:val="00320714"/>
    <w:rsid w:val="003A6790"/>
    <w:rsid w:val="00404296"/>
    <w:rsid w:val="00406E45"/>
    <w:rsid w:val="00410DA1"/>
    <w:rsid w:val="004C7CC7"/>
    <w:rsid w:val="00504492"/>
    <w:rsid w:val="00656279"/>
    <w:rsid w:val="006643E5"/>
    <w:rsid w:val="006B51FD"/>
    <w:rsid w:val="006F7B2C"/>
    <w:rsid w:val="007A6617"/>
    <w:rsid w:val="00821C82"/>
    <w:rsid w:val="008B553A"/>
    <w:rsid w:val="008D71C6"/>
    <w:rsid w:val="008E0881"/>
    <w:rsid w:val="00943F04"/>
    <w:rsid w:val="00952444"/>
    <w:rsid w:val="009B1FEC"/>
    <w:rsid w:val="00A40876"/>
    <w:rsid w:val="00AF3E76"/>
    <w:rsid w:val="00B44C68"/>
    <w:rsid w:val="00BB3B4E"/>
    <w:rsid w:val="00BD0CBF"/>
    <w:rsid w:val="00C1230B"/>
    <w:rsid w:val="00C4105D"/>
    <w:rsid w:val="00C6221A"/>
    <w:rsid w:val="00C81A49"/>
    <w:rsid w:val="00CE1EFB"/>
    <w:rsid w:val="00CE45B9"/>
    <w:rsid w:val="00D52F5B"/>
    <w:rsid w:val="00D70ECB"/>
    <w:rsid w:val="00DA197D"/>
    <w:rsid w:val="00E4132E"/>
    <w:rsid w:val="00F9280E"/>
    <w:rsid w:val="00FA34CB"/>
    <w:rsid w:val="00FE1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1507F"/>
  <w15:chartTrackingRefBased/>
  <w15:docId w15:val="{F5864955-6F79-450B-8EB8-57092FFAD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izzie hendricks</dc:creator>
  <cp:keywords/>
  <dc:description/>
  <cp:lastModifiedBy>izzie hendricks</cp:lastModifiedBy>
  <cp:revision>5</cp:revision>
  <dcterms:created xsi:type="dcterms:W3CDTF">2020-04-29T18:08:00Z</dcterms:created>
  <dcterms:modified xsi:type="dcterms:W3CDTF">2020-04-29T22:29:00Z</dcterms:modified>
</cp:coreProperties>
</file>