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F7BAAB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3511">
              <w:rPr>
                <w:rFonts w:ascii="Times New Roman" w:hAnsi="Times New Roman" w:cs="Times New Roman"/>
                <w:b/>
                <w:color w:val="auto"/>
                <w:sz w:val="48"/>
              </w:rPr>
              <w:t>Jordan Jackson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7C62A1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F3511">
              <w:rPr>
                <w:rFonts w:ascii="Times New Roman" w:hAnsi="Times New Roman" w:cs="Times New Roman"/>
                <w:b/>
                <w:color w:val="auto"/>
                <w:sz w:val="48"/>
              </w:rPr>
              <w:t xml:space="preserve"> Jordan.Jackson@swansea.gov.uk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201F2A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F3511">
              <w:rPr>
                <w:rFonts w:ascii="Times New Roman" w:hAnsi="Times New Roman" w:cs="Times New Roman"/>
                <w:b/>
                <w:color w:val="auto"/>
                <w:sz w:val="48"/>
              </w:rPr>
              <w:t xml:space="preserve">             </w:t>
            </w:r>
            <w:r w:rsidR="005F3511">
              <w:rPr>
                <w:rFonts w:ascii="Times New Roman" w:hAnsi="Times New Roman" w:cs="Times New Roman"/>
                <w:b/>
                <w:bCs/>
                <w:sz w:val="48"/>
                <w:szCs w:val="48"/>
              </w:rPr>
              <w:t>0451139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37B08A31" w:rsidR="00FC0334" w:rsidRPr="002D3C2F" w:rsidRDefault="00B044D7" w:rsidP="002D3C2F">
            <w:pPr>
              <w:rPr>
                <w:sz w:val="22"/>
                <w:szCs w:val="22"/>
              </w:rPr>
            </w:pPr>
            <w:r w:rsidRPr="002D3C2F">
              <w:rPr>
                <w:sz w:val="22"/>
                <w:szCs w:val="22"/>
              </w:rPr>
              <w:t>In the UK, an adult is generally defined as someone aged 18 or over (The Fostering Network). In Wales, adult safeguarding is mainly guided by the Social Services and Well-being (Wales) Act 2014 (SSWBA), which sets out the legal duties of local authorities, health boards, and other agencies in supporting and protecting adults with care and support needs.</w:t>
            </w:r>
            <w:r w:rsidRPr="002D3C2F">
              <w:rPr>
                <w:sz w:val="22"/>
                <w:szCs w:val="22"/>
              </w:rPr>
              <w:br/>
            </w:r>
            <w:r w:rsidRPr="002D3C2F">
              <w:rPr>
                <w:sz w:val="22"/>
                <w:szCs w:val="22"/>
              </w:rPr>
              <w:br/>
              <w:t>Part 7, Section 126 of the SSWBA defines an adult at risk as someone who is experiencing, or is at risk of, abuse or neglect; has needs for care and support (whether or not those needs are being met); and, because of those needs, is unable to protect themselves from the abuse or neglect or the risk of it.</w:t>
            </w:r>
            <w:r w:rsidRPr="002D3C2F">
              <w:rPr>
                <w:sz w:val="22"/>
                <w:szCs w:val="22"/>
              </w:rPr>
              <w:br/>
            </w:r>
            <w:r w:rsidRPr="002D3C2F">
              <w:rPr>
                <w:sz w:val="22"/>
                <w:szCs w:val="22"/>
              </w:rPr>
              <w:br/>
              <w:t>The Act recognises different types of abuse, including emotional, physical, financial, neglect, and sexual abuse. It also outlines key safeguarding principles: empowerment, prevention, protection, and proportionality. These principles aim to promote the individual’s autonomy and self-determination through voice, choice, and control in any safeguarding enquiry or intervention.</w:t>
            </w:r>
            <w:r w:rsidRPr="002D3C2F">
              <w:rPr>
                <w:sz w:val="22"/>
                <w:szCs w:val="22"/>
              </w:rPr>
              <w:br/>
            </w:r>
            <w:r w:rsidRPr="002D3C2F">
              <w:rPr>
                <w:sz w:val="22"/>
                <w:szCs w:val="22"/>
              </w:rPr>
              <w:br/>
              <w:t>The Welsh Government’s “Working Together to Safeguard People” guidance sets out expectations for safeguarding across all sectors. It highlights that safeguarding is everyone’s responsibility and applies to individuals, groups, and organisations that work with children and adults at risk. The Wales Safeguarding Procedures support this by providing clear guidance for professionals and multi-agency partners on how to respond to concerns.</w:t>
            </w:r>
            <w:r w:rsidRPr="002D3C2F">
              <w:rPr>
                <w:sz w:val="22"/>
                <w:szCs w:val="22"/>
              </w:rPr>
              <w:br/>
            </w:r>
            <w:r w:rsidRPr="002D3C2F">
              <w:rPr>
                <w:sz w:val="22"/>
                <w:szCs w:val="22"/>
              </w:rPr>
              <w:br/>
              <w:t>Sections 134 and 135 of the SSWBA established regional safeguarding boards across Wales. These boards are responsible for safeguarding both children and adults in their areas and for working to prevent abuse and neglect. If a practitioner is unable to speak with an adult at risk due to suspected abuse, neglect, or coercion, the local authority can apply for an Adult Protection and Support Order (APSO) under Section 127 to ensure the adult’s safety.</w:t>
            </w:r>
            <w:r w:rsidRPr="002D3C2F">
              <w:rPr>
                <w:sz w:val="22"/>
                <w:szCs w:val="22"/>
              </w:rPr>
              <w:br/>
            </w:r>
            <w:r w:rsidRPr="002D3C2F">
              <w:rPr>
                <w:sz w:val="22"/>
                <w:szCs w:val="22"/>
              </w:rPr>
              <w:br/>
              <w:t>Practitioners should aim to seek consent from an adult where possible, but the best interests of the adult at risk must be the overriding consideration when deciding whether to report a concern.</w:t>
            </w:r>
            <w:r w:rsidRPr="002D3C2F">
              <w:rPr>
                <w:sz w:val="22"/>
                <w:szCs w:val="22"/>
              </w:rPr>
              <w:br/>
            </w:r>
            <w:r w:rsidRPr="002D3C2F">
              <w:rPr>
                <w:sz w:val="22"/>
                <w:szCs w:val="22"/>
              </w:rPr>
              <w:br/>
              <w:t xml:space="preserve">The Mental Capacity Act 2005 (MCA) is also important in safeguarding. It is based on five core </w:t>
            </w:r>
            <w:r w:rsidRPr="002D3C2F">
              <w:rPr>
                <w:sz w:val="22"/>
                <w:szCs w:val="22"/>
              </w:rPr>
              <w:lastRenderedPageBreak/>
              <w:t xml:space="preserve">principles and states that everyone is presumed to have capacity to make their own decisions unless proven otherwise. Building on this, the MCA supports decision-making for adults who may struggle to make informed choices. Section 2 of the Act explains that a person lacks capacity if they are unable to </w:t>
            </w:r>
            <w:proofErr w:type="gramStart"/>
            <w:r w:rsidRPr="002D3C2F">
              <w:rPr>
                <w:sz w:val="22"/>
                <w:szCs w:val="22"/>
              </w:rPr>
              <w:t>make a decision</w:t>
            </w:r>
            <w:proofErr w:type="gramEnd"/>
            <w:r w:rsidRPr="002D3C2F">
              <w:rPr>
                <w:sz w:val="22"/>
                <w:szCs w:val="22"/>
              </w:rPr>
              <w:t xml:space="preserve"> due to an impairment or disturbance in the functioning of the mind or brain. Capacity is assessed through a two-stage process and cannot be judged based on age, appearance, or behaviour alone.</w:t>
            </w:r>
            <w:r w:rsidRPr="002D3C2F">
              <w:rPr>
                <w:sz w:val="22"/>
                <w:szCs w:val="22"/>
              </w:rPr>
              <w:br/>
            </w:r>
            <w:r w:rsidRPr="002D3C2F">
              <w:rPr>
                <w:sz w:val="22"/>
                <w:szCs w:val="22"/>
              </w:rPr>
              <w:br/>
              <w:t>If someone lacks the capacity to consent to their care or treatment and it’s necessary to keep them safe, the Deprivation of Liberty Safeguards (</w:t>
            </w:r>
            <w:proofErr w:type="spellStart"/>
            <w:r w:rsidRPr="002D3C2F">
              <w:rPr>
                <w:sz w:val="22"/>
                <w:szCs w:val="22"/>
              </w:rPr>
              <w:t>DoLS</w:t>
            </w:r>
            <w:proofErr w:type="spellEnd"/>
            <w:r w:rsidRPr="002D3C2F">
              <w:rPr>
                <w:sz w:val="22"/>
                <w:szCs w:val="22"/>
              </w:rPr>
              <w:t>) provide a legal process for restricting their freedom in a lawful way, in line with Article 5 of the Human Rights Act 1998.</w:t>
            </w:r>
            <w:r w:rsidRPr="002D3C2F">
              <w:rPr>
                <w:sz w:val="22"/>
                <w:szCs w:val="22"/>
              </w:rPr>
              <w:br/>
            </w:r>
            <w:r w:rsidRPr="002D3C2F">
              <w:rPr>
                <w:sz w:val="22"/>
                <w:szCs w:val="22"/>
              </w:rPr>
              <w:br/>
              <w:t>In 2025, the Single Unified Safeguarding Review replaced previous adult and child practice reviews and provides a consistent process for learning from safeguarding incidents. Together, these laws, policies, and procedures aim to protect adults at risk while promoting their rights and independence</w:t>
            </w:r>
          </w:p>
          <w:p w14:paraId="75177991" w14:textId="77777777" w:rsidR="002C7939" w:rsidRDefault="002C7939" w:rsidP="00FF7EBB">
            <w:pPr>
              <w:jc w:val="both"/>
              <w:rPr>
                <w:sz w:val="24"/>
                <w:szCs w:val="24"/>
              </w:rPr>
            </w:pPr>
          </w:p>
          <w:p w14:paraId="6D8CB8AF" w14:textId="77777777" w:rsidR="00FC0334" w:rsidRDefault="00FC0334" w:rsidP="00FF7EBB">
            <w:pPr>
              <w:jc w:val="both"/>
              <w:rPr>
                <w:sz w:val="24"/>
                <w:szCs w:val="24"/>
              </w:rPr>
            </w:pPr>
          </w:p>
          <w:p w14:paraId="4484E8FC" w14:textId="7AC21D06" w:rsidR="002C7939" w:rsidRDefault="005414F4" w:rsidP="002C7939">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r w:rsidR="002C7939">
              <w:rPr>
                <w:sz w:val="24"/>
                <w:szCs w:val="24"/>
              </w:rPr>
              <w:t xml:space="preserve"> (52</w:t>
            </w:r>
            <w:r w:rsidR="002D3C2F">
              <w:rPr>
                <w:sz w:val="24"/>
                <w:szCs w:val="24"/>
              </w:rPr>
              <w:t>2</w:t>
            </w:r>
            <w:r w:rsidR="002C7939">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E9BE3E6" w14:textId="77777777" w:rsidR="00816E2D" w:rsidRPr="002D3C2F" w:rsidRDefault="00816E2D" w:rsidP="002D3C2F">
            <w:pPr>
              <w:rPr>
                <w:sz w:val="22"/>
                <w:szCs w:val="22"/>
              </w:rPr>
            </w:pPr>
            <w:r w:rsidRPr="002D3C2F">
              <w:rPr>
                <w:sz w:val="22"/>
                <w:szCs w:val="22"/>
              </w:rPr>
              <w:t>A fundamental principle underpinning both adult and children’s safeguarding is that safeguarding is everyone’s responsibility. However, it is essential to reflect and consider the distinct safeguarding legislation, policies, and professional principles that guide practice in these different areas of social work.</w:t>
            </w:r>
          </w:p>
          <w:p w14:paraId="3D82FB7F" w14:textId="77777777" w:rsidR="00816E2D" w:rsidRPr="002D3C2F" w:rsidRDefault="00816E2D" w:rsidP="002D3C2F">
            <w:pPr>
              <w:rPr>
                <w:sz w:val="22"/>
                <w:szCs w:val="22"/>
              </w:rPr>
            </w:pPr>
          </w:p>
          <w:p w14:paraId="64F7043C" w14:textId="77777777" w:rsidR="00816E2D" w:rsidRPr="002D3C2F" w:rsidRDefault="00816E2D" w:rsidP="002D3C2F">
            <w:pPr>
              <w:rPr>
                <w:sz w:val="22"/>
                <w:szCs w:val="22"/>
              </w:rPr>
            </w:pPr>
            <w:r w:rsidRPr="002D3C2F">
              <w:rPr>
                <w:sz w:val="22"/>
                <w:szCs w:val="22"/>
              </w:rPr>
              <w:t>In Wales, safeguarding frameworks and thresholds for both adults and children are primarily informed by the Social Services and Wellbeing (Wales) Act 2014 (SSWBA). Additionally, the Children Act 1989 and 2004 provides specific legislative guidance for safeguarding children and shaping professional responses.</w:t>
            </w:r>
          </w:p>
          <w:p w14:paraId="736A6E7A" w14:textId="77777777" w:rsidR="00816E2D" w:rsidRPr="002D3C2F" w:rsidRDefault="00816E2D" w:rsidP="002D3C2F">
            <w:pPr>
              <w:rPr>
                <w:sz w:val="22"/>
                <w:szCs w:val="22"/>
              </w:rPr>
            </w:pPr>
          </w:p>
          <w:p w14:paraId="551D21C0" w14:textId="77777777" w:rsidR="00816E2D" w:rsidRPr="002D3C2F" w:rsidRDefault="00816E2D" w:rsidP="002D3C2F">
            <w:pPr>
              <w:rPr>
                <w:sz w:val="22"/>
                <w:szCs w:val="22"/>
              </w:rPr>
            </w:pPr>
            <w:proofErr w:type="gramStart"/>
            <w:r w:rsidRPr="002D3C2F">
              <w:rPr>
                <w:sz w:val="22"/>
                <w:szCs w:val="22"/>
              </w:rPr>
              <w:t>The Social Services and Well-being (Wales) Act 2014,</w:t>
            </w:r>
            <w:proofErr w:type="gramEnd"/>
            <w:r w:rsidRPr="002D3C2F">
              <w:rPr>
                <w:sz w:val="22"/>
                <w:szCs w:val="22"/>
              </w:rPr>
              <w:t xml:space="preserve"> defines a ‘child’ as a person under the age of 18. Furthermore, Section 130(4) of the Act defines a ‘child at risk’ as one who is experiencing, or is at risk of, abuse, neglect, or other kinds of harm, and who has needs for care and support (</w:t>
            </w:r>
            <w:hyperlink r:id="rId11" w:history="1">
              <w:r w:rsidRPr="002D3C2F">
                <w:rPr>
                  <w:rStyle w:val="Hyperlink"/>
                  <w:sz w:val="22"/>
                  <w:szCs w:val="22"/>
                </w:rPr>
                <w:t>safeguarding.wales</w:t>
              </w:r>
            </w:hyperlink>
            <w:r w:rsidRPr="002D3C2F">
              <w:rPr>
                <w:sz w:val="22"/>
                <w:szCs w:val="22"/>
              </w:rPr>
              <w:t xml:space="preserve">). </w:t>
            </w:r>
          </w:p>
          <w:p w14:paraId="59A49E16" w14:textId="77777777" w:rsidR="00816E2D" w:rsidRPr="002D3C2F" w:rsidRDefault="00816E2D" w:rsidP="002D3C2F">
            <w:pPr>
              <w:rPr>
                <w:sz w:val="22"/>
                <w:szCs w:val="22"/>
              </w:rPr>
            </w:pPr>
            <w:r w:rsidRPr="002D3C2F">
              <w:rPr>
                <w:sz w:val="22"/>
                <w:szCs w:val="22"/>
              </w:rPr>
              <w:t>Where there is a significant risk to a child, Section 47 of the Children Act 1989 / Wales safeguarding procedures places a duty on local authorities to make enquiries if they have reasonable cause to suspect that a child is suffering, or is likely to suffer, significant harm. These enquiries help determine whether intervention is required to safeguard and promote the child’s welfare (</w:t>
            </w:r>
            <w:hyperlink r:id="rId12" w:history="1">
              <w:r w:rsidRPr="002D3C2F">
                <w:rPr>
                  <w:rStyle w:val="Hyperlink"/>
                  <w:sz w:val="22"/>
                  <w:szCs w:val="22"/>
                </w:rPr>
                <w:t>Legislation.gov.uk</w:t>
              </w:r>
            </w:hyperlink>
            <w:r w:rsidRPr="002D3C2F">
              <w:rPr>
                <w:sz w:val="22"/>
                <w:szCs w:val="22"/>
              </w:rPr>
              <w:t>).</w:t>
            </w:r>
          </w:p>
          <w:p w14:paraId="1B519BF1" w14:textId="77777777" w:rsidR="00816E2D" w:rsidRPr="002D3C2F" w:rsidRDefault="00816E2D" w:rsidP="002D3C2F">
            <w:pPr>
              <w:rPr>
                <w:sz w:val="22"/>
                <w:szCs w:val="22"/>
              </w:rPr>
            </w:pPr>
          </w:p>
          <w:p w14:paraId="24D8403F" w14:textId="77777777" w:rsidR="00816E2D" w:rsidRPr="002D3C2F" w:rsidRDefault="00816E2D" w:rsidP="002D3C2F">
            <w:pPr>
              <w:rPr>
                <w:sz w:val="22"/>
                <w:szCs w:val="22"/>
              </w:rPr>
            </w:pPr>
            <w:r w:rsidRPr="002D3C2F">
              <w:rPr>
                <w:sz w:val="22"/>
                <w:szCs w:val="22"/>
              </w:rPr>
              <w:t xml:space="preserve">While informed consent and the participation of parents and children are important aspects of Section 47 investigations under the Children Act 1989, there are circumstances and thresholds in which consent is not required. Specifically, if there are significant concerns regarding the behaviour of an adult and the child is believed to be at immediate risk of harm, local authorities are not obligated to seek parental consent. In these cases, the safeguarding of children and young people takes precedence over consent considerations. </w:t>
            </w:r>
          </w:p>
          <w:p w14:paraId="1725869C" w14:textId="77777777" w:rsidR="00816E2D" w:rsidRPr="002D3C2F" w:rsidRDefault="00816E2D" w:rsidP="002D3C2F">
            <w:pPr>
              <w:rPr>
                <w:sz w:val="22"/>
                <w:szCs w:val="22"/>
              </w:rPr>
            </w:pPr>
          </w:p>
          <w:p w14:paraId="15A9BA5C" w14:textId="77777777" w:rsidR="00816E2D" w:rsidRPr="002D3C2F" w:rsidRDefault="00816E2D" w:rsidP="002D3C2F">
            <w:pPr>
              <w:rPr>
                <w:sz w:val="22"/>
                <w:szCs w:val="22"/>
              </w:rPr>
            </w:pPr>
            <w:r w:rsidRPr="002D3C2F">
              <w:rPr>
                <w:sz w:val="22"/>
                <w:szCs w:val="22"/>
              </w:rPr>
              <w:lastRenderedPageBreak/>
              <w:t>The SSWBA 2014 highlights the importance of person and child centred approaches, where participation, voice, and control are central to effective decision-making. In adult safeguarding, the Mental Capacity Act 2005 (MCA) establishes a presumption of capacity and the individual's right to self-determination when consenting to interventions. In the context of children’s safeguarding, practitioners must ascertain the child’s wishes and feelings and give consideration to their age and level of understanding when determining what services, if any, should be provided (</w:t>
            </w:r>
            <w:hyperlink r:id="rId13" w:history="1">
              <w:r w:rsidRPr="002D3C2F">
                <w:rPr>
                  <w:rStyle w:val="Hyperlink"/>
                  <w:sz w:val="22"/>
                  <w:szCs w:val="22"/>
                </w:rPr>
                <w:t>Procedures Online</w:t>
              </w:r>
            </w:hyperlink>
            <w:r w:rsidRPr="002D3C2F">
              <w:rPr>
                <w:sz w:val="22"/>
                <w:szCs w:val="22"/>
              </w:rPr>
              <w:t>).</w:t>
            </w:r>
          </w:p>
          <w:p w14:paraId="2B5F0AEE" w14:textId="77777777" w:rsidR="00816E2D" w:rsidRPr="002D3C2F" w:rsidRDefault="00816E2D" w:rsidP="002D3C2F">
            <w:pPr>
              <w:rPr>
                <w:sz w:val="22"/>
                <w:szCs w:val="22"/>
              </w:rPr>
            </w:pPr>
          </w:p>
          <w:p w14:paraId="78330614" w14:textId="77777777" w:rsidR="00816E2D" w:rsidRPr="002D3C2F" w:rsidRDefault="00816E2D" w:rsidP="002D3C2F">
            <w:pPr>
              <w:rPr>
                <w:sz w:val="22"/>
                <w:szCs w:val="22"/>
              </w:rPr>
            </w:pPr>
            <w:r w:rsidRPr="002D3C2F">
              <w:rPr>
                <w:sz w:val="22"/>
                <w:szCs w:val="22"/>
              </w:rPr>
              <w:t>The MCA recognises that 16–17-year-olds generally have capacity, while Gillick competency applies to under 16s who understand their care well enough to make decisions without parental consent. It comes from a key legal case and helps assess informed choices. If competent and aware of risks, their views should be respected. Unlike adult safeguarding, which prioritises autonomy even in risky decisions, safeguarding children involves earlier intervention to protect them especially when risks aren’t fully understood.</w:t>
            </w:r>
          </w:p>
          <w:p w14:paraId="438BF787" w14:textId="77777777" w:rsidR="00FC0334" w:rsidRPr="006108C9" w:rsidRDefault="00FC0334" w:rsidP="00FC0334">
            <w:pPr>
              <w:jc w:val="both"/>
              <w:rPr>
                <w:sz w:val="24"/>
                <w:szCs w:val="24"/>
              </w:rPr>
            </w:pPr>
          </w:p>
          <w:p w14:paraId="6BA3DD84" w14:textId="68EF5431"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r w:rsidR="00816E2D">
              <w:rPr>
                <w:i/>
                <w:sz w:val="24"/>
                <w:szCs w:val="24"/>
              </w:rPr>
              <w:t xml:space="preserve"> (440) </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A71DA" w14:textId="77777777" w:rsidR="00FE2501" w:rsidRDefault="00FE2501">
      <w:r>
        <w:separator/>
      </w:r>
    </w:p>
  </w:endnote>
  <w:endnote w:type="continuationSeparator" w:id="0">
    <w:p w14:paraId="0DFE9140" w14:textId="77777777" w:rsidR="00FE2501" w:rsidRDefault="00FE2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DCAA4" w14:textId="77777777" w:rsidR="00FE2501" w:rsidRDefault="00FE2501">
      <w:r>
        <w:separator/>
      </w:r>
    </w:p>
  </w:footnote>
  <w:footnote w:type="continuationSeparator" w:id="0">
    <w:p w14:paraId="79C76CE5" w14:textId="77777777" w:rsidR="00FE2501" w:rsidRDefault="00FE25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793D"/>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FA9"/>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939"/>
    <w:rsid w:val="002D05EB"/>
    <w:rsid w:val="002D11A8"/>
    <w:rsid w:val="002D2F29"/>
    <w:rsid w:val="002D3C2F"/>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6C4"/>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97A09"/>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24CD"/>
    <w:rsid w:val="005D3F07"/>
    <w:rsid w:val="005D4A1E"/>
    <w:rsid w:val="005D4F72"/>
    <w:rsid w:val="005E13EA"/>
    <w:rsid w:val="005E17F1"/>
    <w:rsid w:val="005F351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81D"/>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6E2D"/>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534"/>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4D7"/>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BEB"/>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50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roceduresonline.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1989/41/section/4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afeguarding.wales/en/chi-i/chi-i-c1/c1-p4/"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1164</Words>
  <Characters>6440</Characters>
  <Application>Microsoft Office Word</Application>
  <DocSecurity>0</DocSecurity>
  <Lines>140</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Jordan Jackson</cp:lastModifiedBy>
  <cp:revision>10</cp:revision>
  <cp:lastPrinted>2020-02-11T19:20:00Z</cp:lastPrinted>
  <dcterms:created xsi:type="dcterms:W3CDTF">2022-09-29T11:35:00Z</dcterms:created>
  <dcterms:modified xsi:type="dcterms:W3CDTF">2025-10-07T08:26:00Z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