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5D4" w:rsidRPr="00DF1A0D" w:rsidRDefault="006915D4" w:rsidP="006915D4">
      <w:pPr>
        <w:widowControl w:val="0"/>
        <w:jc w:val="both"/>
        <w:rPr>
          <w:b/>
          <w:bCs/>
        </w:rPr>
      </w:pPr>
      <w:r w:rsidRPr="00DF1A0D">
        <w:rPr>
          <w:b/>
          <w:bCs/>
          <w:sz w:val="28"/>
          <w:szCs w:val="28"/>
        </w:rPr>
        <w:t xml:space="preserve">The </w:t>
      </w:r>
      <w:r w:rsidR="00DF1A0D">
        <w:rPr>
          <w:b/>
          <w:bCs/>
          <w:sz w:val="28"/>
          <w:szCs w:val="28"/>
        </w:rPr>
        <w:t xml:space="preserve">Age of the </w:t>
      </w:r>
      <w:proofErr w:type="spellStart"/>
      <w:r w:rsidR="00DF1A0D">
        <w:rPr>
          <w:b/>
          <w:bCs/>
          <w:sz w:val="28"/>
          <w:szCs w:val="28"/>
        </w:rPr>
        <w:t>Hillforts</w:t>
      </w:r>
      <w:proofErr w:type="spellEnd"/>
      <w:r w:rsidR="00DF1A0D">
        <w:rPr>
          <w:b/>
          <w:bCs/>
          <w:sz w:val="28"/>
          <w:szCs w:val="28"/>
        </w:rPr>
        <w:t xml:space="preserve"> 1</w:t>
      </w:r>
    </w:p>
    <w:p w:rsidR="006915D4" w:rsidRPr="00DF1A0D" w:rsidRDefault="006915D4" w:rsidP="006915D4">
      <w:pPr>
        <w:jc w:val="both"/>
        <w:rPr>
          <w:b/>
        </w:rPr>
      </w:pPr>
    </w:p>
    <w:p w:rsidR="006915D4" w:rsidRPr="00DF1A0D" w:rsidRDefault="006915D4" w:rsidP="006915D4">
      <w:pPr>
        <w:jc w:val="both"/>
        <w:rPr>
          <w:b/>
        </w:rPr>
      </w:pPr>
    </w:p>
    <w:p w:rsidR="006915D4" w:rsidRPr="00DF1A0D" w:rsidRDefault="006915D4" w:rsidP="006915D4">
      <w:pPr>
        <w:jc w:val="both"/>
        <w:rPr>
          <w:b/>
        </w:rPr>
      </w:pPr>
      <w:r w:rsidRPr="00DF1A0D">
        <w:rPr>
          <w:b/>
        </w:rPr>
        <w:t>Gildas and Archaeology</w:t>
      </w:r>
    </w:p>
    <w:p w:rsidR="006915D4" w:rsidRPr="00DF1A0D" w:rsidRDefault="006915D4" w:rsidP="006915D4">
      <w:pPr>
        <w:jc w:val="both"/>
      </w:pPr>
    </w:p>
    <w:p w:rsidR="006915D4" w:rsidRPr="00DF1A0D" w:rsidRDefault="006915D4" w:rsidP="006915D4">
      <w:pPr>
        <w:jc w:val="both"/>
      </w:pPr>
      <w:r w:rsidRPr="00DF1A0D">
        <w:t xml:space="preserve">Gildas is the author of several works, of which the </w:t>
      </w:r>
      <w:r w:rsidRPr="00DF1A0D">
        <w:rPr>
          <w:i/>
        </w:rPr>
        <w:t xml:space="preserve">De </w:t>
      </w:r>
      <w:proofErr w:type="spellStart"/>
      <w:r w:rsidRPr="00DF1A0D">
        <w:rPr>
          <w:i/>
        </w:rPr>
        <w:t>excidio</w:t>
      </w:r>
      <w:proofErr w:type="spellEnd"/>
      <w:r w:rsidRPr="00DF1A0D">
        <w:rPr>
          <w:i/>
        </w:rPr>
        <w:t xml:space="preserve"> </w:t>
      </w:r>
      <w:proofErr w:type="gramStart"/>
      <w:r w:rsidRPr="00DF1A0D">
        <w:rPr>
          <w:i/>
        </w:rPr>
        <w:t>et</w:t>
      </w:r>
      <w:proofErr w:type="gramEnd"/>
      <w:r w:rsidRPr="00DF1A0D">
        <w:rPr>
          <w:i/>
        </w:rPr>
        <w:t xml:space="preserve"> </w:t>
      </w:r>
      <w:proofErr w:type="spellStart"/>
      <w:r w:rsidRPr="00DF1A0D">
        <w:rPr>
          <w:i/>
        </w:rPr>
        <w:t>conquestu</w:t>
      </w:r>
      <w:proofErr w:type="spellEnd"/>
      <w:r w:rsidRPr="00DF1A0D">
        <w:rPr>
          <w:i/>
        </w:rPr>
        <w:t xml:space="preserve"> </w:t>
      </w:r>
      <w:proofErr w:type="spellStart"/>
      <w:r w:rsidRPr="00DF1A0D">
        <w:rPr>
          <w:i/>
        </w:rPr>
        <w:t>Britanniae</w:t>
      </w:r>
      <w:proofErr w:type="spellEnd"/>
      <w:r w:rsidRPr="00DF1A0D">
        <w:t xml:space="preserve"> (‘the ruin and conquest of Britain’) is the most famous, as it provides the only near-contemporary narrative of the events of the late fifth century. Gildas describes a period of resistance and retreat from the time of </w:t>
      </w:r>
      <w:proofErr w:type="spellStart"/>
      <w:r w:rsidRPr="00DF1A0D">
        <w:t>Vortigern</w:t>
      </w:r>
      <w:proofErr w:type="spellEnd"/>
      <w:r w:rsidRPr="00DF1A0D">
        <w:t xml:space="preserve">, across two decades, to the siege of Mount </w:t>
      </w:r>
      <w:proofErr w:type="spellStart"/>
      <w:r w:rsidRPr="00DF1A0D">
        <w:t>Badon</w:t>
      </w:r>
      <w:proofErr w:type="spellEnd"/>
      <w:r w:rsidRPr="00DF1A0D">
        <w:t xml:space="preserve">, an event which occurred some 43 years prior to his writing of the </w:t>
      </w:r>
      <w:r w:rsidRPr="00DF1A0D">
        <w:rPr>
          <w:i/>
        </w:rPr>
        <w:t xml:space="preserve">De </w:t>
      </w:r>
      <w:proofErr w:type="spellStart"/>
      <w:r w:rsidRPr="00DF1A0D">
        <w:rPr>
          <w:i/>
        </w:rPr>
        <w:t>excidio</w:t>
      </w:r>
      <w:proofErr w:type="spellEnd"/>
      <w:r w:rsidRPr="00DF1A0D">
        <w:t xml:space="preserve">—so, while he is scarcely an eye-witness, he records events that have been well within living memory in his early adulthood. </w:t>
      </w:r>
    </w:p>
    <w:p w:rsidR="006915D4" w:rsidRPr="00DF1A0D" w:rsidRDefault="006915D4" w:rsidP="006915D4">
      <w:pPr>
        <w:jc w:val="both"/>
      </w:pPr>
    </w:p>
    <w:p w:rsidR="006915D4" w:rsidRPr="00DF1A0D" w:rsidRDefault="006915D4" w:rsidP="006915D4">
      <w:pPr>
        <w:jc w:val="both"/>
      </w:pPr>
      <w:r w:rsidRPr="00DF1A0D">
        <w:t xml:space="preserve">Gildas is not, however, an ‘historian’ in our sense, and the </w:t>
      </w:r>
      <w:r w:rsidRPr="00DF1A0D">
        <w:rPr>
          <w:i/>
        </w:rPr>
        <w:t xml:space="preserve">De </w:t>
      </w:r>
      <w:proofErr w:type="spellStart"/>
      <w:r w:rsidRPr="00DF1A0D">
        <w:rPr>
          <w:i/>
        </w:rPr>
        <w:t>excidio</w:t>
      </w:r>
      <w:proofErr w:type="spellEnd"/>
      <w:r w:rsidRPr="00DF1A0D">
        <w:rPr>
          <w:i/>
        </w:rPr>
        <w:t xml:space="preserve"> </w:t>
      </w:r>
      <w:r w:rsidRPr="00DF1A0D">
        <w:t xml:space="preserve">cannot be read without reference to the themes of his other works, which are on moral laxity and clerical, as well as monastic, discipline. Archaeologists make a range of attempts to recover detail from his work, both inside and outside of the Arthurian paradigm. </w:t>
      </w:r>
      <w:proofErr w:type="spellStart"/>
      <w:r w:rsidRPr="00DF1A0D">
        <w:t>Gildas’s</w:t>
      </w:r>
      <w:proofErr w:type="spellEnd"/>
      <w:r w:rsidRPr="00DF1A0D">
        <w:t xml:space="preserve"> relationship with the picture presented by archaeology is, however, controversial. The texture of life that he describes is given material details: names of ships, images of urban life and oblique references to walls, forts and material goods. Gildas is a rhetorical writer, however, trained in a Roman tradition of allusive writing—with many of his allusions being to the Bible or the church fathers. When we find him referring to ‘corner-stones torn from walls’ (§24) do we imagine he is referring to actual vandalism, or is it an architectural metaphor for the decline of Roman civilisation? When he (§3) refers to luxuries being brought along the Severn in his youth, is this a reference to the importation of ‘Tintagel pottery’, or something much longer ago?</w:t>
      </w:r>
    </w:p>
    <w:p w:rsidR="006915D4" w:rsidRPr="00DF1A0D" w:rsidRDefault="006915D4" w:rsidP="006915D4">
      <w:pPr>
        <w:jc w:val="both"/>
      </w:pPr>
    </w:p>
    <w:p w:rsidR="006915D4" w:rsidRPr="00DF1A0D" w:rsidRDefault="006915D4" w:rsidP="006915D4">
      <w:pPr>
        <w:jc w:val="both"/>
      </w:pPr>
    </w:p>
    <w:p w:rsidR="006915D4" w:rsidRPr="00DF1A0D" w:rsidRDefault="006915D4" w:rsidP="006915D4">
      <w:pPr>
        <w:jc w:val="both"/>
        <w:rPr>
          <w:b/>
        </w:rPr>
      </w:pPr>
      <w:proofErr w:type="spellStart"/>
      <w:r w:rsidRPr="00DF1A0D">
        <w:rPr>
          <w:b/>
        </w:rPr>
        <w:t>Badon</w:t>
      </w:r>
      <w:proofErr w:type="spellEnd"/>
      <w:r w:rsidRPr="00DF1A0D">
        <w:rPr>
          <w:b/>
        </w:rPr>
        <w:t>—</w:t>
      </w:r>
      <w:proofErr w:type="gramStart"/>
      <w:r w:rsidRPr="00DF1A0D">
        <w:rPr>
          <w:b/>
        </w:rPr>
        <w:t>An</w:t>
      </w:r>
      <w:proofErr w:type="gramEnd"/>
      <w:r w:rsidRPr="00DF1A0D">
        <w:rPr>
          <w:b/>
        </w:rPr>
        <w:t xml:space="preserve"> Historical Benchmark</w:t>
      </w:r>
    </w:p>
    <w:p w:rsidR="006915D4" w:rsidRPr="00DF1A0D" w:rsidRDefault="006915D4" w:rsidP="006915D4">
      <w:pPr>
        <w:jc w:val="both"/>
      </w:pPr>
    </w:p>
    <w:p w:rsidR="006915D4" w:rsidRPr="00DF1A0D" w:rsidRDefault="006915D4" w:rsidP="006915D4">
      <w:pPr>
        <w:jc w:val="both"/>
      </w:pPr>
      <w:r w:rsidRPr="00DF1A0D">
        <w:t xml:space="preserve">One event which is presented as a dated fact in Gildas is the Siege of </w:t>
      </w:r>
      <w:proofErr w:type="spellStart"/>
      <w:r w:rsidRPr="00DF1A0D">
        <w:t>Badon</w:t>
      </w:r>
      <w:proofErr w:type="spellEnd"/>
      <w:r w:rsidRPr="00DF1A0D">
        <w:t xml:space="preserve">. This, in theory at least, should be locatable from archaeological evidence—whether or not we would be able to identify any such find with certainty is another matter. The Siege of </w:t>
      </w:r>
      <w:proofErr w:type="spellStart"/>
      <w:r w:rsidRPr="00DF1A0D">
        <w:t>Badon</w:t>
      </w:r>
      <w:proofErr w:type="spellEnd"/>
      <w:r w:rsidRPr="00DF1A0D">
        <w:t xml:space="preserve"> occurred after some twenty years of campaigning initiated by </w:t>
      </w:r>
      <w:proofErr w:type="spellStart"/>
      <w:r w:rsidRPr="00DF1A0D">
        <w:t>Ambrosius</w:t>
      </w:r>
      <w:proofErr w:type="spellEnd"/>
      <w:r w:rsidRPr="00DF1A0D">
        <w:t xml:space="preserve"> </w:t>
      </w:r>
      <w:proofErr w:type="spellStart"/>
      <w:r w:rsidRPr="00DF1A0D">
        <w:t>Aurelianus—</w:t>
      </w:r>
      <w:r w:rsidRPr="00DF1A0D">
        <w:rPr>
          <w:i/>
        </w:rPr>
        <w:t>i.e</w:t>
      </w:r>
      <w:proofErr w:type="spellEnd"/>
      <w:r w:rsidRPr="00DF1A0D">
        <w:rPr>
          <w:i/>
        </w:rPr>
        <w:t xml:space="preserve">. </w:t>
      </w:r>
      <w:r w:rsidRPr="00DF1A0D">
        <w:t xml:space="preserve">some sixty years in the past when Gildas wrote and within the living memory of people who were alive during </w:t>
      </w:r>
      <w:proofErr w:type="spellStart"/>
      <w:r w:rsidRPr="00DF1A0D">
        <w:t>Gildas’s</w:t>
      </w:r>
      <w:proofErr w:type="spellEnd"/>
      <w:r w:rsidRPr="00DF1A0D">
        <w:t xml:space="preserve"> lifetime. If </w:t>
      </w:r>
      <w:proofErr w:type="spellStart"/>
      <w:r w:rsidRPr="00DF1A0D">
        <w:t>Gildas’s</w:t>
      </w:r>
      <w:proofErr w:type="spellEnd"/>
      <w:r w:rsidRPr="00DF1A0D">
        <w:t xml:space="preserve"> </w:t>
      </w:r>
      <w:r w:rsidRPr="00DF1A0D">
        <w:rPr>
          <w:i/>
        </w:rPr>
        <w:t xml:space="preserve">De </w:t>
      </w:r>
      <w:proofErr w:type="spellStart"/>
      <w:r w:rsidRPr="00DF1A0D">
        <w:rPr>
          <w:i/>
        </w:rPr>
        <w:t>excidio</w:t>
      </w:r>
      <w:proofErr w:type="spellEnd"/>
      <w:r w:rsidRPr="00DF1A0D">
        <w:rPr>
          <w:i/>
        </w:rPr>
        <w:t xml:space="preserve"> </w:t>
      </w:r>
      <w:r w:rsidRPr="00DF1A0D">
        <w:t xml:space="preserve">is an authentic source—which has been occasionally doubted, but not conclusively—it </w:t>
      </w:r>
      <w:r w:rsidRPr="00DF1A0D">
        <w:lastRenderedPageBreak/>
        <w:t xml:space="preserve">may be said to be a firm historical event. </w:t>
      </w:r>
      <w:proofErr w:type="spellStart"/>
      <w:r w:rsidRPr="00DF1A0D">
        <w:t>Badon</w:t>
      </w:r>
      <w:proofErr w:type="spellEnd"/>
      <w:r w:rsidRPr="00DF1A0D">
        <w:t xml:space="preserve"> is associated with Arthur by the </w:t>
      </w:r>
      <w:r w:rsidRPr="00DF1A0D">
        <w:rPr>
          <w:i/>
        </w:rPr>
        <w:t xml:space="preserve">Historia </w:t>
      </w:r>
      <w:proofErr w:type="spellStart"/>
      <w:r w:rsidRPr="00DF1A0D">
        <w:rPr>
          <w:i/>
        </w:rPr>
        <w:t>Brittonum</w:t>
      </w:r>
      <w:proofErr w:type="spellEnd"/>
      <w:r w:rsidRPr="00DF1A0D">
        <w:t xml:space="preserve">, but not by Gildas. Gildas indeed names no leader at </w:t>
      </w:r>
      <w:proofErr w:type="spellStart"/>
      <w:r w:rsidRPr="00DF1A0D">
        <w:t>Badon</w:t>
      </w:r>
      <w:proofErr w:type="spellEnd"/>
      <w:r w:rsidRPr="00DF1A0D">
        <w:t xml:space="preserve">. </w:t>
      </w:r>
      <w:proofErr w:type="spellStart"/>
      <w:r w:rsidRPr="00DF1A0D">
        <w:t>Ambrosius</w:t>
      </w:r>
      <w:proofErr w:type="spellEnd"/>
      <w:r w:rsidRPr="00DF1A0D">
        <w:t xml:space="preserve"> is understood to have commenced the campaign, but to assume he remained the leader after twenty years is no more likely than, say, to assume that the generals of World War One would necessarily be found leading the armies of World War Two. </w:t>
      </w:r>
    </w:p>
    <w:p w:rsidR="006915D4" w:rsidRPr="00DF1A0D" w:rsidRDefault="006915D4" w:rsidP="006915D4">
      <w:pPr>
        <w:jc w:val="both"/>
      </w:pPr>
    </w:p>
    <w:p w:rsidR="006915D4" w:rsidRPr="00DF1A0D" w:rsidRDefault="006915D4" w:rsidP="006915D4">
      <w:pPr>
        <w:jc w:val="both"/>
      </w:pPr>
      <w:proofErr w:type="spellStart"/>
      <w:r w:rsidRPr="00DF1A0D">
        <w:t>Badon</w:t>
      </w:r>
      <w:proofErr w:type="spellEnd"/>
      <w:r w:rsidRPr="00DF1A0D">
        <w:t xml:space="preserve"> remains the most historical military event of the fifth—or very early sixth—century. It was clearly a decisive event: a battle that set the Germanic forces back for a period. It must have loomed large in the minds of the British in the way, perhaps, that Dunkirk loomed large in the minds of mid-twentieth century Britons—not the prelude to a mighty victory, but an event of heroic resistance. </w:t>
      </w:r>
    </w:p>
    <w:p w:rsidR="006915D4" w:rsidRPr="00DF1A0D" w:rsidRDefault="006915D4" w:rsidP="006915D4">
      <w:pPr>
        <w:jc w:val="both"/>
      </w:pPr>
    </w:p>
    <w:p w:rsidR="006915D4" w:rsidRPr="00DF1A0D" w:rsidRDefault="006915D4" w:rsidP="006915D4">
      <w:pPr>
        <w:jc w:val="both"/>
      </w:pPr>
      <w:r w:rsidRPr="00DF1A0D">
        <w:t xml:space="preserve">The fact that we can identify only one battle from history hardly delimits any attempt to identify evidence of the British retreat. Such events must have left archaeological traces on sites that escaped historical reference—surely a statement of the outstandingly obvious? But the matter is not so simple. What sort of evidence might we expect to find? In the nineteenth century archaeologists such as Schliemann, searching for the site of Troy, saw layers of charcoal as evidence of siege and destruction; over a century later we see such layers, dramatic when first found, as often nothing more than the work of a few small fires—a bonfire may produce enough charcoal to produce a convincing ‘destruction layer’. </w:t>
      </w:r>
    </w:p>
    <w:p w:rsidR="006915D4" w:rsidRPr="00DF1A0D" w:rsidRDefault="006915D4" w:rsidP="006915D4">
      <w:pPr>
        <w:jc w:val="both"/>
      </w:pPr>
    </w:p>
    <w:p w:rsidR="006915D4" w:rsidRPr="00DF1A0D" w:rsidRDefault="006915D4" w:rsidP="006915D4">
      <w:pPr>
        <w:jc w:val="both"/>
      </w:pPr>
      <w:r w:rsidRPr="00DF1A0D">
        <w:t xml:space="preserve">There are further problems. The identification of occupation on post-Roman sites still in many ways depends on what we may term ‘diagnostic’ archaeological evidence. The artefact range for the fifth century is especially unpromising. The ferrous armaments of the period evidently did not stand up well to the often acidic soil west of the Home Counties. Our typologies are barely capable of identifying fifth-century British swords and spears, though their Anglo-Saxon equivalents are better-known from furnished burials in Essex and Kent in particular. Early medieval sites in the west are often identified from surface finds of imported ceramics of ‘Tintagel’ type (see Unit Four). These are not found until the last quarter of the fifth century, however, and not east of Somerset. Brooch-types and other indicators for British settlement are likewise fairly poorly understood for the fifth century—especially where the dating of early medieval type-series’ has depended on the relative associations of imported ceramics. A general absence of dateable coinage from fifth and sixth century Britain makes site chronology a difficult matter. In all of this the fifth century represents a virtual ‘blind spot’ in our archaeological record. </w:t>
      </w:r>
    </w:p>
    <w:p w:rsidR="006915D4" w:rsidRPr="00DF1A0D" w:rsidRDefault="006915D4" w:rsidP="006915D4">
      <w:pPr>
        <w:jc w:val="both"/>
      </w:pPr>
    </w:p>
    <w:p w:rsidR="006915D4" w:rsidRPr="00DF1A0D" w:rsidRDefault="006915D4" w:rsidP="006915D4">
      <w:pPr>
        <w:jc w:val="both"/>
      </w:pPr>
      <w:r w:rsidRPr="00DF1A0D">
        <w:t xml:space="preserve">What might change this? A large military cemetery would be one possibility. Such are known for the Germanic forces on the continent, such as at Herpes in the Charente. Mortimer Wheeler’s excavation of Maiden Castle in the </w:t>
      </w:r>
      <w:proofErr w:type="gramStart"/>
      <w:r w:rsidRPr="00DF1A0D">
        <w:t>1930s,</w:t>
      </w:r>
      <w:proofErr w:type="gramEnd"/>
      <w:r w:rsidRPr="00DF1A0D">
        <w:t xml:space="preserve"> also provides an example of a cemetery arising from the successful siege of a British fort by the Romans in the first century. It is reasonable to expect that such a cemetery might exist adjacent to a site such as </w:t>
      </w:r>
      <w:proofErr w:type="spellStart"/>
      <w:r w:rsidRPr="00DF1A0D">
        <w:t>Badon</w:t>
      </w:r>
      <w:proofErr w:type="spellEnd"/>
      <w:r w:rsidRPr="00DF1A0D">
        <w:t xml:space="preserve"> itself. </w:t>
      </w:r>
    </w:p>
    <w:p w:rsidR="006915D4" w:rsidRPr="00DF1A0D" w:rsidRDefault="006915D4" w:rsidP="006915D4">
      <w:pPr>
        <w:jc w:val="both"/>
      </w:pPr>
    </w:p>
    <w:p w:rsidR="006915D4" w:rsidRPr="00DF1A0D" w:rsidRDefault="006915D4" w:rsidP="006915D4">
      <w:pPr>
        <w:jc w:val="both"/>
      </w:pPr>
      <w:r w:rsidRPr="00DF1A0D">
        <w:t xml:space="preserve">It is important at this point to step back and consider what this entails. In the case of </w:t>
      </w:r>
      <w:proofErr w:type="spellStart"/>
      <w:r w:rsidRPr="00DF1A0D">
        <w:t>Badon</w:t>
      </w:r>
      <w:proofErr w:type="spellEnd"/>
      <w:r w:rsidRPr="00DF1A0D">
        <w:t xml:space="preserve"> itself we need to first identify the place. Anyone who has looked to identify a </w:t>
      </w:r>
      <w:proofErr w:type="spellStart"/>
      <w:r w:rsidRPr="00DF1A0D">
        <w:t>toponym</w:t>
      </w:r>
      <w:proofErr w:type="spellEnd"/>
      <w:r w:rsidRPr="00DF1A0D">
        <w:t xml:space="preserve"> with an actual feature in the landscape will know that it is not so easy as it sounds; a place-name may have </w:t>
      </w:r>
      <w:proofErr w:type="spellStart"/>
      <w:r w:rsidRPr="00DF1A0D">
        <w:t>have</w:t>
      </w:r>
      <w:proofErr w:type="spellEnd"/>
      <w:r w:rsidRPr="00DF1A0D">
        <w:t xml:space="preserve"> a field of reference many miles in area. It may </w:t>
      </w:r>
      <w:r w:rsidRPr="00DF1A0D">
        <w:lastRenderedPageBreak/>
        <w:t xml:space="preserve">lie under </w:t>
      </w:r>
      <w:proofErr w:type="spellStart"/>
      <w:r w:rsidRPr="00DF1A0D">
        <w:t>hevay</w:t>
      </w:r>
      <w:proofErr w:type="spellEnd"/>
      <w:r w:rsidRPr="00DF1A0D">
        <w:t xml:space="preserve"> suburban development—what if </w:t>
      </w:r>
      <w:proofErr w:type="spellStart"/>
      <w:r w:rsidRPr="00DF1A0D">
        <w:t>Badon</w:t>
      </w:r>
      <w:proofErr w:type="spellEnd"/>
      <w:r w:rsidRPr="00DF1A0D">
        <w:t xml:space="preserve"> is modern Bath, for example? And then we have to consider the possible circumstances of the battle. At Maiden Castle, with a Roman force bent on subduing all local resistance, burial of troops more or less where they fell was probably on the assumption that the fort would now be abandoned altogether as a condition of occupation. At </w:t>
      </w:r>
      <w:proofErr w:type="spellStart"/>
      <w:r w:rsidRPr="00DF1A0D">
        <w:t>Badon</w:t>
      </w:r>
      <w:proofErr w:type="spellEnd"/>
      <w:r w:rsidRPr="00DF1A0D">
        <w:t xml:space="preserve">, a victory by the occupants, burial may have been further away from the areas of continued settlement. </w:t>
      </w:r>
    </w:p>
    <w:p w:rsidR="006915D4" w:rsidRPr="00DF1A0D" w:rsidRDefault="006915D4" w:rsidP="006915D4">
      <w:pPr>
        <w:jc w:val="both"/>
      </w:pPr>
    </w:p>
    <w:p w:rsidR="006915D4" w:rsidRPr="00DF1A0D" w:rsidRDefault="006915D4" w:rsidP="006915D4">
      <w:pPr>
        <w:jc w:val="both"/>
      </w:pPr>
    </w:p>
    <w:p w:rsidR="006915D4" w:rsidRPr="00DF1A0D" w:rsidRDefault="006915D4" w:rsidP="006915D4">
      <w:pPr>
        <w:jc w:val="both"/>
        <w:rPr>
          <w:b/>
        </w:rPr>
      </w:pPr>
      <w:r w:rsidRPr="00DF1A0D">
        <w:rPr>
          <w:b/>
        </w:rPr>
        <w:t xml:space="preserve">Looking for </w:t>
      </w:r>
      <w:proofErr w:type="spellStart"/>
      <w:r w:rsidRPr="00DF1A0D">
        <w:rPr>
          <w:b/>
        </w:rPr>
        <w:t>Badon</w:t>
      </w:r>
      <w:proofErr w:type="spellEnd"/>
    </w:p>
    <w:p w:rsidR="006915D4" w:rsidRPr="00DF1A0D" w:rsidRDefault="006915D4" w:rsidP="006915D4">
      <w:pPr>
        <w:jc w:val="both"/>
      </w:pPr>
    </w:p>
    <w:p w:rsidR="006915D4" w:rsidRPr="00DF1A0D" w:rsidRDefault="006915D4" w:rsidP="006915D4">
      <w:pPr>
        <w:jc w:val="both"/>
      </w:pPr>
      <w:r w:rsidRPr="00DF1A0D">
        <w:t xml:space="preserve">A number of circumstantial assumptions underpin the search for this </w:t>
      </w:r>
      <w:proofErr w:type="spellStart"/>
      <w:r w:rsidRPr="00DF1A0D">
        <w:t>toponym</w:t>
      </w:r>
      <w:proofErr w:type="spellEnd"/>
      <w:r w:rsidRPr="00DF1A0D">
        <w:t>. That the battle is described as a ‘siege’ (</w:t>
      </w:r>
      <w:proofErr w:type="spellStart"/>
      <w:r w:rsidRPr="00DF1A0D">
        <w:rPr>
          <w:i/>
        </w:rPr>
        <w:t>munitio</w:t>
      </w:r>
      <w:proofErr w:type="spellEnd"/>
      <w:r w:rsidRPr="00DF1A0D">
        <w:t xml:space="preserve">) by Gildas implies a defended hilltop site. Most interpretations assume a </w:t>
      </w:r>
      <w:proofErr w:type="gramStart"/>
      <w:r w:rsidRPr="00DF1A0D">
        <w:t>west country</w:t>
      </w:r>
      <w:proofErr w:type="gramEnd"/>
      <w:r w:rsidRPr="00DF1A0D">
        <w:t xml:space="preserve"> location, far enough to the west to account for around two to three decades of campaigning. The choice of the </w:t>
      </w:r>
      <w:proofErr w:type="gramStart"/>
      <w:r w:rsidRPr="00DF1A0D">
        <w:t>west country</w:t>
      </w:r>
      <w:proofErr w:type="gramEnd"/>
      <w:r w:rsidRPr="00DF1A0D">
        <w:t xml:space="preserve">, as opposed to the north, is to some degree sentimental. It is logical to think that a successful resistance was accomplished as Germanic expansion encountered the higher ground of Somerset, Dorset and the Welsh border. The place-name element </w:t>
      </w:r>
      <w:r w:rsidRPr="00DF1A0D">
        <w:rPr>
          <w:i/>
        </w:rPr>
        <w:t>bad-</w:t>
      </w:r>
      <w:r w:rsidRPr="00DF1A0D">
        <w:t xml:space="preserve"> should indicate hot springs—again suggesting a western, rather than northern location. </w:t>
      </w:r>
    </w:p>
    <w:p w:rsidR="006915D4" w:rsidRPr="00DF1A0D" w:rsidRDefault="006915D4" w:rsidP="006915D4">
      <w:pPr>
        <w:jc w:val="both"/>
      </w:pPr>
    </w:p>
    <w:p w:rsidR="006915D4" w:rsidRPr="00DF1A0D" w:rsidRDefault="006915D4" w:rsidP="006915D4">
      <w:pPr>
        <w:jc w:val="both"/>
      </w:pPr>
      <w:r w:rsidRPr="00DF1A0D">
        <w:t>Thinking on this point has tended to home in on the large, multi-</w:t>
      </w:r>
      <w:proofErr w:type="spellStart"/>
      <w:r w:rsidRPr="00DF1A0D">
        <w:t>ramparted</w:t>
      </w:r>
      <w:proofErr w:type="spellEnd"/>
      <w:r w:rsidRPr="00DF1A0D">
        <w:t xml:space="preserve"> </w:t>
      </w:r>
      <w:proofErr w:type="spellStart"/>
      <w:r w:rsidRPr="00DF1A0D">
        <w:rPr>
          <w:i/>
        </w:rPr>
        <w:t>oppida</w:t>
      </w:r>
      <w:proofErr w:type="spellEnd"/>
      <w:r w:rsidRPr="00DF1A0D">
        <w:rPr>
          <w:i/>
        </w:rPr>
        <w:t xml:space="preserve"> </w:t>
      </w:r>
      <w:r w:rsidRPr="00DF1A0D">
        <w:t xml:space="preserve">which are found on hill-tops in Wiltshire, </w:t>
      </w:r>
      <w:proofErr w:type="spellStart"/>
      <w:r w:rsidRPr="00DF1A0D">
        <w:t>Dorsetshire</w:t>
      </w:r>
      <w:proofErr w:type="spellEnd"/>
      <w:r w:rsidRPr="00DF1A0D">
        <w:t xml:space="preserve"> and Somerset, in particular; the work of the Iron Age people known as the </w:t>
      </w:r>
      <w:proofErr w:type="spellStart"/>
      <w:r w:rsidRPr="00DF1A0D">
        <w:t>Durotriges</w:t>
      </w:r>
      <w:proofErr w:type="spellEnd"/>
      <w:r w:rsidRPr="00DF1A0D">
        <w:t>, who imported the late-prehistoric defensive model of surrounding their forts with successive ditches (</w:t>
      </w:r>
      <w:proofErr w:type="spellStart"/>
      <w:r w:rsidRPr="00DF1A0D">
        <w:rPr>
          <w:i/>
        </w:rPr>
        <w:t>valla</w:t>
      </w:r>
      <w:proofErr w:type="spellEnd"/>
      <w:r w:rsidRPr="00DF1A0D">
        <w:t>) and ramparts. The resulting ‘multi-</w:t>
      </w:r>
      <w:proofErr w:type="spellStart"/>
      <w:r w:rsidRPr="00DF1A0D">
        <w:t>vallate</w:t>
      </w:r>
      <w:proofErr w:type="spellEnd"/>
      <w:r w:rsidRPr="00DF1A0D">
        <w:t xml:space="preserve">’ fortifications, spreading out a large distance from the settlement inside were especially defensible against the missile weaponry that had come to play a central role in warfare in the period up to and including the Roman conquest of Gaul and Britain. We know that such sites were re-occupied in the sixth-century in Somerset. It takes no great leap to speculate that </w:t>
      </w:r>
      <w:proofErr w:type="spellStart"/>
      <w:r w:rsidRPr="00DF1A0D">
        <w:t>Badon</w:t>
      </w:r>
      <w:proofErr w:type="spellEnd"/>
      <w:r w:rsidRPr="00DF1A0D">
        <w:t xml:space="preserve"> represents the siege of some such site, strategically occupied.</w:t>
      </w:r>
    </w:p>
    <w:p w:rsidR="006915D4" w:rsidRPr="00DF1A0D" w:rsidRDefault="006915D4" w:rsidP="006915D4">
      <w:pPr>
        <w:jc w:val="both"/>
      </w:pPr>
    </w:p>
    <w:p w:rsidR="006915D4" w:rsidRPr="00DF1A0D" w:rsidRDefault="006915D4" w:rsidP="006915D4">
      <w:pPr>
        <w:jc w:val="both"/>
      </w:pPr>
      <w:r w:rsidRPr="00DF1A0D">
        <w:t>Some would favour the multi-</w:t>
      </w:r>
      <w:proofErr w:type="spellStart"/>
      <w:r w:rsidRPr="00DF1A0D">
        <w:t>vallate</w:t>
      </w:r>
      <w:proofErr w:type="spellEnd"/>
      <w:r w:rsidRPr="00DF1A0D">
        <w:t xml:space="preserve"> (multi-</w:t>
      </w:r>
      <w:proofErr w:type="spellStart"/>
      <w:r w:rsidRPr="00DF1A0D">
        <w:t>ramparted</w:t>
      </w:r>
      <w:proofErr w:type="spellEnd"/>
      <w:r w:rsidRPr="00DF1A0D">
        <w:t xml:space="preserve">) </w:t>
      </w:r>
      <w:proofErr w:type="spellStart"/>
      <w:r w:rsidRPr="00DF1A0D">
        <w:t>hillfort</w:t>
      </w:r>
      <w:proofErr w:type="spellEnd"/>
      <w:r w:rsidRPr="00DF1A0D">
        <w:t xml:space="preserve"> at </w:t>
      </w:r>
      <w:proofErr w:type="spellStart"/>
      <w:r w:rsidRPr="00DF1A0D">
        <w:t>Badbury</w:t>
      </w:r>
      <w:proofErr w:type="spellEnd"/>
      <w:r w:rsidRPr="00DF1A0D">
        <w:t xml:space="preserve"> in Dorset on account of its name. </w:t>
      </w:r>
      <w:proofErr w:type="spellStart"/>
      <w:r w:rsidRPr="00DF1A0D">
        <w:t>Liddington</w:t>
      </w:r>
      <w:proofErr w:type="spellEnd"/>
      <w:r w:rsidRPr="00DF1A0D">
        <w:t xml:space="preserve"> Castle, an </w:t>
      </w:r>
      <w:proofErr w:type="spellStart"/>
      <w:r w:rsidRPr="00DF1A0D">
        <w:t>oppidum</w:t>
      </w:r>
      <w:proofErr w:type="spellEnd"/>
      <w:r w:rsidRPr="00DF1A0D">
        <w:t xml:space="preserve"> strategically near the Roman road in Wiltshire, was also once known as </w:t>
      </w:r>
      <w:proofErr w:type="spellStart"/>
      <w:r w:rsidRPr="00DF1A0D">
        <w:t>Badbury</w:t>
      </w:r>
      <w:proofErr w:type="spellEnd"/>
      <w:r w:rsidRPr="00DF1A0D">
        <w:t xml:space="preserve">. The name is a combination possibly of </w:t>
      </w:r>
      <w:r w:rsidRPr="00DF1A0D">
        <w:rPr>
          <w:i/>
        </w:rPr>
        <w:t>bad,</w:t>
      </w:r>
      <w:r w:rsidRPr="00DF1A0D">
        <w:t xml:space="preserve"> meaning ‘hot spring/bath’ and -bury (Old English </w:t>
      </w:r>
      <w:r w:rsidRPr="00DF1A0D">
        <w:rPr>
          <w:i/>
        </w:rPr>
        <w:t>-</w:t>
      </w:r>
      <w:proofErr w:type="spellStart"/>
      <w:r w:rsidRPr="00DF1A0D">
        <w:rPr>
          <w:i/>
        </w:rPr>
        <w:t>burh</w:t>
      </w:r>
      <w:proofErr w:type="spellEnd"/>
      <w:r w:rsidRPr="00DF1A0D">
        <w:t>) meaning town/fort (unless it is a hero called ‘</w:t>
      </w:r>
      <w:proofErr w:type="spellStart"/>
      <w:r w:rsidRPr="00DF1A0D">
        <w:t>Baddan</w:t>
      </w:r>
      <w:proofErr w:type="spellEnd"/>
      <w:r w:rsidRPr="00DF1A0D">
        <w:t xml:space="preserve">’ who is commemorated). It is conceivable that the earlier form of any of these names was </w:t>
      </w:r>
      <w:proofErr w:type="spellStart"/>
      <w:r w:rsidRPr="00DF1A0D">
        <w:t>Badon</w:t>
      </w:r>
      <w:proofErr w:type="spellEnd"/>
      <w:r w:rsidRPr="00DF1A0D">
        <w:t xml:space="preserve">, but we should note that the earliest testimony to the names is tenth century (Anglo Saxon Chronicle and </w:t>
      </w:r>
      <w:proofErr w:type="spellStart"/>
      <w:r w:rsidRPr="00DF1A0D">
        <w:rPr>
          <w:i/>
        </w:rPr>
        <w:t>Cartualrium</w:t>
      </w:r>
      <w:proofErr w:type="spellEnd"/>
      <w:r w:rsidRPr="00DF1A0D">
        <w:rPr>
          <w:i/>
        </w:rPr>
        <w:t xml:space="preserve"> </w:t>
      </w:r>
      <w:proofErr w:type="spellStart"/>
      <w:r w:rsidRPr="00DF1A0D">
        <w:rPr>
          <w:i/>
        </w:rPr>
        <w:t>Saxonicum</w:t>
      </w:r>
      <w:proofErr w:type="spellEnd"/>
      <w:r w:rsidRPr="00DF1A0D">
        <w:t xml:space="preserve">). The existence of springs in the </w:t>
      </w:r>
      <w:proofErr w:type="gramStart"/>
      <w:r w:rsidRPr="00DF1A0D">
        <w:t>west country</w:t>
      </w:r>
      <w:proofErr w:type="gramEnd"/>
      <w:r w:rsidRPr="00DF1A0D">
        <w:t xml:space="preserve"> is possible support for this general location. In recent times scholars have even suggested that a fort above the town of Bath itself is the site of the battle—though the aura of certainty which this has assumed should not obscure the fact that it is really a shot in the dark. </w:t>
      </w:r>
    </w:p>
    <w:p w:rsidR="006915D4" w:rsidRPr="00DF1A0D" w:rsidRDefault="006915D4" w:rsidP="006915D4">
      <w:pPr>
        <w:jc w:val="both"/>
      </w:pPr>
      <w:r w:rsidRPr="00DF1A0D">
        <w:tab/>
      </w:r>
    </w:p>
    <w:p w:rsidR="006915D4" w:rsidRPr="00DF1A0D" w:rsidRDefault="006915D4" w:rsidP="006915D4">
      <w:pPr>
        <w:jc w:val="both"/>
      </w:pPr>
      <w:r w:rsidRPr="00DF1A0D">
        <w:t xml:space="preserve">What is certain is that on current archaeological criteria, there is little chance that we will recognise the site if it is uncovered by excavation in the near future. We might imagine that some refortification of the site may have been made, but in a rolling campaign this is likely to have been limited. There is always the possibility of a war cemetery, but what would date the bodies is the question. Some Celtic jewellery must date from the early 500s, but we cannot firmly date it. The same is true of Anglo-Saxon material from the same period. </w:t>
      </w:r>
    </w:p>
    <w:p w:rsidR="006915D4" w:rsidRPr="00DF1A0D" w:rsidRDefault="006915D4" w:rsidP="006915D4">
      <w:pPr>
        <w:pStyle w:val="Heading1"/>
        <w:spacing w:line="240" w:lineRule="auto"/>
        <w:rPr>
          <w:rFonts w:ascii="Times New Roman" w:hAnsi="Times New Roman"/>
        </w:rPr>
      </w:pPr>
    </w:p>
    <w:p w:rsidR="00DF1A0D" w:rsidRPr="00DF1A0D" w:rsidRDefault="00DF1A0D" w:rsidP="006915D4">
      <w:pPr>
        <w:pStyle w:val="Heading1"/>
        <w:spacing w:line="240" w:lineRule="auto"/>
        <w:rPr>
          <w:rFonts w:ascii="Times New Roman" w:hAnsi="Times New Roman"/>
          <w:smallCaps w:val="0"/>
          <w:sz w:val="24"/>
          <w:szCs w:val="24"/>
        </w:rPr>
      </w:pPr>
    </w:p>
    <w:p w:rsidR="006915D4" w:rsidRPr="00DF1A0D" w:rsidRDefault="006915D4" w:rsidP="006915D4">
      <w:pPr>
        <w:pStyle w:val="Heading1"/>
        <w:spacing w:line="240" w:lineRule="auto"/>
        <w:rPr>
          <w:rFonts w:ascii="Times New Roman" w:hAnsi="Times New Roman"/>
          <w:smallCaps w:val="0"/>
          <w:sz w:val="24"/>
          <w:szCs w:val="24"/>
        </w:rPr>
      </w:pPr>
      <w:r w:rsidRPr="00DF1A0D">
        <w:rPr>
          <w:rFonts w:ascii="Times New Roman" w:hAnsi="Times New Roman"/>
          <w:smallCaps w:val="0"/>
          <w:sz w:val="24"/>
          <w:szCs w:val="24"/>
        </w:rPr>
        <w:t>Recommended Reading</w:t>
      </w:r>
    </w:p>
    <w:p w:rsidR="00DF1A0D" w:rsidRPr="00DF1A0D" w:rsidRDefault="00DF1A0D" w:rsidP="006915D4">
      <w:pPr>
        <w:ind w:left="540" w:hanging="540"/>
      </w:pPr>
      <w:r w:rsidRPr="00DF1A0D">
        <w:t xml:space="preserve">Gildas, </w:t>
      </w:r>
      <w:r w:rsidRPr="00DF1A0D">
        <w:rPr>
          <w:i/>
        </w:rPr>
        <w:t xml:space="preserve">De </w:t>
      </w:r>
      <w:proofErr w:type="spellStart"/>
      <w:r w:rsidRPr="00DF1A0D">
        <w:rPr>
          <w:i/>
        </w:rPr>
        <w:t>excidio</w:t>
      </w:r>
      <w:proofErr w:type="spellEnd"/>
      <w:r w:rsidRPr="00DF1A0D">
        <w:t xml:space="preserve"> (</w:t>
      </w:r>
      <w:hyperlink r:id="rId4" w:history="1">
        <w:r w:rsidRPr="00DF1A0D">
          <w:rPr>
            <w:rStyle w:val="Hyperlink"/>
          </w:rPr>
          <w:t>http://historymedren.about.com/library/text/bltxtgildasmain.htm</w:t>
        </w:r>
      </w:hyperlink>
      <w:r w:rsidRPr="00DF1A0D">
        <w:t>)</w:t>
      </w:r>
    </w:p>
    <w:p w:rsidR="00DF1A0D" w:rsidRDefault="00DF1A0D" w:rsidP="006915D4">
      <w:pPr>
        <w:ind w:left="540" w:hanging="540"/>
      </w:pPr>
    </w:p>
    <w:p w:rsidR="00DF1A0D" w:rsidRDefault="00DF1A0D" w:rsidP="00DF1A0D">
      <w:pPr>
        <w:ind w:left="540" w:hanging="540"/>
      </w:pPr>
      <w:proofErr w:type="gramStart"/>
      <w:r>
        <w:t xml:space="preserve">Some useful material at </w:t>
      </w:r>
      <w:hyperlink r:id="rId5" w:history="1">
        <w:r w:rsidRPr="004B2E71">
          <w:rPr>
            <w:rStyle w:val="Hyperlink"/>
          </w:rPr>
          <w:t>http://www.vortigernstudies.org.uk/</w:t>
        </w:r>
      </w:hyperlink>
      <w:r>
        <w:t>, but use with care.</w:t>
      </w:r>
      <w:proofErr w:type="gramEnd"/>
    </w:p>
    <w:p w:rsidR="00DF1A0D" w:rsidRDefault="00DF1A0D" w:rsidP="00DF1A0D">
      <w:pPr>
        <w:ind w:left="540" w:hanging="540"/>
      </w:pPr>
    </w:p>
    <w:p w:rsidR="00DF1A0D" w:rsidRDefault="00DF1A0D" w:rsidP="00DF1A0D">
      <w:pPr>
        <w:ind w:left="540" w:hanging="540"/>
      </w:pPr>
      <w:r>
        <w:t>Various items on Gildas on JSTOR</w:t>
      </w:r>
    </w:p>
    <w:p w:rsidR="00DF1A0D" w:rsidRPr="00DF1A0D" w:rsidRDefault="00DF1A0D" w:rsidP="00DF1A0D">
      <w:pPr>
        <w:ind w:left="540" w:hanging="540"/>
      </w:pPr>
    </w:p>
    <w:p w:rsidR="00DF1A0D" w:rsidRPr="00DF1A0D" w:rsidRDefault="00DF1A0D" w:rsidP="006915D4">
      <w:pPr>
        <w:ind w:left="540" w:hanging="540"/>
        <w:rPr>
          <w:b/>
        </w:rPr>
      </w:pPr>
      <w:r w:rsidRPr="00DF1A0D">
        <w:rPr>
          <w:b/>
        </w:rPr>
        <w:t>Some recommended studies</w:t>
      </w:r>
    </w:p>
    <w:p w:rsidR="00DF1A0D" w:rsidRPr="00DF1A0D" w:rsidRDefault="00DF1A0D" w:rsidP="00DF1A0D">
      <w:pPr>
        <w:ind w:left="576" w:hanging="576"/>
        <w:jc w:val="both"/>
      </w:pPr>
      <w:r w:rsidRPr="00DF1A0D">
        <w:rPr>
          <w:rStyle w:val="HTMLCite"/>
          <w:i w:val="0"/>
        </w:rPr>
        <w:t xml:space="preserve">N. Higham, </w:t>
      </w:r>
      <w:proofErr w:type="gramStart"/>
      <w:r w:rsidRPr="00DF1A0D">
        <w:rPr>
          <w:rStyle w:val="HTMLCite"/>
        </w:rPr>
        <w:t>The</w:t>
      </w:r>
      <w:proofErr w:type="gramEnd"/>
      <w:r w:rsidRPr="00DF1A0D">
        <w:rPr>
          <w:rStyle w:val="HTMLCite"/>
        </w:rPr>
        <w:t xml:space="preserve"> English Conquest: Gildas and Britain in the Fifth Century</w:t>
      </w:r>
      <w:r w:rsidRPr="00DF1A0D">
        <w:t xml:space="preserve"> </w:t>
      </w:r>
      <w:r w:rsidRPr="00DF1A0D">
        <w:rPr>
          <w:rStyle w:val="HTMLAcronym"/>
        </w:rPr>
        <w:t xml:space="preserve">(Manchester, </w:t>
      </w:r>
      <w:r w:rsidRPr="00DF1A0D">
        <w:t>1994).</w:t>
      </w:r>
    </w:p>
    <w:p w:rsidR="006915D4" w:rsidRPr="00DF1A0D" w:rsidRDefault="006915D4" w:rsidP="006915D4">
      <w:pPr>
        <w:ind w:left="540" w:hanging="540"/>
      </w:pPr>
      <w:r w:rsidRPr="00DF1A0D">
        <w:t>Neil Faulkner with R. Reece, ‘</w:t>
      </w:r>
      <w:proofErr w:type="gramStart"/>
      <w:r w:rsidRPr="00DF1A0D">
        <w:t>The</w:t>
      </w:r>
      <w:proofErr w:type="gramEnd"/>
      <w:r w:rsidRPr="00DF1A0D">
        <w:t xml:space="preserve"> Debate About the End: A Review of Evidence and Methods’, </w:t>
      </w:r>
      <w:r w:rsidRPr="00DF1A0D">
        <w:rPr>
          <w:i/>
          <w:iCs/>
        </w:rPr>
        <w:t xml:space="preserve">Archaeological Journal </w:t>
      </w:r>
      <w:r w:rsidRPr="00DF1A0D">
        <w:t>159 (2002) 59-76</w:t>
      </w:r>
    </w:p>
    <w:p w:rsidR="006915D4" w:rsidRPr="00DF1A0D" w:rsidRDefault="006915D4" w:rsidP="006915D4">
      <w:pPr>
        <w:ind w:left="540" w:hanging="540"/>
      </w:pPr>
      <w:r w:rsidRPr="00DF1A0D">
        <w:t xml:space="preserve">Tim and Annette </w:t>
      </w:r>
      <w:proofErr w:type="spellStart"/>
      <w:r w:rsidRPr="00DF1A0D">
        <w:t>Burkitt</w:t>
      </w:r>
      <w:proofErr w:type="spellEnd"/>
      <w:r w:rsidRPr="00DF1A0D">
        <w:t>, ‘</w:t>
      </w:r>
      <w:proofErr w:type="gramStart"/>
      <w:r w:rsidRPr="00DF1A0D">
        <w:t>The</w:t>
      </w:r>
      <w:proofErr w:type="gramEnd"/>
      <w:r w:rsidRPr="00DF1A0D">
        <w:t xml:space="preserve"> Frontier Zone and the Siege of Mount </w:t>
      </w:r>
      <w:proofErr w:type="spellStart"/>
      <w:r w:rsidRPr="00DF1A0D">
        <w:t>Badon</w:t>
      </w:r>
      <w:proofErr w:type="spellEnd"/>
      <w:r w:rsidRPr="00DF1A0D">
        <w:t xml:space="preserve">: A Review of the Evidence for their Location, </w:t>
      </w:r>
      <w:r w:rsidRPr="00DF1A0D">
        <w:rPr>
          <w:i/>
          <w:iCs/>
        </w:rPr>
        <w:t xml:space="preserve">Proceedings of the Somerset Archaeology and Natural History Society </w:t>
      </w:r>
      <w:r w:rsidRPr="00DF1A0D">
        <w:t>134 (1990) 81-93</w:t>
      </w:r>
    </w:p>
    <w:p w:rsidR="006915D4" w:rsidRPr="00DF1A0D" w:rsidRDefault="006915D4" w:rsidP="006915D4">
      <w:pPr>
        <w:ind w:left="540" w:hanging="540"/>
      </w:pPr>
      <w:r w:rsidRPr="00DF1A0D">
        <w:t xml:space="preserve">Susan Hirst and Philip </w:t>
      </w:r>
      <w:proofErr w:type="spellStart"/>
      <w:r w:rsidRPr="00DF1A0D">
        <w:t>Rahtz</w:t>
      </w:r>
      <w:proofErr w:type="spellEnd"/>
      <w:r w:rsidRPr="00DF1A0D">
        <w:t xml:space="preserve"> </w:t>
      </w:r>
      <w:r w:rsidRPr="00DF1A0D">
        <w:rPr>
          <w:i/>
          <w:iCs/>
        </w:rPr>
        <w:t>et al.</w:t>
      </w:r>
      <w:r w:rsidRPr="00DF1A0D">
        <w:t>, ‘</w:t>
      </w:r>
      <w:proofErr w:type="spellStart"/>
      <w:r w:rsidRPr="00DF1A0D">
        <w:t>Liddington</w:t>
      </w:r>
      <w:proofErr w:type="spellEnd"/>
      <w:r w:rsidRPr="00DF1A0D">
        <w:t xml:space="preserve"> Castle and the Battle of </w:t>
      </w:r>
      <w:proofErr w:type="spellStart"/>
      <w:r w:rsidRPr="00DF1A0D">
        <w:t>Badon</w:t>
      </w:r>
      <w:proofErr w:type="spellEnd"/>
      <w:r w:rsidRPr="00DF1A0D">
        <w:t xml:space="preserve">: Excavations and Research 1976, </w:t>
      </w:r>
      <w:r w:rsidRPr="00DF1A0D">
        <w:rPr>
          <w:i/>
          <w:iCs/>
        </w:rPr>
        <w:t xml:space="preserve">Archaeological Journal </w:t>
      </w:r>
      <w:r w:rsidRPr="00DF1A0D">
        <w:t>153 (1996) 1-59 (selections in reading brick)</w:t>
      </w:r>
    </w:p>
    <w:p w:rsidR="006915D4" w:rsidRPr="00DF1A0D" w:rsidRDefault="006915D4" w:rsidP="006915D4">
      <w:pPr>
        <w:ind w:left="576" w:hanging="576"/>
        <w:jc w:val="both"/>
      </w:pPr>
      <w:r w:rsidRPr="00DF1A0D">
        <w:t xml:space="preserve">M. Lapidge and D. Dumville (ed.), </w:t>
      </w:r>
      <w:r w:rsidRPr="00DF1A0D">
        <w:rPr>
          <w:i/>
        </w:rPr>
        <w:t xml:space="preserve">Gildas: New Approaches </w:t>
      </w:r>
      <w:r w:rsidRPr="00DF1A0D">
        <w:t>(Woodbridge, 1984).</w:t>
      </w:r>
      <w:r w:rsidRPr="00DF1A0D">
        <w:br/>
      </w:r>
    </w:p>
    <w:p w:rsidR="006915D4" w:rsidRPr="00DF1A0D" w:rsidRDefault="006915D4" w:rsidP="006915D4">
      <w:pPr>
        <w:ind w:left="576" w:hanging="576"/>
        <w:jc w:val="both"/>
        <w:rPr>
          <w:b/>
        </w:rPr>
      </w:pPr>
    </w:p>
    <w:p w:rsidR="00CA165F" w:rsidRPr="00DF1A0D" w:rsidRDefault="006915D4" w:rsidP="006915D4">
      <w:r w:rsidRPr="00DF1A0D">
        <w:rPr>
          <w:b/>
          <w:bCs/>
        </w:rPr>
        <w:br w:type="page"/>
      </w:r>
    </w:p>
    <w:sectPr w:rsidR="00CA165F" w:rsidRPr="00DF1A0D" w:rsidSect="00B37880">
      <w:pgSz w:w="11905" w:h="16837"/>
      <w:pgMar w:top="1440" w:right="1797" w:bottom="1440" w:left="1797" w:header="720" w:footer="1134"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drawingGridHorizontalSpacing w:val="120"/>
  <w:displayHorizontalDrawingGridEvery w:val="0"/>
  <w:displayVerticalDrawingGridEvery w:val="2"/>
  <w:characterSpacingControl w:val="doNotCompress"/>
  <w:compat/>
  <w:rsids>
    <w:rsidRoot w:val="006915D4"/>
    <w:rsid w:val="00016F2D"/>
    <w:rsid w:val="00104A16"/>
    <w:rsid w:val="001D4CA1"/>
    <w:rsid w:val="005A618F"/>
    <w:rsid w:val="006915D4"/>
    <w:rsid w:val="008156BF"/>
    <w:rsid w:val="008B7F7B"/>
    <w:rsid w:val="00B37880"/>
    <w:rsid w:val="00CA165F"/>
    <w:rsid w:val="00DC63E2"/>
    <w:rsid w:val="00DF1A0D"/>
    <w:rsid w:val="00E56066"/>
    <w:rsid w:val="00EC7CA0"/>
    <w:rsid w:val="00FA009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Acronym" w:uiPriority="0"/>
    <w:lsdException w:name="HTML Cit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5D4"/>
    <w:rPr>
      <w:rFonts w:ascii="Times New Roman" w:eastAsia="Times New Roman" w:hAnsi="Times New Roman" w:cs="Times New Roman"/>
      <w:sz w:val="24"/>
      <w:szCs w:val="24"/>
    </w:rPr>
  </w:style>
  <w:style w:type="paragraph" w:styleId="Heading1">
    <w:name w:val="heading 1"/>
    <w:basedOn w:val="Normal"/>
    <w:next w:val="Normal"/>
    <w:link w:val="Heading1Char"/>
    <w:qFormat/>
    <w:rsid w:val="006915D4"/>
    <w:pPr>
      <w:keepNext/>
      <w:spacing w:line="360" w:lineRule="auto"/>
      <w:ind w:right="-7"/>
      <w:outlineLvl w:val="0"/>
    </w:pPr>
    <w:rPr>
      <w:rFonts w:ascii="Garamond" w:hAnsi="Garamond"/>
      <w:b/>
      <w:iCs/>
      <w:smallCap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15D4"/>
    <w:rPr>
      <w:rFonts w:ascii="Garamond" w:eastAsia="Times New Roman" w:hAnsi="Garamond" w:cs="Times New Roman"/>
      <w:b/>
      <w:iCs/>
      <w:smallCaps/>
      <w:sz w:val="20"/>
      <w:szCs w:val="20"/>
    </w:rPr>
  </w:style>
  <w:style w:type="character" w:styleId="HTMLCite">
    <w:name w:val="HTML Cite"/>
    <w:basedOn w:val="DefaultParagraphFont"/>
    <w:semiHidden/>
    <w:rsid w:val="006915D4"/>
    <w:rPr>
      <w:i/>
      <w:iCs/>
    </w:rPr>
  </w:style>
  <w:style w:type="character" w:styleId="HTMLAcronym">
    <w:name w:val="HTML Acronym"/>
    <w:basedOn w:val="DefaultParagraphFont"/>
    <w:semiHidden/>
    <w:rsid w:val="006915D4"/>
  </w:style>
  <w:style w:type="character" w:styleId="Hyperlink">
    <w:name w:val="Hyperlink"/>
    <w:basedOn w:val="DefaultParagraphFont"/>
    <w:uiPriority w:val="99"/>
    <w:unhideWhenUsed/>
    <w:rsid w:val="00DF1A0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vortigernstudies.org.uk/" TargetMode="External"/><Relationship Id="rId4" Type="http://schemas.openxmlformats.org/officeDocument/2006/relationships/hyperlink" Target="http://historymedren.about.com/library/text/bltxtgildasmai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1563</Words>
  <Characters>8912</Characters>
  <Application>Microsoft Office Word</Application>
  <DocSecurity>0</DocSecurity>
  <Lines>74</Lines>
  <Paragraphs>20</Paragraphs>
  <ScaleCrop>false</ScaleCrop>
  <Company/>
  <LinksUpToDate>false</LinksUpToDate>
  <CharactersWithSpaces>10455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Wooding</dc:creator>
  <cp:lastModifiedBy>Jonathan Wooding</cp:lastModifiedBy>
  <cp:revision>3</cp:revision>
  <dcterms:created xsi:type="dcterms:W3CDTF">2012-10-23T15:21:00Z</dcterms:created>
  <dcterms:modified xsi:type="dcterms:W3CDTF">2012-11-28T11:26:00Z</dcterms:modified>
</cp:coreProperties>
</file>