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numbering.xml" ContentType="application/vnd.openxmlformats-officedocument.wordprocessingml.numbering+xml"/>
  <Override PartName="/word/footer1.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styles.xml" ContentType="application/vnd.openxmlformats-officedocument.wordprocessingml.styles+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Assessment component 1: Individual report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Dipak Modhavadiya</w:t>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2506701</w:t>
      </w:r>
      <w:r>
        <w:rPr>
          <w:rFonts w:eastAsia="Times New Roman" w:cs="Times New Roman"/>
          <w:b/>
          <w:sz w:val="24"/>
          <w:szCs w:val="24"/>
        </w:rPr>
        <w:br/>
        <w:t>Module Name:</w:t>
      </w:r>
      <w:r>
        <w:rPr>
          <w:rFonts w:eastAsia="Times New Roman" w:cs="Times New Roman"/>
          <w:b w:val="false"/>
          <w:bCs w:val="false"/>
          <w:sz w:val="24"/>
          <w:szCs w:val="24"/>
        </w:rPr>
        <w:t xml:space="preserve"> International Marketing: Principles and Practices</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LCMB7026</w:t>
      </w:r>
    </w:p>
    <w:p>
      <w:pPr>
        <w:pStyle w:val="Normal"/>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Tushara Balendran Dian Mayasari </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2</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
            <w:widowControl w:val="false"/>
            <w:tabs>
              <w:tab w:val="clear" w:pos="720"/>
              <w:tab w:val="right" w:pos="12000" w:leader="none"/>
            </w:tabs>
            <w:spacing w:lineRule="auto" w:line="240" w:before="60" w:after="0"/>
            <w:rPr/>
          </w:pPr>
          <w:r>
            <w:fldChar w:fldCharType="begin"/>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instrText xml:space="preserve"> TOC \z \o "1-9" \u \t "heading 1,1,heading 2,2,heading 3,3,heading 4,4,heading 5,5,heading 6,6" \h</w:instrText>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fldChar w:fldCharType="separate"/>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0.0. Introduction ..................................................................................................       4</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senjvf6naum">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.0. Macro-Environmental Analysis</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       5</w:t>
          </w:r>
        </w:p>
        <w:p>
          <w:pPr>
            <w:pStyle w:val="Normal"/>
            <w:widowControl w:val="false"/>
            <w:tabs>
              <w:tab w:val="clear" w:pos="720"/>
              <w:tab w:val="right" w:pos="12000" w:leader="none"/>
            </w:tabs>
            <w:bidi w:val="0"/>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41ec5sad3gi">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.1 PESTLE ..................................................................................................       5</w:t>
            </w:r>
          </w:hyperlink>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qv81zexy63if">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.2 S</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TP ........................................................................................................        5</w:t>
          </w:r>
        </w:p>
        <w:p>
          <w:pPr>
            <w:pStyle w:val="Normal"/>
            <w:widowControl w:val="false"/>
            <w:tabs>
              <w:tab w:val="clear" w:pos="720"/>
              <w:tab w:val="right" w:pos="12000" w:leader="none"/>
            </w:tabs>
            <w:spacing w:lineRule="auto" w:line="240" w:before="60" w:after="0"/>
            <w:ind w:hanging="0" w:start="360"/>
            <w:rPr>
              <w:rFonts w:ascii="Arial" w:hAnsi="Arial" w:eastAsia="Times New Roman" w:cs="Times New Roman"/>
              <w:b w:val="false"/>
              <w:i w:val="false"/>
              <w:caps w:val="false"/>
              <w:smallCaps w:val="false"/>
              <w:strike w:val="false"/>
              <w:dstrike w:val="false"/>
              <w:vanish w:val="false"/>
              <w:color w:val="000000"/>
              <w:sz w:val="24"/>
              <w:szCs w:val="24"/>
              <w:u w:val="none"/>
              <w:shd w:fill="auto" w:val="clear"/>
            </w:rPr>
          </w:pPr>
          <w:r>
            <w:rPr>
              <w:rFonts w:eastAsia="Times New Roman" w:cs="Times New Roman"/>
              <w:b w:val="false"/>
              <w:i w:val="false"/>
              <w:caps w:val="false"/>
              <w:smallCaps w:val="false"/>
              <w:strike w:val="false"/>
              <w:dstrike w:val="false"/>
              <w:vanish w:val="false"/>
              <w:color w:val="000000"/>
              <w:sz w:val="24"/>
              <w:szCs w:val="24"/>
              <w:u w:val="none"/>
              <w:shd w:fill="auto" w:val="clear"/>
            </w:rPr>
            <w:t>1.3 International Marketing Mix .....................................................................       7</w:t>
          </w:r>
        </w:p>
        <w:p>
          <w:pPr>
            <w:pStyle w:val="Normal"/>
            <w:widowControl w:val="false"/>
            <w:tabs>
              <w:tab w:val="clear" w:pos="720"/>
              <w:tab w:val="right" w:pos="12000" w:leader="none"/>
            </w:tabs>
            <w:spacing w:lineRule="auto" w:line="240" w:before="60" w:after="0"/>
            <w:ind w:hanging="0" w:start="360"/>
            <w:rPr>
              <w:rFonts w:ascii="Arial" w:hAnsi="Arial" w:eastAsia="Times New Roman" w:cs="Times New Roman"/>
              <w:b w:val="false"/>
              <w:i w:val="false"/>
              <w:caps w:val="false"/>
              <w:smallCaps w:val="false"/>
              <w:strike w:val="false"/>
              <w:dstrike w:val="false"/>
              <w:vanish w:val="false"/>
              <w:color w:val="000000"/>
              <w:sz w:val="24"/>
              <w:szCs w:val="24"/>
              <w:u w:val="none"/>
              <w:shd w:fill="auto" w:val="clear"/>
            </w:rPr>
          </w:pPr>
          <w:r>
            <w:rPr/>
            <w:t>1.4 Brand Development ...........................................................................................       7</w:t>
          </w:r>
        </w:p>
        <w:p>
          <w:pPr>
            <w:pStyle w:val="Normal"/>
            <w:widowControl w:val="false"/>
            <w:tabs>
              <w:tab w:val="clear" w:pos="720"/>
              <w:tab w:val="right" w:pos="12000" w:leader="none"/>
            </w:tabs>
            <w:spacing w:lineRule="auto" w:line="240" w:before="60" w:after="0"/>
            <w:ind w:hanging="0" w:start="360"/>
            <w:rPr>
              <w:rFonts w:ascii="Arial" w:hAnsi="Arial" w:eastAsia="Times New Roman" w:cs="Times New Roman"/>
              <w:b w:val="false"/>
              <w:i w:val="false"/>
              <w:caps w:val="false"/>
              <w:smallCaps w:val="false"/>
              <w:strike w:val="false"/>
              <w:dstrike w:val="false"/>
              <w:vanish w:val="false"/>
              <w:color w:val="000000"/>
              <w:sz w:val="24"/>
              <w:szCs w:val="24"/>
              <w:u w:val="none"/>
              <w:shd w:fill="auto" w:val="clear"/>
            </w:rPr>
          </w:pPr>
          <w:r>
            <w:rPr>
              <w:rFonts w:eastAsia="Times New Roman" w:cs="Times New Roman"/>
              <w:b w:val="false"/>
              <w:i w:val="false"/>
              <w:caps w:val="false"/>
              <w:smallCaps w:val="false"/>
              <w:strike w:val="false"/>
              <w:dstrike w:val="false"/>
              <w:vanish w:val="false"/>
              <w:color w:val="000000"/>
              <w:sz w:val="24"/>
              <w:szCs w:val="24"/>
              <w:u w:val="none"/>
              <w:shd w:fill="auto" w:val="clear"/>
            </w:rPr>
            <w:t>1.5 Ethical Concerns ....................................................................................       7</w:t>
          </w:r>
        </w:p>
        <w:p>
          <w:pPr>
            <w:pStyle w:val="Normal"/>
            <w:widowControl w:val="false"/>
            <w:tabs>
              <w:tab w:val="clear" w:pos="720"/>
              <w:tab w:val="right" w:pos="12000" w:leader="none"/>
            </w:tabs>
            <w:spacing w:lineRule="auto" w:line="240" w:before="60" w:after="0"/>
            <w:ind w:hanging="0" w:start="360"/>
            <w:rPr>
              <w:rFonts w:ascii="Arial" w:hAnsi="Arial" w:eastAsia="Times New Roman" w:cs="Times New Roman"/>
              <w:b w:val="false"/>
              <w:i w:val="false"/>
              <w:caps w:val="false"/>
              <w:smallCaps w:val="false"/>
              <w:strike w:val="false"/>
              <w:dstrike w:val="false"/>
              <w:vanish w:val="false"/>
              <w:color w:val="000000"/>
              <w:sz w:val="24"/>
              <w:szCs w:val="24"/>
              <w:u w:val="none"/>
              <w:shd w:fill="auto" w:val="clear"/>
            </w:rPr>
          </w:pPr>
          <w:r>
            <w:rPr/>
            <w:t>1.6 Recommendations .............................................................................................       7</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2.0 Reflection .........................................................................................................  1</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 xml:space="preserve">3.0 </w:t>
          </w:r>
          <w:hyperlink w:anchor="_pemnsk9klfvc">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1</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fldChar w:fldCharType="end"/>
          </w:r>
        </w:p>
      </w:sdtContent>
    </w:sdt>
    <w:p>
      <w:pPr>
        <w:pStyle w:val="Heading1"/>
        <w:spacing w:lineRule="auto" w:line="360" w:before="0" w:after="200"/>
        <w:jc w:val="both"/>
        <w:rPr>
          <w:rFonts w:ascii="Arial" w:hAnsi="Arial"/>
          <w:sz w:val="24"/>
          <w:szCs w:val="24"/>
        </w:rPr>
      </w:pPr>
      <w:r>
        <w:rPr>
          <w:rFonts w:ascii="Arial" w:hAnsi="Arial"/>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ab/>
        <w:t>Renowned for its engineering excellence and prestige, Mercedes-Benz is a premier global automotive manufacturer established in 1926. The brand was born as a result of historic merger between two pioneering companies founded by 2 individuals. Karl Benz - who famously patented the first petrol powered internal combustion engine automobile in 1886 - and Gottlieb Daimler who(with his partner Wilhelm Maybach) invented first 4 wheeled automobile by integrating an engine into a stagecoach. Currently the brand is operating under its parent corporation Mercedes-Benz Group AG. Over the past century, it has evolved into a dominant multinational powerhouse with the overarching global vision of building the world's most desirable cars while pioneering the future of electric mobility and vehicle software. However, the execution of this vision is very strategic and the brand has adapted to its distinct international markets and it’s environment.</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This report presents a comprehensive comparative analysis of the international marketing strategies of Mercedes-Benz in two highly distinct markets: Germany and the United Arab Emirates (UAE). Through contemporary marketing frameworks, It evaluates the macro environmental factors that influence both regions. PESTLE and Hofstede's Cultural Dimensions are used to understand the impact of different economic and social conditions. Furthermore, the report critically examines how Mercedes-Benz adapted its Segmentation, Targeting, and Positioning (STP), along with the 7Ps of the marketing mix, to accommodate these differing landscapes. The report also includes an evaluation of Mercedes-Benz's directional development strategy, an assessment of ethical considerations within its marketing practices. After the analysis, It concludes with strategic recommendations for its future international operations.</w:t>
      </w:r>
      <w:r>
        <w:br w:type="page"/>
      </w:r>
    </w:p>
    <w:p>
      <w:pPr>
        <w:pStyle w:val="Heading1"/>
        <w:spacing w:lineRule="auto" w:line="360" w:before="0" w:after="200"/>
        <w:jc w:val="both"/>
        <w:rPr>
          <w:rFonts w:ascii="Arial" w:hAnsi="Arial"/>
          <w:sz w:val="24"/>
          <w:szCs w:val="24"/>
        </w:rPr>
      </w:pPr>
      <w:r>
        <w:rPr>
          <w:rFonts w:ascii="Arial" w:hAnsi="Arial"/>
          <w:sz w:val="24"/>
          <w:szCs w:val="24"/>
        </w:rPr>
        <w:t xml:space="preserve">1.0. </w:t>
      </w:r>
      <w:r>
        <w:rPr>
          <w:rFonts w:ascii="Arial" w:hAnsi="Arial"/>
          <w:b/>
          <w:bCs/>
          <w:sz w:val="24"/>
          <w:szCs w:val="24"/>
        </w:rPr>
        <w:t>Macro Environmental Analysis</w:t>
      </w:r>
    </w:p>
    <w:p>
      <w:pPr>
        <w:pStyle w:val="Heading2"/>
        <w:spacing w:lineRule="auto" w:line="360" w:before="0" w:after="200"/>
        <w:jc w:val="both"/>
        <w:rPr>
          <w:rFonts w:ascii="Arial" w:hAnsi="Arial"/>
          <w:sz w:val="24"/>
          <w:szCs w:val="24"/>
        </w:rPr>
      </w:pPr>
      <w:r>
        <w:rPr>
          <w:rFonts w:ascii="Arial" w:hAnsi="Arial"/>
          <w:sz w:val="24"/>
          <w:szCs w:val="24"/>
        </w:rPr>
        <w:t xml:space="preserve">1.1  </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Comprehensive analysis and Company’s Adoption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PESTLE analysis is used to identify, evaluate, and monitor the external macro-environmental factors that influence operations and strategic decision-making of given organization. There are six dimensions categorised under this framekwork : Political, Economic, Social, Technological, Legal, and Environmental (Johnson, Scholes and Whittington, 2008). By systematically scanning only these six areas and anticipating  market trends, businesses can mitigate external threats and discover new opportunities for growth.</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Mercedes-Benz is attempting to succeed in highly polarized markets. Though PESTLE framework, we can understand why the company must adapt its operations. It provides the structured evidence to demonstrate how Political or Legal factors such as rigid European emission mandates  and Social factors such as pragmatic consumer values in Germany directly  contrast with economic and social factors such as  massive tax-free purchasing power and conspicuous, status-driven culture of the UAE. Ultimately, PESTLE forms the analytical foundation for the brand's localized Segmentation, Targeting, Positioning (STP), and 7Ps marketing mix.</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29" behindDoc="0" locked="0" layoutInCell="0" allowOverlap="1">
            <wp:simplePos x="0" y="0"/>
            <wp:positionH relativeFrom="column">
              <wp:align>center</wp:align>
            </wp:positionH>
            <wp:positionV relativeFrom="paragraph">
              <wp:posOffset>635</wp:posOffset>
            </wp:positionV>
            <wp:extent cx="5870575" cy="2820035"/>
            <wp:effectExtent l="0" t="0" r="0" b="0"/>
            <wp:wrapTopAndBottom/>
            <wp:docPr id="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pic:cNvPicPr>
                      <a:picLocks noChangeAspect="1" noChangeArrowheads="1"/>
                    </pic:cNvPicPr>
                  </pic:nvPicPr>
                  <pic:blipFill>
                    <a:blip r:embed="rId2"/>
                    <a:stretch>
                      <a:fillRect/>
                    </a:stretch>
                  </pic:blipFill>
                  <pic:spPr bwMode="auto">
                    <a:xfrm>
                      <a:off x="0" y="0"/>
                      <a:ext cx="5870575" cy="2820035"/>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 xml:space="preserve">Political :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political environment in Germany is heavily shaped by European Union (EU) supranational regulations. EU’s stringent environmental mandates put pressure for rapid decarbonization which makes the domestic market highly unfavorable for traditional Internal Combustion Engines (ICEs). As the government actively pushes for the adoption of Electric Vehicles (EVs) through changing policies and impending phase-out regulations (Zirpoli, 2025),  Mercedes-Benz has been forced to pivot its core operations and strategic focus toward green energy and the expansion of its EV lineup to survive and maintain compliance in its home market,  (Wesseling et al., 2020).</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31" behindDoc="0" locked="0" layoutInCell="0" allowOverlap="1">
            <wp:simplePos x="0" y="0"/>
            <wp:positionH relativeFrom="column">
              <wp:align>center</wp:align>
            </wp:positionH>
            <wp:positionV relativeFrom="paragraph">
              <wp:posOffset>635</wp:posOffset>
            </wp:positionV>
            <wp:extent cx="5415280" cy="2842895"/>
            <wp:effectExtent l="0" t="0" r="0" b="0"/>
            <wp:wrapTopAndBottom/>
            <wp:docPr id="2"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
                    <pic:cNvPicPr>
                      <a:picLocks noChangeAspect="1" noChangeArrowheads="1"/>
                    </pic:cNvPicPr>
                  </pic:nvPicPr>
                  <pic:blipFill>
                    <a:blip r:embed="rId3"/>
                    <a:stretch>
                      <a:fillRect/>
                    </a:stretch>
                  </pic:blipFill>
                  <pic:spPr bwMode="auto">
                    <a:xfrm>
                      <a:off x="0" y="0"/>
                      <a:ext cx="5415280" cy="2842895"/>
                    </a:xfrm>
                    <a:prstGeom prst="rect">
                      <a:avLst/>
                    </a:prstGeom>
                    <a:noFill/>
                  </pic:spPr>
                </pic:pic>
              </a:graphicData>
            </a:graphic>
          </wp:anchor>
        </w:drawing>
      </w:r>
      <w:r>
        <w:rPr>
          <w:rFonts w:eastAsia="Times New Roman" w:cs="Times New Roman"/>
          <w:b w:val="false"/>
          <w:bCs w:val="false"/>
          <w:sz w:val="24"/>
          <w:szCs w:val="24"/>
        </w:rPr>
        <w:t>(Source : Eleport 2025)</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stark contrast, the United Arab Emirates is a highly stable monarchy that actively supports the luxury brands operating within its borders (DFAT, 2026). Unlike the European market, the UAE does not have strict environmental requirements or imminent legislative bans on combustion engines. This creates a highly favorable political environment for brands like Mercedes-Benz. Instead of being pressured for an immediate green transition, the brand can comfortably continue its traditional operations and the sale of its high-performance, high-profit-margin ICE vehicles like the G-Class and AMG models (Bartlett et al., 2017).</w:t>
      </w:r>
    </w:p>
    <w:tbl>
      <w:tblPr>
        <w:tblW w:w="5000" w:type="pct"/>
        <w:jc w:val="start"/>
        <w:tblInd w:w="-5" w:type="dxa"/>
        <w:tblLayout w:type="fixed"/>
        <w:tblCellMar>
          <w:top w:w="55" w:type="dxa"/>
          <w:start w:w="55" w:type="dxa"/>
          <w:bottom w:w="55" w:type="dxa"/>
          <w:end w:w="55" w:type="dxa"/>
        </w:tblCellMar>
      </w:tblPr>
      <w:tblGrid>
        <w:gridCol w:w="4513"/>
        <w:gridCol w:w="4513"/>
      </w:tblGrid>
      <w:tr>
        <w:trPr>
          <w:trHeight w:val="592" w:hRule="atLeast"/>
        </w:trPr>
        <w:tc>
          <w:tcPr>
            <w:tcW w:w="4513"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513"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513" w:type="dxa"/>
            <w:tcBorders>
              <w:start w:val="single" w:sz="4" w:space="0" w:color="000000"/>
              <w:bottom w:val="single" w:sz="4" w:space="0" w:color="000000"/>
            </w:tcBorders>
          </w:tcPr>
          <w:p>
            <w:pPr>
              <w:pStyle w:val="TableContents"/>
              <w:rPr/>
            </w:pPr>
            <w:r>
              <w:rPr/>
              <w:t xml:space="preserve">Moderately Unfavorable: </w:t>
            </w:r>
            <w:r>
              <w:rPr/>
              <w:t>H</w:t>
            </w:r>
            <w:r>
              <w:rPr/>
              <w:t xml:space="preserve">ighly regulated political landscape </w:t>
            </w:r>
            <w:r>
              <w:rPr/>
              <w:t>with s</w:t>
            </w:r>
            <w:r>
              <w:rPr/>
              <w:t xml:space="preserve">trict EU </w:t>
            </w:r>
            <w:r>
              <w:rPr/>
              <w:t>mendates</w:t>
            </w:r>
            <w:r>
              <w:rPr/>
              <w:t xml:space="preserve"> and aggressive green energy mandates.</w:t>
            </w:r>
          </w:p>
          <w:p>
            <w:pPr>
              <w:pStyle w:val="TableContents"/>
              <w:rPr/>
            </w:pPr>
            <w:r>
              <w:rPr/>
            </w:r>
          </w:p>
          <w:p>
            <w:pPr>
              <w:pStyle w:val="TableContents"/>
              <w:rPr/>
            </w:pPr>
            <w:r>
              <w:rPr/>
              <w:t>It h</w:t>
            </w:r>
            <w:r>
              <w:rPr/>
              <w:t xml:space="preserve">eavily restrict traditional internal combustion engine (ICE) manufacturing </w:t>
            </w:r>
            <w:r>
              <w:rPr/>
              <w:t>and</w:t>
            </w:r>
            <w:r>
              <w:rPr/>
              <w:t xml:space="preserve"> forces costly strategic pivots </w:t>
            </w:r>
            <w:r>
              <w:rPr/>
              <w:t>towards EV.</w:t>
            </w:r>
          </w:p>
        </w:tc>
        <w:tc>
          <w:tcPr>
            <w:tcW w:w="4513" w:type="dxa"/>
            <w:tcBorders>
              <w:start w:val="single" w:sz="4" w:space="0" w:color="000000"/>
              <w:bottom w:val="single" w:sz="4" w:space="0" w:color="000000"/>
              <w:end w:val="single" w:sz="4" w:space="0" w:color="000000"/>
            </w:tcBorders>
          </w:tcPr>
          <w:p>
            <w:pPr>
              <w:pStyle w:val="TableContents"/>
              <w:rPr/>
            </w:pPr>
            <w:r>
              <w:rPr/>
              <w:t>Highly Favorabl</w:t>
            </w:r>
            <w:r>
              <w:rPr/>
              <w:t>e</w:t>
            </w:r>
            <w:r>
              <w:rPr/>
              <w:t xml:space="preserve">: </w:t>
            </w:r>
            <w:r>
              <w:rPr/>
              <w:t>S</w:t>
            </w:r>
            <w:r>
              <w:rPr/>
              <w:t xml:space="preserve">table, pro-business </w:t>
            </w:r>
            <w:r>
              <w:rPr/>
              <w:t>environment without the burden of restrictive manufacturing legislation.</w:t>
            </w:r>
          </w:p>
          <w:p>
            <w:pPr>
              <w:pStyle w:val="TableContents"/>
              <w:rPr/>
            </w:pPr>
            <w:r>
              <w:rPr/>
            </w:r>
          </w:p>
          <w:p>
            <w:pPr>
              <w:pStyle w:val="TableContents"/>
              <w:rPr/>
            </w:pPr>
            <w:r>
              <w:rPr/>
              <w:t>G</w:t>
            </w:r>
            <w:r>
              <w:rPr/>
              <w:t>overnment's push for smart mobility creates a highly supportive climate for importing luxury and tech-forward vehicles.</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Economical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is a highly developed and mature economy, but its domestic premium automotive manufacturers are facing significant challenges due to country’s current macroeconomic environment as the country is experiencing persistent inflation, high energy costs and sluggish Gross Domestic Product (GDP) growth. Furthermore, a heavy taxation framework squeezes the real disposable income of consumers (BNP Paribas, 2025). These factors along with cautious consumer sentiment and create an unfavorable and highly cost-sensitive environment for Mercedes-Benz where middle-class purchasing power is diminished. This highlly constrained economic landscape makes it is difficult for a top-tier luxury vehicles brand to achieve high sales volumes. Hence, the brand must navigate a challenging market.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32" behindDoc="0" locked="0" layoutInCell="0" allowOverlap="1">
            <wp:simplePos x="0" y="0"/>
            <wp:positionH relativeFrom="column">
              <wp:align>center</wp:align>
            </wp:positionH>
            <wp:positionV relativeFrom="paragraph">
              <wp:posOffset>635</wp:posOffset>
            </wp:positionV>
            <wp:extent cx="4154170" cy="3086100"/>
            <wp:effectExtent l="0" t="0" r="0" b="0"/>
            <wp:wrapTopAndBottom/>
            <wp:docPr id="3"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6"/>
                    <pic:cNvPicPr>
                      <a:picLocks noChangeAspect="1" noChangeArrowheads="1"/>
                    </pic:cNvPicPr>
                  </pic:nvPicPr>
                  <pic:blipFill>
                    <a:blip r:embed="rId4"/>
                    <a:stretch>
                      <a:fillRect/>
                    </a:stretch>
                  </pic:blipFill>
                  <pic:spPr bwMode="auto">
                    <a:xfrm>
                      <a:off x="0" y="0"/>
                      <a:ext cx="4154170" cy="3086100"/>
                    </a:xfrm>
                    <a:prstGeom prst="rect">
                      <a:avLst/>
                    </a:prstGeom>
                    <a:noFill/>
                  </pic:spPr>
                </pic:pic>
              </a:graphicData>
            </a:graphic>
          </wp:anchor>
        </w:drawing>
      </w:r>
    </w:p>
    <w:p>
      <w:pPr>
        <w:pStyle w:val="Normal"/>
        <w:bidi w:val="0"/>
        <w:spacing w:lineRule="auto" w:line="360" w:before="0" w:after="200"/>
        <w:jc w:val="center"/>
        <w:rPr>
          <w:rFonts w:eastAsia="Times New Roman" w:cs="Times New Roman"/>
          <w:b w:val="false"/>
          <w:bCs w:val="false"/>
          <w:sz w:val="24"/>
          <w:szCs w:val="24"/>
        </w:rPr>
      </w:pPr>
      <w:r>
        <w:rPr>
          <w:rFonts w:eastAsia="Times New Roman" w:cs="Times New Roman"/>
          <w:b w:val="false"/>
          <w:bCs w:val="false"/>
          <w:sz w:val="24"/>
          <w:szCs w:val="24"/>
        </w:rPr>
        <w:t>(Source : Statistica)</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stark contrast, the United Arab Emirates has immense and unrestricted wealth accumulation. It is renowned for having remarkably high GDP per capita and no personal income tax, making it a premier destination for global wealth (Stewards Investment Capital, 2025). Hence, the region has a massive concentration of High Net Worth Individuals (HNIs) with high levels of disposable income, that creates an incredibly lucrative and highly favorable market for Mercedes-Benz. Unlike European consumers, UAE consumers demonstrate low price sensitivity because of low inflation and zero taxation. Which creates a prestige-driven market with high profit margins hence removing the traditional economic barriers. This kind of macro economic environment is perfectly suited for maximizing profits on the brand's most elite automotive offerings.</w:t>
      </w:r>
    </w:p>
    <w:tbl>
      <w:tblPr>
        <w:tblW w:w="5000" w:type="pct"/>
        <w:jc w:val="start"/>
        <w:tblInd w:w="-5" w:type="dxa"/>
        <w:tblLayout w:type="fixed"/>
        <w:tblCellMar>
          <w:top w:w="55" w:type="dxa"/>
          <w:start w:w="55" w:type="dxa"/>
          <w:bottom w:w="55" w:type="dxa"/>
          <w:end w:w="55" w:type="dxa"/>
        </w:tblCellMar>
      </w:tblPr>
      <w:tblGrid>
        <w:gridCol w:w="4645"/>
        <w:gridCol w:w="4381"/>
      </w:tblGrid>
      <w:tr>
        <w:trPr>
          <w:trHeight w:val="592" w:hRule="atLeast"/>
        </w:trPr>
        <w:tc>
          <w:tcPr>
            <w:tcW w:w="4645"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1"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5" w:type="dxa"/>
            <w:tcBorders>
              <w:start w:val="single" w:sz="4" w:space="0" w:color="000000"/>
              <w:bottom w:val="single" w:sz="4" w:space="0" w:color="000000"/>
            </w:tcBorders>
          </w:tcPr>
          <w:p>
            <w:pPr>
              <w:pStyle w:val="TableContents"/>
              <w:bidi w:val="0"/>
              <w:rPr/>
            </w:pPr>
            <w:r>
              <w:rPr/>
              <w:t xml:space="preserve">Unfavorable: The market is currently facing inflation </w:t>
            </w:r>
            <w:r>
              <w:rPr/>
              <w:t>and</w:t>
            </w:r>
            <w:r>
              <w:rPr/>
              <w:t xml:space="preserve"> slow, </w:t>
            </w:r>
            <w:r>
              <w:rPr/>
              <w:t>slow</w:t>
            </w:r>
            <w:r>
              <w:rPr/>
              <w:t xml:space="preserve"> growt</w:t>
            </w:r>
            <w:r>
              <w:rPr/>
              <w:t>h.</w:t>
            </w:r>
          </w:p>
          <w:p>
            <w:pPr>
              <w:pStyle w:val="TableContents"/>
              <w:bidi w:val="0"/>
              <w:rPr/>
            </w:pPr>
            <w:r>
              <w:rPr/>
            </w:r>
          </w:p>
          <w:p>
            <w:pPr>
              <w:pStyle w:val="TableContents"/>
              <w:bidi w:val="0"/>
              <w:rPr/>
            </w:pPr>
            <w:r>
              <w:rPr/>
              <w:t xml:space="preserve">Fluctuating energy costs </w:t>
            </w:r>
          </w:p>
          <w:p>
            <w:pPr>
              <w:pStyle w:val="TableContents"/>
              <w:bidi w:val="0"/>
              <w:rPr/>
            </w:pPr>
            <w:r>
              <w:rPr/>
            </w:r>
          </w:p>
          <w:p>
            <w:pPr>
              <w:pStyle w:val="TableContents"/>
              <w:bidi w:val="0"/>
              <w:rPr/>
            </w:pPr>
            <w:r>
              <w:rPr/>
              <w:t>T</w:t>
            </w:r>
            <w:r>
              <w:rPr/>
              <w:t xml:space="preserve">ightened consumer spending, </w:t>
            </w:r>
            <w:r>
              <w:rPr/>
              <w:t>e</w:t>
            </w:r>
            <w:r>
              <w:rPr/>
              <w:t>ven within the luxury segment, buyers are becoming increasingly value-conscious, leading to.</w:t>
            </w:r>
          </w:p>
        </w:tc>
        <w:tc>
          <w:tcPr>
            <w:tcW w:w="4381" w:type="dxa"/>
            <w:tcBorders>
              <w:start w:val="single" w:sz="4" w:space="0" w:color="000000"/>
              <w:bottom w:val="single" w:sz="4" w:space="0" w:color="000000"/>
              <w:end w:val="single" w:sz="4" w:space="0" w:color="000000"/>
            </w:tcBorders>
          </w:tcPr>
          <w:p>
            <w:pPr>
              <w:pStyle w:val="TableContents"/>
              <w:rPr/>
            </w:pPr>
            <w:r>
              <w:rPr/>
              <w:t xml:space="preserve">Highly Favorable: </w:t>
            </w:r>
            <w:r>
              <w:rPr/>
              <w:t>Price-insensitive and wealthy population with h</w:t>
            </w:r>
            <w:r>
              <w:rPr/>
              <w:t>igh disposable incomes.</w:t>
            </w:r>
          </w:p>
          <w:p>
            <w:pPr>
              <w:pStyle w:val="TableContents"/>
              <w:rPr/>
            </w:pPr>
            <w:r>
              <w:rPr/>
            </w:r>
          </w:p>
          <w:p>
            <w:pPr>
              <w:pStyle w:val="TableContents"/>
              <w:rPr/>
            </w:pPr>
            <w:r>
              <w:rPr/>
              <w:t>Robust d</w:t>
            </w:r>
            <w:r>
              <w:rPr/>
              <w:t xml:space="preserve">emand for top-tier luxury vehicles remains </w:t>
            </w:r>
            <w:r>
              <w:rPr/>
              <w:t>high</w:t>
            </w:r>
            <w:r>
              <w:rPr/>
              <w:t>.</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Social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social and cultural dimension is one of the most significant point to analyze.  By applying Hofstede's (2011) six cultural dimensions framework as a structured basis for this comparison, We can clearly see the differences in both markets.</w:t>
        <w:br/>
        <w:t>Germany is a society that values pragmatism, engineering excellence, and now a days, environmental sustainability and practical commute or car sharing rather than flashy cars. In Germany, a Mercedes sells on its safety, efficiency, and engineering.</w:t>
      </w:r>
    </w:p>
    <w:p>
      <w:pPr>
        <w:pStyle w:val="Normal"/>
        <w:bidi w:val="0"/>
        <w:spacing w:lineRule="auto" w:line="360" w:before="0" w:after="200"/>
        <w:jc w:val="both"/>
        <w:rPr>
          <w:rFonts w:ascii="Arial" w:hAnsi="Arial" w:eastAsia="Times New Roman" w:cs="Times New Roman"/>
          <w:b w:val="false"/>
          <w:bCs w:val="false"/>
          <w:i w:val="false"/>
          <w:iCs w:val="false"/>
          <w:sz w:val="24"/>
          <w:szCs w:val="24"/>
        </w:rPr>
      </w:pPr>
      <w:r>
        <w:rPr>
          <w:rFonts w:eastAsia="Times New Roman" w:cs="Times New Roman"/>
          <w:b w:val="false"/>
          <w:bCs w:val="false"/>
          <w:sz w:val="24"/>
          <w:szCs w:val="24"/>
        </w:rPr>
        <w:t>UAE is status driven society where a car is sybol of status and wealth rather than just a mode of transport. I</w:t>
      </w:r>
      <w:r>
        <w:rPr>
          <w:rFonts w:eastAsia="Times New Roman" w:cs="Times New Roman"/>
          <w:b w:val="false"/>
          <w:bCs w:val="false"/>
          <w:i w:val="false"/>
          <w:iCs w:val="false"/>
          <w:sz w:val="24"/>
          <w:szCs w:val="24"/>
        </w:rPr>
        <w:t>n the UAE, it is sells on exclusivity, prestige, and power.</w:t>
      </w:r>
    </w:p>
    <w:tbl>
      <w:tblPr>
        <w:tblW w:w="5000" w:type="pct"/>
        <w:jc w:val="start"/>
        <w:tblInd w:w="-5" w:type="dxa"/>
        <w:tblLayout w:type="fixed"/>
        <w:tblCellMar>
          <w:top w:w="55" w:type="dxa"/>
          <w:start w:w="55" w:type="dxa"/>
          <w:bottom w:w="55" w:type="dxa"/>
          <w:end w:w="55" w:type="dxa"/>
        </w:tblCellMar>
      </w:tblPr>
      <w:tblGrid>
        <w:gridCol w:w="4645"/>
        <w:gridCol w:w="4381"/>
      </w:tblGrid>
      <w:tr>
        <w:trPr>
          <w:trHeight w:val="592" w:hRule="atLeast"/>
        </w:trPr>
        <w:tc>
          <w:tcPr>
            <w:tcW w:w="4645"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1"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5" w:type="dxa"/>
            <w:tcBorders>
              <w:start w:val="single" w:sz="4" w:space="0" w:color="000000"/>
              <w:bottom w:val="single" w:sz="4" w:space="0" w:color="000000"/>
            </w:tcBorders>
          </w:tcPr>
          <w:p>
            <w:pPr>
              <w:pStyle w:val="TableContents"/>
              <w:bidi w:val="0"/>
              <w:rPr/>
            </w:pPr>
            <w:r>
              <w:rPr/>
              <w:t>Unfavorable for Traditional Luxury : Consumer</w:t>
            </w:r>
            <w:r>
              <w:rPr/>
              <w:t>s</w:t>
            </w:r>
            <w:r>
              <w:rPr/>
              <w:t xml:space="preserve"> </w:t>
            </w:r>
            <w:r>
              <w:rPr/>
              <w:t>are leaning</w:t>
            </w:r>
            <w:r>
              <w:rPr/>
              <w:t xml:space="preserve"> toward</w:t>
            </w:r>
            <w:r>
              <w:rPr/>
              <w:t xml:space="preserve">s </w:t>
            </w:r>
            <w:r>
              <w:rPr/>
              <w:t xml:space="preserve">environmental pragmatism and understated luxury. </w:t>
            </w:r>
            <w:r>
              <w:rPr/>
              <w:t>They are</w:t>
            </w:r>
            <w:r>
              <w:rPr/>
              <w:t xml:space="preserve"> moving away from flashy displays of wealth.</w:t>
            </w:r>
          </w:p>
          <w:p>
            <w:pPr>
              <w:pStyle w:val="TableContents"/>
              <w:bidi w:val="0"/>
              <w:rPr/>
            </w:pPr>
            <w:r>
              <w:rPr/>
            </w:r>
          </w:p>
          <w:p>
            <w:pPr>
              <w:pStyle w:val="TableContents"/>
              <w:bidi w:val="0"/>
              <w:rPr/>
            </w:pPr>
            <w:r>
              <w:rPr/>
              <w:t xml:space="preserve">Favorable for EV :  Mercedes must rely on its safety and engineering heritage. traditional "status-symbol" marketing no longer resonates with the eco-conscious </w:t>
            </w:r>
            <w:r>
              <w:rPr/>
              <w:t>consumers</w:t>
            </w:r>
            <w:r>
              <w:rPr/>
              <w:t>.</w:t>
            </w:r>
          </w:p>
        </w:tc>
        <w:tc>
          <w:tcPr>
            <w:tcW w:w="4381" w:type="dxa"/>
            <w:tcBorders>
              <w:start w:val="single" w:sz="4" w:space="0" w:color="000000"/>
              <w:bottom w:val="single" w:sz="4" w:space="0" w:color="000000"/>
              <w:end w:val="single" w:sz="4" w:space="0" w:color="000000"/>
            </w:tcBorders>
          </w:tcPr>
          <w:p>
            <w:pPr>
              <w:pStyle w:val="TableContents"/>
              <w:rPr/>
            </w:pPr>
            <w:r>
              <w:rPr/>
              <w:t>Highly Favorable : The society is highly status-driven, where brand prestige signal</w:t>
            </w:r>
            <w:r>
              <w:rPr/>
              <w:t>s</w:t>
            </w:r>
            <w:r>
              <w:rPr/>
              <w:t xml:space="preserve"> social </w:t>
            </w:r>
            <w:r>
              <w:rPr/>
              <w:t>status</w:t>
            </w:r>
            <w:r>
              <w:rPr/>
              <w:t xml:space="preserve">. </w:t>
            </w:r>
          </w:p>
          <w:p>
            <w:pPr>
              <w:pStyle w:val="TableContents"/>
              <w:rPr/>
            </w:pPr>
            <w:r>
              <w:rPr/>
            </w:r>
          </w:p>
          <w:p>
            <w:pPr>
              <w:pStyle w:val="TableContents"/>
              <w:rPr/>
            </w:pPr>
            <w:r>
              <w:rPr/>
              <w:t xml:space="preserve">This exclusivity </w:t>
            </w:r>
            <w:r>
              <w:rPr/>
              <w:t xml:space="preserve">norms of </w:t>
            </w:r>
            <w:r>
              <w:rPr/>
              <w:t>cultur</w:t>
            </w:r>
            <w:r>
              <w:rPr/>
              <w:t>e</w:t>
            </w:r>
            <w:r>
              <w:rPr/>
              <w:t xml:space="preserve"> perfectly aligns </w:t>
            </w:r>
            <w:r>
              <w:rPr/>
              <w:t xml:space="preserve">in favour </w:t>
            </w:r>
            <w:r>
              <w:rPr/>
              <w:t>with Mercedes-Benz.</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drawing>
          <wp:anchor distT="0" distB="0" distL="0" distR="0" simplePos="0" relativeHeight="37" behindDoc="0" locked="0" layoutInCell="0" allowOverlap="1">
            <wp:simplePos x="0" y="0"/>
            <wp:positionH relativeFrom="column">
              <wp:align>center</wp:align>
            </wp:positionH>
            <wp:positionV relativeFrom="paragraph">
              <wp:posOffset>635</wp:posOffset>
            </wp:positionV>
            <wp:extent cx="4313555" cy="3236595"/>
            <wp:effectExtent l="0" t="0" r="0" b="0"/>
            <wp:wrapTopAndBottom/>
            <wp:docPr id="4"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pic:cNvPicPr>
                      <a:picLocks noChangeAspect="1" noChangeArrowheads="1"/>
                    </pic:cNvPicPr>
                  </pic:nvPicPr>
                  <pic:blipFill>
                    <a:blip r:embed="rId5"/>
                    <a:stretch>
                      <a:fillRect/>
                    </a:stretch>
                  </pic:blipFill>
                  <pic:spPr bwMode="auto">
                    <a:xfrm>
                      <a:off x="0" y="0"/>
                      <a:ext cx="4313555" cy="3236595"/>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Technological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From a technological perspective, Germany has highly skilled workforce and advanced R&amp;D facilities, which makes it the primary driver of automotive innovation and foundational technology. Meanwhile, the UAE is aggressively investing and developing it’s AI and EV infrastructure. The UAE consumers are specifically demanding premium, high-tech, and cutting-edge features in their luxury vehicles, that positions the UAE as a highly eager market for rapid technological adoption.</w:t>
      </w:r>
    </w:p>
    <w:p>
      <w:pPr>
        <w:pStyle w:val="Normal"/>
        <w:bidi w:val="0"/>
        <w:spacing w:lineRule="auto" w:line="360" w:before="0" w:after="200"/>
        <w:jc w:val="both"/>
        <w:rPr>
          <w:rFonts w:eastAsia="Times New Roman" w:cs="Times New Roman"/>
          <w:b w:val="false"/>
          <w:bCs w:val="false"/>
          <w:sz w:val="24"/>
          <w:szCs w:val="24"/>
        </w:rPr>
      </w:pPr>
      <w:r>
        <w:drawing>
          <wp:anchor distT="0" distB="0" distL="0" distR="0" simplePos="0" relativeHeight="34" behindDoc="0" locked="0" layoutInCell="0" allowOverlap="1">
            <wp:simplePos x="0" y="0"/>
            <wp:positionH relativeFrom="column">
              <wp:align>center</wp:align>
            </wp:positionH>
            <wp:positionV relativeFrom="paragraph">
              <wp:posOffset>635</wp:posOffset>
            </wp:positionV>
            <wp:extent cx="5448300" cy="3221990"/>
            <wp:effectExtent l="0" t="0" r="0" b="0"/>
            <wp:wrapTopAndBottom/>
            <wp:docPr id="5"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8"/>
                    <pic:cNvPicPr>
                      <a:picLocks noChangeAspect="1" noChangeArrowheads="1"/>
                    </pic:cNvPicPr>
                  </pic:nvPicPr>
                  <pic:blipFill>
                    <a:blip r:embed="rId6"/>
                    <a:stretch>
                      <a:fillRect/>
                    </a:stretch>
                  </pic:blipFill>
                  <pic:spPr bwMode="auto">
                    <a:xfrm>
                      <a:off x="0" y="0"/>
                      <a:ext cx="5448300" cy="3221990"/>
                    </a:xfrm>
                    <a:prstGeom prst="rect">
                      <a:avLst/>
                    </a:prstGeom>
                    <a:noFill/>
                  </pic:spPr>
                </pic:pic>
              </a:graphicData>
            </a:graphic>
          </wp:anchor>
        </w:drawing>
      </w:r>
      <w:r>
        <w:rPr>
          <w:rFonts w:eastAsia="Times New Roman" w:cs="Times New Roman"/>
          <w:b w:val="false"/>
          <w:bCs w:val="false"/>
          <w:sz w:val="24"/>
          <w:szCs w:val="24"/>
        </w:rPr>
        <w:t xml:space="preserve">(Source: </w:t>
      </w:r>
      <w:hyperlink r:id="rId7">
        <w:r>
          <w:rPr>
            <w:rStyle w:val="Hyperlink"/>
            <w:rFonts w:eastAsia="Times New Roman" w:cs="Times New Roman"/>
            <w:b w:val="false"/>
            <w:bCs w:val="false"/>
            <w:sz w:val="24"/>
            <w:szCs w:val="24"/>
          </w:rPr>
          <w:t>https://www.automobilwoche.de/autohersteller/mercedes-benz/amw-mercedes-sudafrika-partner-geely/</w:t>
        </w:r>
      </w:hyperlink>
      <w:r>
        <w:rPr>
          <w:rFonts w:eastAsia="Times New Roman" w:cs="Times New Roman"/>
          <w:b w:val="false"/>
          <w:bCs w:val="false"/>
          <w:sz w:val="24"/>
          <w:szCs w:val="24"/>
        </w:rPr>
        <w:t>)</w:t>
      </w:r>
    </w:p>
    <w:tbl>
      <w:tblPr>
        <w:tblW w:w="5000" w:type="pct"/>
        <w:jc w:val="start"/>
        <w:tblInd w:w="-5" w:type="dxa"/>
        <w:tblLayout w:type="fixed"/>
        <w:tblCellMar>
          <w:top w:w="55" w:type="dxa"/>
          <w:start w:w="55" w:type="dxa"/>
          <w:bottom w:w="55" w:type="dxa"/>
          <w:end w:w="55" w:type="dxa"/>
        </w:tblCellMar>
      </w:tblPr>
      <w:tblGrid>
        <w:gridCol w:w="4645"/>
        <w:gridCol w:w="4381"/>
      </w:tblGrid>
      <w:tr>
        <w:trPr>
          <w:trHeight w:val="592" w:hRule="atLeast"/>
        </w:trPr>
        <w:tc>
          <w:tcPr>
            <w:tcW w:w="4645"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1"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5" w:type="dxa"/>
            <w:tcBorders>
              <w:start w:val="single" w:sz="4" w:space="0" w:color="000000"/>
              <w:bottom w:val="single" w:sz="4" w:space="0" w:color="000000"/>
            </w:tcBorders>
          </w:tcPr>
          <w:p>
            <w:pPr>
              <w:pStyle w:val="TableContents"/>
              <w:bidi w:val="0"/>
              <w:rPr/>
            </w:pPr>
            <w:r>
              <w:rPr/>
              <w:t xml:space="preserve">Highly Favorable: Germany provides a world-class ecosystem for automotive R&amp;D </w:t>
            </w:r>
            <w:r>
              <w:rPr/>
              <w:t xml:space="preserve">and </w:t>
            </w:r>
            <w:r>
              <w:rPr/>
              <w:t xml:space="preserve">engineering talent </w:t>
            </w:r>
            <w:r>
              <w:rPr/>
              <w:t>with</w:t>
            </w:r>
            <w:r>
              <w:rPr/>
              <w:t xml:space="preserve"> a mature</w:t>
            </w:r>
            <w:r>
              <w:rPr/>
              <w:t>d</w:t>
            </w:r>
            <w:r>
              <w:rPr/>
              <w:t xml:space="preserve"> supply chain. </w:t>
            </w:r>
          </w:p>
          <w:p>
            <w:pPr>
              <w:pStyle w:val="TableContents"/>
              <w:bidi w:val="0"/>
              <w:rPr/>
            </w:pPr>
            <w:r>
              <w:rPr/>
            </w:r>
          </w:p>
          <w:p>
            <w:pPr>
              <w:pStyle w:val="TableContents"/>
              <w:bidi w:val="0"/>
              <w:rPr/>
            </w:pPr>
            <w:r>
              <w:rPr/>
              <w:t xml:space="preserve">This highly developed technological infrastructure is essential for Mercedes' global innovations </w:t>
            </w:r>
            <w:r>
              <w:rPr/>
              <w:t xml:space="preserve">and </w:t>
            </w:r>
            <w:r>
              <w:rPr/>
              <w:t xml:space="preserve">particularly in </w:t>
            </w:r>
            <w:r>
              <w:rPr/>
              <w:t>EV and automatic driving vehicles</w:t>
            </w:r>
            <w:r>
              <w:rPr/>
              <w:t>.</w:t>
            </w:r>
          </w:p>
        </w:tc>
        <w:tc>
          <w:tcPr>
            <w:tcW w:w="4381" w:type="dxa"/>
            <w:tcBorders>
              <w:start w:val="single" w:sz="4" w:space="0" w:color="000000"/>
              <w:bottom w:val="single" w:sz="4" w:space="0" w:color="000000"/>
              <w:end w:val="single" w:sz="4" w:space="0" w:color="000000"/>
            </w:tcBorders>
          </w:tcPr>
          <w:p>
            <w:pPr>
              <w:pStyle w:val="TableContents"/>
              <w:rPr/>
            </w:pPr>
            <w:r>
              <w:rPr/>
              <w:t xml:space="preserve">Favorable: The UAE is </w:t>
            </w:r>
            <w:r>
              <w:rPr/>
              <w:t>a highly eager market and</w:t>
            </w:r>
            <w:r>
              <w:rPr/>
              <w:t xml:space="preserve"> aggressive adopter of emerging technologies.</w:t>
            </w:r>
          </w:p>
          <w:p>
            <w:pPr>
              <w:pStyle w:val="TableContents"/>
              <w:rPr/>
            </w:pPr>
            <w:r>
              <w:rPr/>
            </w:r>
          </w:p>
          <w:p>
            <w:pPr>
              <w:pStyle w:val="TableContents"/>
              <w:rPr/>
            </w:pPr>
            <w:r>
              <w:rPr/>
              <w:t xml:space="preserve">State does </w:t>
            </w:r>
            <w:r>
              <w:rPr/>
              <w:t xml:space="preserve">massive state investments in smart city infrastructure. </w:t>
            </w:r>
          </w:p>
          <w:p>
            <w:pPr>
              <w:pStyle w:val="TableContents"/>
              <w:rPr/>
            </w:pPr>
            <w:r>
              <w:rPr/>
              <w:t xml:space="preserve">Consumers </w:t>
            </w:r>
            <w:r>
              <w:rPr/>
              <w:t>demand</w:t>
            </w:r>
            <w:r>
              <w:rPr/>
              <w:t xml:space="preserve"> cutting-edge digital integration and premium tech features.</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Legal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legal landscapes in both the countries create distinctly different operational environments. Germany has highly stringent laws regarding emissions, consumer protection, and supply chain transparency.  This acts as significant regulatory hurdle for car manufacturers. In contrast, the UAE demonstates a much more business-friendliness. However, It does require strict compliance with local agency laws and established local partners for distribution. While this makes business operations a bit complex, it does not pose significant structural challenges like European regulatory framework.</w:t>
      </w:r>
    </w:p>
    <w:tbl>
      <w:tblPr>
        <w:tblW w:w="5000" w:type="pct"/>
        <w:jc w:val="start"/>
        <w:tblInd w:w="-5" w:type="dxa"/>
        <w:tblLayout w:type="fixed"/>
        <w:tblCellMar>
          <w:top w:w="55" w:type="dxa"/>
          <w:start w:w="55" w:type="dxa"/>
          <w:bottom w:w="55" w:type="dxa"/>
          <w:end w:w="55" w:type="dxa"/>
        </w:tblCellMar>
      </w:tblPr>
      <w:tblGrid>
        <w:gridCol w:w="4645"/>
        <w:gridCol w:w="4381"/>
      </w:tblGrid>
      <w:tr>
        <w:trPr>
          <w:trHeight w:val="592" w:hRule="atLeast"/>
        </w:trPr>
        <w:tc>
          <w:tcPr>
            <w:tcW w:w="4645"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1"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5" w:type="dxa"/>
            <w:tcBorders>
              <w:start w:val="single" w:sz="4" w:space="0" w:color="000000"/>
              <w:bottom w:val="single" w:sz="4" w:space="0" w:color="000000"/>
            </w:tcBorders>
          </w:tcPr>
          <w:p>
            <w:pPr>
              <w:pStyle w:val="TableContents"/>
              <w:bidi w:val="0"/>
              <w:rPr/>
            </w:pPr>
            <w:r>
              <w:rPr/>
              <w:t xml:space="preserve">Unfavorable: </w:t>
            </w:r>
            <w:r>
              <w:rPr/>
              <w:t>Brand has to</w:t>
            </w:r>
            <w:r>
              <w:rPr/>
              <w:t xml:space="preserve"> navigat</w:t>
            </w:r>
            <w:r>
              <w:rPr/>
              <w:t>e</w:t>
            </w:r>
            <w:r>
              <w:rPr/>
              <w:t xml:space="preserve"> a rigorous EU labor laws, strict consumer rights regulations </w:t>
            </w:r>
            <w:r>
              <w:rPr/>
              <w:t>a</w:t>
            </w:r>
            <w:r>
              <w:rPr/>
              <w:t xml:space="preserve">nd stringent data privacy mandates (GDPR). </w:t>
            </w:r>
          </w:p>
          <w:p>
            <w:pPr>
              <w:pStyle w:val="TableContents"/>
              <w:bidi w:val="0"/>
              <w:rPr/>
            </w:pPr>
            <w:r>
              <w:rPr/>
            </w:r>
          </w:p>
          <w:p>
            <w:pPr>
              <w:pStyle w:val="TableContents"/>
              <w:bidi w:val="0"/>
              <w:rPr/>
            </w:pPr>
            <w:r>
              <w:rPr/>
              <w:t>These complex laws requir</w:t>
            </w:r>
            <w:r>
              <w:rPr/>
              <w:t xml:space="preserve">e </w:t>
            </w:r>
            <w:r>
              <w:rPr/>
              <w:t xml:space="preserve">expensive compliance </w:t>
            </w:r>
            <w:r>
              <w:rPr/>
              <w:t>work and</w:t>
            </w:r>
            <w:r>
              <w:rPr/>
              <w:t xml:space="preserve"> dictate everything from manufacturing processes to marketing data collection.</w:t>
            </w:r>
          </w:p>
        </w:tc>
        <w:tc>
          <w:tcPr>
            <w:tcW w:w="4381" w:type="dxa"/>
            <w:tcBorders>
              <w:start w:val="single" w:sz="4" w:space="0" w:color="000000"/>
              <w:bottom w:val="single" w:sz="4" w:space="0" w:color="000000"/>
              <w:end w:val="single" w:sz="4" w:space="0" w:color="000000"/>
            </w:tcBorders>
          </w:tcPr>
          <w:p>
            <w:pPr>
              <w:pStyle w:val="TableContents"/>
              <w:rPr/>
            </w:pPr>
            <w:r>
              <w:rPr/>
              <w:t xml:space="preserve">Moderately Favorable: The legal environment is generally business-friendly and evolving to attract foreign direct investment. </w:t>
            </w:r>
          </w:p>
          <w:p>
            <w:pPr>
              <w:pStyle w:val="TableContents"/>
              <w:rPr/>
            </w:pPr>
            <w:r>
              <w:rPr/>
            </w:r>
          </w:p>
          <w:p>
            <w:pPr>
              <w:pStyle w:val="TableContents"/>
              <w:rPr/>
            </w:pPr>
            <w:r>
              <w:rPr/>
              <w:t xml:space="preserve">However, it still requires compliance with local agency laws </w:t>
            </w:r>
            <w:r>
              <w:rPr/>
              <w:t>and</w:t>
            </w:r>
            <w:r>
              <w:rPr/>
              <w:t xml:space="preserve"> strategic partnerships with powerful local dealerships </w:t>
            </w:r>
            <w:r>
              <w:rPr/>
              <w:t>is a necessity</w:t>
            </w:r>
            <w:r>
              <w:rPr/>
              <w:t>for distribution.</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Environmental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Environmental pressures are also different between the two nations. There is immense regulatory and societal pressure to reduce the carbon footprint of both the vehicles and the manufacturing plants in Germany, which creates an increasingly challenging environment for legacy automotive business models. The UAE currently has fewer of these environmental regulations, but it presents an entirely different challenge: it’s hot, sandy and harsh climate. This requires Mercedes to heavily adapt its vehicles technologically to ensure long-term reliability and performance under severe heat and environmental stress.</w:t>
      </w:r>
    </w:p>
    <w:tbl>
      <w:tblPr>
        <w:tblW w:w="5000" w:type="pct"/>
        <w:jc w:val="start"/>
        <w:tblInd w:w="-5" w:type="dxa"/>
        <w:tblLayout w:type="fixed"/>
        <w:tblCellMar>
          <w:top w:w="55" w:type="dxa"/>
          <w:start w:w="55" w:type="dxa"/>
          <w:bottom w:w="55" w:type="dxa"/>
          <w:end w:w="55" w:type="dxa"/>
        </w:tblCellMar>
      </w:tblPr>
      <w:tblGrid>
        <w:gridCol w:w="4645"/>
        <w:gridCol w:w="4381"/>
      </w:tblGrid>
      <w:tr>
        <w:trPr>
          <w:trHeight w:val="592" w:hRule="atLeast"/>
        </w:trPr>
        <w:tc>
          <w:tcPr>
            <w:tcW w:w="4645"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1"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5" w:type="dxa"/>
            <w:tcBorders>
              <w:start w:val="single" w:sz="4" w:space="0" w:color="000000"/>
              <w:bottom w:val="single" w:sz="4" w:space="0" w:color="000000"/>
            </w:tcBorders>
          </w:tcPr>
          <w:p>
            <w:pPr>
              <w:pStyle w:val="TableContents"/>
              <w:bidi w:val="0"/>
              <w:rPr/>
            </w:pPr>
            <w:r>
              <w:rPr/>
              <w:t xml:space="preserve">Highly Favorable: Germany provides a world-class ecosystem for automotive R&amp;D </w:t>
            </w:r>
            <w:r>
              <w:rPr/>
              <w:t xml:space="preserve">and </w:t>
            </w:r>
            <w:r>
              <w:rPr/>
              <w:t xml:space="preserve">engineering talent </w:t>
            </w:r>
            <w:r>
              <w:rPr/>
              <w:t>with</w:t>
            </w:r>
            <w:r>
              <w:rPr/>
              <w:t xml:space="preserve"> a mature</w:t>
            </w:r>
            <w:r>
              <w:rPr/>
              <w:t>d</w:t>
            </w:r>
            <w:r>
              <w:rPr/>
              <w:t xml:space="preserve"> supply chain. </w:t>
            </w:r>
          </w:p>
          <w:p>
            <w:pPr>
              <w:pStyle w:val="TableContents"/>
              <w:bidi w:val="0"/>
              <w:rPr/>
            </w:pPr>
            <w:r>
              <w:rPr/>
            </w:r>
          </w:p>
          <w:p>
            <w:pPr>
              <w:pStyle w:val="TableContents"/>
              <w:bidi w:val="0"/>
              <w:rPr/>
            </w:pPr>
            <w:r>
              <w:rPr/>
              <w:t xml:space="preserve">This highly developed technological infrastructure is essential for Mercedes' global innovations </w:t>
            </w:r>
            <w:r>
              <w:rPr/>
              <w:t xml:space="preserve">and </w:t>
            </w:r>
            <w:r>
              <w:rPr/>
              <w:t xml:space="preserve">particularly in </w:t>
            </w:r>
            <w:r>
              <w:rPr/>
              <w:t>EV and automatic driving vehicles</w:t>
            </w:r>
            <w:r>
              <w:rPr/>
              <w:t>.</w:t>
            </w:r>
          </w:p>
        </w:tc>
        <w:tc>
          <w:tcPr>
            <w:tcW w:w="4381" w:type="dxa"/>
            <w:tcBorders>
              <w:start w:val="single" w:sz="4" w:space="0" w:color="000000"/>
              <w:bottom w:val="single" w:sz="4" w:space="0" w:color="000000"/>
              <w:end w:val="single" w:sz="4" w:space="0" w:color="000000"/>
            </w:tcBorders>
          </w:tcPr>
          <w:p>
            <w:pPr>
              <w:pStyle w:val="TableContents"/>
              <w:rPr/>
            </w:pPr>
            <w:r>
              <w:rPr/>
              <w:t xml:space="preserve">Favorable: The UAE is </w:t>
            </w:r>
            <w:r>
              <w:rPr/>
              <w:t>a highly eager market and</w:t>
            </w:r>
            <w:r>
              <w:rPr/>
              <w:t xml:space="preserve"> aggressive adopter of emerging technologies.</w:t>
            </w:r>
          </w:p>
          <w:p>
            <w:pPr>
              <w:pStyle w:val="TableContents"/>
              <w:rPr/>
            </w:pPr>
            <w:r>
              <w:rPr/>
            </w:r>
          </w:p>
          <w:p>
            <w:pPr>
              <w:pStyle w:val="TableContents"/>
              <w:rPr/>
            </w:pPr>
            <w:r>
              <w:rPr/>
              <w:t xml:space="preserve">State does </w:t>
            </w:r>
            <w:r>
              <w:rPr/>
              <w:t xml:space="preserve">massive state investments in smart city infrastructure. </w:t>
            </w:r>
          </w:p>
          <w:p>
            <w:pPr>
              <w:pStyle w:val="TableContents"/>
              <w:rPr/>
            </w:pPr>
            <w:r>
              <w:rPr/>
              <w:t xml:space="preserve">Consumers </w:t>
            </w:r>
            <w:r>
              <w:rPr/>
              <w:t>demand</w:t>
            </w:r>
            <w:r>
              <w:rPr/>
              <w:t xml:space="preserve"> cutting-edge digital integration and premium tech features.</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 xml:space="preserve">1.2 </w:t>
      </w:r>
      <w:r>
        <w:rPr>
          <w:rFonts w:eastAsia="Times New Roman" w:cs="Times New Roman"/>
          <w:b/>
          <w:bCs/>
          <w:sz w:val="24"/>
          <w:szCs w:val="24"/>
        </w:rPr>
        <w:t>Hofstede cultural analysis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 xml:space="preserve">Applying Hofstede’s (2011) six cultural dimensions framework </w:t>
      </w:r>
      <w:r>
        <w:rPr>
          <w:rFonts w:eastAsia="Times New Roman" w:cs="Times New Roman"/>
          <w:b w:val="false"/>
          <w:bCs w:val="false"/>
          <w:sz w:val="24"/>
          <w:szCs w:val="24"/>
        </w:rPr>
        <w:t xml:space="preserve">helps with understanding </w:t>
      </w:r>
      <w:r>
        <w:rPr>
          <w:rFonts w:eastAsia="Times New Roman" w:cs="Times New Roman"/>
          <w:b w:val="false"/>
          <w:bCs w:val="false"/>
          <w:sz w:val="24"/>
          <w:szCs w:val="24"/>
        </w:rPr>
        <w:t xml:space="preserve">the the broader PESTEL realities in both nations </w:t>
      </w:r>
      <w:r>
        <w:rPr>
          <w:rFonts w:eastAsia="Times New Roman" w:cs="Times New Roman"/>
          <w:b w:val="false"/>
          <w:bCs w:val="false"/>
          <w:sz w:val="24"/>
          <w:szCs w:val="24"/>
        </w:rPr>
        <w:t xml:space="preserve">and it’s </w:t>
      </w:r>
      <w:r>
        <w:rPr>
          <w:rFonts w:eastAsia="Times New Roman" w:cs="Times New Roman"/>
          <w:b w:val="false"/>
          <w:bCs w:val="false"/>
          <w:sz w:val="24"/>
          <w:szCs w:val="24"/>
        </w:rPr>
        <w:t xml:space="preserve">deep psychological </w:t>
      </w:r>
      <w:r>
        <w:rPr>
          <w:rFonts w:eastAsia="Times New Roman" w:cs="Times New Roman"/>
          <w:b w:val="false"/>
          <w:bCs w:val="false"/>
          <w:sz w:val="24"/>
          <w:szCs w:val="24"/>
        </w:rPr>
        <w:t>aspects</w:t>
      </w:r>
      <w:r>
        <w:rPr>
          <w:rFonts w:eastAsia="Times New Roman" w:cs="Times New Roman"/>
          <w:b w:val="false"/>
          <w:bCs w:val="false"/>
          <w:sz w:val="24"/>
          <w:szCs w:val="24"/>
        </w:rPr>
        <w:t xml:space="preserve">. </w:t>
      </w:r>
      <w:r>
        <w:rPr>
          <w:rFonts w:eastAsia="Times New Roman" w:cs="Times New Roman"/>
          <w:b w:val="false"/>
          <w:bCs w:val="false"/>
          <w:sz w:val="24"/>
          <w:szCs w:val="24"/>
        </w:rPr>
        <w:t>It helps us understand</w:t>
      </w:r>
      <w:r>
        <w:rPr>
          <w:rFonts w:eastAsia="Times New Roman" w:cs="Times New Roman"/>
          <w:b w:val="false"/>
          <w:bCs w:val="false"/>
          <w:sz w:val="24"/>
          <w:szCs w:val="24"/>
        </w:rPr>
        <w:t xml:space="preserve"> </w:t>
      </w:r>
      <w:r>
        <w:rPr>
          <w:rFonts w:eastAsia="Times New Roman" w:cs="Times New Roman"/>
          <w:b w:val="false"/>
          <w:bCs w:val="false"/>
          <w:sz w:val="24"/>
          <w:szCs w:val="24"/>
        </w:rPr>
        <w:t xml:space="preserve">how these </w:t>
      </w:r>
      <w:r>
        <w:rPr>
          <w:rFonts w:eastAsia="Times New Roman" w:cs="Times New Roman"/>
          <w:b w:val="false"/>
          <w:bCs w:val="false"/>
          <w:sz w:val="24"/>
          <w:szCs w:val="24"/>
        </w:rPr>
        <w:t xml:space="preserve"> these macroeconomic and political factors </w:t>
      </w:r>
      <w:r>
        <w:rPr>
          <w:rFonts w:eastAsia="Times New Roman" w:cs="Times New Roman"/>
          <w:b w:val="false"/>
          <w:bCs w:val="false"/>
          <w:sz w:val="24"/>
          <w:szCs w:val="24"/>
        </w:rPr>
        <w:t>shape the</w:t>
      </w:r>
      <w:r>
        <w:rPr>
          <w:rFonts w:eastAsia="Times New Roman" w:cs="Times New Roman"/>
          <w:b w:val="false"/>
          <w:bCs w:val="false"/>
          <w:sz w:val="24"/>
          <w:szCs w:val="24"/>
        </w:rPr>
        <w:t xml:space="preserve"> actual consumer behavior. By mapping these dimensions, we can clearly identify why the German market demands egalitarianism and pragmatic sustainability, whereas the UAE market is driven by strict social hierarchy and conspicuous consumption.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36" behindDoc="0" locked="0" layoutInCell="0" allowOverlap="1">
            <wp:simplePos x="0" y="0"/>
            <wp:positionH relativeFrom="column">
              <wp:align>center</wp:align>
            </wp:positionH>
            <wp:positionV relativeFrom="paragraph">
              <wp:posOffset>635</wp:posOffset>
            </wp:positionV>
            <wp:extent cx="4829810" cy="3118485"/>
            <wp:effectExtent l="0" t="0" r="0" b="0"/>
            <wp:wrapTopAndBottom/>
            <wp:docPr id="6"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7"/>
                    <pic:cNvPicPr>
                      <a:picLocks noChangeAspect="1" noChangeArrowheads="1"/>
                    </pic:cNvPicPr>
                  </pic:nvPicPr>
                  <pic:blipFill>
                    <a:blip r:embed="rId8"/>
                    <a:stretch>
                      <a:fillRect/>
                    </a:stretch>
                  </pic:blipFill>
                  <pic:spPr bwMode="auto">
                    <a:xfrm>
                      <a:off x="0" y="0"/>
                      <a:ext cx="4829810" cy="3118485"/>
                    </a:xfrm>
                    <a:prstGeom prst="rect">
                      <a:avLst/>
                    </a:prstGeom>
                    <a:noFill/>
                  </pic:spPr>
                </pic:pic>
              </a:graphicData>
            </a:graphic>
          </wp:anchor>
        </w:drawing>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 xml:space="preserve">(Source: </w:t>
      </w:r>
      <w:hyperlink r:id="rId9">
        <w:r>
          <w:rPr>
            <w:rStyle w:val="Hyperlink"/>
            <w:rFonts w:eastAsia="Times New Roman" w:cs="Times New Roman"/>
            <w:b w:val="false"/>
            <w:bCs w:val="false"/>
            <w:sz w:val="24"/>
            <w:szCs w:val="24"/>
          </w:rPr>
          <w:t>https://creately.com/guides/hofstede-cultural-dimension/</w:t>
        </w:r>
      </w:hyperlink>
      <w:r>
        <w:rPr>
          <w:rFonts w:eastAsia="Times New Roman" w:cs="Times New Roman"/>
          <w:b w:val="false"/>
          <w:bCs w:val="false"/>
          <w:sz w:val="24"/>
          <w:szCs w:val="24"/>
        </w:rPr>
        <w:t>)</w:t>
      </w:r>
    </w:p>
    <w:p>
      <w:pPr>
        <w:pStyle w:val="Heading3"/>
        <w:rPr>
          <w:b/>
          <w:bCs/>
          <w:color w:val="111111"/>
        </w:rPr>
      </w:pPr>
      <w:bookmarkStart w:id="0" w:name="_Toc225975035"/>
      <w:r>
        <w:rPr>
          <w:b/>
          <w:bCs/>
          <w:color w:val="111111"/>
        </w:rPr>
        <w:t>Six Dimensions Comparison Table</w:t>
      </w:r>
      <w:bookmarkEnd w:id="0"/>
    </w:p>
    <w:tbl>
      <w:tblPr>
        <w:tblStyle w:val="a0"/>
        <w:tblW w:w="9345" w:type="dxa"/>
        <w:jc w:val="start"/>
        <w:tblInd w:w="0" w:type="dxa"/>
        <w:tblLayout w:type="fixed"/>
        <w:tblCellMar>
          <w:top w:w="100" w:type="dxa"/>
          <w:start w:w="100" w:type="dxa"/>
          <w:bottom w:w="100" w:type="dxa"/>
          <w:end w:w="100" w:type="dxa"/>
        </w:tblCellMar>
        <w:tblLook w:val="0600" w:noHBand="1" w:noVBand="1" w:firstColumn="0" w:lastRow="0" w:lastColumn="0" w:firstRow="0"/>
      </w:tblPr>
      <w:tblGrid>
        <w:gridCol w:w="5730"/>
        <w:gridCol w:w="1634"/>
        <w:gridCol w:w="1981"/>
      </w:tblGrid>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jc w:val="center"/>
              <w:rPr/>
            </w:pPr>
            <w:r>
              <w:rPr>
                <w:b/>
                <w:bCs/>
              </w:rPr>
              <w:t>Dimension</w:t>
            </w:r>
          </w:p>
        </w:tc>
        <w:tc>
          <w:tcPr>
            <w:tcW w:w="1634" w:type="dxa"/>
            <w:tcBorders>
              <w:top w:val="single" w:sz="8" w:space="0" w:color="000000"/>
              <w:start w:val="single" w:sz="8" w:space="0" w:color="000000"/>
              <w:bottom w:val="single" w:sz="8" w:space="0" w:color="000000"/>
              <w:end w:val="single" w:sz="8" w:space="0" w:color="000000"/>
            </w:tcBorders>
          </w:tcPr>
          <w:p>
            <w:pPr>
              <w:pStyle w:val="Normal"/>
              <w:jc w:val="center"/>
              <w:rPr/>
            </w:pPr>
            <w:r>
              <w:rPr>
                <w:b/>
                <w:bCs/>
              </w:rPr>
              <w:t>USA</w:t>
            </w:r>
          </w:p>
        </w:tc>
        <w:tc>
          <w:tcPr>
            <w:tcW w:w="1981" w:type="dxa"/>
            <w:tcBorders>
              <w:top w:val="single" w:sz="8" w:space="0" w:color="000000"/>
              <w:start w:val="single" w:sz="8" w:space="0" w:color="000000"/>
              <w:bottom w:val="single" w:sz="8" w:space="0" w:color="000000"/>
              <w:end w:val="single" w:sz="8" w:space="0" w:color="000000"/>
            </w:tcBorders>
          </w:tcPr>
          <w:p>
            <w:pPr>
              <w:pStyle w:val="Normal"/>
              <w:jc w:val="center"/>
              <w:rPr/>
            </w:pPr>
            <w:r>
              <w:rPr>
                <w:b/>
                <w:bCs/>
              </w:rPr>
              <w:t>China</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Power Distance</w:t>
            </w:r>
          </w:p>
        </w:tc>
        <w:tc>
          <w:tcPr>
            <w:tcW w:w="1634" w:type="dxa"/>
            <w:tcBorders>
              <w:top w:val="single" w:sz="8" w:space="0" w:color="000000"/>
              <w:start w:val="single" w:sz="8" w:space="0" w:color="000000"/>
              <w:bottom w:val="single" w:sz="8" w:space="0" w:color="000000"/>
              <w:end w:val="single" w:sz="8" w:space="0" w:color="000000"/>
            </w:tcBorders>
          </w:tcPr>
          <w:p>
            <w:pPr>
              <w:pStyle w:val="Normal"/>
              <w:rPr/>
            </w:pPr>
            <w:r>
              <w:rPr/>
              <w:t>35 (Low)</w:t>
            </w:r>
          </w:p>
        </w:tc>
        <w:tc>
          <w:tcPr>
            <w:tcW w:w="1981" w:type="dxa"/>
            <w:tcBorders>
              <w:top w:val="single" w:sz="8" w:space="0" w:color="000000"/>
              <w:start w:val="single" w:sz="8" w:space="0" w:color="000000"/>
              <w:bottom w:val="single" w:sz="8" w:space="0" w:color="000000"/>
              <w:end w:val="single" w:sz="8" w:space="0" w:color="000000"/>
            </w:tcBorders>
          </w:tcPr>
          <w:p>
            <w:pPr>
              <w:pStyle w:val="Normal"/>
              <w:rPr/>
            </w:pPr>
            <w:r>
              <w:rPr/>
              <w:t>90 (High)</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Individualism</w:t>
            </w:r>
          </w:p>
        </w:tc>
        <w:tc>
          <w:tcPr>
            <w:tcW w:w="1634" w:type="dxa"/>
            <w:tcBorders>
              <w:top w:val="single" w:sz="8" w:space="0" w:color="000000"/>
              <w:start w:val="single" w:sz="8" w:space="0" w:color="000000"/>
              <w:bottom w:val="single" w:sz="8" w:space="0" w:color="000000"/>
              <w:end w:val="single" w:sz="8" w:space="0" w:color="000000"/>
            </w:tcBorders>
          </w:tcPr>
          <w:p>
            <w:pPr>
              <w:pStyle w:val="Normal"/>
              <w:rPr/>
            </w:pPr>
            <w:r>
              <w:rPr/>
              <w:t>67 (High)</w:t>
            </w:r>
          </w:p>
        </w:tc>
        <w:tc>
          <w:tcPr>
            <w:tcW w:w="1981" w:type="dxa"/>
            <w:tcBorders>
              <w:top w:val="single" w:sz="8" w:space="0" w:color="000000"/>
              <w:start w:val="single" w:sz="8" w:space="0" w:color="000000"/>
              <w:bottom w:val="single" w:sz="8" w:space="0" w:color="000000"/>
              <w:end w:val="single" w:sz="8" w:space="0" w:color="000000"/>
            </w:tcBorders>
          </w:tcPr>
          <w:p>
            <w:pPr>
              <w:pStyle w:val="Normal"/>
              <w:rPr/>
            </w:pPr>
            <w:r>
              <w:rPr/>
              <w:t>25 (Low)</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Masculinity</w:t>
            </w:r>
          </w:p>
        </w:tc>
        <w:tc>
          <w:tcPr>
            <w:tcW w:w="1634" w:type="dxa"/>
            <w:tcBorders>
              <w:top w:val="single" w:sz="8" w:space="0" w:color="000000"/>
              <w:start w:val="single" w:sz="8" w:space="0" w:color="000000"/>
              <w:bottom w:val="single" w:sz="8" w:space="0" w:color="000000"/>
              <w:end w:val="single" w:sz="8" w:space="0" w:color="000000"/>
            </w:tcBorders>
          </w:tcPr>
          <w:p>
            <w:pPr>
              <w:pStyle w:val="Normal"/>
              <w:rPr/>
            </w:pPr>
            <w:r>
              <w:rPr/>
              <w:t>66 (High)</w:t>
            </w:r>
          </w:p>
        </w:tc>
        <w:tc>
          <w:tcPr>
            <w:tcW w:w="1981" w:type="dxa"/>
            <w:tcBorders>
              <w:top w:val="single" w:sz="8" w:space="0" w:color="000000"/>
              <w:start w:val="single" w:sz="8" w:space="0" w:color="000000"/>
              <w:bottom w:val="single" w:sz="8" w:space="0" w:color="000000"/>
              <w:end w:val="single" w:sz="8" w:space="0" w:color="000000"/>
            </w:tcBorders>
          </w:tcPr>
          <w:p>
            <w:pPr>
              <w:pStyle w:val="Normal"/>
              <w:rPr/>
            </w:pPr>
            <w:r>
              <w:rPr/>
              <w:t>50 (Moderate)</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Uncertainty Avoidance</w:t>
            </w:r>
          </w:p>
        </w:tc>
        <w:tc>
          <w:tcPr>
            <w:tcW w:w="1634" w:type="dxa"/>
            <w:tcBorders>
              <w:top w:val="single" w:sz="8" w:space="0" w:color="000000"/>
              <w:start w:val="single" w:sz="8" w:space="0" w:color="000000"/>
              <w:bottom w:val="single" w:sz="8" w:space="0" w:color="000000"/>
              <w:end w:val="single" w:sz="8" w:space="0" w:color="000000"/>
            </w:tcBorders>
          </w:tcPr>
          <w:p>
            <w:pPr>
              <w:pStyle w:val="Normal"/>
              <w:rPr/>
            </w:pPr>
            <w:r>
              <w:rPr/>
              <w:t>65 (High)</w:t>
            </w:r>
          </w:p>
        </w:tc>
        <w:tc>
          <w:tcPr>
            <w:tcW w:w="1981" w:type="dxa"/>
            <w:tcBorders>
              <w:top w:val="single" w:sz="8" w:space="0" w:color="000000"/>
              <w:start w:val="single" w:sz="8" w:space="0" w:color="000000"/>
              <w:bottom w:val="single" w:sz="8" w:space="0" w:color="000000"/>
              <w:end w:val="single" w:sz="8" w:space="0" w:color="000000"/>
            </w:tcBorders>
          </w:tcPr>
          <w:p>
            <w:pPr>
              <w:pStyle w:val="Normal"/>
              <w:rPr/>
            </w:pPr>
            <w:r>
              <w:rPr/>
              <w:t>80 (High)</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Long-Term Orientation</w:t>
            </w:r>
          </w:p>
        </w:tc>
        <w:tc>
          <w:tcPr>
            <w:tcW w:w="1634" w:type="dxa"/>
            <w:tcBorders>
              <w:top w:val="single" w:sz="8" w:space="0" w:color="000000"/>
              <w:start w:val="single" w:sz="8" w:space="0" w:color="000000"/>
              <w:bottom w:val="single" w:sz="8" w:space="0" w:color="000000"/>
              <w:end w:val="single" w:sz="8" w:space="0" w:color="000000"/>
            </w:tcBorders>
          </w:tcPr>
          <w:p>
            <w:pPr>
              <w:pStyle w:val="Normal"/>
              <w:rPr/>
            </w:pPr>
            <w:r>
              <w:rPr/>
              <w:t>83 (High)</w:t>
            </w:r>
          </w:p>
        </w:tc>
        <w:tc>
          <w:tcPr>
            <w:tcW w:w="1981" w:type="dxa"/>
            <w:tcBorders>
              <w:top w:val="single" w:sz="8" w:space="0" w:color="000000"/>
              <w:start w:val="single" w:sz="8" w:space="0" w:color="000000"/>
              <w:bottom w:val="single" w:sz="8" w:space="0" w:color="000000"/>
              <w:end w:val="single" w:sz="8" w:space="0" w:color="000000"/>
            </w:tcBorders>
          </w:tcPr>
          <w:p>
            <w:pPr>
              <w:pStyle w:val="Normal"/>
              <w:rPr/>
            </w:pPr>
            <w:r>
              <w:rPr/>
              <w:t>22 (Low)</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Indulgence</w:t>
            </w:r>
          </w:p>
        </w:tc>
        <w:tc>
          <w:tcPr>
            <w:tcW w:w="1634" w:type="dxa"/>
            <w:tcBorders>
              <w:top w:val="single" w:sz="8" w:space="0" w:color="000000"/>
              <w:start w:val="single" w:sz="8" w:space="0" w:color="000000"/>
              <w:bottom w:val="single" w:sz="8" w:space="0" w:color="000000"/>
              <w:end w:val="single" w:sz="8" w:space="0" w:color="000000"/>
            </w:tcBorders>
          </w:tcPr>
          <w:p>
            <w:pPr>
              <w:pStyle w:val="Normal"/>
              <w:rPr/>
            </w:pPr>
            <w:r>
              <w:rPr/>
              <w:t>40 (Restrained)</w:t>
            </w:r>
          </w:p>
        </w:tc>
        <w:tc>
          <w:tcPr>
            <w:tcW w:w="1981" w:type="dxa"/>
            <w:tcBorders>
              <w:top w:val="single" w:sz="8" w:space="0" w:color="000000"/>
              <w:start w:val="single" w:sz="8" w:space="0" w:color="000000"/>
              <w:bottom w:val="single" w:sz="8" w:space="0" w:color="000000"/>
              <w:end w:val="single" w:sz="8" w:space="0" w:color="000000"/>
            </w:tcBorders>
          </w:tcPr>
          <w:p>
            <w:pPr>
              <w:pStyle w:val="Normal"/>
              <w:rPr/>
            </w:pPr>
            <w:r>
              <w:rPr/>
              <w:t>Low / Restrained</w:t>
            </w:r>
          </w:p>
        </w:tc>
      </w:tr>
    </w:tbl>
    <w:p>
      <w:pPr>
        <w:pStyle w:val="Normal"/>
        <w:jc w:val="center"/>
        <w:rPr>
          <w:b/>
          <w:bCs/>
        </w:rPr>
      </w:pPr>
      <w:r>
        <w:rPr>
          <w:b/>
          <w:bCs/>
        </w:rPr>
        <w:t>Table 2: Six-Dimension Comparison Table</w:t>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Key Similarities</w:t>
      </w:r>
    </w:p>
    <w:p>
      <w:pPr>
        <w:pStyle w:val="Normal"/>
        <w:numPr>
          <w:ilvl w:val="0"/>
          <w:numId w:val="1"/>
        </w:numPr>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 xml:space="preserve">The most profound cultural divergences lie in Power Distance (PDI), Individualism (IDV) and Long-Term Orientation (LTO). </w:t>
      </w:r>
    </w:p>
    <w:p>
      <w:pPr>
        <w:pStyle w:val="Normal"/>
        <w:numPr>
          <w:ilvl w:val="1"/>
          <w:numId w:val="1"/>
        </w:numPr>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Germany is a highly decentralized society where consumers make independent and pragmatic choices based on functional values and it’s environmental impact, Hence low PDI and high IDV.</w:t>
      </w:r>
    </w:p>
    <w:p>
      <w:pPr>
        <w:pStyle w:val="Normal"/>
        <w:numPr>
          <w:ilvl w:val="1"/>
          <w:numId w:val="1"/>
        </w:numPr>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 xml:space="preserve">Conversely, the UAE has an exceptionally high PDI and low IDV; which reflects a collectivist and hierarchical culture more prevelant in Arab region. In the UAE, luxury vehicles are not evaluated purely on utility; they are vital social tools acting as a validation for owner's elevated status within that social societal hierarchy (Almutairi, Heller and Yen, 2021). </w:t>
      </w:r>
    </w:p>
    <w:p>
      <w:pPr>
        <w:pStyle w:val="Normal"/>
        <w:numPr>
          <w:ilvl w:val="0"/>
          <w:numId w:val="1"/>
        </w:numPr>
        <w:bidi w:val="0"/>
        <w:spacing w:lineRule="auto" w:line="360" w:before="0" w:after="200"/>
        <w:jc w:val="both"/>
        <w:rPr/>
      </w:pPr>
      <w:r>
        <w:rPr>
          <w:rFonts w:eastAsia="Times New Roman" w:cs="Times New Roman"/>
          <w:b w:val="false"/>
          <w:bCs w:val="false"/>
          <w:sz w:val="24"/>
          <w:szCs w:val="24"/>
        </w:rPr>
        <w:t>Furthermore, Germany's high Long-Term Orientation aligns with its political push for future-proof sustainability (e.g., EV adoption), whereas the UAE's short-term orientation favors immediate gratification and traditional internal combustion power.</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Key Differences</w:t>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Both nations share similar scores in Uncertainty Avoidance (UAI), which shows that both cultures actively try to mitigate risk and the unknown. Hence, consumers in both markets demand flawless engineering, absolute guarantees of quality and brand reliability – All the psychological needs that Mercedes-Benz successfully fulfills through its legacy of safety and precision.</w:t>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b/>
          <w:bCs/>
        </w:rPr>
      </w:pPr>
      <w:r>
        <w:rPr>
          <w:rFonts w:eastAsia="Times New Roman" w:cs="Times New Roman"/>
          <w:b/>
          <w:bCs/>
          <w:sz w:val="24"/>
          <w:szCs w:val="24"/>
        </w:rPr>
        <w:t>1.</w:t>
      </w:r>
      <w:r>
        <w:rPr>
          <w:rFonts w:eastAsia="Times New Roman" w:cs="Times New Roman"/>
          <w:b/>
          <w:bCs/>
          <w:sz w:val="24"/>
          <w:szCs w:val="24"/>
        </w:rPr>
        <w:t>3</w:t>
      </w:r>
      <w:r>
        <w:rPr>
          <w:rFonts w:eastAsia="Times New Roman" w:cs="Times New Roman"/>
          <w:b/>
          <w:bCs/>
          <w:sz w:val="24"/>
          <w:szCs w:val="24"/>
        </w:rPr>
        <w:t xml:space="preserve"> The STP Analysis: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Segmentation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has a broad, mature automotive market with consumers spread across multiple income levels. Hence, Mercedes employs a granular, multi-layered segmentation approach to capture wide range of  demographics.There are young professionals seeking entry-level vehicles like Mercedes A-Class and there established executives demanding premium or sustainable solutions like  S-Class and the EQ electric range for their mobility. These consumers are naturally very pragmatic and value-driven, who mostly evaluate their purchases based on engineering quality, long-term reliability, and nowadays, environmental credentials rather than luxury or exclusciveness (Hollensen, 2020). Therefore, Mercedes segments the German market along demographic lines (age, income, family status) as well as psychographic lines, specifically targeting eco-consciousness, technological affinity, and an appreciation for domestic brand heritage. In 2025, Mercedes-Benz achieved its highest-ever sales of electrified vehicles (xEV) in Europe by selling electrified models that account for a record 40% of their total European sales share.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UAE market is fundamentally different. Here, the segmentation is concentrated among high-net-worth individuals (HNIs) who are primarily status-driven consumers and they demand prestige and exclusivity. The vehicle is not simply a mode of transport but an expression of wealth and social standing for them(Alserhan, 2011). The UAE's consumer culture is shaped by local Emirati cultural values and the aspirational lifestyles of its large, affluent expat population. In contrast to Germany, Mercedes segments this market around luxury lifestyle identity rather than practical utility by focusing almost exclusively on the upper end of the portfolio (Keegan and Green, 2020).</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drawing>
          <wp:anchor distT="0" distB="0" distL="0" distR="0" simplePos="0" relativeHeight="35" behindDoc="0" locked="0" layoutInCell="0" allowOverlap="1">
            <wp:simplePos x="0" y="0"/>
            <wp:positionH relativeFrom="column">
              <wp:align>center</wp:align>
            </wp:positionH>
            <wp:positionV relativeFrom="paragraph">
              <wp:posOffset>635</wp:posOffset>
            </wp:positionV>
            <wp:extent cx="5731510" cy="3384550"/>
            <wp:effectExtent l="0" t="0" r="0" b="0"/>
            <wp:wrapTopAndBottom/>
            <wp:docPr id="7"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9"/>
                    <pic:cNvPicPr>
                      <a:picLocks noChangeAspect="1" noChangeArrowheads="1"/>
                    </pic:cNvPicPr>
                  </pic:nvPicPr>
                  <pic:blipFill>
                    <a:blip r:embed="rId10"/>
                    <a:stretch>
                      <a:fillRect/>
                    </a:stretch>
                  </pic:blipFill>
                  <pic:spPr bwMode="auto">
                    <a:xfrm>
                      <a:off x="0" y="0"/>
                      <a:ext cx="5731510" cy="3384550"/>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Targeting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Because of this broader segmentation present in Germany, Mercedes adopts a differentiated targeting approach. It engages with families through a practical yet premium models like the GLE SUV. It targets eco-conscious buyers through the EQ electric sub-brand and to entry-level luxury consumers through the A-Class and CLA range (Doole and Lowe, 2012). It has to stay relevant to each segment through tailored product offerings and communication strategies because German market is competitive and consumers actively compare alternatives. So this multi-segment targeting is necessary; Mercedes cannot rely solely on brand prestige.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the targeting approach is far more concentrated, because the segmentation is concentrated and consumers want absolute premiumness. As a result,entry-level models receive considerably less promotional attention because Mercedes directs most of its marketing efforts toward top-tier models like the G-Class, the AMG performance variants, and the long-wheelbase Maybach S-Class (Alserhan, 2011). The G-Class was a massive seller in the UAE and it also achieved its best-ever sales year in 2025, with global deliveries surging by 23% to reach a record 49,700 units (Arab wheels, 2025).The target buyer in the UAE is typically a young, affluent male; who prioritises road presence, power and exclusivity rather than economy or practicality (Kapferer, 2012). Hence, Mercedes concentrates it’s marketing efforts where it generates the greatest cultural resonance.</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Positioning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Best or Nothing" is the tagline used by Mercedes for it’s global positioning (Das Beste oder nichts) to communicate that they do not compromise on quality. In Germany, this positioning leans toward innovation, heritage, and engineering excellence; these are the qualities that resonate with German national identity and industrial pride (Kapferer, 2012). In the UAE, the positioning is weighted more heavily toward exclusivity, prestige, and aspirational luxury; to align itself with the cultural value placed on visible success and wealth of their emirati customers (Keegan and Green, 2020).</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bCs/>
          <w:sz w:val="24"/>
          <w:szCs w:val="24"/>
        </w:rPr>
        <w:t>1.3 International Marketing Mix (7Ps)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30" behindDoc="0" locked="0" layoutInCell="0" allowOverlap="1">
            <wp:simplePos x="0" y="0"/>
            <wp:positionH relativeFrom="column">
              <wp:align>center</wp:align>
            </wp:positionH>
            <wp:positionV relativeFrom="paragraph">
              <wp:posOffset>635</wp:posOffset>
            </wp:positionV>
            <wp:extent cx="5731510" cy="3820795"/>
            <wp:effectExtent l="0" t="0" r="0" b="0"/>
            <wp:wrapTopAndBottom/>
            <wp:docPr id="8"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
                    <pic:cNvPicPr>
                      <a:picLocks noChangeAspect="1" noChangeArrowheads="1"/>
                    </pic:cNvPicPr>
                  </pic:nvPicPr>
                  <pic:blipFill>
                    <a:blip r:embed="rId11"/>
                    <a:stretch>
                      <a:fillRect/>
                    </a:stretch>
                  </pic:blipFill>
                  <pic:spPr bwMode="auto">
                    <a:xfrm>
                      <a:off x="0" y="0"/>
                      <a:ext cx="5731510" cy="3820795"/>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How cultural and other factors effect Product, promotion and placements along with other Ps</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Product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Germany, Mercedes offers its full model range with a strong push toward electric and hybrid variants like the EQS and EQE as part of Germany's broader shift toward green mobility and consumer preferences for sustainability (Doole and Lowe, 2012). Advanced driver-assistance technology and digital connectivity features are key selling points for the German buyers.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While the full model range is also available in the UAE, certain models like G-Class SUV, long-wheelbase S-Class, and AMG high-performance variants are far more popular. This domination is driven by consumer preference for powerful, visually commanding vehicles suited to both desert terrain and urban luxury (Alserhan, 2011). Product adaptation is minimal in terms of mechanics, but Mercedes does offer extended wheelbase versions and bespoke customisation options that appeal strongly to UAE buyers.</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Price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Germany, Mercedes uses a premium pricing strategy. However, because Germany is the home market, prices are somewhat more competitive compared to export markets, and corporate discount schemes and financing options are widely available (Hollensen, 2020). More specifically, the introduction of subscription model and online purchase models has also widened accessibility within the premium segment.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prices are generally higher due to import duties and logistical costs but the disposable income is relatively high due to the absence of income tax (Keegan and Green, 2020). UAE consumers are also less price-sensitive. Mercedes positions its top-tier models as aspirational purchases, where price itself becomes part of the brand value and higher price often signals desirability for UAE consumers.</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Place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has one of the most extensive Mercedes dealership networks globally. Which is supported by a mature digital retail infrastructure, where consumers can configure and order vehicles entirely online. This also supports the German preference for efficiency and information-driven purchasing (Doole and Lowe, 2012).</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dealerships are situated in high-footfall luxury destinations : premium malls and commercial boulevards such as Dubai's Sheikh Zayed Road. Here the physical showroom experience itself is a part of the brand encounter (Alserhan, 2011). The retail environment is designed to feel less like a car showroom and more like a luxury hospitality space.</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Promotion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Germany, promotional communication appeals to intellectual buyers - who is rational, heritage-driven, and increasingly sustainability-focused and appreciates engineering excellence (Kapferer, 2012). Because of the broader target audience, Mercedes’s promotional activities inlcude Formula one sponsorship, digital campaigns and use of national media.</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target audience is highly concentrated. So promotional mix includes high-profile event sponsorships, luxury lifestyle campaigns, and social media influencer partnerships. The promotions are more experiential and visually extravagant rather than technical (Keegan and Green, 2020). Ramadan is a high time of consumer spending, so Mercedes adapts it’s campaigns for Arabic-speaking audiences durng this time. This demonstrates Mercedes' deep cultural sensitivity and intelligent market adaptation.</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People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human element of Mercedes' service is noticeably different between the two markets. German sales staff are highly technical and well-trained. They are capable of walking a customer through all the engineering specifications, battery range data or driver-assistance features in technical depth (Hollensen, 2020). The German consumer expects sales staff to be well informed and the people delivering that experience are selected and trained accordingly by Mercedes. In the UAE, relationship management is primary focus rather than technical knowledge. Mercedes dealerships deploy VIP relationship managers to provide premium dealership experience and build long-term personal connections with high-value clients (Alserhan, 2011). This approach aligns closely with the Gulf culture. Emirati customers consider personal trust as a foundation for business, where the relationship with the salesperson often matters as much as the product itself.</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Process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operates on an efficient and standardised sales process. Customers can walk into a dealership - configure their vehicle digitally - complete financing arrangements and schedule delivery in a streamlined, predictable sequence. This shows that German customers prefer order and efficiency (Doole and Lowe, 2012). In the UAE, the process is transformed into something far more experiential. Purchasing a top-tier Mercedes is not just a transaction, It’s an occasion. The process inlcudes hyper-personalisation and bespoke consultations - custom configuration sessions and finally a vehicle delivery that is deliberately orchestrated as an event. The Process  completes with unveilings and display of personal touches that make the buyer feel uniquely valued (Keegan and Green, 2020). Here, how you are treated is as important as what you are buying.</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Physical Evidence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dealerships in Germany reflect a modern, minimalist aesthetic. Showrooms use green-certified materials and display the EV charging infrastructure on the showroom floor to emphasize on sustainability (Kapferer, 2012). Showroom environment communicates precision and responsibility. The physical environment of UAE showrooms is designed to deliver a sense of wonderness and function more like luxury destinations rather than a conventional dealership. Showrooms feature private preview rooms where clients can view new models before public release, high-end in-house cafés and interior design that mirrors five-star hospitality (Alserhan, 2011).Every physical detail is intentional, It subtuly signals that choosing Mercedes is not just a purchase but an entry pass into an exclusive world.</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b/>
          <w:bCs/>
        </w:rPr>
      </w:pPr>
      <w:r>
        <w:rPr>
          <w:rFonts w:eastAsia="Times New Roman" w:cs="Times New Roman"/>
          <w:b/>
          <w:bCs/>
          <w:sz w:val="24"/>
          <w:szCs w:val="24"/>
        </w:rPr>
        <w:t>1.4 Brand’s Directional Development Strategy</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Ansoff Matrix (Ansoff, 1957) is a useful and widely recognised strategic framework,we will use it to understand how Mercedes-Benz is developing its brand direction in the UAE. According to Ansoff Matrix, Mercedes has four possible growth directions : market penetration, market development, product development and diversification for it’s existing and new markets and products. Mercedes' UAE strategy shows a clear pattern of simultaneous product development and market penetration (primarily through it’s deliberate move toward ultra-luxury positioning).</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33" behindDoc="0" locked="0" layoutInCell="0" allowOverlap="1">
            <wp:simplePos x="0" y="0"/>
            <wp:positionH relativeFrom="column">
              <wp:align>center</wp:align>
            </wp:positionH>
            <wp:positionV relativeFrom="paragraph">
              <wp:posOffset>635</wp:posOffset>
            </wp:positionV>
            <wp:extent cx="5147310" cy="3652520"/>
            <wp:effectExtent l="0" t="0" r="0" b="0"/>
            <wp:wrapTopAndBottom/>
            <wp:docPr id="9"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4"/>
                    <pic:cNvPicPr>
                      <a:picLocks noChangeAspect="1" noChangeArrowheads="1"/>
                    </pic:cNvPicPr>
                  </pic:nvPicPr>
                  <pic:blipFill>
                    <a:blip r:embed="rId12"/>
                    <a:stretch>
                      <a:fillRect/>
                    </a:stretch>
                  </pic:blipFill>
                  <pic:spPr bwMode="auto">
                    <a:xfrm>
                      <a:off x="0" y="0"/>
                      <a:ext cx="5147310" cy="3652520"/>
                    </a:xfrm>
                    <a:prstGeom prst="rect">
                      <a:avLst/>
                    </a:prstGeom>
                    <a:noFill/>
                  </pic:spPr>
                </pic:pic>
              </a:graphicData>
            </a:graphic>
          </wp:anchor>
        </w:drawing>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Product Development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has been expanding Maybach(It’s ultra-luxury sub-brand) and its AMG performance lineup in the UAE. This has been the most significant directional shift in the UAE over the past four years. The Maybach GLS 600 was prominently  introduced in the Gulf market from 2021 onwards and Mercedes specifically marketed it as a ‘statement of extreme exclusivity’. This was in direct response to research indicating that UAE consumers were seeking greater differentiation within the luxury tier (Mercedes-Benz Group AG, 2023). Alongside this, Mercedes has begun calculated and cautious rollout of its EQ electric vehicle portfolio in the UAE, but the adoption has been limited because of the country's infrastructure development stage and mainly because of consumer’s preference for high-performance combustion engines (Keegan and Green, 2020). The EQ introduction signals forward-looking product diversification within the existing UAE customer base, despite the results.</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Market Penetration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has aggressively deepened its presence within the existing UAE market. According to Mercedes-Benz Group's Annual Report (2023), the Middle East and Africa region recorded strong revenue growth; The UAE has consistently ranked as one of the brand's ‘highest-performing markets’ for top-end vehicles. Mercedes has focused on increasing its share of revenue among existing high-value consumers rather than expanding the customer base. This was done through encouraging current owners to upgrade to higher-specification models such as the Maybach ‘S-Class’ and ‘G-Class’ variants. This penetration strategy is supported through loyalty programmes, exclusive ownership events and VIP relationship management. It collectively deepen brand attachment and reduce the likelihood of switching to competitors such as Rolls-Royce or Bentley (Hollensen, 2020).</w:t>
      </w:r>
    </w:p>
    <w:p>
      <w:pPr>
        <w:pStyle w:val="Normal"/>
        <w:bidi w:val="0"/>
        <w:spacing w:lineRule="auto" w:line="360" w:before="0" w:after="200"/>
        <w:jc w:val="both"/>
        <w:rPr>
          <w:b/>
          <w:bCs/>
        </w:rPr>
      </w:pPr>
      <w:r>
        <w:rPr>
          <w:rFonts w:eastAsia="Times New Roman" w:cs="Times New Roman"/>
          <w:b/>
          <w:bCs/>
          <w:sz w:val="24"/>
          <w:szCs w:val="24"/>
        </w:rPr>
        <w:t>1.5 Ethical Concerns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Despite the efforts for sustainability and ethical marketing, Mercedes-Benz’s ethical concerns are centered around the contrast between its environmental positioning at corporate level and the reality of luxury consumption. One of the major concern is the  risk of "greenwashing" and the legal scrutiny of its climate commitments. For instance, the brand has recently faced major climate litigation from environmental NGOs like Deutsche Umwelthilfe (DUH) in Germany. Mercedes’ compatibility of national and corporate climate targets was challenged because of the growing internal combustion engine vehicle sales (Climate Litigation Database, 2026). Litigation like this directly impacts brand’s credibility in such highly regulated, eco-conscious markets like Germany, where consumers and regulators both heavily scrutinize the authenticity of corporate social responsibility (CSR) claims. Furthermore, Mercedes faces a complex luxury vs sustainability challenge in status-driven markets like the UAE (Teah, Cheah and Shimul, 2023). The brand actively promotes the values of elitism, extravagance and hedonism through it’s aggressive promotion of resource-intensive, high-emissions luxury vehicles (Teah, Cheah and Shimul, 2023). This marketing mix directly clashes with the values required for brand’s genuine environmental responsibility. These challenges make it ethically challenging for the brand to reconcile its high-consumption luxury identity with its overarching decarbonization goals (Teah, Cheah and Shimul, 2023).</w:t>
      </w:r>
    </w:p>
    <w:p>
      <w:pPr>
        <w:pStyle w:val="Normal"/>
        <w:bidi w:val="0"/>
        <w:spacing w:lineRule="auto" w:line="360" w:before="0" w:after="200"/>
        <w:jc w:val="both"/>
        <w:rPr>
          <w:b/>
          <w:bCs/>
        </w:rPr>
      </w:pPr>
      <w:r>
        <w:rPr>
          <w:rFonts w:eastAsia="Times New Roman" w:cs="Times New Roman"/>
          <w:b/>
          <w:bCs/>
          <w:sz w:val="24"/>
          <w:szCs w:val="24"/>
        </w:rPr>
        <w:t>1.6 Recommendations for International Marketing</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Based on the comparative analysis of the macroenvironmental, STP, and ethical landscapes, the brand must adopt a highly localized strategic roadmap with investments in R&amp;D and operational modifications to remain competetive.</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German Market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is a mature and highly regulated market. Simply expanding the EQ electric vehicle range is no longer a sufficient point of differentiation. Mercedes must evolve its Product and Process strategies toward a fully circular economy in order to counteract consumer skepticism regarding greenwashing (Bocken and Geradts, 2022).</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should heavily promote its recent investments in closed-loop systems through various marketing channels. These promotions should be targeted to relevant demographics. Mercedes’ new mechanical-hydrometallurgical battery recycling plant that opened in 2024 in Kuppenheim, Germany and has a recovery rate of 96%+ for critical metals. Marketing communications should pivot from focusing solely on zero emissions to highlighting the entire lifecycle sustainability of the vehicle. By doing so, the brand can authentically capture the pragmatic, highly eco-conscious German consumer and restore trust in its corporate social responsibility commitments (Golini, De Marchi and Bindi, 2023).</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UAE Market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The acquisition of status and prestige is what drive the consumers. The global sales of its iconic top-end vehicles like the G-Class surged by 26% in 2025, brand must lean into its upper-tier luxury positioning to sustain and grow it’s UAE sales (Mercedes-Benz,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should significantly expand its 'Manufaktur' bespoke customization program specifically for the UAE. It can enhance its Product exclusivity and command even more premium pricing by creating hyper-localized, limited-edition models with aesthetics that resonate culturally and specialized technological adaptations for severe heat. Mercedes should market its EVs on the bases of technological supremacy. This will align Mercedes with the UAE government's future sustainability goals while resonating with its power-hungry consumers at the same time. The promotional focus should be on high-performance AMG electric variants by stating electric propulsion as the ultimate evolution of speed and innovation. That too without an ecological compromise (Teah, Cheah and Shimul, 2023).</w:t>
      </w:r>
    </w:p>
    <w:p>
      <w:pPr>
        <w:pStyle w:val="Heading2"/>
        <w:spacing w:lineRule="auto" w:line="360" w:before="0" w:after="200"/>
        <w:jc w:val="both"/>
        <w:rPr>
          <w:rFonts w:ascii="Arial" w:hAnsi="Arial"/>
          <w:sz w:val="24"/>
          <w:szCs w:val="24"/>
        </w:rPr>
      </w:pPr>
      <w:r>
        <w:rPr>
          <w:rFonts w:ascii="Arial" w:hAnsi="Arial"/>
          <w:sz w:val="24"/>
          <w:szCs w:val="24"/>
        </w:rPr>
        <w:t>2.0.</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reflection</w:t>
      </w:r>
    </w:p>
    <w:p>
      <w:pPr>
        <w:pStyle w:val="Normal"/>
        <w:bidi w:val="0"/>
        <w:spacing w:lineRule="auto" w:line="360" w:before="0" w:after="200"/>
        <w:jc w:val="both"/>
        <w:rPr>
          <w:rFonts w:ascii="Arial" w:hAnsi="Arial"/>
          <w:sz w:val="24"/>
          <w:szCs w:val="24"/>
        </w:rPr>
      </w:pPr>
      <w:r>
        <w:rPr>
          <w:rFonts w:eastAsia="Arial" w:cs="Arial"/>
          <w:b w:val="false"/>
          <w:bCs w:val="false"/>
          <w:sz w:val="24"/>
          <w:szCs w:val="24"/>
        </w:rPr>
        <w:t xml:space="preserve">The core objective was to critically evaluate Mercedes-Benz’s strategic adaptations across two profoundly different markets </w:t>
      </w:r>
      <w:r>
        <w:rPr>
          <w:rFonts w:eastAsia="Arial" w:cs="Arial"/>
          <w:b w:val="false"/>
          <w:bCs w:val="false"/>
          <w:sz w:val="24"/>
          <w:szCs w:val="24"/>
        </w:rPr>
        <w:t xml:space="preserve">and completely two different cultures </w:t>
      </w:r>
      <w:r>
        <w:rPr>
          <w:rFonts w:eastAsia="Arial" w:cs="Arial"/>
          <w:b w:val="false"/>
          <w:bCs w:val="false"/>
          <w:sz w:val="24"/>
          <w:szCs w:val="24"/>
        </w:rPr>
        <w:t xml:space="preserve">: Germany and the United Arab Emirates (UAE). Developing this report required extensive research, critical </w:t>
      </w:r>
      <w:r>
        <w:rPr>
          <w:rFonts w:eastAsia="Arial" w:cs="Arial"/>
          <w:b w:val="false"/>
          <w:bCs w:val="false"/>
          <w:sz w:val="24"/>
          <w:szCs w:val="24"/>
        </w:rPr>
        <w:t>analysis. I had to apply multiple</w:t>
      </w:r>
      <w:r>
        <w:rPr>
          <w:rFonts w:eastAsia="Arial" w:cs="Arial"/>
          <w:b w:val="false"/>
          <w:bCs w:val="false"/>
          <w:sz w:val="24"/>
          <w:szCs w:val="24"/>
        </w:rPr>
        <w:t xml:space="preserve"> theoretical frameworks </w:t>
      </w:r>
      <w:r>
        <w:rPr>
          <w:rFonts w:eastAsia="Arial" w:cs="Arial"/>
          <w:b w:val="false"/>
          <w:bCs w:val="false"/>
          <w:sz w:val="24"/>
          <w:szCs w:val="24"/>
        </w:rPr>
        <w:t>like</w:t>
      </w:r>
      <w:r>
        <w:rPr>
          <w:rFonts w:eastAsia="Arial" w:cs="Arial"/>
          <w:b w:val="false"/>
          <w:bCs w:val="false"/>
          <w:sz w:val="24"/>
          <w:szCs w:val="24"/>
        </w:rPr>
        <w:t xml:space="preserve"> Hofstede’s Cultural Dimensions, STP, PESTLE and the 7Ps. </w:t>
      </w:r>
      <w:r>
        <w:rPr>
          <w:rFonts w:eastAsia="Arial" w:cs="Arial"/>
          <w:b w:val="false"/>
          <w:bCs w:val="false"/>
          <w:sz w:val="24"/>
          <w:szCs w:val="24"/>
        </w:rPr>
        <w:t>I wen through ocean of academic journals and articles - t</w:t>
      </w:r>
      <w:r>
        <w:rPr>
          <w:rFonts w:eastAsia="Arial" w:cs="Arial"/>
          <w:b w:val="false"/>
          <w:bCs w:val="false"/>
          <w:sz w:val="24"/>
          <w:szCs w:val="24"/>
        </w:rPr>
        <w:t xml:space="preserve">o establish a </w:t>
      </w:r>
      <w:r>
        <w:rPr>
          <w:rFonts w:eastAsia="Arial" w:cs="Arial"/>
          <w:b w:val="false"/>
          <w:bCs w:val="false"/>
          <w:sz w:val="24"/>
          <w:szCs w:val="24"/>
        </w:rPr>
        <w:t>strong</w:t>
      </w:r>
      <w:r>
        <w:rPr>
          <w:rFonts w:eastAsia="Arial" w:cs="Arial"/>
          <w:b w:val="false"/>
          <w:bCs w:val="false"/>
          <w:sz w:val="24"/>
          <w:szCs w:val="24"/>
        </w:rPr>
        <w:t xml:space="preserve"> academic foundation; </w:t>
      </w:r>
      <w:r>
        <w:rPr>
          <w:rFonts w:eastAsia="Arial" w:cs="Arial"/>
          <w:b w:val="false"/>
          <w:bCs w:val="false"/>
          <w:sz w:val="24"/>
          <w:szCs w:val="24"/>
        </w:rPr>
        <w:t>Then</w:t>
      </w:r>
      <w:r>
        <w:rPr>
          <w:rFonts w:eastAsia="Arial" w:cs="Arial"/>
          <w:b w:val="false"/>
          <w:bCs w:val="false"/>
          <w:sz w:val="24"/>
          <w:szCs w:val="24"/>
        </w:rPr>
        <w:t xml:space="preserve"> </w:t>
      </w:r>
      <w:r>
        <w:rPr>
          <w:rFonts w:eastAsia="Arial" w:cs="Arial"/>
          <w:b w:val="false"/>
          <w:bCs w:val="false"/>
          <w:sz w:val="24"/>
          <w:szCs w:val="24"/>
        </w:rPr>
        <w:t>went thorugh multiple</w:t>
      </w:r>
      <w:r>
        <w:rPr>
          <w:rFonts w:eastAsia="Arial" w:cs="Arial"/>
          <w:b w:val="false"/>
          <w:bCs w:val="false"/>
          <w:sz w:val="24"/>
          <w:szCs w:val="24"/>
        </w:rPr>
        <w:t xml:space="preserve"> </w:t>
      </w:r>
      <w:r>
        <w:rPr>
          <w:rFonts w:eastAsia="Arial" w:cs="Arial"/>
          <w:b w:val="false"/>
          <w:bCs w:val="false"/>
          <w:sz w:val="24"/>
          <w:szCs w:val="24"/>
        </w:rPr>
        <w:t xml:space="preserve">industry specific </w:t>
      </w:r>
      <w:r>
        <w:rPr>
          <w:rFonts w:eastAsia="Arial" w:cs="Arial"/>
          <w:b w:val="false"/>
          <w:bCs w:val="false"/>
          <w:sz w:val="24"/>
          <w:szCs w:val="24"/>
        </w:rPr>
        <w:t xml:space="preserve">reports and corporate financial data </w:t>
      </w:r>
      <w:r>
        <w:rPr>
          <w:rFonts w:eastAsia="Arial" w:cs="Arial"/>
          <w:b w:val="false"/>
          <w:bCs w:val="false"/>
          <w:sz w:val="24"/>
          <w:szCs w:val="24"/>
        </w:rPr>
        <w:t>of Mercedes benz to gaze the current reality</w:t>
      </w:r>
      <w:r>
        <w:rPr>
          <w:rFonts w:eastAsia="Arial" w:cs="Arial"/>
          <w:b w:val="false"/>
          <w:bCs w:val="false"/>
          <w:sz w:val="24"/>
          <w:szCs w:val="24"/>
        </w:rPr>
        <w:t xml:space="preserve">. </w:t>
      </w:r>
      <w:r>
        <w:rPr>
          <w:rFonts w:eastAsia="Arial" w:cs="Arial"/>
          <w:b w:val="false"/>
          <w:bCs w:val="false"/>
          <w:sz w:val="24"/>
          <w:szCs w:val="24"/>
        </w:rPr>
        <w:t xml:space="preserve">In order to make this a </w:t>
      </w:r>
      <w:r>
        <w:rPr>
          <w:sz w:val="24"/>
          <w:szCs w:val="24"/>
        </w:rPr>
        <w:t xml:space="preserve">Level 7 Master’s standards </w:t>
      </w:r>
      <w:r>
        <w:rPr>
          <w:sz w:val="24"/>
          <w:szCs w:val="24"/>
        </w:rPr>
        <w:t xml:space="preserve">report, I had to avoid just descriptive writing and employ critical analysis. I used </w:t>
      </w:r>
      <w:r>
        <w:rPr>
          <w:rFonts w:eastAsia="Arial" w:cs="Arial"/>
          <w:b w:val="false"/>
          <w:bCs w:val="false"/>
          <w:sz w:val="24"/>
          <w:szCs w:val="24"/>
        </w:rPr>
        <w:t>reflective learning strategies to achieve it</w:t>
      </w:r>
      <w:r>
        <w:rPr>
          <w:rFonts w:eastAsia="Arial" w:cs="Arial"/>
          <w:b w:val="false"/>
          <w:bCs w:val="false"/>
          <w:sz w:val="24"/>
          <w:szCs w:val="24"/>
        </w:rPr>
        <w:t>.</w:t>
      </w:r>
    </w:p>
    <w:p>
      <w:pPr>
        <w:pStyle w:val="Normal"/>
        <w:bidi w:val="0"/>
        <w:spacing w:lineRule="auto" w:line="360" w:before="0" w:after="200"/>
        <w:jc w:val="both"/>
        <w:rPr>
          <w:rFonts w:eastAsia="Arial" w:cs="Arial"/>
          <w:b/>
          <w:bCs/>
          <w:sz w:val="24"/>
          <w:szCs w:val="24"/>
        </w:rPr>
      </w:pPr>
      <w:r>
        <w:rPr>
          <w:rFonts w:eastAsia="Arial" w:cs="Arial"/>
          <w:b/>
          <w:bCs/>
          <w:sz w:val="24"/>
          <w:szCs w:val="24"/>
        </w:rPr>
        <w:t>Feelings</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Both markets are vastly different from each other in all possible senses. The sheer volume of material was a challenge and doing analysis on top of that, for two distinct markets felt overwheling.</w:t>
      </w:r>
      <w:r>
        <w:rPr>
          <w:rFonts w:eastAsia="Arial" w:cs="Arial"/>
          <w:b w:val="false"/>
          <w:bCs w:val="false"/>
          <w:sz w:val="24"/>
          <w:szCs w:val="24"/>
        </w:rPr>
        <w:t xml:space="preserve"> </w:t>
      </w:r>
      <w:r>
        <w:rPr>
          <w:rFonts w:eastAsia="Arial" w:cs="Arial"/>
          <w:b w:val="false"/>
          <w:bCs w:val="false"/>
          <w:sz w:val="24"/>
          <w:szCs w:val="24"/>
        </w:rPr>
        <w:t>I relied on</w:t>
      </w:r>
      <w:r>
        <w:rPr>
          <w:rFonts w:eastAsia="Arial" w:cs="Arial"/>
          <w:b w:val="false"/>
          <w:bCs w:val="false"/>
          <w:sz w:val="24"/>
          <w:szCs w:val="24"/>
        </w:rPr>
        <w:t xml:space="preserve"> Hofstede’s dimensions </w:t>
      </w:r>
      <w:r>
        <w:rPr>
          <w:rFonts w:eastAsia="Arial" w:cs="Arial"/>
          <w:b w:val="false"/>
          <w:bCs w:val="false"/>
          <w:sz w:val="24"/>
          <w:szCs w:val="24"/>
        </w:rPr>
        <w:t>for the</w:t>
      </w:r>
      <w:r>
        <w:rPr>
          <w:rFonts w:eastAsia="Arial" w:cs="Arial"/>
          <w:b w:val="false"/>
          <w:bCs w:val="false"/>
          <w:sz w:val="24"/>
          <w:szCs w:val="24"/>
        </w:rPr>
        <w:t xml:space="preserve"> </w:t>
      </w:r>
      <w:r>
        <w:rPr>
          <w:rFonts w:eastAsia="Arial" w:cs="Arial"/>
          <w:b w:val="false"/>
          <w:bCs w:val="false"/>
          <w:sz w:val="24"/>
          <w:szCs w:val="24"/>
        </w:rPr>
        <w:t>complex data analytical part and ontinuous self-reflection to avoid my own biases and make sure the arguments are objective and based on data (Schön, 1983). Overcoming this initial challenge thorough systemetic frameworks approach boosted my confidence.</w:t>
      </w:r>
    </w:p>
    <w:p>
      <w:pPr>
        <w:pStyle w:val="Normal"/>
        <w:bidi w:val="0"/>
        <w:spacing w:lineRule="auto" w:line="360" w:before="0" w:after="200"/>
        <w:jc w:val="both"/>
        <w:rPr>
          <w:rFonts w:eastAsia="Arial" w:cs="Arial"/>
          <w:b/>
          <w:bCs/>
          <w:sz w:val="24"/>
          <w:szCs w:val="24"/>
        </w:rPr>
      </w:pPr>
      <w:r>
        <w:rPr>
          <w:rFonts w:eastAsia="Arial" w:cs="Arial"/>
          <w:b/>
          <w:bCs/>
          <w:sz w:val="24"/>
          <w:szCs w:val="24"/>
        </w:rPr>
        <w:t>Evaluation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I can see several strengths are weaknesses when I reflect on this process</w:t>
      </w:r>
      <w:r>
        <w:rPr>
          <w:rFonts w:eastAsia="Arial" w:cs="Arial"/>
          <w:b w:val="false"/>
          <w:bCs w:val="false"/>
          <w:sz w:val="24"/>
          <w:szCs w:val="24"/>
        </w:rPr>
        <w:t xml:space="preserve">. </w:t>
      </w:r>
      <w:r>
        <w:rPr>
          <w:rFonts w:eastAsia="Arial" w:cs="Arial"/>
          <w:b w:val="false"/>
          <w:bCs w:val="false"/>
          <w:sz w:val="24"/>
          <w:szCs w:val="24"/>
        </w:rPr>
        <w:t xml:space="preserve">Integrating all the complex data in the cultural analysis and then presenting it in a concise academic writing was a challenge for me.  Selecting any two european nations would have been easier but choosing two different macro environment allowed me to realize the extreme contrast and </w:t>
      </w:r>
      <w:r>
        <w:rPr>
          <w:rFonts w:eastAsia="Arial" w:cs="Arial"/>
          <w:b w:val="false"/>
          <w:bCs w:val="false"/>
          <w:sz w:val="24"/>
          <w:szCs w:val="24"/>
        </w:rPr>
        <w:t>deeper analysis of  Mercedes-Benz’s STP strategies.  I was able to critically understand consumer behaviour and it’s reasons using Hofstede’s dimensions &amp; PESTLE analysis.</w:t>
      </w:r>
    </w:p>
    <w:p>
      <w:pPr>
        <w:pStyle w:val="Normal"/>
        <w:bidi w:val="0"/>
        <w:spacing w:lineRule="auto" w:line="360" w:before="0" w:after="200"/>
        <w:jc w:val="both"/>
        <w:rPr>
          <w:rFonts w:eastAsia="Arial" w:cs="Arial"/>
          <w:b/>
          <w:bCs/>
          <w:sz w:val="24"/>
          <w:szCs w:val="24"/>
        </w:rPr>
      </w:pPr>
      <w:r>
        <w:rPr>
          <w:rFonts w:eastAsia="Arial" w:cs="Arial"/>
          <w:b/>
          <w:bCs/>
          <w:sz w:val="24"/>
          <w:szCs w:val="24"/>
        </w:rPr>
        <w:t>Conclusion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In the end, the assessment helped me advance my critical thinking capabilities, academic writing and complex problem solving through systemic approach. All this happened because I have to navigate all these tasks and face my weaknesses.This helped me understand how standard, theoretical models adap to real-life environments and how It can be used to be a successful marketer.</w:t>
      </w:r>
    </w:p>
    <w:p>
      <w:pPr>
        <w:pStyle w:val="Normal"/>
        <w:bidi w:val="0"/>
        <w:spacing w:lineRule="auto" w:line="360" w:before="0" w:after="200"/>
        <w:jc w:val="both"/>
        <w:rPr>
          <w:rFonts w:eastAsia="Arial" w:cs="Arial"/>
          <w:b/>
          <w:bCs/>
          <w:sz w:val="24"/>
          <w:szCs w:val="24"/>
        </w:rPr>
      </w:pPr>
      <w:r>
        <w:rPr>
          <w:rFonts w:eastAsia="Arial" w:cs="Arial"/>
          <w:b/>
          <w:bCs/>
          <w:sz w:val="24"/>
          <w:szCs w:val="24"/>
        </w:rPr>
        <w:t>Action Plan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In future, I will follow more regerous and structured approaches. I will spend less time collecting data and more time on high level critical analysis and drafting to fit harmonically - this will help me improve my narration.</w:t>
      </w:r>
      <w:r>
        <w:rPr>
          <w:rFonts w:eastAsia="Arial" w:cs="Arial"/>
          <w:b w:val="false"/>
          <w:bCs w:val="false"/>
          <w:sz w:val="24"/>
          <w:szCs w:val="24"/>
        </w:rPr>
        <w:t xml:space="preserve"> </w:t>
      </w:r>
      <w:r>
        <w:rPr>
          <w:rFonts w:eastAsia="Arial" w:cs="Arial"/>
          <w:b w:val="false"/>
          <w:bCs w:val="false"/>
          <w:sz w:val="24"/>
          <w:szCs w:val="24"/>
        </w:rPr>
        <w:t>I will use reflective techniques mentioned earlier to eliminate my personal biases from the work and be more objective while analyzing. I will support my arguments with solid statistical data and quantitative matrics. I feel this will help me become more competent professional and enhace my cabilities.</w:t>
      </w:r>
      <w:r>
        <w:br w:type="page"/>
      </w:r>
    </w:p>
    <w:p>
      <w:pPr>
        <w:pStyle w:val="Heading1"/>
        <w:spacing w:lineRule="auto" w:line="360" w:before="0" w:after="200"/>
        <w:jc w:val="both"/>
        <w:rPr>
          <w:rFonts w:ascii="Arial" w:hAnsi="Arial"/>
          <w:sz w:val="24"/>
          <w:szCs w:val="24"/>
        </w:rPr>
      </w:pPr>
      <w:bookmarkStart w:id="1" w:name="_pemnsk9klfvc"/>
      <w:bookmarkEnd w:id="1"/>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1. Johnson, G., Scholes, K. and Whittington, R. (2008) Exploring Corporate Strategy. 8th edn. Harlow: Pearson Education.</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Zirpoli, F. (2025) 'The Green Deal in the Automotive Industry: The Mistakes the EU Cannot Afford', IEP@BU, 294. </w:t>
      </w:r>
      <w:hyperlink r:id="rId13">
        <w:r>
          <w:rPr>
            <w:rStyle w:val="Hyperlink"/>
            <w:rFonts w:eastAsia="Times New Roman" w:cs="Times New Roman"/>
            <w:sz w:val="24"/>
            <w:szCs w:val="24"/>
          </w:rPr>
          <w:t>https://iep.unibocconi.eu/green-deal-automotive-industry-mistakes-eu-cannot-afford</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Wesseling, J.H., Bidmon, C.M. and Bohnsack, R. (2020) 'Waves of disruption in clean energy transitions: Sociotechnical dimensions of system disruption in Germany and the United Kingdom', Energy Research &amp; Social Science, 59, p. 101300. </w:t>
      </w:r>
      <w:hyperlink r:id="rId14">
        <w:r>
          <w:rPr>
            <w:rStyle w:val="Hyperlink"/>
            <w:rFonts w:eastAsia="Times New Roman" w:cs="Times New Roman"/>
            <w:sz w:val="24"/>
            <w:szCs w:val="24"/>
          </w:rPr>
          <w:t>https://www.researchgate.net/publication/338312802_Waves_of_disruption_in_clean_energy_transitions_Sociotechnical_dimensions_of_system_disruption_in_Germany_and_the_United_Kingdom</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4. Department of Foreign Affairs and Trade (DFAT) (2026) United Arab Emirates country brief. Australian Government. </w:t>
      </w:r>
      <w:hyperlink r:id="rId15">
        <w:r>
          <w:rPr>
            <w:rStyle w:val="Hyperlink"/>
            <w:rFonts w:eastAsia="Times New Roman" w:cs="Times New Roman"/>
            <w:sz w:val="24"/>
            <w:szCs w:val="24"/>
          </w:rPr>
          <w:t>https://www.dfat.gov.au/geo/united-arab-emirates/united-arab-emirates-country-brief</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Bartlett, W., Ker-Lindsay, J., Alexander, K. and Prelec, T. (2017) 'The UAE as an Emerging Actor in the Western Balkans: The Case of Strategic Investment in Serbia', Journal of Arabian Studies, 7(1), pp. 94-112. </w:t>
      </w:r>
      <w:hyperlink r:id="rId16">
        <w:r>
          <w:rPr>
            <w:rStyle w:val="Hyperlink"/>
            <w:rFonts w:eastAsia="Times New Roman" w:cs="Times New Roman"/>
            <w:sz w:val="24"/>
            <w:szCs w:val="24"/>
          </w:rPr>
          <w:t>https://scispace.com/pdf/the-uae-as-an-emerging-actor-in-the-western-balkans-the-case-3jmyonpn4e.pdf</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6. BNP Paribas (2025) Germany: the country launches its new growth cycle. </w:t>
      </w:r>
      <w:hyperlink r:id="rId17">
        <w:r>
          <w:rPr>
            <w:rStyle w:val="Hyperlink"/>
            <w:rFonts w:eastAsia="Times New Roman" w:cs="Times New Roman"/>
            <w:sz w:val="24"/>
            <w:szCs w:val="24"/>
          </w:rPr>
          <w:t>https://economic-research.bnpparibas.com/html/en-US/Germany-country-launches-growth-cycle-12/18/2025,53106</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7. Stewards Investment Capital (2025) Dubai Media September 2025 - The Rise Of Dubai Report. </w:t>
      </w:r>
      <w:hyperlink r:id="rId18">
        <w:r>
          <w:rPr>
            <w:rStyle w:val="Hyperlink"/>
            <w:rFonts w:eastAsia="Times New Roman" w:cs="Times New Roman"/>
            <w:sz w:val="24"/>
            <w:szCs w:val="24"/>
          </w:rPr>
          <w:t>https://stewardsinvestment.com/wp-content/uploads/2025/10/The_Rise_Of_Dubai_Report_2025.pdf</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8. EV Sales in Europe Up in the First Half of 2025: Full Overview (Eleport). </w:t>
      </w:r>
      <w:hyperlink r:id="rId19">
        <w:r>
          <w:rPr>
            <w:rStyle w:val="Hyperlink"/>
            <w:rFonts w:eastAsia="Times New Roman" w:cs="Times New Roman"/>
            <w:sz w:val="24"/>
            <w:szCs w:val="24"/>
          </w:rPr>
          <w:t>https://eleport.com/ev-sales-in-europe-2025-the-first-half/</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9. Year-on-year change of the gross domestic product (GDP) in Germany from 2010 to 2024, with a forecast until 2026 (Statistica ). </w:t>
      </w:r>
      <w:hyperlink r:id="rId20">
        <w:r>
          <w:rPr>
            <w:rStyle w:val="Hyperlink"/>
            <w:rFonts w:eastAsia="Times New Roman" w:cs="Times New Roman"/>
            <w:sz w:val="24"/>
            <w:szCs w:val="24"/>
          </w:rPr>
          <w:t>https://www.statista.com/statistics/1322391/gdp-development-forecast-germany/</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10. Alserhan, B.A. (2011) The Principles of Islamic Marketing. Gower Publishing. </w:t>
      </w:r>
      <w:hyperlink r:id="rId21">
        <w:r>
          <w:rPr>
            <w:rStyle w:val="Hyperlink"/>
            <w:rFonts w:eastAsia="Times New Roman" w:cs="Times New Roman"/>
            <w:sz w:val="24"/>
            <w:szCs w:val="24"/>
          </w:rPr>
          <w:t>https://www.researchgate.net/profile/Baker-Alserhan-2/publication/343919814_The_Principles_of_Islamic_Marketing/links/61647c69e7993f536cc34f96/The-Principles-of-Islamic-Marketing.pdf</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11. Doole, I. and Lowe, R. (2012) International Marketing Strategy: Analysis, Development and Implementation. 6th edn. Cengage Learning. </w:t>
      </w:r>
      <w:hyperlink r:id="rId22">
        <w:r>
          <w:rPr>
            <w:rStyle w:val="Hyperlink"/>
            <w:rFonts w:eastAsia="Times New Roman" w:cs="Times New Roman"/>
            <w:sz w:val="24"/>
            <w:szCs w:val="24"/>
          </w:rPr>
          <w:t>https://images.template.net/wp-content/uploads/2015/10/09212256/international-marketing-plan-template.pdf</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12. Hollensen, S. (2020) Global Marketing. 8th edn. Pearson Education. </w:t>
      </w:r>
      <w:hyperlink r:id="rId23">
        <w:r>
          <w:rPr>
            <w:rStyle w:val="Hyperlink"/>
            <w:rFonts w:eastAsia="Times New Roman" w:cs="Times New Roman"/>
            <w:sz w:val="24"/>
            <w:szCs w:val="24"/>
          </w:rPr>
          <w:t>https://www.pearson.com/nl/en_NL/higher-education/subject-catalogue/marketing/hollensen-global-marketing-8e.html</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13. Kapferer, J.N. (2012) The New Strategic Brand Management: Advanced Insights and Strategic Thinking. 5th edn. Kogan Page . </w:t>
      </w:r>
      <w:hyperlink r:id="rId24">
        <w:r>
          <w:rPr>
            <w:rStyle w:val="Hyperlink"/>
            <w:rFonts w:eastAsia="Times New Roman" w:cs="Times New Roman"/>
            <w:sz w:val="24"/>
            <w:szCs w:val="24"/>
          </w:rPr>
          <w:t>https://www.researchgate.net/publication/281803401_The_New_Strategic_Brand_Management</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14. Keegan, W.J. and Green, M.C. (2020) Global Marketing. 9th edn. Pearson Education. </w:t>
      </w:r>
      <w:hyperlink r:id="rId25">
        <w:r>
          <w:rPr>
            <w:rStyle w:val="Hyperlink"/>
            <w:rFonts w:eastAsia="Times New Roman" w:cs="Times New Roman"/>
            <w:sz w:val="24"/>
            <w:szCs w:val="24"/>
          </w:rPr>
          <w:t>https://archive.org/details/globalmarketing0000keeg_h8j2</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15. Henderson, B. (1970) The Product Portfolio. Boston Consulting Group. </w:t>
      </w:r>
      <w:hyperlink r:id="rId26">
        <w:r>
          <w:rPr>
            <w:rStyle w:val="Hyperlink"/>
            <w:rFonts w:eastAsia="Times New Roman" w:cs="Times New Roman"/>
            <w:sz w:val="24"/>
            <w:szCs w:val="24"/>
          </w:rPr>
          <w:t>https://www.bcg.com/publications/1970/strategy-the-product-portfolio</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16. Mercedes-Benz Group AG (2023) Annual Report 2023. </w:t>
      </w:r>
      <w:hyperlink r:id="rId27">
        <w:r>
          <w:rPr>
            <w:rStyle w:val="Hyperlink"/>
            <w:rFonts w:eastAsia="Times New Roman" w:cs="Times New Roman"/>
            <w:sz w:val="24"/>
            <w:szCs w:val="24"/>
          </w:rPr>
          <w:t>https://group.mercedes-benz.com/investors/reports-news/annual-reports/2023</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17. Statista (2024) Luxury vehicle market in the UAE – statistics and facts. </w:t>
      </w:r>
      <w:hyperlink r:id="rId28">
        <w:r>
          <w:rPr>
            <w:rStyle w:val="Hyperlink"/>
            <w:rFonts w:eastAsia="Times New Roman" w:cs="Times New Roman"/>
            <w:sz w:val="24"/>
            <w:szCs w:val="24"/>
          </w:rPr>
          <w:t>https://www.statista.com/forecasts/1327063/uae-luxury-car-sales/</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18. UAE Government (2023) UAE Net Zero by 2050 Strategic Initiative. </w:t>
      </w:r>
      <w:hyperlink r:id="rId29">
        <w:r>
          <w:rPr>
            <w:rStyle w:val="Hyperlink"/>
            <w:rFonts w:eastAsia="Times New Roman" w:cs="Times New Roman"/>
            <w:sz w:val="24"/>
            <w:szCs w:val="24"/>
          </w:rPr>
          <w:t>https://u.ae/en/about-the-uae/strategies-initiatives-and-awards/strategies-plans-and-visions/environment-and-energy/the-uae-net-zero-2050-strategy</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19. Climate Litigation Database (2026) Deutsche Umwelthilfe (DUH) v. Mercedes-Benz AG. </w:t>
      </w:r>
      <w:hyperlink r:id="rId30">
        <w:r>
          <w:rPr>
            <w:rStyle w:val="Hyperlink"/>
            <w:rFonts w:eastAsia="Times New Roman" w:cs="Times New Roman"/>
            <w:sz w:val="24"/>
            <w:szCs w:val="24"/>
          </w:rPr>
          <w:t>https://www.climatecasechart.com/document/deutsche-umwelthilfe-duh-v-mercedes-benz-ag_9bce</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20. Teah, K., Cheah, I. and Shimul, A.S. (2023) 'The Present and Future of the Luxury-Sustainability Paradox', in Luxury Marketing, Sustainability and Technology. Routledge, pp. 135-149. </w:t>
      </w:r>
      <w:hyperlink r:id="rId31">
        <w:r>
          <w:rPr>
            <w:rStyle w:val="Hyperlink"/>
            <w:rFonts w:eastAsia="Times New Roman" w:cs="Times New Roman"/>
            <w:sz w:val="24"/>
            <w:szCs w:val="24"/>
          </w:rPr>
          <w:t>https://www.researchgate.net/publication/369992963_The_Present_and_Future_of_the_Luxury-Sustainability_Paradox</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21. Bocken, N. and Geradts, T. (2022) 'Barriers and drivers to sustainable business model innovation: Organization design and dynamic capabilities', Long Range Planning. </w:t>
      </w:r>
      <w:hyperlink r:id="rId32">
        <w:r>
          <w:rPr>
            <w:rStyle w:val="Hyperlink"/>
            <w:rFonts w:eastAsia="Times New Roman" w:cs="Times New Roman"/>
            <w:sz w:val="24"/>
            <w:szCs w:val="24"/>
          </w:rPr>
          <w:t>https://www.researchgate.net/publication/337964319_Barriers_and_drivers_to_sustainable_business_model_innovation_Organization_design_and_dynamic_capabilities</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22. Golini, R., De Marchi, V. and Bindi, B. (2023) 'The impact of circular economy practices on corporate reputation in the automotive sector', Business Strategy and the Environment.  </w:t>
      </w:r>
      <w:hyperlink r:id="rId33">
        <w:r>
          <w:rPr>
            <w:rStyle w:val="Hyperlink"/>
            <w:rFonts w:eastAsia="Times New Roman" w:cs="Times New Roman"/>
            <w:sz w:val="24"/>
            <w:szCs w:val="24"/>
          </w:rPr>
          <w:t>https://onlinelibrary.wiley.com/doi/10.1002/bse.3188</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23. Mercedes-Benz Group AG (2024) Own recycling factory to close the battery loop. </w:t>
      </w:r>
      <w:hyperlink r:id="rId34">
        <w:r>
          <w:rPr>
            <w:rStyle w:val="Hyperlink"/>
            <w:rFonts w:eastAsia="Times New Roman" w:cs="Times New Roman"/>
            <w:sz w:val="24"/>
            <w:szCs w:val="24"/>
          </w:rPr>
          <w:t>https://group.mercedes-benz.com/company/news/recycling-factory-kuppenheim.html</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24. Mercedes-Benz USA (2026) Mercedes-Benz USA Reports 2025 Year-Over-Year Retail Sales Growth. </w:t>
      </w:r>
      <w:hyperlink r:id="rId35">
        <w:r>
          <w:rPr>
            <w:rStyle w:val="Hyperlink"/>
            <w:rFonts w:eastAsia="Times New Roman" w:cs="Times New Roman"/>
            <w:sz w:val="24"/>
            <w:szCs w:val="24"/>
          </w:rPr>
          <w:t>https://media.mbusa.com/releases/release-4889b1d1c66cddc71207802037074cd5-mercedes-benz-usa-reports-2025-year-over-year-retail-sales-growth</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25. ArabWheels (2026) 'Mercedes Sales Dip 9% in 2025: AMG and G-Class Still Lead the Way'. </w:t>
      </w:r>
      <w:hyperlink r:id="rId36">
        <w:r>
          <w:rPr>
            <w:rStyle w:val="Hyperlink"/>
            <w:rFonts w:eastAsia="Times New Roman" w:cs="Times New Roman"/>
            <w:sz w:val="24"/>
            <w:szCs w:val="24"/>
          </w:rPr>
          <w:t>https://www.arabwheels.ae/blog/mercedes-benz-2025-annual-sales-report/</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26. Schön, D.A. (1983) The Reflective Practitioner: How Professionals Think in Action. Basic Books. </w:t>
      </w:r>
      <w:hyperlink r:id="rId37">
        <w:r>
          <w:rPr>
            <w:rStyle w:val="Hyperlink"/>
            <w:rFonts w:eastAsia="Times New Roman" w:cs="Times New Roman"/>
            <w:sz w:val="24"/>
            <w:szCs w:val="24"/>
          </w:rPr>
          <w:t>https://www.routledge.com/The-Reflective-Practitioner-How-Professionals-Think-in-Action/Schon/p/book/9781857423198</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27. Gibbs, G. (1988) Learning by Doing: A guide to teaching and learning methods. Further Education Unit. </w:t>
      </w:r>
      <w:hyperlink r:id="rId38">
        <w:r>
          <w:rPr>
            <w:rStyle w:val="Hyperlink"/>
            <w:rFonts w:eastAsia="Times New Roman" w:cs="Times New Roman"/>
            <w:sz w:val="24"/>
            <w:szCs w:val="24"/>
          </w:rPr>
          <w:t>https://reflection.ed.ac.uk/reflectors-toolkit/reflecting-on-experience/gibbs-reflective-cycle</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sectPr>
      <w:headerReference w:type="even" r:id="rId39"/>
      <w:headerReference w:type="default" r:id="rId40"/>
      <w:headerReference w:type="first" r:id="rId41"/>
      <w:footerReference w:type="even" r:id="rId42"/>
      <w:footerReference w:type="default" r:id="rId43"/>
      <w:footerReference w:type="first" r:id="rId44"/>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2"/>
    <w:family w:val="auto"/>
    <w:pitch w:val="default"/>
  </w:font>
  <w:font w:name="Liberation Sans">
    <w:altName w:val="Arial"/>
    <w:charset w:val="01" w:characterSet="utf-8"/>
    <w:family w:val="swiss"/>
    <w:pitch w:val="variable"/>
  </w:font>
  <w:font w:name="Symbol">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27</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27</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10"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3" w:name="_GoBack"/>
    <w:bookmarkEnd w:id="3"/>
    <w:r>
      <w:rPr/>
      <w:drawing>
        <wp:inline distT="0" distB="0" distL="0" distR="0">
          <wp:extent cx="1783715" cy="951865"/>
          <wp:effectExtent l="0" t="0" r="0" b="0"/>
          <wp:docPr id="1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14"/>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
    <w:name w:val="Footnote Characters"/>
    <w:qFormat/>
    <w:rPr/>
  </w:style>
  <w:style w:type="character" w:styleId="EndnoteCharacters">
    <w:name w:val="Endnote Characters"/>
    <w:qFormat/>
    <w:rPr/>
  </w:style>
  <w:style w:type="character" w:styleId="FollowedHyperlink">
    <w:name w:val="FollowedHyperlink"/>
    <w:rPr>
      <w:color w:val="800000"/>
      <w:u w:val="single"/>
    </w:rPr>
  </w:style>
  <w:style w:type="character" w:styleId="Emphasis">
    <w:name w:val="Emphasis"/>
    <w:qFormat/>
    <w:rPr>
      <w:i/>
      <w:iCs/>
    </w:rPr>
  </w:style>
  <w:style w:type="character" w:styleId="Bullets">
    <w:name w:val="Bullets"/>
    <w:qFormat/>
    <w:rPr>
      <w:rFonts w:ascii="OpenSymbol" w:hAnsi="OpenSymbol" w:eastAsia="OpenSymbol" w:cs="OpenSymbol"/>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hyperlink" Target="https://www.automobilwoche.de/autohersteller/mercedes-benz/amw-mercedes-sudafrika-partner-geely/" TargetMode="External"/><Relationship Id="rId8" Type="http://schemas.openxmlformats.org/officeDocument/2006/relationships/image" Target="media/image6.png"/><Relationship Id="rId9" Type="http://schemas.openxmlformats.org/officeDocument/2006/relationships/hyperlink" Target="https://creately.com/guides/hofstede-cultural-dimension/" TargetMode="External"/><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hyperlink" Target="https://iep.unibocconi.eu/green-deal-automotive-industry-mistakes-eu-cannot-afford" TargetMode="External"/><Relationship Id="rId14" Type="http://schemas.openxmlformats.org/officeDocument/2006/relationships/hyperlink" Target="https://www.researchgate.net/publication/338312802_Waves_of_disruption_in_clean_energy_transitions_Sociotechnical_dimensions_of_system_disruption_in_Germany_and_the_United_Kingdom" TargetMode="External"/><Relationship Id="rId15" Type="http://schemas.openxmlformats.org/officeDocument/2006/relationships/hyperlink" Target="https://www.dfat.gov.au/geo/united-arab-emirates/united-arab-emirates-country-brief" TargetMode="External"/><Relationship Id="rId16" Type="http://schemas.openxmlformats.org/officeDocument/2006/relationships/hyperlink" Target="https://scispace.com/pdf/the-uae-as-an-emerging-actor-in-the-western-balkans-the-case-3jmyonpn4e.pdf" TargetMode="External"/><Relationship Id="rId17" Type="http://schemas.openxmlformats.org/officeDocument/2006/relationships/hyperlink" Target="https://economic-research.bnpparibas.com/html/en-US/Germany-country-launches-growth-cycle-12/18/2025,53106" TargetMode="External"/><Relationship Id="rId18" Type="http://schemas.openxmlformats.org/officeDocument/2006/relationships/hyperlink" Target="https://stewardsinvestment.com/wp-content/uploads/2025/10/The_Rise_Of_Dubai_Report_2025.pdf" TargetMode="External"/><Relationship Id="rId19" Type="http://schemas.openxmlformats.org/officeDocument/2006/relationships/hyperlink" Target="https://eleport.com/ev-sales-in-europe-2025-the-first-half/" TargetMode="External"/><Relationship Id="rId20" Type="http://schemas.openxmlformats.org/officeDocument/2006/relationships/hyperlink" Target="https://www.statista.com/statistics/1322391/gdp-development-forecast-germany/" TargetMode="External"/><Relationship Id="rId21" Type="http://schemas.openxmlformats.org/officeDocument/2006/relationships/hyperlink" Target="https://www.researchgate.net/profile/Baker-Alserhan-2/publication/343919814_The_Principles_of_Islamic_Marketing/links/61647c69e7993f536cc34f96/The-Principles-of-Islamic-Marketing.pdf" TargetMode="External"/><Relationship Id="rId22" Type="http://schemas.openxmlformats.org/officeDocument/2006/relationships/hyperlink" Target="https://images.template.net/wp-content/uploads/2015/10/09212256/international-marketing-plan-template.pdf" TargetMode="External"/><Relationship Id="rId23" Type="http://schemas.openxmlformats.org/officeDocument/2006/relationships/hyperlink" Target="https://www.pearson.com/nl/en_NL/higher-education/subject-catalogue/marketing/hollensen-global-marketing-8e.html" TargetMode="External"/><Relationship Id="rId24" Type="http://schemas.openxmlformats.org/officeDocument/2006/relationships/hyperlink" Target="https://www.researchgate.net/publication/281803401_The_New_Strategic_Brand_Management" TargetMode="External"/><Relationship Id="rId25" Type="http://schemas.openxmlformats.org/officeDocument/2006/relationships/hyperlink" Target="https://archive.org/details/globalmarketing0000keeg_h8j2" TargetMode="External"/><Relationship Id="rId26" Type="http://schemas.openxmlformats.org/officeDocument/2006/relationships/hyperlink" Target="https://www.bcg.com/publications/1970/strategy-the-product-portfolio" TargetMode="External"/><Relationship Id="rId27" Type="http://schemas.openxmlformats.org/officeDocument/2006/relationships/hyperlink" Target="https://group.mercedes-benz.com/investors/reports-news/annual-reports/2023" TargetMode="External"/><Relationship Id="rId28" Type="http://schemas.openxmlformats.org/officeDocument/2006/relationships/hyperlink" Target="https://www.statista.com/forecasts/1327063/uae-luxury-car-sales/" TargetMode="External"/><Relationship Id="rId29" Type="http://schemas.openxmlformats.org/officeDocument/2006/relationships/hyperlink" Target="https://u.ae/en/about-the-uae/strategies-initiatives-and-awards/strategies-plans-and-visions/environment-and-energy/the-uae-net-zero-2050-strategy" TargetMode="External"/><Relationship Id="rId30" Type="http://schemas.openxmlformats.org/officeDocument/2006/relationships/hyperlink" Target="https://www.climatecasechart.com/document/deutsche-umwelthilfe-duh-v-mercedes-benz-ag_9bce" TargetMode="External"/><Relationship Id="rId31" Type="http://schemas.openxmlformats.org/officeDocument/2006/relationships/hyperlink" Target="https://www.researchgate.net/publication/369992963_The_Present_and_Future_of_the_Luxury-Sustainability_Paradox" TargetMode="External"/><Relationship Id="rId32" Type="http://schemas.openxmlformats.org/officeDocument/2006/relationships/hyperlink" Target="https://www.researchgate.net/publication/337964319_Barriers_and_drivers_to_sustainable_business_model_innovation_Organization_design_and_dynamic_capabilities" TargetMode="External"/><Relationship Id="rId33" Type="http://schemas.openxmlformats.org/officeDocument/2006/relationships/hyperlink" Target="https://onlinelibrary.wiley.com/doi/10.1002/bse.3188" TargetMode="External"/><Relationship Id="rId34" Type="http://schemas.openxmlformats.org/officeDocument/2006/relationships/hyperlink" Target="https://group.mercedes-benz.com/company/news/recycling-factory-kuppenheim.html" TargetMode="External"/><Relationship Id="rId35" Type="http://schemas.openxmlformats.org/officeDocument/2006/relationships/hyperlink" Target="https://media.mbusa.com/releases/release-4889b1d1c66cddc71207802037074cd5-mercedes-benz-usa-reports-2025-year-over-year-retail-sales-growth" TargetMode="External"/><Relationship Id="rId36" Type="http://schemas.openxmlformats.org/officeDocument/2006/relationships/hyperlink" Target="https://www.arabwheels.ae/blog/mercedes-benz-2025-annual-sales-report/" TargetMode="External"/><Relationship Id="rId37" Type="http://schemas.openxmlformats.org/officeDocument/2006/relationships/hyperlink" Target="https://www.routledge.com/The-Reflective-Practitioner-How-Professionals-Think-in-Action/Schon/p/book/9781857423198" TargetMode="External"/><Relationship Id="rId38" Type="http://schemas.openxmlformats.org/officeDocument/2006/relationships/hyperlink" Target="https://reflection.ed.ac.uk/reflectors-toolkit/reflecting-on-experience/gibbs-reflective-cycle" TargetMode="External"/><Relationship Id="rId39" Type="http://schemas.openxmlformats.org/officeDocument/2006/relationships/header" Target="header1.xml"/><Relationship Id="rId40" Type="http://schemas.openxmlformats.org/officeDocument/2006/relationships/header" Target="header2.xml"/><Relationship Id="rId41" Type="http://schemas.openxmlformats.org/officeDocument/2006/relationships/header" Target="header3.xml"/><Relationship Id="rId42" Type="http://schemas.openxmlformats.org/officeDocument/2006/relationships/footer" Target="footer1.xml"/><Relationship Id="rId43" Type="http://schemas.openxmlformats.org/officeDocument/2006/relationships/footer" Target="footer2.xml"/><Relationship Id="rId44" Type="http://schemas.openxmlformats.org/officeDocument/2006/relationships/footer" Target="footer3.xml"/><Relationship Id="rId45" Type="http://schemas.openxmlformats.org/officeDocument/2006/relationships/numbering" Target="numbering.xml"/><Relationship Id="rId46" Type="http://schemas.openxmlformats.org/officeDocument/2006/relationships/fontTable" Target="fontTable.xml"/><Relationship Id="rId47" Type="http://schemas.openxmlformats.org/officeDocument/2006/relationships/settings" Target="settings.xml"/><Relationship Id="rId48"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10.jpeg"/>
</Relationships>
</file>

<file path=word/_rels/header3.xml.rels><?xml version="1.0" encoding="UTF-8"?>
<Relationships xmlns="http://schemas.openxmlformats.org/package/2006/relationships"><Relationship Id="rId1" Type="http://schemas.openxmlformats.org/officeDocument/2006/relationships/image" Target="media/image10.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3330</TotalTime>
  <Application>LibreOffice/25.8.6.2$Linux_X86_64 LibreOffice_project/a46b460d1686bb49c718d2ef5f88b83ff2dc4981</Application>
  <AppVersion>15.0000</AppVersion>
  <Pages>27</Pages>
  <Words>5193</Words>
  <Characters>34937</Characters>
  <CharactersWithSpaces>40016</CharactersWithSpaces>
  <Paragraphs>202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2026-04-23T17:59:59Z</dcterms:modified>
  <cp:revision>461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