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3E5515" w14:textId="77777777" w:rsidR="00AF7CB3" w:rsidRDefault="00DA6103">
      <w:pPr>
        <w:pStyle w:val="Body"/>
        <w:jc w:val="center"/>
      </w:pPr>
      <w:r>
        <w:rPr>
          <w:noProof/>
        </w:rPr>
        <w:drawing>
          <wp:inline distT="0" distB="0" distL="0" distR="0" wp14:anchorId="14A4B038" wp14:editId="0D091D2D">
            <wp:extent cx="2762250" cy="97155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7"/>
                    <a:stretch>
                      <a:fillRect/>
                    </a:stretch>
                  </pic:blipFill>
                  <pic:spPr>
                    <a:xfrm>
                      <a:off x="0" y="0"/>
                      <a:ext cx="2762250" cy="971550"/>
                    </a:xfrm>
                    <a:prstGeom prst="rect">
                      <a:avLst/>
                    </a:prstGeom>
                    <a:ln w="12700" cap="flat">
                      <a:noFill/>
                      <a:miter lim="400000"/>
                    </a:ln>
                    <a:effectLst/>
                  </pic:spPr>
                </pic:pic>
              </a:graphicData>
            </a:graphic>
          </wp:inline>
        </w:drawing>
      </w:r>
    </w:p>
    <w:p w14:paraId="6852F1B3" w14:textId="77777777" w:rsidR="00AF7CB3" w:rsidRDefault="00AF7CB3">
      <w:pPr>
        <w:pStyle w:val="Body"/>
      </w:pPr>
    </w:p>
    <w:p w14:paraId="510F4F98" w14:textId="77777777" w:rsidR="00AF7CB3" w:rsidRDefault="00DA6103">
      <w:pPr>
        <w:pStyle w:val="Body"/>
        <w:jc w:val="center"/>
        <w:rPr>
          <w:rFonts w:ascii="Helvetica" w:eastAsia="Helvetica" w:hAnsi="Helvetica" w:cs="Helvetica"/>
          <w:b/>
          <w:bCs/>
          <w:sz w:val="48"/>
          <w:szCs w:val="48"/>
        </w:rPr>
      </w:pPr>
      <w:r>
        <w:rPr>
          <w:rFonts w:ascii="Helvetica" w:hAnsi="Helvetica"/>
          <w:b/>
          <w:bCs/>
          <w:sz w:val="48"/>
          <w:szCs w:val="48"/>
        </w:rPr>
        <w:t>LCBB4005</w:t>
      </w:r>
    </w:p>
    <w:p w14:paraId="536D65D1" w14:textId="77777777" w:rsidR="00AF7CB3" w:rsidRDefault="00DA6103">
      <w:pPr>
        <w:pStyle w:val="Body"/>
        <w:jc w:val="center"/>
        <w:rPr>
          <w:rFonts w:ascii="Helvetica" w:eastAsia="Helvetica" w:hAnsi="Helvetica" w:cs="Helvetica"/>
          <w:b/>
          <w:bCs/>
          <w:sz w:val="48"/>
          <w:szCs w:val="48"/>
        </w:rPr>
      </w:pPr>
      <w:r>
        <w:rPr>
          <w:rFonts w:ascii="Helvetica" w:hAnsi="Helvetica"/>
          <w:b/>
          <w:bCs/>
          <w:sz w:val="48"/>
          <w:szCs w:val="48"/>
        </w:rPr>
        <w:t>The Global Business Environment</w:t>
      </w:r>
    </w:p>
    <w:p w14:paraId="26E7D679" w14:textId="77777777" w:rsidR="00AF7CB3" w:rsidRDefault="00AF7CB3">
      <w:pPr>
        <w:pStyle w:val="Body"/>
        <w:jc w:val="center"/>
        <w:rPr>
          <w:rFonts w:ascii="Helvetica" w:eastAsia="Helvetica" w:hAnsi="Helvetica" w:cs="Helvetica"/>
          <w:b/>
          <w:bCs/>
          <w:sz w:val="48"/>
          <w:szCs w:val="48"/>
        </w:rPr>
      </w:pPr>
    </w:p>
    <w:p w14:paraId="271BA7BD" w14:textId="77777777" w:rsidR="00AF7CB3" w:rsidRDefault="00AF7CB3">
      <w:pPr>
        <w:pStyle w:val="NoSpacing"/>
      </w:pPr>
    </w:p>
    <w:p w14:paraId="6AFED7F2" w14:textId="77777777" w:rsidR="00AF7CB3" w:rsidRDefault="00DA6103">
      <w:pPr>
        <w:pStyle w:val="Body"/>
        <w:jc w:val="center"/>
        <w:rPr>
          <w:rFonts w:ascii="Helvetica" w:eastAsia="Helvetica" w:hAnsi="Helvetica" w:cs="Helvetica"/>
          <w:i/>
          <w:iCs/>
          <w:sz w:val="48"/>
          <w:szCs w:val="48"/>
        </w:rPr>
      </w:pPr>
      <w:r>
        <w:rPr>
          <w:rFonts w:ascii="Helvetica" w:hAnsi="Helvetica"/>
          <w:i/>
          <w:iCs/>
          <w:sz w:val="48"/>
          <w:szCs w:val="48"/>
          <w:u w:val="single"/>
        </w:rPr>
        <w:t>Assessment 2</w:t>
      </w:r>
      <w:r>
        <w:rPr>
          <w:rFonts w:ascii="Helvetica" w:eastAsia="Helvetica" w:hAnsi="Helvetica" w:cs="Helvetica"/>
          <w:i/>
          <w:iCs/>
          <w:sz w:val="48"/>
          <w:szCs w:val="48"/>
          <w:u w:val="single"/>
        </w:rPr>
        <w:br/>
      </w:r>
    </w:p>
    <w:p w14:paraId="4DAF5A65" w14:textId="77777777" w:rsidR="00AF7CB3" w:rsidRDefault="00AF7CB3">
      <w:pPr>
        <w:pStyle w:val="NoSpacing"/>
      </w:pPr>
    </w:p>
    <w:p w14:paraId="5B2BBBB7" w14:textId="77777777" w:rsidR="00AF7CB3" w:rsidRDefault="00AF7CB3">
      <w:pPr>
        <w:pStyle w:val="Body"/>
        <w:jc w:val="center"/>
      </w:pPr>
    </w:p>
    <w:p w14:paraId="37CD5251" w14:textId="77777777" w:rsidR="00AF7CB3" w:rsidRDefault="00AF7CB3">
      <w:pPr>
        <w:pStyle w:val="Body"/>
        <w:jc w:val="center"/>
      </w:pPr>
    </w:p>
    <w:p w14:paraId="5ADBCA69" w14:textId="77777777" w:rsidR="00AF7CB3" w:rsidRDefault="00AF7CB3">
      <w:pPr>
        <w:pStyle w:val="Body"/>
        <w:jc w:val="center"/>
      </w:pPr>
    </w:p>
    <w:p w14:paraId="3CF107F2" w14:textId="77777777" w:rsidR="00AF7CB3" w:rsidRDefault="00AF7CB3">
      <w:pPr>
        <w:pStyle w:val="Body"/>
        <w:jc w:val="center"/>
      </w:pPr>
    </w:p>
    <w:p w14:paraId="05CA94AD" w14:textId="77777777" w:rsidR="00AF7CB3" w:rsidRDefault="00AF7CB3">
      <w:pPr>
        <w:pStyle w:val="Body"/>
        <w:jc w:val="center"/>
      </w:pPr>
    </w:p>
    <w:p w14:paraId="47B66872" w14:textId="77777777" w:rsidR="00AF7CB3" w:rsidRDefault="00AF7CB3">
      <w:pPr>
        <w:pStyle w:val="Body"/>
        <w:jc w:val="center"/>
      </w:pPr>
    </w:p>
    <w:p w14:paraId="3BD1AEB6" w14:textId="77777777" w:rsidR="00AF7CB3" w:rsidRDefault="00DA6103">
      <w:pPr>
        <w:pStyle w:val="Body"/>
        <w:jc w:val="center"/>
        <w:rPr>
          <w:rFonts w:ascii="Helvetica" w:eastAsia="Helvetica" w:hAnsi="Helvetica" w:cs="Helvetica"/>
          <w:b/>
          <w:bCs/>
          <w:sz w:val="28"/>
          <w:szCs w:val="28"/>
        </w:rPr>
      </w:pPr>
      <w:r>
        <w:t>STUDENT NAME:NICOLETA OIAGA</w:t>
      </w:r>
    </w:p>
    <w:p w14:paraId="76285906" w14:textId="77777777" w:rsidR="00AF7CB3" w:rsidRDefault="00DA6103">
      <w:pPr>
        <w:pStyle w:val="Body"/>
        <w:jc w:val="center"/>
        <w:rPr>
          <w:rFonts w:ascii="Helvetica" w:eastAsia="Helvetica" w:hAnsi="Helvetica" w:cs="Helvetica"/>
          <w:b/>
          <w:bCs/>
          <w:sz w:val="28"/>
          <w:szCs w:val="28"/>
        </w:rPr>
      </w:pPr>
      <w:r>
        <w:rPr>
          <w:rFonts w:ascii="Helvetica" w:hAnsi="Helvetica"/>
          <w:b/>
          <w:bCs/>
          <w:sz w:val="28"/>
          <w:szCs w:val="28"/>
        </w:rPr>
        <w:t>STUDENT NUMBER:1913093</w:t>
      </w:r>
    </w:p>
    <w:p w14:paraId="04EC4461" w14:textId="77777777" w:rsidR="00AF7CB3" w:rsidRDefault="00DA6103">
      <w:pPr>
        <w:pStyle w:val="Body"/>
        <w:jc w:val="center"/>
        <w:rPr>
          <w:rFonts w:ascii="Helvetica" w:eastAsia="Helvetica" w:hAnsi="Helvetica" w:cs="Helvetica"/>
          <w:b/>
          <w:bCs/>
          <w:sz w:val="28"/>
          <w:szCs w:val="28"/>
        </w:rPr>
      </w:pPr>
      <w:r>
        <w:rPr>
          <w:rFonts w:ascii="Helvetica" w:hAnsi="Helvetica"/>
          <w:b/>
          <w:bCs/>
          <w:sz w:val="28"/>
          <w:szCs w:val="28"/>
        </w:rPr>
        <w:t>LECTURE</w:t>
      </w:r>
      <w:r>
        <w:rPr>
          <w:rFonts w:ascii="Helvetica" w:hAnsi="Helvetica"/>
          <w:b/>
          <w:bCs/>
          <w:sz w:val="28"/>
          <w:szCs w:val="28"/>
        </w:rPr>
        <w:t>’</w:t>
      </w:r>
      <w:r>
        <w:rPr>
          <w:rFonts w:ascii="Helvetica" w:hAnsi="Helvetica"/>
          <w:b/>
          <w:bCs/>
          <w:sz w:val="28"/>
          <w:szCs w:val="28"/>
        </w:rPr>
        <w:t>S NAME:SYED JAFFREY</w:t>
      </w:r>
    </w:p>
    <w:p w14:paraId="7707E0D4" w14:textId="77777777" w:rsidR="00AF7CB3" w:rsidRDefault="00AF7CB3">
      <w:pPr>
        <w:pStyle w:val="Body"/>
        <w:jc w:val="center"/>
        <w:rPr>
          <w:rFonts w:ascii="Helvetica" w:eastAsia="Helvetica" w:hAnsi="Helvetica" w:cs="Helvetica"/>
          <w:b/>
          <w:bCs/>
          <w:sz w:val="28"/>
          <w:szCs w:val="28"/>
        </w:rPr>
      </w:pPr>
    </w:p>
    <w:p w14:paraId="04490993" w14:textId="77777777" w:rsidR="00AF7CB3" w:rsidRDefault="00AF7CB3">
      <w:pPr>
        <w:pStyle w:val="Body"/>
        <w:spacing w:line="360" w:lineRule="auto"/>
        <w:jc w:val="both"/>
        <w:rPr>
          <w:rFonts w:ascii="Helvetica" w:eastAsia="Helvetica" w:hAnsi="Helvetica" w:cs="Helvetica"/>
          <w:b/>
          <w:bCs/>
        </w:rPr>
      </w:pPr>
    </w:p>
    <w:p w14:paraId="0100F6E4" w14:textId="77777777" w:rsidR="00AF7CB3" w:rsidRDefault="00DA6103">
      <w:pPr>
        <w:pStyle w:val="Heading"/>
        <w:jc w:val="center"/>
      </w:pPr>
      <w:bookmarkStart w:id="0" w:name="_Toc"/>
      <w:r>
        <w:t>Table of Contents</w:t>
      </w:r>
      <w:bookmarkEnd w:id="0"/>
    </w:p>
    <w:p w14:paraId="1D0C3BEF" w14:textId="77777777" w:rsidR="00AF7CB3" w:rsidRDefault="00DA6103">
      <w:pPr>
        <w:pStyle w:val="Body"/>
        <w:spacing w:line="360" w:lineRule="auto"/>
        <w:jc w:val="both"/>
      </w:pPr>
      <w:r>
        <w:fldChar w:fldCharType="begin"/>
      </w:r>
      <w:r>
        <w:instrText xml:space="preserve"> TOC \o 1-2 </w:instrText>
      </w:r>
      <w:r>
        <w:fldChar w:fldCharType="separate"/>
      </w:r>
    </w:p>
    <w:p w14:paraId="7963EEA7" w14:textId="77777777" w:rsidR="00AF7CB3" w:rsidRDefault="00DA6103">
      <w:pPr>
        <w:pStyle w:val="TOC1"/>
      </w:pPr>
      <w:r>
        <w:rPr>
          <w:rFonts w:eastAsia="Arial Unicode MS" w:cs="Arial Unicode MS"/>
        </w:rPr>
        <w:lastRenderedPageBreak/>
        <w:t>Table of Contents</w:t>
      </w:r>
      <w:r>
        <w:rPr>
          <w:rFonts w:eastAsia="Arial Unicode MS" w:cs="Arial Unicode MS"/>
        </w:rPr>
        <w:tab/>
      </w:r>
      <w:r>
        <w:fldChar w:fldCharType="begin"/>
      </w:r>
      <w:r>
        <w:instrText xml:space="preserve"> PAGEREF _Toc \h </w:instrText>
      </w:r>
      <w:r>
        <w:fldChar w:fldCharType="separate"/>
      </w:r>
      <w:r>
        <w:rPr>
          <w:rFonts w:eastAsia="Arial Unicode MS" w:cs="Arial Unicode MS"/>
        </w:rPr>
        <w:t>1</w:t>
      </w:r>
      <w:r>
        <w:fldChar w:fldCharType="end"/>
      </w:r>
    </w:p>
    <w:p w14:paraId="09C7762B" w14:textId="77777777" w:rsidR="00AF7CB3" w:rsidRDefault="00DA6103">
      <w:pPr>
        <w:pStyle w:val="TOC1"/>
      </w:pPr>
      <w:r>
        <w:rPr>
          <w:rFonts w:eastAsia="Arial Unicode MS" w:cs="Arial Unicode MS"/>
        </w:rPr>
        <w:t>Introduction</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2</w:t>
      </w:r>
      <w:r>
        <w:fldChar w:fldCharType="end"/>
      </w:r>
    </w:p>
    <w:p w14:paraId="440D044C" w14:textId="77777777" w:rsidR="00AF7CB3" w:rsidRDefault="00DA6103">
      <w:pPr>
        <w:pStyle w:val="TOC1"/>
      </w:pPr>
      <w:r>
        <w:rPr>
          <w:rFonts w:eastAsia="Arial Unicode MS" w:cs="Arial Unicode MS"/>
        </w:rPr>
        <w:t>Tesla Inc.</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14:paraId="426AA5AF" w14:textId="77777777" w:rsidR="00AF7CB3" w:rsidRDefault="00DA6103">
      <w:pPr>
        <w:pStyle w:val="TOC1"/>
      </w:pPr>
      <w:r>
        <w:rPr>
          <w:rFonts w:eastAsia="Arial Unicode MS" w:cs="Arial Unicode MS"/>
        </w:rPr>
        <w:t>Porters Five Forc</w:t>
      </w:r>
      <w:r>
        <w:rPr>
          <w:rFonts w:eastAsia="Arial Unicode MS" w:cs="Arial Unicode MS"/>
        </w:rPr>
        <w:t>es of Tesla Inc.</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3</w:t>
      </w:r>
      <w:r>
        <w:fldChar w:fldCharType="end"/>
      </w:r>
    </w:p>
    <w:p w14:paraId="10630EC2" w14:textId="77777777" w:rsidR="00AF7CB3" w:rsidRDefault="00DA6103">
      <w:pPr>
        <w:pStyle w:val="TOC2"/>
        <w:numPr>
          <w:ilvl w:val="0"/>
          <w:numId w:val="1"/>
        </w:numPr>
      </w:pPr>
      <w:r>
        <w:rPr>
          <w:rFonts w:eastAsia="Arial Unicode MS" w:cs="Arial Unicode MS"/>
        </w:rPr>
        <w:t>Competitive Rivalry</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4</w:t>
      </w:r>
      <w:r>
        <w:fldChar w:fldCharType="end"/>
      </w:r>
    </w:p>
    <w:p w14:paraId="4339D655" w14:textId="77777777" w:rsidR="00AF7CB3" w:rsidRDefault="00DA6103">
      <w:pPr>
        <w:pStyle w:val="TOC2"/>
        <w:numPr>
          <w:ilvl w:val="0"/>
          <w:numId w:val="1"/>
        </w:numPr>
      </w:pPr>
      <w:r>
        <w:rPr>
          <w:rFonts w:eastAsia="Arial Unicode MS" w:cs="Arial Unicode MS"/>
        </w:rPr>
        <w:t>Bargaining Power of Customers</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4</w:t>
      </w:r>
      <w:r>
        <w:fldChar w:fldCharType="end"/>
      </w:r>
    </w:p>
    <w:p w14:paraId="1CE05B04" w14:textId="77777777" w:rsidR="00AF7CB3" w:rsidRDefault="00DA6103">
      <w:pPr>
        <w:pStyle w:val="TOC2"/>
        <w:numPr>
          <w:ilvl w:val="0"/>
          <w:numId w:val="1"/>
        </w:numPr>
      </w:pPr>
      <w:r>
        <w:rPr>
          <w:rFonts w:eastAsia="Arial Unicode MS" w:cs="Arial Unicode MS"/>
        </w:rPr>
        <w:t>Threat of Substitutes</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5</w:t>
      </w:r>
      <w:r>
        <w:fldChar w:fldCharType="end"/>
      </w:r>
    </w:p>
    <w:p w14:paraId="66105DA6" w14:textId="77777777" w:rsidR="00AF7CB3" w:rsidRDefault="00DA6103">
      <w:pPr>
        <w:pStyle w:val="TOC2"/>
        <w:numPr>
          <w:ilvl w:val="0"/>
          <w:numId w:val="1"/>
        </w:numPr>
      </w:pPr>
      <w:r>
        <w:rPr>
          <w:rFonts w:eastAsia="Arial Unicode MS" w:cs="Arial Unicode MS"/>
        </w:rPr>
        <w:t>The threat of New Entrants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6</w:t>
      </w:r>
      <w:r>
        <w:fldChar w:fldCharType="end"/>
      </w:r>
    </w:p>
    <w:p w14:paraId="1CE5A829" w14:textId="77777777" w:rsidR="00AF7CB3" w:rsidRDefault="00DA6103">
      <w:pPr>
        <w:pStyle w:val="TOC2"/>
        <w:numPr>
          <w:ilvl w:val="0"/>
          <w:numId w:val="1"/>
        </w:numPr>
      </w:pPr>
      <w:r>
        <w:rPr>
          <w:rFonts w:eastAsia="Arial Unicode MS" w:cs="Arial Unicode MS"/>
        </w:rPr>
        <w:t>Bargaining Power of Suppliers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7</w:t>
      </w:r>
      <w:r>
        <w:fldChar w:fldCharType="end"/>
      </w:r>
    </w:p>
    <w:p w14:paraId="3170F43A" w14:textId="77777777" w:rsidR="00AF7CB3" w:rsidRDefault="00DA6103">
      <w:pPr>
        <w:pStyle w:val="TOC1"/>
      </w:pPr>
      <w:r>
        <w:rPr>
          <w:rFonts w:eastAsia="Arial Unicode MS" w:cs="Arial Unicode MS"/>
        </w:rPr>
        <w:t>Conclusion</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7</w:t>
      </w:r>
      <w:r>
        <w:fldChar w:fldCharType="end"/>
      </w:r>
    </w:p>
    <w:p w14:paraId="55562BE9" w14:textId="77777777" w:rsidR="00AF7CB3" w:rsidRDefault="00DA6103">
      <w:pPr>
        <w:pStyle w:val="TOC1"/>
      </w:pPr>
      <w:r>
        <w:rPr>
          <w:rFonts w:eastAsia="Arial Unicode MS" w:cs="Arial Unicode MS"/>
        </w:rPr>
        <w:t>References</w:t>
      </w:r>
      <w:r>
        <w:rPr>
          <w:rFonts w:eastAsia="Arial Unicode MS" w:cs="Arial Unicode MS"/>
        </w:rPr>
        <w:tab/>
      </w:r>
      <w:r>
        <w:fldChar w:fldCharType="begin"/>
      </w:r>
      <w:r>
        <w:instrText xml:space="preserve"> PAGEREF _Toc1</w:instrText>
      </w:r>
      <w:r>
        <w:instrText xml:space="preserve">0 \h </w:instrText>
      </w:r>
      <w:r>
        <w:fldChar w:fldCharType="separate"/>
      </w:r>
      <w:r>
        <w:rPr>
          <w:rFonts w:eastAsia="Arial Unicode MS" w:cs="Arial Unicode MS"/>
        </w:rPr>
        <w:t>8</w:t>
      </w:r>
      <w:r>
        <w:fldChar w:fldCharType="end"/>
      </w:r>
    </w:p>
    <w:p w14:paraId="65DF777D" w14:textId="77777777" w:rsidR="00AF7CB3" w:rsidRDefault="00DA6103">
      <w:pPr>
        <w:spacing w:line="360" w:lineRule="auto"/>
        <w:jc w:val="both"/>
        <w:rPr>
          <w:rFonts w:ascii="Helvetica" w:eastAsia="Helvetica" w:hAnsi="Helvetica" w:cs="Helvetica"/>
          <w:b/>
          <w:bCs/>
        </w:rPr>
      </w:pPr>
      <w:r>
        <w:fldChar w:fldCharType="end"/>
      </w:r>
    </w:p>
    <w:p w14:paraId="48F7DB30" w14:textId="77777777" w:rsidR="00AF7CB3" w:rsidRDefault="00AF7CB3">
      <w:pPr>
        <w:pStyle w:val="Body"/>
        <w:spacing w:line="360" w:lineRule="auto"/>
        <w:jc w:val="both"/>
        <w:rPr>
          <w:rFonts w:ascii="Helvetica" w:eastAsia="Helvetica" w:hAnsi="Helvetica" w:cs="Helvetica"/>
          <w:b/>
          <w:bCs/>
        </w:rPr>
      </w:pPr>
    </w:p>
    <w:p w14:paraId="67A0A60A" w14:textId="77777777" w:rsidR="00AF7CB3" w:rsidRDefault="00AF7CB3">
      <w:pPr>
        <w:pStyle w:val="Body"/>
        <w:spacing w:line="360" w:lineRule="auto"/>
        <w:jc w:val="both"/>
        <w:rPr>
          <w:rFonts w:ascii="Helvetica" w:eastAsia="Helvetica" w:hAnsi="Helvetica" w:cs="Helvetica"/>
          <w:b/>
          <w:bCs/>
        </w:rPr>
      </w:pPr>
    </w:p>
    <w:p w14:paraId="190EB32A" w14:textId="77777777" w:rsidR="00AF7CB3" w:rsidRDefault="00AF7CB3">
      <w:pPr>
        <w:pStyle w:val="Body"/>
        <w:spacing w:line="360" w:lineRule="auto"/>
        <w:jc w:val="both"/>
        <w:rPr>
          <w:rFonts w:ascii="Helvetica" w:eastAsia="Helvetica" w:hAnsi="Helvetica" w:cs="Helvetica"/>
          <w:b/>
          <w:bCs/>
        </w:rPr>
      </w:pPr>
    </w:p>
    <w:p w14:paraId="63FC0A74" w14:textId="77777777" w:rsidR="00AF7CB3" w:rsidRDefault="00AF7CB3">
      <w:pPr>
        <w:pStyle w:val="Body"/>
        <w:spacing w:line="360" w:lineRule="auto"/>
        <w:jc w:val="both"/>
        <w:rPr>
          <w:rFonts w:ascii="Helvetica" w:eastAsia="Helvetica" w:hAnsi="Helvetica" w:cs="Helvetica"/>
          <w:b/>
          <w:bCs/>
        </w:rPr>
      </w:pPr>
    </w:p>
    <w:p w14:paraId="5729E6D2" w14:textId="77777777" w:rsidR="00AF7CB3" w:rsidRDefault="00AF7CB3">
      <w:pPr>
        <w:pStyle w:val="Body"/>
        <w:spacing w:line="360" w:lineRule="auto"/>
        <w:jc w:val="both"/>
        <w:rPr>
          <w:rFonts w:ascii="Helvetica" w:eastAsia="Helvetica" w:hAnsi="Helvetica" w:cs="Helvetica"/>
          <w:b/>
          <w:bCs/>
        </w:rPr>
      </w:pPr>
    </w:p>
    <w:p w14:paraId="7D88E897" w14:textId="77777777" w:rsidR="00AF7CB3" w:rsidRDefault="00AF7CB3">
      <w:pPr>
        <w:pStyle w:val="Body"/>
        <w:spacing w:line="360" w:lineRule="auto"/>
        <w:jc w:val="both"/>
        <w:rPr>
          <w:rFonts w:ascii="Helvetica" w:eastAsia="Helvetica" w:hAnsi="Helvetica" w:cs="Helvetica"/>
          <w:b/>
          <w:bCs/>
        </w:rPr>
      </w:pPr>
    </w:p>
    <w:p w14:paraId="084FF50D" w14:textId="77777777" w:rsidR="00AF7CB3" w:rsidRDefault="00AF7CB3">
      <w:pPr>
        <w:pStyle w:val="Body"/>
        <w:spacing w:line="360" w:lineRule="auto"/>
        <w:jc w:val="both"/>
        <w:rPr>
          <w:rFonts w:ascii="Helvetica" w:eastAsia="Helvetica" w:hAnsi="Helvetica" w:cs="Helvetica"/>
          <w:b/>
          <w:bCs/>
        </w:rPr>
      </w:pPr>
    </w:p>
    <w:p w14:paraId="7E78A180" w14:textId="77777777" w:rsidR="00AF7CB3" w:rsidRDefault="00AF7CB3">
      <w:pPr>
        <w:pStyle w:val="Body"/>
        <w:spacing w:line="360" w:lineRule="auto"/>
        <w:jc w:val="both"/>
        <w:rPr>
          <w:rFonts w:ascii="Helvetica" w:eastAsia="Helvetica" w:hAnsi="Helvetica" w:cs="Helvetica"/>
          <w:b/>
          <w:bCs/>
        </w:rPr>
      </w:pPr>
    </w:p>
    <w:p w14:paraId="74D8AB06" w14:textId="77777777" w:rsidR="00AF7CB3" w:rsidRDefault="00AF7CB3">
      <w:pPr>
        <w:pStyle w:val="Body"/>
        <w:spacing w:line="360" w:lineRule="auto"/>
        <w:jc w:val="both"/>
        <w:rPr>
          <w:rFonts w:ascii="Helvetica" w:eastAsia="Helvetica" w:hAnsi="Helvetica" w:cs="Helvetica"/>
          <w:b/>
          <w:bCs/>
        </w:rPr>
      </w:pPr>
    </w:p>
    <w:p w14:paraId="37260B61" w14:textId="77777777" w:rsidR="00AF7CB3" w:rsidRDefault="00AF7CB3">
      <w:pPr>
        <w:pStyle w:val="Body"/>
        <w:spacing w:line="360" w:lineRule="auto"/>
        <w:jc w:val="both"/>
        <w:rPr>
          <w:rFonts w:ascii="Helvetica" w:eastAsia="Helvetica" w:hAnsi="Helvetica" w:cs="Helvetica"/>
          <w:b/>
          <w:bCs/>
        </w:rPr>
      </w:pPr>
    </w:p>
    <w:p w14:paraId="498F4801" w14:textId="77777777" w:rsidR="00AF7CB3" w:rsidRDefault="00AF7CB3">
      <w:pPr>
        <w:pStyle w:val="Body"/>
        <w:spacing w:line="360" w:lineRule="auto"/>
        <w:jc w:val="both"/>
        <w:rPr>
          <w:rFonts w:ascii="Helvetica" w:eastAsia="Helvetica" w:hAnsi="Helvetica" w:cs="Helvetica"/>
          <w:b/>
          <w:bCs/>
        </w:rPr>
      </w:pPr>
    </w:p>
    <w:p w14:paraId="18CA17F2" w14:textId="77777777" w:rsidR="00AF7CB3" w:rsidRDefault="00AF7CB3">
      <w:pPr>
        <w:pStyle w:val="Body"/>
        <w:spacing w:line="360" w:lineRule="auto"/>
        <w:jc w:val="both"/>
        <w:rPr>
          <w:rFonts w:ascii="Helvetica" w:eastAsia="Helvetica" w:hAnsi="Helvetica" w:cs="Helvetica"/>
          <w:b/>
          <w:bCs/>
        </w:rPr>
      </w:pPr>
    </w:p>
    <w:p w14:paraId="1C0560A1" w14:textId="77777777" w:rsidR="00AF7CB3" w:rsidRDefault="00AF7CB3">
      <w:pPr>
        <w:pStyle w:val="Body"/>
        <w:spacing w:line="360" w:lineRule="auto"/>
        <w:jc w:val="both"/>
        <w:rPr>
          <w:rFonts w:ascii="Helvetica" w:eastAsia="Helvetica" w:hAnsi="Helvetica" w:cs="Helvetica"/>
          <w:b/>
          <w:bCs/>
        </w:rPr>
      </w:pPr>
    </w:p>
    <w:p w14:paraId="1558BF6E" w14:textId="77777777" w:rsidR="00AF7CB3" w:rsidRDefault="00AF7CB3">
      <w:pPr>
        <w:pStyle w:val="Body"/>
        <w:spacing w:line="360" w:lineRule="auto"/>
        <w:jc w:val="both"/>
        <w:rPr>
          <w:rFonts w:ascii="Helvetica" w:eastAsia="Helvetica" w:hAnsi="Helvetica" w:cs="Helvetica"/>
          <w:b/>
          <w:bCs/>
        </w:rPr>
      </w:pPr>
    </w:p>
    <w:p w14:paraId="08B4A89F" w14:textId="77777777" w:rsidR="00AF7CB3" w:rsidRDefault="00DA6103">
      <w:pPr>
        <w:pStyle w:val="Heading"/>
      </w:pPr>
      <w:bookmarkStart w:id="1" w:name="_Toc1"/>
      <w:r>
        <w:rPr>
          <w:rFonts w:eastAsia="Arial Unicode MS" w:cs="Arial Unicode MS"/>
          <w:lang w:val="fr-FR"/>
        </w:rPr>
        <w:t>Introduction</w:t>
      </w:r>
      <w:bookmarkEnd w:id="1"/>
    </w:p>
    <w:p w14:paraId="15B57E15" w14:textId="77777777" w:rsidR="00AF7CB3" w:rsidRDefault="00DA6103">
      <w:pPr>
        <w:pStyle w:val="Body"/>
        <w:spacing w:line="360" w:lineRule="auto"/>
        <w:jc w:val="both"/>
      </w:pPr>
      <w:r>
        <w:lastRenderedPageBreak/>
        <w:t>The UK is one of the major electric car manufacturing markets in Europe. In 2020, hybrid or pl</w:t>
      </w:r>
      <w:r>
        <w:t xml:space="preserve">ug-in electric cars will account for more than 10 per cent of UK car sales. Charging times and high cost of purchasing a new electric vehicle are one of the key topics of concern for new car managers in the UK. Engineers are pleased to know that even more </w:t>
      </w:r>
      <w:r>
        <w:t>than 26,300 charge stations in the country were open in 2019. Many lithium motor, hybrid plug-in and hydrogen fuel cell vehicles are also registered for government funding and in the fourth trimester of 2019, the number of qualified plug-in cars reported i</w:t>
      </w:r>
      <w:r>
        <w:t>n the UK exceeded 195,000.</w:t>
      </w:r>
    </w:p>
    <w:p w14:paraId="6EB2A672" w14:textId="77777777" w:rsidR="00AF7CB3" w:rsidRDefault="00AF7CB3">
      <w:pPr>
        <w:pStyle w:val="NoSpacing"/>
      </w:pPr>
    </w:p>
    <w:p w14:paraId="56A853CE" w14:textId="77777777" w:rsidR="00AF7CB3" w:rsidRDefault="00DA6103">
      <w:pPr>
        <w:pStyle w:val="Heading"/>
      </w:pPr>
      <w:bookmarkStart w:id="2" w:name="_Toc2"/>
      <w:r>
        <w:rPr>
          <w:rFonts w:eastAsia="Arial Unicode MS" w:cs="Arial Unicode MS"/>
        </w:rPr>
        <w:t>Tesla Inc.</w:t>
      </w:r>
      <w:bookmarkEnd w:id="2"/>
    </w:p>
    <w:p w14:paraId="12A3F15C" w14:textId="77777777" w:rsidR="00AF7CB3" w:rsidRDefault="00DA6103">
      <w:pPr>
        <w:pStyle w:val="Body"/>
        <w:spacing w:line="360" w:lineRule="auto"/>
        <w:jc w:val="both"/>
      </w:pPr>
      <w:r>
        <w:t xml:space="preserve">The company was established in 2003, however, and in the following years, two other prototypes were made. Their first model, the Tesla Roadster is an EV sports car that can compete exceptionally, but cost-effectively </w:t>
      </w:r>
      <w:r>
        <w:t>(Stringham et al., 2015). Their second car, the Model S, is a luxurious EV sedan, capable of producing the best market performance and at a low price. The business has developed its plans focused on partnership with the other industry players and is now se</w:t>
      </w:r>
      <w:r>
        <w:t>arching for exciting ventures between 2015 and 2020.</w:t>
      </w:r>
    </w:p>
    <w:p w14:paraId="366F2300" w14:textId="77777777" w:rsidR="00AF7CB3" w:rsidRDefault="00AF7CB3">
      <w:pPr>
        <w:pStyle w:val="NoSpacing"/>
      </w:pPr>
    </w:p>
    <w:p w14:paraId="609E82E7" w14:textId="77777777" w:rsidR="00AF7CB3" w:rsidRDefault="00DA6103">
      <w:pPr>
        <w:pStyle w:val="Heading"/>
      </w:pPr>
      <w:bookmarkStart w:id="3" w:name="_Toc3"/>
      <w:r>
        <w:rPr>
          <w:rFonts w:eastAsia="Arial Unicode MS" w:cs="Arial Unicode MS"/>
        </w:rPr>
        <w:t>Porters Five Forces of Tesla Inc.</w:t>
      </w:r>
      <w:bookmarkEnd w:id="3"/>
    </w:p>
    <w:p w14:paraId="3C10B1D5" w14:textId="77777777" w:rsidR="00AF7CB3" w:rsidRDefault="00DA6103">
      <w:pPr>
        <w:pStyle w:val="Body"/>
        <w:spacing w:line="360" w:lineRule="auto"/>
        <w:jc w:val="both"/>
      </w:pPr>
      <w:r>
        <w:t xml:space="preserve">To guarantee its reliability and long-lasting stability in the face of tough competition, Tesla is one of the major players in the electronic car industry, with </w:t>
      </w:r>
      <w:r>
        <w:t xml:space="preserve">automotive manufacturers such as the Honda, General Motors Group, Ford Motor Company, Toyota Motor Corporation, Nissan Motor Company and BMW. In this external review, the organisation must take into consideration the essence and features of competition on </w:t>
      </w:r>
      <w:r>
        <w:t>the national and international electric vehicle, battery and solar panels.</w:t>
      </w:r>
    </w:p>
    <w:p w14:paraId="67831104" w14:textId="77777777" w:rsidR="00AF7CB3" w:rsidRDefault="00DA6103">
      <w:pPr>
        <w:pStyle w:val="Body"/>
        <w:spacing w:line="360" w:lineRule="auto"/>
        <w:jc w:val="both"/>
      </w:pPr>
      <w:r>
        <w:t>According to Mangram (2012), Tesla retains its return on the global automotive market utilizing policy initiatives tackling the strategic dynamics highlighted in this Five Powers re</w:t>
      </w:r>
      <w:r>
        <w:t xml:space="preserve">view. As a strategic strategy method, Michael Porter built a five-force research model to consider the effect of externals on businesses and their competitive environment. This Tesla Five Forces Study looks </w:t>
      </w:r>
      <w:r>
        <w:lastRenderedPageBreak/>
        <w:t xml:space="preserve">at the external factors of the car manufacturing </w:t>
      </w:r>
      <w:r>
        <w:t>and energy solutions market which are relevant and how these factors influences the business.</w:t>
      </w:r>
      <w:r>
        <w:t> </w:t>
      </w:r>
    </w:p>
    <w:p w14:paraId="2A30C216" w14:textId="77777777" w:rsidR="00AF7CB3" w:rsidRDefault="00DA6103">
      <w:pPr>
        <w:pStyle w:val="Heading2"/>
        <w:numPr>
          <w:ilvl w:val="0"/>
          <w:numId w:val="3"/>
        </w:numPr>
      </w:pPr>
      <w:bookmarkStart w:id="4" w:name="_Toc4"/>
      <w:r>
        <w:rPr>
          <w:rFonts w:eastAsia="Arial Unicode MS" w:cs="Arial Unicode MS"/>
        </w:rPr>
        <w:t xml:space="preserve">Competitive Rivalry </w:t>
      </w:r>
      <w:bookmarkEnd w:id="4"/>
    </w:p>
    <w:p w14:paraId="2B929498" w14:textId="77777777" w:rsidR="00AF7CB3" w:rsidRDefault="00DA6103">
      <w:pPr>
        <w:pStyle w:val="Body"/>
        <w:spacing w:line="360" w:lineRule="auto"/>
        <w:jc w:val="both"/>
      </w:pPr>
      <w:r>
        <w:t>However, the fully electric vehicle market is new and modestly competitive and the automobile sector is still competitive. Investing in elec</w:t>
      </w:r>
      <w:r>
        <w:t>tric vehicles is becoming more and more relevant. It will become a very dynamic industry in the future. Apart from Tesla's Model S, there are no luxury electric vehicles. There are few choices, especially in the more restricted categories, all distinguishe</w:t>
      </w:r>
      <w:r>
        <w:t xml:space="preserve">d by price as well as other attributes. The players are all mutually dependent as they all rely on each other and aim to grow the energy market to make it bigger and more lucrative for all. </w:t>
      </w:r>
    </w:p>
    <w:p w14:paraId="315B5373" w14:textId="77777777" w:rsidR="00AF7CB3" w:rsidRDefault="00DA6103">
      <w:pPr>
        <w:pStyle w:val="Body"/>
        <w:spacing w:line="360" w:lineRule="auto"/>
        <w:jc w:val="both"/>
      </w:pPr>
      <w:r>
        <w:t>It is expected that the market will expand in the coming years, r</w:t>
      </w:r>
      <w:r>
        <w:t>educing the competition among industry players (</w:t>
      </w:r>
      <w:r>
        <w:rPr>
          <w:lang w:val="de-DE"/>
        </w:rPr>
        <w:t>Kauerhof, 2017)</w:t>
      </w:r>
      <w:r>
        <w:t>. In an intensely competitive industry, Tesla, Inc. works. This element of the Five Factors Study highlights the effect of competition on the climate in the automobile industry and energy solut</w:t>
      </w:r>
      <w:r>
        <w:t>ions. In the car industry, there are just a limited number of businesses. This external aspect reduces the influence of competition on businesses like Tesla, Inc. within the scope of Porter's Five Forces study. In general, though, these companies create an</w:t>
      </w:r>
      <w:r>
        <w:t>d advertising goods are competitive.</w:t>
      </w:r>
    </w:p>
    <w:p w14:paraId="179D4084" w14:textId="77777777" w:rsidR="00AF7CB3" w:rsidRDefault="00DA6103">
      <w:pPr>
        <w:pStyle w:val="Heading2"/>
        <w:numPr>
          <w:ilvl w:val="0"/>
          <w:numId w:val="3"/>
        </w:numPr>
      </w:pPr>
      <w:bookmarkStart w:id="5" w:name="_Toc5"/>
      <w:r>
        <w:rPr>
          <w:rFonts w:eastAsia="Arial Unicode MS" w:cs="Arial Unicode MS"/>
        </w:rPr>
        <w:t>Bargaining Power of Customers</w:t>
      </w:r>
      <w:bookmarkEnd w:id="5"/>
    </w:p>
    <w:p w14:paraId="06C0C459" w14:textId="77777777" w:rsidR="00AF7CB3" w:rsidRDefault="00DA6103">
      <w:pPr>
        <w:pStyle w:val="Body"/>
        <w:spacing w:line="360" w:lineRule="auto"/>
        <w:jc w:val="both"/>
      </w:pPr>
      <w:r>
        <w:t>In this element of the Five Powers Analysis customers, affect companies and the car, battery and solar panel industry. A key factor determining the overall profits of the company are Tesla'</w:t>
      </w:r>
      <w:r>
        <w:t>s clients. Many rivals raise customers' negotiation strength. Purchasing a vehicle is expensive for UK buyers, who are aware of its consistency by the preference for western products in the higher price segments. Therefore, before they finally purchase a v</w:t>
      </w:r>
      <w:r>
        <w:t>ehicle, they would do a diligent search (Thomas and Maine, 2019). Due to the small high-quality options, the transactions' high requirements will limit buyers' negotiation power in the industry.</w:t>
      </w:r>
    </w:p>
    <w:p w14:paraId="2C394D3F" w14:textId="77777777" w:rsidR="00AF7CB3" w:rsidRDefault="00DA6103">
      <w:pPr>
        <w:pStyle w:val="Body"/>
        <w:spacing w:line="360" w:lineRule="auto"/>
        <w:jc w:val="both"/>
      </w:pPr>
      <w:r>
        <w:t>The lowered costs of switching eliminate barriers to purchasi</w:t>
      </w:r>
      <w:r>
        <w:t>ng cars from other suppliers for Tesla drivers. This external influence puts a powerful impact on the business and other participants in the automobile industry in the sense of this Porter's Five Powers review. However, in many instances the supply of repl</w:t>
      </w:r>
      <w:r>
        <w:t>acements is only limited, thereby restricting the negotiation advantage of consumers against Tesla Inc. In residential areas, for example, many people have restricted access to public transport, making it easier to drive their cars. Moreover, the limited n</w:t>
      </w:r>
      <w:r>
        <w:t>umber of sales (only one or a few cars are bought and operated by each customer) limits Tesla's power. In this component of the Five Powers analysis, the strength of outside influences thus represents the customer's negotiation capacity as a moderate influ</w:t>
      </w:r>
      <w:r>
        <w:t>ence and a secondary target for administration.</w:t>
      </w:r>
    </w:p>
    <w:p w14:paraId="2D55253B" w14:textId="77777777" w:rsidR="00AF7CB3" w:rsidRDefault="00DA6103">
      <w:pPr>
        <w:pStyle w:val="Body"/>
        <w:spacing w:line="360" w:lineRule="auto"/>
        <w:jc w:val="both"/>
      </w:pPr>
      <w:r>
        <w:t>Manufacturers such as Tesla develop loaders to extend the range of their vehicles. This gives them a comparative edge, by supplying the customer with a full eco-system. This is exclusive to a variety of brand</w:t>
      </w:r>
      <w:r>
        <w:t>s and thus limits the purchasing advantage of customers. The customer acquisition capacity remains comparatively poor due to lack of quality deals in the electricity market (McCain, 2019). There is, therefore, a chance to select an alternative and we are t</w:t>
      </w:r>
      <w:r>
        <w:t>hus medium in the customer's overall negotiating capacity.</w:t>
      </w:r>
    </w:p>
    <w:p w14:paraId="36821CE1" w14:textId="77777777" w:rsidR="00AF7CB3" w:rsidRDefault="00DA6103">
      <w:pPr>
        <w:pStyle w:val="Heading2"/>
        <w:numPr>
          <w:ilvl w:val="0"/>
          <w:numId w:val="3"/>
        </w:numPr>
      </w:pPr>
      <w:bookmarkStart w:id="6" w:name="_Toc6"/>
      <w:r>
        <w:rPr>
          <w:rFonts w:eastAsia="Arial Unicode MS" w:cs="Arial Unicode MS"/>
        </w:rPr>
        <w:t>Threat of Substitutes</w:t>
      </w:r>
      <w:bookmarkEnd w:id="6"/>
    </w:p>
    <w:p w14:paraId="389AB26A" w14:textId="77777777" w:rsidR="00AF7CB3" w:rsidRDefault="00DA6103">
      <w:pPr>
        <w:pStyle w:val="Body"/>
        <w:spacing w:line="360" w:lineRule="auto"/>
        <w:jc w:val="both"/>
      </w:pPr>
      <w:r>
        <w:t>Tesla Inc. affects the world of vehicle alternatives and energy solutions. The intensities of external factors, which result in a moderate threat of substitution against the o</w:t>
      </w:r>
      <w:r>
        <w:t>rganisation, are taken into consideration in this aspect of Five Forces Study. There are many options to buying a fully electric vehicle, and the possibility of replacements is considerable. The combustion engine and diesel cars with the largest market sha</w:t>
      </w:r>
      <w:r>
        <w:t xml:space="preserve">re will likely play a part in electric cars in the UK as they offer a wide variety of high-quality choices from major car manufactures. They can have the same utility as an electric vehicle but without the same degree of ecological ease. </w:t>
      </w:r>
    </w:p>
    <w:p w14:paraId="21BB5BB6" w14:textId="77777777" w:rsidR="00AF7CB3" w:rsidRDefault="00DA6103">
      <w:pPr>
        <w:pStyle w:val="Body"/>
        <w:spacing w:line="360" w:lineRule="auto"/>
        <w:jc w:val="both"/>
      </w:pPr>
      <w:r>
        <w:t>Car firms includi</w:t>
      </w:r>
      <w:r>
        <w:t xml:space="preserve">ng Hyundai and Toyota will launch the first commercial fuel cell vehicles. These are environmentally sustainable but need technological and infrastructure improvements to thrive and enter a wide market. In the future, they could be a possible threat. They </w:t>
      </w:r>
      <w:r>
        <w:t>see the danger of alternatives as strong mainly because of the other non-electrical luxury sedans (Yu, 2015).</w:t>
      </w:r>
    </w:p>
    <w:p w14:paraId="2BBA085F" w14:textId="77777777" w:rsidR="00AF7CB3" w:rsidRDefault="00DA6103">
      <w:pPr>
        <w:pStyle w:val="Body"/>
        <w:spacing w:line="360" w:lineRule="auto"/>
        <w:jc w:val="both"/>
      </w:pPr>
      <w:r>
        <w:t>The low cost of switches makes rivalry, as pointed out in the other aspects of Porter's five Powers study of Tesla Inc. The low switching costs in</w:t>
      </w:r>
      <w:r>
        <w:t xml:space="preserve"> this external study case allow alternatives, including public transport, to draw consumers quickly. This outside influence puts a formidable impact on the economic landscape of Tesla. The moderate supply of alternative goods, however, restricts the impact</w:t>
      </w:r>
      <w:r>
        <w:t xml:space="preserve"> of vendors. For example, only a small to a moderate number of choices are available in the market to consumers. In comparison, many replacements have only modest efficiency to meet the realistic needs of consumers. Public transit is not as flexible as a p</w:t>
      </w:r>
      <w:r>
        <w:t>rivate vehicle, for instance (</w:t>
      </w:r>
      <w:r>
        <w:rPr>
          <w:lang w:val="it-IT"/>
        </w:rPr>
        <w:t>Monsellato, 2016)</w:t>
      </w:r>
      <w:r>
        <w:t xml:space="preserve">. This state further inhibits Tesla's replacement ability. As a secondary management assessment of the company's policy, external factors suggest the challenge to replacement in this component of Tesla, Inc's </w:t>
      </w:r>
      <w:r>
        <w:t>Five Powers study.</w:t>
      </w:r>
    </w:p>
    <w:p w14:paraId="1ADFE148" w14:textId="77777777" w:rsidR="00AF7CB3" w:rsidRDefault="00DA6103">
      <w:pPr>
        <w:pStyle w:val="Heading2"/>
        <w:numPr>
          <w:ilvl w:val="0"/>
          <w:numId w:val="3"/>
        </w:numPr>
      </w:pPr>
      <w:bookmarkStart w:id="7" w:name="_Toc7"/>
      <w:r>
        <w:rPr>
          <w:rFonts w:eastAsia="Arial Unicode MS" w:cs="Arial Unicode MS"/>
        </w:rPr>
        <w:t>The threat of New Entrants</w:t>
      </w:r>
      <w:bookmarkEnd w:id="7"/>
    </w:p>
    <w:p w14:paraId="19D2468C" w14:textId="77777777" w:rsidR="00AF7CB3" w:rsidRDefault="00DA6103">
      <w:pPr>
        <w:pStyle w:val="Body"/>
        <w:spacing w:line="360" w:lineRule="auto"/>
        <w:jc w:val="both"/>
      </w:pPr>
      <w:r>
        <w:t xml:space="preserve">New members are new businesses, which influence the climate in the industry and decide businesses such as Tesla Inc. results. There are high entry hurdles in the EV sector. It calls for a significant amount of </w:t>
      </w:r>
      <w:r>
        <w:t xml:space="preserve">investment in resources and a wide variety of expertise and technology to be effective. Nevertheless, Tesla has given its patents and the British government has forced EV manufacturers to share their technologies to obtain access to the market. This makes </w:t>
      </w:r>
      <w:r>
        <w:t>it easy for potential applicants to grasp the technologies rather than to do their research and development from scratch. However, to stay competitive, a business would also require a reasonably high degree of investment and experience. As an industry lead</w:t>
      </w:r>
      <w:r>
        <w:t>er, Tesla invests in new production sites to maximise its volume efficiency and to have goods that are more competitive.</w:t>
      </w:r>
    </w:p>
    <w:p w14:paraId="32E935F6" w14:textId="77777777" w:rsidR="00AF7CB3" w:rsidRDefault="00DA6103">
      <w:pPr>
        <w:pStyle w:val="Body"/>
        <w:spacing w:line="360" w:lineRule="auto"/>
        <w:jc w:val="both"/>
      </w:pPr>
      <w:r>
        <w:t>Tesla's business, in particular, because of the high cost of production of the brand and its success, is difficult to compete with (Sha</w:t>
      </w:r>
      <w:r>
        <w:t>rma, 2016). For example, new competitors have difficulties in matching the strong identity of the company, one of the strengths listed in Tesla Inc.</w:t>
      </w:r>
      <w:r>
        <w:rPr>
          <w:rtl/>
        </w:rPr>
        <w:t>’</w:t>
      </w:r>
      <w:r>
        <w:t>s SWOT review. In the framework of Porter's five forces study, the outside element represents the entry bar</w:t>
      </w:r>
      <w:r>
        <w:t>rier. Furthermore, the cost of automotive production is high, imposing a barrier to new companies. Even renowned competitors like Tesla advantage from increased scale savings, which new players can achieve only when the production threshold is exceeded. On</w:t>
      </w:r>
      <w:r>
        <w:t>ly a minor strategic management issue in the industry environment of Tesla Inc. is a threat to new entries based on external factors in this facet.</w:t>
      </w:r>
    </w:p>
    <w:p w14:paraId="37C7F4AF" w14:textId="77777777" w:rsidR="00AF7CB3" w:rsidRDefault="00DA6103">
      <w:pPr>
        <w:pStyle w:val="Body"/>
        <w:spacing w:line="360" w:lineRule="auto"/>
        <w:jc w:val="both"/>
      </w:pPr>
      <w:r>
        <w:t>Availability of substitutes reduce barriers to buying cars from other providers for Tesla customers. This ou</w:t>
      </w:r>
      <w:r>
        <w:t>tside factor imposes a strong force against the company and others in the environment of the automotive industry in the context of Porter's Five Forces analysis. However, in many cases the threat of substitutes is moderate, limiting the negotiating power o</w:t>
      </w:r>
      <w:r>
        <w:t xml:space="preserve">f customers against Tesla Inc. In the town areas, for example, many clients have limited access to public transport so that they can use their car more conveniently. Furthermore, the small number of purchases (only one or a few cars are purchased and kept </w:t>
      </w:r>
      <w:r>
        <w:t>by every customer) decrease the client influence on Tesla (</w:t>
      </w:r>
      <w:r>
        <w:rPr>
          <w:lang w:val="it-IT"/>
        </w:rPr>
        <w:t>Purificato, 2014)</w:t>
      </w:r>
      <w:r>
        <w:t>. The intensity of external factors reflects the negotiation power of customers as a moderate force and a high priority of secondary management in this aspect of the Five Forces an</w:t>
      </w:r>
      <w:r>
        <w:t>alysis. This priority is reflected in the general strategy and intensive strategies of Tesla Inc.</w:t>
      </w:r>
    </w:p>
    <w:p w14:paraId="0D02C102" w14:textId="77777777" w:rsidR="00AF7CB3" w:rsidRDefault="00DA6103">
      <w:pPr>
        <w:pStyle w:val="Heading2"/>
        <w:numPr>
          <w:ilvl w:val="0"/>
          <w:numId w:val="3"/>
        </w:numPr>
      </w:pPr>
      <w:bookmarkStart w:id="8" w:name="_Toc8"/>
      <w:r>
        <w:rPr>
          <w:rFonts w:eastAsia="Arial Unicode MS" w:cs="Arial Unicode MS"/>
        </w:rPr>
        <w:t xml:space="preserve">Bargaining Power of Suppliers </w:t>
      </w:r>
      <w:bookmarkEnd w:id="8"/>
    </w:p>
    <w:p w14:paraId="3DB31EA0" w14:textId="77777777" w:rsidR="00AF7CB3" w:rsidRDefault="00DA6103">
      <w:pPr>
        <w:pStyle w:val="Body"/>
        <w:spacing w:line="360" w:lineRule="auto"/>
        <w:jc w:val="both"/>
      </w:pPr>
      <w:r>
        <w:t>The company of Tesla Inc. is dependent on suppliers' reliability. This aspect of the Five Forces Analysis demonstrates how supp</w:t>
      </w:r>
      <w:r>
        <w:t>liers influence the supply of resources that companies require to shape the industry environment. Primarily suppliers in the industry and Tesla are secret and information about their suppliers is not easy to find. However, EV manufacturers are exposed to h</w:t>
      </w:r>
      <w:r>
        <w:t>igh switching costs primarily due to high part quality. Furthermore, in its development, the EV market is still relatively early and several high-level providers for certain components, therefore, are still available (</w:t>
      </w:r>
      <w:r>
        <w:rPr>
          <w:lang w:val="it-IT"/>
        </w:rPr>
        <w:t>Corzo, 2016)</w:t>
      </w:r>
      <w:r>
        <w:t>. That increases the power</w:t>
      </w:r>
      <w:r>
        <w:t xml:space="preserve"> of the supplier. As </w:t>
      </w:r>
      <w:r>
        <w:t>Tesla</w:t>
      </w:r>
      <w:r>
        <w:rPr>
          <w:rtl/>
        </w:rPr>
        <w:t>’</w:t>
      </w:r>
      <w:r>
        <w:t>s</w:t>
      </w:r>
      <w:r>
        <w:t xml:space="preserve"> supplies them with certain internal parts of the car and components like airbags, it is highly reliant on Mercedes-Benz. </w:t>
      </w:r>
    </w:p>
    <w:p w14:paraId="1BAAC31C" w14:textId="77777777" w:rsidR="00AF7CB3" w:rsidRDefault="00DA6103">
      <w:pPr>
        <w:pStyle w:val="Body"/>
        <w:spacing w:line="360" w:lineRule="auto"/>
        <w:jc w:val="both"/>
      </w:pPr>
      <w:r>
        <w:t>On the other side, Tesla supplies B-Class Electric Drive battery cells to Mercedes. All suppliers are rel</w:t>
      </w:r>
      <w:r>
        <w:t>atively powerful in the industry as production companies rely on several suppliers to supply quality products. There is a trend in the industry where suppliers and producers have mutual advantages, such as for Tesla and Mercedes. This reduces suppliers' ne</w:t>
      </w:r>
      <w:r>
        <w:t>gotiating power to a channel. In the future, however, this may change when the market expansion will shift the suppliers' power structure. The vendors of Tesla Inc. have a poor forward-looking integration standard. This external consideration applies to th</w:t>
      </w:r>
      <w:r>
        <w:t>e minimal influence of manufacturers as their goods are shipped and marketed.</w:t>
      </w:r>
    </w:p>
    <w:p w14:paraId="010BBAA1" w14:textId="77777777" w:rsidR="00AF7CB3" w:rsidRDefault="00AF7CB3">
      <w:pPr>
        <w:pStyle w:val="NoSpacing"/>
      </w:pPr>
    </w:p>
    <w:p w14:paraId="3A036178" w14:textId="77777777" w:rsidR="00AF7CB3" w:rsidRDefault="00DA6103">
      <w:pPr>
        <w:pStyle w:val="Heading"/>
      </w:pPr>
      <w:bookmarkStart w:id="9" w:name="_Toc9"/>
      <w:r>
        <w:rPr>
          <w:rFonts w:eastAsia="Arial Unicode MS" w:cs="Arial Unicode MS"/>
          <w:lang w:val="it-IT"/>
        </w:rPr>
        <w:t>Conclusion</w:t>
      </w:r>
      <w:bookmarkEnd w:id="9"/>
    </w:p>
    <w:p w14:paraId="2EBF0E2A" w14:textId="77777777" w:rsidR="00AF7CB3" w:rsidRDefault="00DA6103">
      <w:pPr>
        <w:pStyle w:val="Body"/>
        <w:spacing w:line="360" w:lineRule="auto"/>
        <w:jc w:val="both"/>
      </w:pPr>
      <w:r>
        <w:t xml:space="preserve">In the field of automobile manufacturing and storage and technology, Tesla Inc. has been competitive in its groundbreaking electric vehicle production, </w:t>
      </w:r>
      <w:r>
        <w:t>part-based on its techniques that overcome the external factors (Dana, 2018). This study of the Five Powers (Porter's model) indicates that Tesla must consider competition in its global market climate as its most effective asset. This business analysis als</w:t>
      </w:r>
      <w:r>
        <w:t>o takes into account the challenges from competitors, suppliers and buyers.</w:t>
      </w:r>
    </w:p>
    <w:p w14:paraId="728F30D4" w14:textId="77777777" w:rsidR="00AF7CB3" w:rsidRDefault="00DA6103">
      <w:pPr>
        <w:pStyle w:val="Heading"/>
      </w:pPr>
      <w:bookmarkStart w:id="10" w:name="_Toc10"/>
      <w:r>
        <w:rPr>
          <w:rFonts w:eastAsia="Arial Unicode MS" w:cs="Arial Unicode MS"/>
          <w:lang w:val="fr-FR"/>
        </w:rPr>
        <w:t>References</w:t>
      </w:r>
      <w:bookmarkEnd w:id="10"/>
    </w:p>
    <w:p w14:paraId="7A513178" w14:textId="77777777" w:rsidR="00AF7CB3" w:rsidRDefault="00DA6103">
      <w:pPr>
        <w:pStyle w:val="Body"/>
        <w:spacing w:line="360" w:lineRule="auto"/>
      </w:pPr>
      <w:r>
        <w:t>Corzo, C.V., 2016. </w:t>
      </w:r>
      <w:r>
        <w:rPr>
          <w:rFonts w:ascii="Helvetica" w:hAnsi="Helvetica"/>
          <w:i/>
          <w:iCs/>
        </w:rPr>
        <w:t>Analysis of the Competitive Strategy of Tesla Motors Inc.</w:t>
      </w:r>
      <w:r>
        <w:t> </w:t>
      </w:r>
      <w:r>
        <w:rPr>
          <w:lang w:val="nl-NL"/>
        </w:rPr>
        <w:t>(Doctoral dissertation, Universiteit Antwerpen).</w:t>
      </w:r>
    </w:p>
    <w:p w14:paraId="17E3BD8F" w14:textId="77777777" w:rsidR="00AF7CB3" w:rsidRDefault="00DA6103">
      <w:pPr>
        <w:pStyle w:val="Body"/>
        <w:spacing w:line="360" w:lineRule="auto"/>
      </w:pPr>
      <w:r>
        <w:t xml:space="preserve">Dana, C., 2018. A Strategic Audit of </w:t>
      </w:r>
      <w:r>
        <w:t>Tesla, Inc.: Electrifying our Future or About to Run out of Energy?.</w:t>
      </w:r>
    </w:p>
    <w:p w14:paraId="16EBDF42" w14:textId="77777777" w:rsidR="00AF7CB3" w:rsidRDefault="00DA6103">
      <w:pPr>
        <w:pStyle w:val="Body"/>
        <w:spacing w:line="360" w:lineRule="auto"/>
      </w:pPr>
      <w:r>
        <w:rPr>
          <w:lang w:val="de-DE"/>
        </w:rPr>
        <w:t>Kauerhof, A., 2017.</w:t>
      </w:r>
      <w:r>
        <w:t> </w:t>
      </w:r>
      <w:r>
        <w:rPr>
          <w:rFonts w:ascii="Helvetica" w:hAnsi="Helvetica"/>
          <w:i/>
          <w:iCs/>
        </w:rPr>
        <w:t>Strategies for Autonomous, Connected and Smart Mobility in the Automotive Industry. A Comparative Analysis of BMW Group and Tesla Motors Inc</w:t>
      </w:r>
      <w:r>
        <w:t>. GRIN Publishing.</w:t>
      </w:r>
    </w:p>
    <w:p w14:paraId="71E0A550" w14:textId="77777777" w:rsidR="00AF7CB3" w:rsidRDefault="00DA6103">
      <w:pPr>
        <w:pStyle w:val="Body"/>
        <w:spacing w:line="360" w:lineRule="auto"/>
      </w:pPr>
      <w:r>
        <w:t>Mangram,</w:t>
      </w:r>
      <w:r>
        <w:t xml:space="preserve"> M.E., 2012. The globalization of Tesla Motors: a strategic marketing plan analysis.</w:t>
      </w:r>
      <w:r>
        <w:t> </w:t>
      </w:r>
      <w:r>
        <w:rPr>
          <w:rFonts w:ascii="Helvetica" w:hAnsi="Helvetica"/>
          <w:i/>
          <w:iCs/>
        </w:rPr>
        <w:t>Journal of Strategic Marketing</w:t>
      </w:r>
      <w:r>
        <w:t>, </w:t>
      </w:r>
      <w:r>
        <w:rPr>
          <w:rFonts w:ascii="Helvetica" w:hAnsi="Helvetica"/>
          <w:i/>
          <w:iCs/>
        </w:rPr>
        <w:t>20</w:t>
      </w:r>
      <w:r>
        <w:t>(4), pp.289-312.</w:t>
      </w:r>
    </w:p>
    <w:p w14:paraId="5232F30F" w14:textId="77777777" w:rsidR="00AF7CB3" w:rsidRDefault="00DA6103">
      <w:pPr>
        <w:pStyle w:val="Body"/>
        <w:spacing w:line="360" w:lineRule="auto"/>
      </w:pPr>
      <w:r>
        <w:t>McCain, C., 2019. A Strategic Audit of Tesla, Inc.</w:t>
      </w:r>
    </w:p>
    <w:p w14:paraId="07A3702D" w14:textId="77777777" w:rsidR="00AF7CB3" w:rsidRDefault="00DA6103">
      <w:pPr>
        <w:pStyle w:val="Body"/>
        <w:spacing w:line="360" w:lineRule="auto"/>
      </w:pPr>
      <w:r>
        <w:t>Monsellato, A., 2016. Tesla Motors: a business model innovation in th</w:t>
      </w:r>
      <w:r>
        <w:t>e automotive industry.</w:t>
      </w:r>
    </w:p>
    <w:p w14:paraId="24132D24" w14:textId="77777777" w:rsidR="00AF7CB3" w:rsidRDefault="00DA6103">
      <w:pPr>
        <w:pStyle w:val="Body"/>
        <w:spacing w:line="360" w:lineRule="auto"/>
      </w:pPr>
      <w:r>
        <w:t>Purificato, M., 2014. The open innovation paradigm in electric vehicle industry: a case study of Tesla Motors.</w:t>
      </w:r>
    </w:p>
    <w:p w14:paraId="0EB779CD" w14:textId="77777777" w:rsidR="00AF7CB3" w:rsidRDefault="00DA6103">
      <w:pPr>
        <w:pStyle w:val="Body"/>
        <w:spacing w:line="360" w:lineRule="auto"/>
      </w:pPr>
      <w:r>
        <w:t>Sharma, S., 2016. The Tesla Phenomena A Business Strategy Report.</w:t>
      </w:r>
    </w:p>
    <w:p w14:paraId="2FC85809" w14:textId="77777777" w:rsidR="00AF7CB3" w:rsidRDefault="00DA6103">
      <w:pPr>
        <w:pStyle w:val="Body"/>
        <w:spacing w:line="360" w:lineRule="auto"/>
      </w:pPr>
      <w:r>
        <w:t>Stringham, E.P., Miller, J.K. and Clark, J.R., 2015. Ove</w:t>
      </w:r>
      <w:r>
        <w:t>rcoming barriers to entry in an established industry: Tesla Motors.</w:t>
      </w:r>
      <w:r>
        <w:t> </w:t>
      </w:r>
      <w:r>
        <w:rPr>
          <w:rFonts w:ascii="Helvetica" w:hAnsi="Helvetica"/>
          <w:i/>
          <w:iCs/>
          <w:lang w:val="fr-FR"/>
        </w:rPr>
        <w:t>California Management Review</w:t>
      </w:r>
      <w:r>
        <w:t>, </w:t>
      </w:r>
      <w:r>
        <w:rPr>
          <w:rFonts w:ascii="Helvetica" w:hAnsi="Helvetica"/>
          <w:i/>
          <w:iCs/>
        </w:rPr>
        <w:t>57</w:t>
      </w:r>
      <w:r>
        <w:t>(4), pp.85-103.</w:t>
      </w:r>
    </w:p>
    <w:p w14:paraId="33E60B57" w14:textId="77777777" w:rsidR="00AF7CB3" w:rsidRDefault="00DA6103">
      <w:pPr>
        <w:pStyle w:val="Body"/>
        <w:spacing w:line="360" w:lineRule="auto"/>
      </w:pPr>
      <w:r>
        <w:t>Thomas, V.J. and Maine, E., 2019. Market entry strategies for electric vehicle start-ups in the automotive industry</w:t>
      </w:r>
      <w:r>
        <w:t>–</w:t>
      </w:r>
      <w:r>
        <w:t>lessons from tesla motor</w:t>
      </w:r>
      <w:r>
        <w:t>s.</w:t>
      </w:r>
      <w:r>
        <w:t> </w:t>
      </w:r>
      <w:r>
        <w:rPr>
          <w:rFonts w:ascii="Helvetica" w:hAnsi="Helvetica"/>
          <w:i/>
          <w:iCs/>
        </w:rPr>
        <w:t>Journal of Cleaner Production</w:t>
      </w:r>
      <w:r>
        <w:t>, </w:t>
      </w:r>
      <w:r>
        <w:rPr>
          <w:rFonts w:ascii="Helvetica" w:hAnsi="Helvetica"/>
          <w:i/>
          <w:iCs/>
        </w:rPr>
        <w:t>235</w:t>
      </w:r>
      <w:r>
        <w:t>, pp.653-663.</w:t>
      </w:r>
    </w:p>
    <w:p w14:paraId="1B4DD9AE" w14:textId="77777777" w:rsidR="00AF7CB3" w:rsidRDefault="00DA6103">
      <w:pPr>
        <w:pStyle w:val="Body"/>
        <w:spacing w:line="360" w:lineRule="auto"/>
      </w:pPr>
      <w:r>
        <w:t>Yu, C.J., 2015. Competitive Analysis on Battery Electric Vehicle (BEV) Market: A Case Study of Tesla Motor.</w:t>
      </w:r>
    </w:p>
    <w:sectPr w:rsidR="00AF7CB3">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DC6A0" w14:textId="77777777" w:rsidR="00000000" w:rsidRDefault="00DA6103">
      <w:r>
        <w:separator/>
      </w:r>
    </w:p>
  </w:endnote>
  <w:endnote w:type="continuationSeparator" w:id="0">
    <w:p w14:paraId="53D772EB" w14:textId="77777777" w:rsidR="00000000" w:rsidRDefault="00DA6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EDF0C" w14:textId="77777777" w:rsidR="00AF7CB3" w:rsidRDefault="00AF7CB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1101B" w14:textId="77777777" w:rsidR="00000000" w:rsidRDefault="00DA6103">
      <w:r>
        <w:separator/>
      </w:r>
    </w:p>
  </w:footnote>
  <w:footnote w:type="continuationSeparator" w:id="0">
    <w:p w14:paraId="1B81BC7E" w14:textId="77777777" w:rsidR="00000000" w:rsidRDefault="00DA6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ABC9E" w14:textId="77777777" w:rsidR="00AF7CB3" w:rsidRDefault="00AF7CB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06FA9"/>
    <w:multiLevelType w:val="hybridMultilevel"/>
    <w:tmpl w:val="08DC1B84"/>
    <w:styleLink w:val="ImportedStyle1"/>
    <w:lvl w:ilvl="0" w:tplc="1982EE14">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31E20576">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0186AD10">
      <w:start w:val="1"/>
      <w:numFmt w:val="lowerRoman"/>
      <w:lvlText w:val="%3."/>
      <w:lvlJc w:val="left"/>
      <w:pPr>
        <w:ind w:left="2160" w:hanging="313"/>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E962025E">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0AB88CE0">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F6560AB8">
      <w:start w:val="1"/>
      <w:numFmt w:val="lowerRoman"/>
      <w:lvlText w:val="%6."/>
      <w:lvlJc w:val="left"/>
      <w:pPr>
        <w:ind w:left="4320" w:hanging="313"/>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A65478BC">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56DA731A">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3306C3F0">
      <w:start w:val="1"/>
      <w:numFmt w:val="lowerRoman"/>
      <w:lvlText w:val="%9."/>
      <w:lvlJc w:val="left"/>
      <w:pPr>
        <w:ind w:left="6480" w:hanging="313"/>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7D96AF8"/>
    <w:multiLevelType w:val="hybridMultilevel"/>
    <w:tmpl w:val="0CC079CC"/>
    <w:lvl w:ilvl="0" w:tplc="F9B40868">
      <w:start w:val="1"/>
      <w:numFmt w:val="decimal"/>
      <w:lvlText w:val="%1."/>
      <w:lvlJc w:val="left"/>
      <w:pPr>
        <w:ind w:left="900" w:hanging="300"/>
      </w:pPr>
      <w:rPr>
        <w:rFonts w:hAnsi="Arial Unicode MS"/>
        <w:caps w:val="0"/>
        <w:smallCaps w:val="0"/>
        <w:strike w:val="0"/>
        <w:dstrike w:val="0"/>
        <w:outline w:val="0"/>
        <w:emboss w:val="0"/>
        <w:imprint w:val="0"/>
        <w:spacing w:val="0"/>
        <w:w w:val="100"/>
        <w:kern w:val="0"/>
        <w:position w:val="0"/>
        <w:highlight w:val="none"/>
        <w:vertAlign w:val="baseline"/>
      </w:rPr>
    </w:lvl>
    <w:lvl w:ilvl="1" w:tplc="BC3493B6">
      <w:start w:val="1"/>
      <w:numFmt w:val="lowerLetter"/>
      <w:lvlText w:val="%2."/>
      <w:lvlJc w:val="left"/>
      <w:pPr>
        <w:ind w:left="1620" w:hanging="300"/>
      </w:pPr>
      <w:rPr>
        <w:rFonts w:hAnsi="Arial Unicode MS"/>
        <w:caps w:val="0"/>
        <w:smallCaps w:val="0"/>
        <w:strike w:val="0"/>
        <w:dstrike w:val="0"/>
        <w:outline w:val="0"/>
        <w:emboss w:val="0"/>
        <w:imprint w:val="0"/>
        <w:spacing w:val="0"/>
        <w:w w:val="100"/>
        <w:kern w:val="0"/>
        <w:position w:val="0"/>
        <w:highlight w:val="none"/>
        <w:vertAlign w:val="baseline"/>
      </w:rPr>
    </w:lvl>
    <w:lvl w:ilvl="2" w:tplc="1040B1B2">
      <w:start w:val="1"/>
      <w:numFmt w:val="lowerRoman"/>
      <w:lvlText w:val="%3."/>
      <w:lvlJc w:val="left"/>
      <w:pPr>
        <w:ind w:left="2348" w:hanging="261"/>
      </w:pPr>
      <w:rPr>
        <w:rFonts w:hAnsi="Arial Unicode MS"/>
        <w:caps w:val="0"/>
        <w:smallCaps w:val="0"/>
        <w:strike w:val="0"/>
        <w:dstrike w:val="0"/>
        <w:outline w:val="0"/>
        <w:emboss w:val="0"/>
        <w:imprint w:val="0"/>
        <w:spacing w:val="0"/>
        <w:w w:val="100"/>
        <w:kern w:val="0"/>
        <w:position w:val="0"/>
        <w:highlight w:val="none"/>
        <w:vertAlign w:val="baseline"/>
      </w:rPr>
    </w:lvl>
    <w:lvl w:ilvl="3" w:tplc="7DDE55FC">
      <w:start w:val="1"/>
      <w:numFmt w:val="decimal"/>
      <w:lvlText w:val="%4."/>
      <w:lvlJc w:val="left"/>
      <w:pPr>
        <w:ind w:left="3060" w:hanging="300"/>
      </w:pPr>
      <w:rPr>
        <w:rFonts w:hAnsi="Arial Unicode MS"/>
        <w:caps w:val="0"/>
        <w:smallCaps w:val="0"/>
        <w:strike w:val="0"/>
        <w:dstrike w:val="0"/>
        <w:outline w:val="0"/>
        <w:emboss w:val="0"/>
        <w:imprint w:val="0"/>
        <w:spacing w:val="0"/>
        <w:w w:val="100"/>
        <w:kern w:val="0"/>
        <w:position w:val="0"/>
        <w:highlight w:val="none"/>
        <w:vertAlign w:val="baseline"/>
      </w:rPr>
    </w:lvl>
    <w:lvl w:ilvl="4" w:tplc="0262A6A4">
      <w:start w:val="1"/>
      <w:numFmt w:val="lowerLetter"/>
      <w:lvlText w:val="%5."/>
      <w:lvlJc w:val="left"/>
      <w:pPr>
        <w:ind w:left="3780" w:hanging="300"/>
      </w:pPr>
      <w:rPr>
        <w:rFonts w:hAnsi="Arial Unicode MS"/>
        <w:caps w:val="0"/>
        <w:smallCaps w:val="0"/>
        <w:strike w:val="0"/>
        <w:dstrike w:val="0"/>
        <w:outline w:val="0"/>
        <w:emboss w:val="0"/>
        <w:imprint w:val="0"/>
        <w:spacing w:val="0"/>
        <w:w w:val="100"/>
        <w:kern w:val="0"/>
        <w:position w:val="0"/>
        <w:highlight w:val="none"/>
        <w:vertAlign w:val="baseline"/>
      </w:rPr>
    </w:lvl>
    <w:lvl w:ilvl="5" w:tplc="67D0064E">
      <w:start w:val="1"/>
      <w:numFmt w:val="lowerRoman"/>
      <w:lvlText w:val="%6."/>
      <w:lvlJc w:val="left"/>
      <w:pPr>
        <w:ind w:left="4508" w:hanging="261"/>
      </w:pPr>
      <w:rPr>
        <w:rFonts w:hAnsi="Arial Unicode MS"/>
        <w:caps w:val="0"/>
        <w:smallCaps w:val="0"/>
        <w:strike w:val="0"/>
        <w:dstrike w:val="0"/>
        <w:outline w:val="0"/>
        <w:emboss w:val="0"/>
        <w:imprint w:val="0"/>
        <w:spacing w:val="0"/>
        <w:w w:val="100"/>
        <w:kern w:val="0"/>
        <w:position w:val="0"/>
        <w:highlight w:val="none"/>
        <w:vertAlign w:val="baseline"/>
      </w:rPr>
    </w:lvl>
    <w:lvl w:ilvl="6" w:tplc="40B493D2">
      <w:start w:val="1"/>
      <w:numFmt w:val="decimal"/>
      <w:lvlText w:val="%7."/>
      <w:lvlJc w:val="left"/>
      <w:pPr>
        <w:ind w:left="5220"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7000226A">
      <w:start w:val="1"/>
      <w:numFmt w:val="lowerLetter"/>
      <w:lvlText w:val="%8."/>
      <w:lvlJc w:val="left"/>
      <w:pPr>
        <w:ind w:left="5940" w:hanging="300"/>
      </w:pPr>
      <w:rPr>
        <w:rFonts w:hAnsi="Arial Unicode MS"/>
        <w:caps w:val="0"/>
        <w:smallCaps w:val="0"/>
        <w:strike w:val="0"/>
        <w:dstrike w:val="0"/>
        <w:outline w:val="0"/>
        <w:emboss w:val="0"/>
        <w:imprint w:val="0"/>
        <w:spacing w:val="0"/>
        <w:w w:val="100"/>
        <w:kern w:val="0"/>
        <w:position w:val="0"/>
        <w:highlight w:val="none"/>
        <w:vertAlign w:val="baseline"/>
      </w:rPr>
    </w:lvl>
    <w:lvl w:ilvl="8" w:tplc="923EDE6C">
      <w:start w:val="1"/>
      <w:numFmt w:val="lowerRoman"/>
      <w:lvlText w:val="%9."/>
      <w:lvlJc w:val="left"/>
      <w:pPr>
        <w:ind w:left="6668" w:hanging="26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2A652EF"/>
    <w:multiLevelType w:val="hybridMultilevel"/>
    <w:tmpl w:val="08DC1B84"/>
    <w:numStyleLink w:val="ImportedStyle1"/>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CB3"/>
    <w:rsid w:val="00AF7CB3"/>
    <w:rsid w:val="00DA6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8062"/>
  <w15:docId w15:val="{7CD60E78-3CD8-45BA-9A7C-855434748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
    <w:uiPriority w:val="9"/>
    <w:unhideWhenUsed/>
    <w:qFormat/>
    <w:pPr>
      <w:spacing w:after="160" w:line="360" w:lineRule="auto"/>
      <w:jc w:val="both"/>
      <w:outlineLvl w:val="1"/>
    </w:pPr>
    <w:rPr>
      <w:rFonts w:ascii="Helvetica" w:eastAsia="Helvetica" w:hAnsi="Helvetica" w:cs="Helvetica"/>
      <w:b/>
      <w:bCs/>
      <w:i/>
      <w:iCs/>
      <w:color w:val="000000"/>
      <w:sz w:val="24"/>
      <w:szCs w:val="24"/>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Light" w:hAnsi="Calibri Light" w:cs="Arial Unicode MS"/>
      <w:color w:val="000000"/>
      <w:sz w:val="24"/>
      <w:szCs w:val="24"/>
      <w:u w:color="000000"/>
      <w14:textOutline w14:w="0" w14:cap="flat" w14:cmpd="sng" w14:algn="ctr">
        <w14:noFill/>
        <w14:prstDash w14:val="solid"/>
        <w14:bevel/>
      </w14:textOutline>
    </w:rPr>
  </w:style>
  <w:style w:type="paragraph" w:styleId="NoSpacing">
    <w:name w:val="No Spacing"/>
    <w:rPr>
      <w:rFonts w:ascii="Calibri Light" w:eastAsia="Calibri Light" w:hAnsi="Calibri Light" w:cs="Calibri Light"/>
      <w:color w:val="000000"/>
      <w:sz w:val="24"/>
      <w:szCs w:val="24"/>
      <w:u w:color="000000"/>
    </w:rPr>
  </w:style>
  <w:style w:type="paragraph" w:customStyle="1" w:styleId="Heading">
    <w:name w:val="Heading"/>
    <w:next w:val="Body"/>
    <w:pPr>
      <w:spacing w:after="160" w:line="360" w:lineRule="auto"/>
      <w:jc w:val="both"/>
      <w:outlineLvl w:val="0"/>
    </w:pPr>
    <w:rPr>
      <w:rFonts w:ascii="Helvetica" w:eastAsia="Helvetica" w:hAnsi="Helvetica" w:cs="Helvetica"/>
      <w:b/>
      <w:bCs/>
      <w:color w:val="000000"/>
      <w:sz w:val="28"/>
      <w:szCs w:val="28"/>
      <w:u w:color="000000"/>
      <w14:textOutline w14:w="0" w14:cap="flat" w14:cmpd="sng" w14:algn="ctr">
        <w14:noFill/>
        <w14:prstDash w14:val="solid"/>
        <w14:bevel/>
      </w14:textOutline>
    </w:rPr>
  </w:style>
  <w:style w:type="paragraph" w:styleId="TOC1">
    <w:name w:val="toc 1"/>
    <w:pPr>
      <w:tabs>
        <w:tab w:val="right" w:leader="dot" w:pos="9340"/>
      </w:tabs>
      <w:spacing w:before="120" w:after="120" w:line="259" w:lineRule="auto"/>
    </w:pPr>
    <w:rPr>
      <w:rFonts w:ascii="Calibri" w:eastAsia="Calibri" w:hAnsi="Calibri" w:cs="Calibri"/>
      <w:b/>
      <w:bCs/>
      <w:caps/>
      <w:color w:val="000000"/>
      <w:u w:color="000000"/>
    </w:rPr>
  </w:style>
  <w:style w:type="paragraph" w:styleId="TOC2">
    <w:name w:val="toc 2"/>
    <w:pPr>
      <w:tabs>
        <w:tab w:val="left" w:pos="720"/>
        <w:tab w:val="right" w:leader="dot" w:pos="9340"/>
      </w:tabs>
      <w:spacing w:line="259" w:lineRule="auto"/>
      <w:ind w:left="240"/>
    </w:pPr>
    <w:rPr>
      <w:rFonts w:ascii="Calibri" w:eastAsia="Calibri" w:hAnsi="Calibri" w:cs="Calibri"/>
      <w:smallCaps/>
      <w:color w:val="000000"/>
      <w:u w:color="000000"/>
    </w:rPr>
  </w:style>
  <w:style w:type="numbering" w:customStyle="1" w:styleId="ImportedStyle1">
    <w:name w:val="Imported Style 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2125</Words>
  <Characters>12114</Characters>
  <Application>Microsoft Office Word</Application>
  <DocSecurity>0</DocSecurity>
  <Lines>100</Lines>
  <Paragraphs>28</Paragraphs>
  <ScaleCrop>false</ScaleCrop>
  <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parmit batra</dc:creator>
  <cp:lastModifiedBy>parmit batra</cp:lastModifiedBy>
  <cp:revision>2</cp:revision>
  <dcterms:created xsi:type="dcterms:W3CDTF">2020-09-08T08:41:00Z</dcterms:created>
  <dcterms:modified xsi:type="dcterms:W3CDTF">2020-09-08T08:41:00Z</dcterms:modified>
</cp:coreProperties>
</file>