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ED1DFB" w14:textId="77777777" w:rsidR="00B87CE7" w:rsidRDefault="00B87CE7" w:rsidP="00B87CE7">
      <w:pPr>
        <w:rPr>
          <w:b/>
          <w:bCs/>
          <w:sz w:val="36"/>
          <w:szCs w:val="36"/>
        </w:rPr>
      </w:pPr>
      <w:r w:rsidRPr="000A3CD6">
        <w:rPr>
          <w:b/>
          <w:bCs/>
          <w:sz w:val="36"/>
          <w:szCs w:val="36"/>
        </w:rPr>
        <w:t xml:space="preserve">Criminal Law </w:t>
      </w:r>
      <w:r>
        <w:rPr>
          <w:b/>
          <w:bCs/>
          <w:sz w:val="36"/>
          <w:szCs w:val="36"/>
        </w:rPr>
        <w:t xml:space="preserve">Resit Submission </w:t>
      </w:r>
    </w:p>
    <w:p w14:paraId="5BA3E14D" w14:textId="77777777" w:rsidR="00B87CE7" w:rsidRDefault="00B87CE7" w:rsidP="00B87CE7">
      <w:r>
        <w:rPr>
          <w:b/>
          <w:bCs/>
          <w:sz w:val="36"/>
          <w:szCs w:val="36"/>
        </w:rPr>
        <w:tab/>
        <w:t xml:space="preserve">                                                                                    </w:t>
      </w:r>
      <w:r>
        <w:t>New Cut Road</w:t>
      </w:r>
    </w:p>
    <w:p w14:paraId="39072CE0" w14:textId="77777777" w:rsidR="00B87CE7" w:rsidRDefault="00B87CE7" w:rsidP="00B87CE7">
      <w:r>
        <w:t xml:space="preserve">                                                                                                                                                        G12 7PJ</w:t>
      </w:r>
    </w:p>
    <w:p w14:paraId="63516869" w14:textId="77777777" w:rsidR="00B87CE7" w:rsidRDefault="00B87CE7" w:rsidP="00B87CE7">
      <w:pPr>
        <w:tabs>
          <w:tab w:val="left" w:pos="7591"/>
          <w:tab w:val="left" w:pos="7879"/>
        </w:tabs>
      </w:pPr>
      <w:r>
        <w:tab/>
        <w:t>Swansea</w:t>
      </w:r>
      <w:r>
        <w:tab/>
      </w:r>
    </w:p>
    <w:p w14:paraId="451F7895" w14:textId="77777777" w:rsidR="00B87CE7" w:rsidRDefault="00B87CE7" w:rsidP="00B87CE7">
      <w:r>
        <w:t xml:space="preserve">                                                                                                                                                      Hermela Tecleab </w:t>
      </w:r>
    </w:p>
    <w:p w14:paraId="6361D04E" w14:textId="77777777" w:rsidR="00B87CE7" w:rsidRDefault="00B87CE7" w:rsidP="00B87CE7">
      <w:pPr>
        <w:tabs>
          <w:tab w:val="left" w:pos="8095"/>
        </w:tabs>
        <w:rPr>
          <w:b/>
          <w:bCs/>
          <w:sz w:val="36"/>
          <w:szCs w:val="36"/>
        </w:rPr>
      </w:pPr>
    </w:p>
    <w:p w14:paraId="3A813AEB" w14:textId="77777777" w:rsidR="00B87CE7" w:rsidRDefault="00B87CE7" w:rsidP="00B87CE7">
      <w:r>
        <w:t xml:space="preserve">1 March 2022 </w:t>
      </w:r>
    </w:p>
    <w:p w14:paraId="0ABE2982" w14:textId="77777777" w:rsidR="00B87CE7" w:rsidRDefault="00B87CE7" w:rsidP="00B87CE7">
      <w:r>
        <w:t xml:space="preserve">Karim </w:t>
      </w:r>
    </w:p>
    <w:p w14:paraId="3C4B156D" w14:textId="77777777" w:rsidR="00B87CE7" w:rsidRDefault="00B87CE7" w:rsidP="00B87CE7">
      <w:r>
        <w:t xml:space="preserve">35 New Port Avenue </w:t>
      </w:r>
    </w:p>
    <w:p w14:paraId="2781CF17" w14:textId="77777777" w:rsidR="00B87CE7" w:rsidRDefault="00B87CE7" w:rsidP="00B87CE7">
      <w:r>
        <w:t>L23 7DC</w:t>
      </w:r>
    </w:p>
    <w:p w14:paraId="39F26CB0" w14:textId="77777777" w:rsidR="00B87CE7" w:rsidRDefault="00B87CE7" w:rsidP="00B87CE7"/>
    <w:p w14:paraId="244072C8" w14:textId="77777777" w:rsidR="00B87CE7" w:rsidRDefault="00B87CE7" w:rsidP="00B87CE7"/>
    <w:p w14:paraId="57802A23" w14:textId="77777777" w:rsidR="00B87CE7" w:rsidRDefault="00B87CE7" w:rsidP="00B87CE7"/>
    <w:p w14:paraId="6ADD657E" w14:textId="77777777" w:rsidR="00B87CE7" w:rsidRDefault="00B87CE7" w:rsidP="00B87CE7"/>
    <w:p w14:paraId="4A8B7860" w14:textId="77777777" w:rsidR="00B87CE7" w:rsidRDefault="00B87CE7" w:rsidP="00B87CE7">
      <w:r>
        <w:t xml:space="preserve">Dear Karim, </w:t>
      </w:r>
    </w:p>
    <w:p w14:paraId="6395E067" w14:textId="77777777" w:rsidR="00B87CE7" w:rsidRDefault="00B87CE7" w:rsidP="00B87CE7"/>
    <w:p w14:paraId="07CEADFB" w14:textId="77777777" w:rsidR="00B87CE7" w:rsidRDefault="00B87CE7" w:rsidP="00B87CE7"/>
    <w:p w14:paraId="1EF53281" w14:textId="77777777" w:rsidR="00B87CE7" w:rsidRDefault="00B87CE7" w:rsidP="00B87CE7">
      <w:pPr>
        <w:pStyle w:val="NormalWeb"/>
        <w:shd w:val="clear" w:color="auto" w:fill="FFFFFF"/>
        <w:spacing w:before="0" w:beforeAutospacing="0" w:after="0" w:afterAutospacing="0"/>
        <w:jc w:val="both"/>
        <w:rPr>
          <w:rFonts w:ascii="Calibri" w:hAnsi="Calibri" w:cs="Calibri"/>
          <w:color w:val="000000"/>
          <w:sz w:val="22"/>
          <w:szCs w:val="22"/>
          <w:lang w:val="en-US"/>
        </w:rPr>
      </w:pPr>
      <w:r>
        <w:rPr>
          <w:rFonts w:ascii="Calibri" w:hAnsi="Calibri" w:cs="Calibri"/>
          <w:color w:val="000000"/>
          <w:sz w:val="22"/>
          <w:szCs w:val="22"/>
          <w:lang w:val="en-US"/>
        </w:rPr>
        <w:t>I am writing to advise you on the consequences you may face in court regarding your actions during a house party, starting with when you took your friend's father's shirt as that would be labelled as theft. S1 Theft Act 1968 defines theft as the dishonest appropriation of property belonging to another with the intention to permanently deprive. The first part of the actus reus is that there must be an appropriation. It is show under s3 Theft Act 1968 “any assumption…of the rights of the owner” counts as appropriation. This includes touching, taking, destroying, consuming, or lending somebody else’s property. There can be an appropriation even if the victim consents to the defendant’s action. In</w:t>
      </w:r>
      <w:r w:rsidRPr="00EB436B">
        <w:rPr>
          <w:rFonts w:ascii="Calibri" w:hAnsi="Calibri" w:cs="Calibri"/>
          <w:color w:val="8EAADB" w:themeColor="accent1" w:themeTint="99"/>
          <w:sz w:val="22"/>
          <w:szCs w:val="22"/>
          <w:lang w:val="en-US"/>
        </w:rPr>
        <w:t xml:space="preserve">, R v Morris, Anderton v Burnside (1983) </w:t>
      </w:r>
      <w:r>
        <w:rPr>
          <w:rFonts w:ascii="Calibri" w:hAnsi="Calibri" w:cs="Calibri"/>
          <w:color w:val="000000"/>
          <w:sz w:val="22"/>
          <w:szCs w:val="22"/>
          <w:lang w:val="en-US"/>
        </w:rPr>
        <w:t>switching the tags on goods in a supermarket </w:t>
      </w:r>
      <w:proofErr w:type="gramStart"/>
      <w:r>
        <w:rPr>
          <w:rFonts w:ascii="Calibri" w:hAnsi="Calibri" w:cs="Calibri"/>
          <w:color w:val="000000"/>
          <w:sz w:val="22"/>
          <w:szCs w:val="22"/>
          <w:lang w:val="en-US"/>
        </w:rPr>
        <w:t>in order to</w:t>
      </w:r>
      <w:proofErr w:type="gramEnd"/>
      <w:r>
        <w:rPr>
          <w:rFonts w:ascii="Calibri" w:hAnsi="Calibri" w:cs="Calibri"/>
          <w:color w:val="000000"/>
          <w:sz w:val="22"/>
          <w:szCs w:val="22"/>
          <w:lang w:val="en-US"/>
        </w:rPr>
        <w:t xml:space="preserve"> pay a lower price was an appropriation. In your case you touch and take your friend's father's shirt and that counts as an appropriation. The second stage of the actus reus for theft is that the item appropriated must amount to property. Property includes “money and all other property, real or personal things in action and other intangible property” (S4 Theft Act 1968). Case would be </w:t>
      </w:r>
      <w:r w:rsidRPr="00EB436B">
        <w:rPr>
          <w:rFonts w:ascii="Calibri" w:hAnsi="Calibri" w:cs="Calibri"/>
          <w:color w:val="8EAADB" w:themeColor="accent1" w:themeTint="99"/>
          <w:sz w:val="22"/>
          <w:szCs w:val="22"/>
          <w:lang w:val="en-US"/>
        </w:rPr>
        <w:t>Oxford v Moss</w:t>
      </w:r>
      <w:r>
        <w:rPr>
          <w:rFonts w:ascii="Calibri" w:hAnsi="Calibri" w:cs="Calibri"/>
          <w:color w:val="000000"/>
          <w:sz w:val="22"/>
          <w:szCs w:val="22"/>
          <w:lang w:val="en-US"/>
        </w:rPr>
        <w:t xml:space="preserve"> Confidential information is not classed as property. In your case the shirt did amount to property. The final stage of the actus reus for theft is that the property appropriated must belong to another. Under s5 Theft Act 1968, property belongs to any person with “possession or control or any proprietary interest in it.” A case example would be Turner 2 where an owner took his car from a garage to avoid paying for repairs. In your case, the property you appropriated belonged to another. </w:t>
      </w:r>
    </w:p>
    <w:p w14:paraId="3F9F3ACE" w14:textId="77777777" w:rsidR="00B87CE7" w:rsidRDefault="00B87CE7" w:rsidP="00B87CE7">
      <w:pPr>
        <w:pStyle w:val="NormalWeb"/>
        <w:shd w:val="clear" w:color="auto" w:fill="FFFFFF"/>
        <w:spacing w:before="0" w:beforeAutospacing="0" w:after="0" w:afterAutospacing="0"/>
        <w:jc w:val="both"/>
        <w:rPr>
          <w:rFonts w:ascii="Segoe UI" w:hAnsi="Segoe UI" w:cs="Segoe UI"/>
          <w:sz w:val="18"/>
          <w:szCs w:val="18"/>
          <w:lang w:val="en-US"/>
        </w:rPr>
      </w:pPr>
    </w:p>
    <w:p w14:paraId="5A9FD6AA" w14:textId="77777777" w:rsidR="00B87CE7" w:rsidRDefault="00B87CE7" w:rsidP="00B87CE7">
      <w:pPr>
        <w:pStyle w:val="NormalWeb"/>
        <w:shd w:val="clear" w:color="auto" w:fill="FFFFFF"/>
        <w:spacing w:before="0" w:beforeAutospacing="0" w:after="0" w:afterAutospacing="0"/>
        <w:jc w:val="both"/>
        <w:rPr>
          <w:rFonts w:ascii="Calibri" w:hAnsi="Calibri" w:cs="Calibri"/>
          <w:color w:val="000000"/>
          <w:sz w:val="22"/>
          <w:szCs w:val="22"/>
          <w:lang w:val="en-US"/>
        </w:rPr>
      </w:pPr>
      <w:r>
        <w:rPr>
          <w:rFonts w:ascii="Calibri" w:hAnsi="Calibri" w:cs="Calibri"/>
          <w:color w:val="000000"/>
          <w:sz w:val="22"/>
          <w:szCs w:val="22"/>
          <w:lang w:val="en-US"/>
        </w:rPr>
        <w:t>The first part of the </w:t>
      </w:r>
      <w:proofErr w:type="spellStart"/>
      <w:r>
        <w:rPr>
          <w:rFonts w:ascii="Calibri" w:hAnsi="Calibri" w:cs="Calibri"/>
          <w:color w:val="000000"/>
          <w:sz w:val="22"/>
          <w:szCs w:val="22"/>
          <w:lang w:val="en-US"/>
        </w:rPr>
        <w:t>mens</w:t>
      </w:r>
      <w:proofErr w:type="spellEnd"/>
      <w:r>
        <w:rPr>
          <w:rFonts w:ascii="Calibri" w:hAnsi="Calibri" w:cs="Calibri"/>
          <w:color w:val="000000"/>
          <w:sz w:val="22"/>
          <w:szCs w:val="22"/>
          <w:lang w:val="en-US"/>
        </w:rPr>
        <w:t> rea for theft is that the defendant must be acting dishonestly. Under s2 Theft Act 1968, D will not be dishonest if they subjectively believe: they had a right to deprive the other of property (</w:t>
      </w:r>
      <w:r w:rsidRPr="00EB436B">
        <w:rPr>
          <w:rFonts w:ascii="Calibri" w:hAnsi="Calibri" w:cs="Calibri"/>
          <w:color w:val="8EAADB" w:themeColor="accent1" w:themeTint="99"/>
          <w:sz w:val="22"/>
          <w:szCs w:val="22"/>
          <w:lang w:val="en-US"/>
        </w:rPr>
        <w:t>R v Robinson</w:t>
      </w:r>
      <w:r>
        <w:rPr>
          <w:rFonts w:ascii="Calibri" w:hAnsi="Calibri" w:cs="Calibri"/>
          <w:color w:val="000000"/>
          <w:sz w:val="22"/>
          <w:szCs w:val="22"/>
          <w:lang w:val="en-US"/>
        </w:rPr>
        <w:t xml:space="preserve">); the other would have consented if they knew the circumstances (Holden); or the person the property belongs to cannot be traced by reasonable steps (Small). If a case </w:t>
      </w:r>
      <w:r>
        <w:rPr>
          <w:rFonts w:ascii="Calibri" w:hAnsi="Calibri" w:cs="Calibri"/>
          <w:color w:val="000000"/>
          <w:sz w:val="22"/>
          <w:szCs w:val="22"/>
          <w:lang w:val="en-US"/>
        </w:rPr>
        <w:lastRenderedPageBreak/>
        <w:t>does not fall within the above exceptions, the two stage Ghosh Test applies. This states that the defendant is dishonest if Their actions were dishonest according to the ordinary standards of reasonable and honest people and if the defendant </w:t>
      </w:r>
      <w:proofErr w:type="spellStart"/>
      <w:proofErr w:type="gramStart"/>
      <w:r>
        <w:rPr>
          <w:rFonts w:ascii="Calibri" w:hAnsi="Calibri" w:cs="Calibri"/>
          <w:color w:val="000000"/>
          <w:sz w:val="22"/>
          <w:szCs w:val="22"/>
          <w:lang w:val="en-US"/>
        </w:rPr>
        <w:t>realised</w:t>
      </w:r>
      <w:proofErr w:type="spellEnd"/>
      <w:proofErr w:type="gramEnd"/>
      <w:r>
        <w:rPr>
          <w:rFonts w:ascii="Calibri" w:hAnsi="Calibri" w:cs="Calibri"/>
          <w:color w:val="000000"/>
          <w:sz w:val="22"/>
          <w:szCs w:val="22"/>
          <w:lang w:val="en-US"/>
        </w:rPr>
        <w:t> they were dishonest by those standards. (subjective) The recent key Ivey case suggests that this may be reformed going forwards. Here, a reasonable person would not think it right to take Terry’s father’s property without asking and you seem to have realized this as he secretly took his property whilst he was away. The second part of the </w:t>
      </w:r>
      <w:proofErr w:type="spellStart"/>
      <w:r>
        <w:rPr>
          <w:rFonts w:ascii="Calibri" w:hAnsi="Calibri" w:cs="Calibri"/>
          <w:color w:val="000000"/>
          <w:sz w:val="22"/>
          <w:szCs w:val="22"/>
          <w:lang w:val="en-US"/>
        </w:rPr>
        <w:t>mens</w:t>
      </w:r>
      <w:proofErr w:type="spellEnd"/>
      <w:r>
        <w:rPr>
          <w:rFonts w:ascii="Calibri" w:hAnsi="Calibri" w:cs="Calibri"/>
          <w:color w:val="000000"/>
          <w:sz w:val="22"/>
          <w:szCs w:val="22"/>
          <w:lang w:val="en-US"/>
        </w:rPr>
        <w:t xml:space="preserve"> rea for theft is that the defendant must intend to permanently deprive the victim of their property (as seen in DPP v </w:t>
      </w:r>
      <w:proofErr w:type="gramStart"/>
      <w:r>
        <w:rPr>
          <w:rFonts w:ascii="Calibri" w:hAnsi="Calibri" w:cs="Calibri"/>
          <w:color w:val="000000"/>
          <w:sz w:val="22"/>
          <w:szCs w:val="22"/>
          <w:lang w:val="en-US"/>
        </w:rPr>
        <w:t>J;</w:t>
      </w:r>
      <w:proofErr w:type="gramEnd"/>
      <w:r>
        <w:rPr>
          <w:rFonts w:ascii="Calibri" w:hAnsi="Calibri" w:cs="Calibri"/>
          <w:color w:val="000000"/>
          <w:sz w:val="22"/>
          <w:szCs w:val="22"/>
          <w:lang w:val="en-US"/>
        </w:rPr>
        <w:t xml:space="preserve"> DPP v Lavender). Under s6 Theft Act 1968, intention to permanently deprive can be found if the defendant disposes of property regardless of the others' rights; or borrows property in circumstances equivalent to an outright taking or disposal. In R v Lloyd, borrowing property does not amount to an intent to permanently deprive unless used until all “the goodness … has gone out of the article”. Here, you took the shirt and left your old one in his room so there was an intent to dispose of it forever. </w:t>
      </w:r>
    </w:p>
    <w:p w14:paraId="40FB0BD4" w14:textId="77777777" w:rsidR="00B87CE7" w:rsidRDefault="00B87CE7" w:rsidP="00B87CE7">
      <w:pPr>
        <w:pStyle w:val="NormalWeb"/>
        <w:shd w:val="clear" w:color="auto" w:fill="FFFFFF"/>
        <w:spacing w:before="0" w:beforeAutospacing="0" w:after="0" w:afterAutospacing="0"/>
        <w:jc w:val="both"/>
        <w:rPr>
          <w:rFonts w:ascii="Calibri" w:hAnsi="Calibri" w:cs="Calibri"/>
          <w:color w:val="000000"/>
          <w:sz w:val="22"/>
          <w:szCs w:val="22"/>
          <w:lang w:val="en-US"/>
        </w:rPr>
      </w:pPr>
    </w:p>
    <w:p w14:paraId="7A019635" w14:textId="77777777" w:rsidR="00B87CE7" w:rsidRPr="00495562" w:rsidRDefault="00B87CE7" w:rsidP="00B87CE7">
      <w:pPr>
        <w:pStyle w:val="NormalWeb"/>
        <w:shd w:val="clear" w:color="auto" w:fill="FFFFFF"/>
        <w:spacing w:before="0" w:beforeAutospacing="0" w:after="0" w:afterAutospacing="0"/>
        <w:jc w:val="both"/>
        <w:rPr>
          <w:rFonts w:ascii="Segoe UI" w:hAnsi="Segoe UI" w:cs="Segoe UI"/>
          <w:color w:val="000000" w:themeColor="text1"/>
          <w:sz w:val="18"/>
          <w:szCs w:val="18"/>
          <w:lang w:val="en-US"/>
        </w:rPr>
      </w:pPr>
      <w:r w:rsidRPr="00495562">
        <w:rPr>
          <w:rFonts w:ascii="Calibri" w:hAnsi="Calibri" w:cs="Calibri"/>
          <w:color w:val="000000" w:themeColor="text1"/>
          <w:sz w:val="22"/>
          <w:szCs w:val="22"/>
          <w:lang w:val="en-US"/>
        </w:rPr>
        <w:t xml:space="preserve">Next, the action of you slashing Simon with a knife would count as </w:t>
      </w:r>
      <w:r>
        <w:rPr>
          <w:rFonts w:ascii="Calibri" w:hAnsi="Calibri" w:cs="Calibri"/>
          <w:color w:val="000000" w:themeColor="text1"/>
          <w:sz w:val="22"/>
          <w:szCs w:val="22"/>
          <w:lang w:val="en-US"/>
        </w:rPr>
        <w:t xml:space="preserve">s </w:t>
      </w:r>
      <w:r w:rsidRPr="00495562">
        <w:rPr>
          <w:rFonts w:ascii="Calibri" w:hAnsi="Calibri" w:cs="Calibri"/>
          <w:color w:val="000000" w:themeColor="text1"/>
          <w:sz w:val="22"/>
          <w:szCs w:val="22"/>
          <w:lang w:val="en-US"/>
        </w:rPr>
        <w:t>20 GBH. The Actus reus for s20 GBH is that the defendant must inflict (or cause) the injury (as described in R v Lewis and R v Burstow). The second point to note is that there must be either a wound or GBH. Wounding just means there must be a break in the surface of the skin. This was clear from the case of JCC v Eisenhower. In this case, the victim was hit by an air gun pellet in the eye and suffered bruising and internal bleeding (not external bleeding). There was accordingly no “wound” as there was no break in skin. In your case you indented to hurt him out of jealousy and left him bleeding, hence the breaking of the skin</w:t>
      </w:r>
      <w:r>
        <w:rPr>
          <w:rFonts w:ascii="Calibri" w:hAnsi="Calibri" w:cs="Calibri"/>
          <w:color w:val="000000" w:themeColor="text1"/>
          <w:sz w:val="22"/>
          <w:szCs w:val="22"/>
          <w:lang w:val="en-US"/>
        </w:rPr>
        <w:t xml:space="preserve"> which required stitching</w:t>
      </w:r>
      <w:r w:rsidRPr="00495562">
        <w:rPr>
          <w:rFonts w:ascii="Calibri" w:hAnsi="Calibri" w:cs="Calibri"/>
          <w:color w:val="000000" w:themeColor="text1"/>
          <w:sz w:val="22"/>
          <w:szCs w:val="22"/>
          <w:lang w:val="en-US"/>
        </w:rPr>
        <w:t>. The last point to note is that you must be acting ‘unlawfully’. In this regard, it should be noted that consent is not a valid defense for GBH. For example, in R v Brown, it was held that consent was not a defense to sadomasochistic practices by some homosexual men. The position here is therefore different to that which applies to ABH (Actual Bodily Harm). In your case, the violent attack was seen as unlawful. </w:t>
      </w:r>
    </w:p>
    <w:p w14:paraId="29EC796C" w14:textId="77777777" w:rsidR="00B87CE7" w:rsidRPr="00495562" w:rsidRDefault="00B87CE7" w:rsidP="00B87CE7">
      <w:pPr>
        <w:pStyle w:val="NormalWeb"/>
        <w:shd w:val="clear" w:color="auto" w:fill="FFFFFF"/>
        <w:spacing w:before="0" w:beforeAutospacing="0" w:after="0" w:afterAutospacing="0"/>
        <w:jc w:val="both"/>
        <w:rPr>
          <w:rFonts w:ascii="Calibri" w:hAnsi="Calibri" w:cs="Calibri"/>
          <w:color w:val="000000" w:themeColor="text1"/>
          <w:sz w:val="22"/>
          <w:szCs w:val="22"/>
          <w:lang w:val="en-US"/>
        </w:rPr>
      </w:pPr>
      <w:r w:rsidRPr="00495562">
        <w:rPr>
          <w:rFonts w:ascii="Calibri" w:hAnsi="Calibri" w:cs="Calibri"/>
          <w:color w:val="000000" w:themeColor="text1"/>
          <w:sz w:val="22"/>
          <w:szCs w:val="22"/>
          <w:lang w:val="en-US"/>
        </w:rPr>
        <w:t xml:space="preserve">The Men's rea for GBH </w:t>
      </w:r>
      <w:r>
        <w:rPr>
          <w:rFonts w:ascii="Calibri" w:hAnsi="Calibri" w:cs="Calibri"/>
          <w:color w:val="000000" w:themeColor="text1"/>
          <w:sz w:val="22"/>
          <w:szCs w:val="22"/>
          <w:lang w:val="en-US"/>
        </w:rPr>
        <w:t xml:space="preserve">s </w:t>
      </w:r>
      <w:r w:rsidRPr="00495562">
        <w:rPr>
          <w:rFonts w:ascii="Calibri" w:hAnsi="Calibri" w:cs="Calibri"/>
          <w:color w:val="000000" w:themeColor="text1"/>
          <w:sz w:val="22"/>
          <w:szCs w:val="22"/>
          <w:lang w:val="en-US"/>
        </w:rPr>
        <w:t xml:space="preserve">20 is </w:t>
      </w:r>
      <w:r>
        <w:rPr>
          <w:rFonts w:ascii="Calibri" w:hAnsi="Calibri" w:cs="Calibri"/>
          <w:color w:val="000000" w:themeColor="text1"/>
          <w:sz w:val="22"/>
          <w:szCs w:val="22"/>
          <w:lang w:val="en-US"/>
        </w:rPr>
        <w:t xml:space="preserve">that </w:t>
      </w:r>
      <w:r w:rsidRPr="00495562">
        <w:rPr>
          <w:rFonts w:ascii="Calibri" w:hAnsi="Calibri" w:cs="Calibri"/>
          <w:color w:val="000000" w:themeColor="text1"/>
          <w:sz w:val="22"/>
          <w:szCs w:val="22"/>
          <w:lang w:val="en-US"/>
        </w:rPr>
        <w:t>when the defendant ‘maliciously’ (i.e., </w:t>
      </w:r>
      <w:proofErr w:type="gramStart"/>
      <w:r w:rsidRPr="00495562">
        <w:rPr>
          <w:rFonts w:ascii="Calibri" w:hAnsi="Calibri" w:cs="Calibri"/>
          <w:color w:val="000000" w:themeColor="text1"/>
          <w:sz w:val="22"/>
          <w:szCs w:val="22"/>
          <w:lang w:val="en-US"/>
        </w:rPr>
        <w:t>intentionally</w:t>
      </w:r>
      <w:proofErr w:type="gramEnd"/>
      <w:r w:rsidRPr="00495562">
        <w:rPr>
          <w:rFonts w:ascii="Calibri" w:hAnsi="Calibri" w:cs="Calibri"/>
          <w:color w:val="000000" w:themeColor="text1"/>
          <w:sz w:val="22"/>
          <w:szCs w:val="22"/>
          <w:lang w:val="en-US"/>
        </w:rPr>
        <w:t xml:space="preserve"> or recklessly) causes some harm to the victim. Recklessness is subjective as </w:t>
      </w:r>
      <w:r>
        <w:rPr>
          <w:rFonts w:ascii="Calibri" w:hAnsi="Calibri" w:cs="Calibri"/>
          <w:color w:val="000000" w:themeColor="text1"/>
          <w:sz w:val="22"/>
          <w:szCs w:val="22"/>
          <w:lang w:val="en-US"/>
        </w:rPr>
        <w:t xml:space="preserve">s </w:t>
      </w:r>
      <w:r w:rsidRPr="00495562">
        <w:rPr>
          <w:rFonts w:ascii="Calibri" w:hAnsi="Calibri" w:cs="Calibri"/>
          <w:color w:val="000000" w:themeColor="text1"/>
          <w:sz w:val="22"/>
          <w:szCs w:val="22"/>
          <w:lang w:val="en-US"/>
        </w:rPr>
        <w:t xml:space="preserve">20 GBH is a basic intent crime. In R v Savage, the defendant threw her drink at the victim and accidentally let go of her glass at the same time which wounded the victim. As the defendant was subjectively reckless about causing some harm, the </w:t>
      </w:r>
      <w:proofErr w:type="spellStart"/>
      <w:r w:rsidRPr="00495562">
        <w:rPr>
          <w:rFonts w:ascii="Calibri" w:hAnsi="Calibri" w:cs="Calibri"/>
          <w:color w:val="000000" w:themeColor="text1"/>
          <w:sz w:val="22"/>
          <w:szCs w:val="22"/>
          <w:lang w:val="en-US"/>
        </w:rPr>
        <w:t>mens</w:t>
      </w:r>
      <w:proofErr w:type="spellEnd"/>
      <w:r w:rsidRPr="00495562">
        <w:rPr>
          <w:rFonts w:ascii="Calibri" w:hAnsi="Calibri" w:cs="Calibri"/>
          <w:color w:val="000000" w:themeColor="text1"/>
          <w:sz w:val="22"/>
          <w:szCs w:val="22"/>
          <w:lang w:val="en-US"/>
        </w:rPr>
        <w:t xml:space="preserve"> rea for the s</w:t>
      </w:r>
      <w:r>
        <w:rPr>
          <w:rFonts w:ascii="Calibri" w:hAnsi="Calibri" w:cs="Calibri"/>
          <w:color w:val="000000" w:themeColor="text1"/>
          <w:sz w:val="22"/>
          <w:szCs w:val="22"/>
          <w:lang w:val="en-US"/>
        </w:rPr>
        <w:t xml:space="preserve"> </w:t>
      </w:r>
      <w:r w:rsidRPr="00495562">
        <w:rPr>
          <w:rFonts w:ascii="Calibri" w:hAnsi="Calibri" w:cs="Calibri"/>
          <w:color w:val="000000" w:themeColor="text1"/>
          <w:sz w:val="22"/>
          <w:szCs w:val="22"/>
          <w:lang w:val="en-US"/>
        </w:rPr>
        <w:t xml:space="preserve">20 GBH offence was made out. In R v Parmenter, a father threw his 3-month child into the air and caught them. He had not realized there was a risk of injury. As recklessness is subjective (i.e., it is based on what the actual defendant realized not what an ordinary reasonable person would realize) the </w:t>
      </w:r>
      <w:proofErr w:type="spellStart"/>
      <w:r w:rsidRPr="00495562">
        <w:rPr>
          <w:rFonts w:ascii="Calibri" w:hAnsi="Calibri" w:cs="Calibri"/>
          <w:color w:val="000000" w:themeColor="text1"/>
          <w:sz w:val="22"/>
          <w:szCs w:val="22"/>
          <w:lang w:val="en-US"/>
        </w:rPr>
        <w:t>mens</w:t>
      </w:r>
      <w:proofErr w:type="spellEnd"/>
      <w:r w:rsidRPr="00495562">
        <w:rPr>
          <w:rFonts w:ascii="Calibri" w:hAnsi="Calibri" w:cs="Calibri"/>
          <w:color w:val="000000" w:themeColor="text1"/>
          <w:sz w:val="22"/>
          <w:szCs w:val="22"/>
          <w:lang w:val="en-US"/>
        </w:rPr>
        <w:t xml:space="preserve"> rea for GBH was not satisfied. In your case you maliciously (intentionally) caused harm to Simon.</w:t>
      </w:r>
    </w:p>
    <w:p w14:paraId="6FFAFBF9" w14:textId="77777777" w:rsidR="00B87CE7" w:rsidRDefault="00B87CE7" w:rsidP="00B87CE7">
      <w:pPr>
        <w:pStyle w:val="NormalWeb"/>
        <w:shd w:val="clear" w:color="auto" w:fill="FFFFFF"/>
        <w:spacing w:before="0" w:beforeAutospacing="0" w:after="0" w:afterAutospacing="0"/>
        <w:jc w:val="both"/>
        <w:rPr>
          <w:rFonts w:ascii="Calibri" w:hAnsi="Calibri" w:cs="Calibri"/>
          <w:color w:val="A8D08D" w:themeColor="accent6" w:themeTint="99"/>
          <w:sz w:val="22"/>
          <w:szCs w:val="22"/>
          <w:lang w:val="en-US"/>
        </w:rPr>
      </w:pPr>
    </w:p>
    <w:p w14:paraId="0AA17433" w14:textId="77777777" w:rsidR="00B87CE7" w:rsidRDefault="00B87CE7" w:rsidP="00B87CE7">
      <w:pPr>
        <w:pStyle w:val="NormalWeb"/>
        <w:shd w:val="clear" w:color="auto" w:fill="FFFFFF"/>
        <w:spacing w:before="0" w:beforeAutospacing="0" w:after="0" w:afterAutospacing="0"/>
        <w:jc w:val="both"/>
        <w:rPr>
          <w:rFonts w:ascii="Calibri" w:hAnsi="Calibri" w:cs="Calibri"/>
          <w:color w:val="A8D08D" w:themeColor="accent6" w:themeTint="99"/>
          <w:sz w:val="22"/>
          <w:szCs w:val="22"/>
          <w:lang w:val="en-US"/>
        </w:rPr>
      </w:pPr>
    </w:p>
    <w:p w14:paraId="6EF37C00" w14:textId="77777777" w:rsidR="00B87CE7" w:rsidRDefault="00B87CE7" w:rsidP="00B87CE7">
      <w:pPr>
        <w:pStyle w:val="NormalWeb"/>
        <w:shd w:val="clear" w:color="auto" w:fill="FFFFFF"/>
        <w:spacing w:before="0" w:beforeAutospacing="0" w:after="0" w:afterAutospacing="0"/>
        <w:jc w:val="both"/>
        <w:rPr>
          <w:rFonts w:ascii="Arial" w:hAnsi="Arial" w:cs="Arial"/>
          <w:color w:val="202124"/>
          <w:sz w:val="22"/>
          <w:szCs w:val="22"/>
          <w:shd w:val="clear" w:color="auto" w:fill="FFFFFF"/>
        </w:rPr>
      </w:pPr>
      <w:r w:rsidRPr="00926E4E">
        <w:rPr>
          <w:rFonts w:ascii="Arial" w:hAnsi="Arial" w:cs="Arial"/>
          <w:color w:val="202124"/>
          <w:sz w:val="22"/>
          <w:szCs w:val="22"/>
          <w:shd w:val="clear" w:color="auto" w:fill="FFFFFF"/>
        </w:rPr>
        <w:t xml:space="preserve">It will be a defence to a theft charge if you can show that you had </w:t>
      </w:r>
      <w:r>
        <w:rPr>
          <w:rFonts w:ascii="Arial" w:hAnsi="Arial" w:cs="Arial"/>
          <w:color w:val="202124"/>
          <w:sz w:val="22"/>
          <w:szCs w:val="22"/>
          <w:shd w:val="clear" w:color="auto" w:fill="FFFFFF"/>
        </w:rPr>
        <w:t xml:space="preserve">held </w:t>
      </w:r>
      <w:r w:rsidRPr="00926E4E">
        <w:rPr>
          <w:rFonts w:ascii="Arial" w:hAnsi="Arial" w:cs="Arial"/>
          <w:color w:val="202124"/>
          <w:sz w:val="22"/>
          <w:szCs w:val="22"/>
          <w:shd w:val="clear" w:color="auto" w:fill="FFFFFF"/>
        </w:rPr>
        <w:t xml:space="preserve">a genuine belief that you had the legal right to appropriate the property; the owner would have consented; or the owner cannot be discovered by taking reasonable steps. However, as you </w:t>
      </w:r>
      <w:r>
        <w:rPr>
          <w:rFonts w:ascii="Arial" w:hAnsi="Arial" w:cs="Arial"/>
          <w:color w:val="202124"/>
          <w:sz w:val="22"/>
          <w:szCs w:val="22"/>
          <w:shd w:val="clear" w:color="auto" w:fill="FFFFFF"/>
        </w:rPr>
        <w:t xml:space="preserve">had not shown </w:t>
      </w:r>
      <w:r w:rsidRPr="00926E4E">
        <w:rPr>
          <w:rFonts w:ascii="Arial" w:hAnsi="Arial" w:cs="Arial"/>
          <w:color w:val="202124"/>
          <w:sz w:val="22"/>
          <w:szCs w:val="22"/>
          <w:shd w:val="clear" w:color="auto" w:fill="FFFFFF"/>
        </w:rPr>
        <w:t>genuine belief that you had the legal right to appropriate the property, this defence will not be taken into consideration</w:t>
      </w:r>
      <w:r>
        <w:rPr>
          <w:rFonts w:ascii="Arial" w:hAnsi="Arial" w:cs="Arial"/>
          <w:color w:val="202124"/>
          <w:sz w:val="22"/>
          <w:szCs w:val="22"/>
          <w:shd w:val="clear" w:color="auto" w:fill="FFFFFF"/>
        </w:rPr>
        <w:t xml:space="preserve"> therefore </w:t>
      </w:r>
      <w:r w:rsidRPr="00926E4E">
        <w:rPr>
          <w:rFonts w:ascii="Arial" w:hAnsi="Arial" w:cs="Arial"/>
          <w:color w:val="202124"/>
          <w:sz w:val="22"/>
          <w:szCs w:val="22"/>
          <w:shd w:val="clear" w:color="auto" w:fill="FFFFFF"/>
        </w:rPr>
        <w:t>you will be fully charged for this crime. </w:t>
      </w:r>
    </w:p>
    <w:p w14:paraId="0DE9040A" w14:textId="77777777" w:rsidR="00B87CE7" w:rsidRDefault="00B87CE7" w:rsidP="00B87CE7">
      <w:pPr>
        <w:pStyle w:val="NormalWeb"/>
        <w:shd w:val="clear" w:color="auto" w:fill="FFFFFF"/>
        <w:spacing w:before="0" w:beforeAutospacing="0" w:after="0" w:afterAutospacing="0"/>
        <w:jc w:val="both"/>
        <w:rPr>
          <w:rFonts w:ascii="Arial" w:hAnsi="Arial" w:cs="Arial"/>
          <w:color w:val="202124"/>
          <w:sz w:val="22"/>
          <w:szCs w:val="22"/>
          <w:shd w:val="clear" w:color="auto" w:fill="FFFFFF"/>
        </w:rPr>
      </w:pPr>
    </w:p>
    <w:p w14:paraId="3F4CA6CF" w14:textId="77777777" w:rsidR="00B87CE7" w:rsidRDefault="00B87CE7" w:rsidP="00B87CE7">
      <w:pPr>
        <w:pStyle w:val="NormalWeb"/>
        <w:shd w:val="clear" w:color="auto" w:fill="FFFFFF"/>
        <w:spacing w:before="0" w:beforeAutospacing="0" w:after="0" w:afterAutospacing="0"/>
        <w:jc w:val="both"/>
        <w:rPr>
          <w:rFonts w:ascii="Arial" w:hAnsi="Arial" w:cs="Arial"/>
          <w:color w:val="202124"/>
          <w:sz w:val="22"/>
          <w:szCs w:val="22"/>
          <w:shd w:val="clear" w:color="auto" w:fill="FFFFFF"/>
        </w:rPr>
      </w:pPr>
      <w:r>
        <w:rPr>
          <w:rFonts w:ascii="Arial" w:hAnsi="Arial" w:cs="Arial"/>
          <w:color w:val="202124"/>
          <w:sz w:val="22"/>
          <w:szCs w:val="22"/>
          <w:shd w:val="clear" w:color="auto" w:fill="FFFFFF"/>
        </w:rPr>
        <w:t xml:space="preserve">Voluntary intoxication is where the defendant chooses to take an intoxicating substance this could be alcohol, </w:t>
      </w:r>
      <w:proofErr w:type="gramStart"/>
      <w:r>
        <w:rPr>
          <w:rFonts w:ascii="Arial" w:hAnsi="Arial" w:cs="Arial"/>
          <w:color w:val="202124"/>
          <w:sz w:val="22"/>
          <w:szCs w:val="22"/>
          <w:shd w:val="clear" w:color="auto" w:fill="FFFFFF"/>
        </w:rPr>
        <w:t>drugs</w:t>
      </w:r>
      <w:proofErr w:type="gramEnd"/>
      <w:r>
        <w:rPr>
          <w:rFonts w:ascii="Arial" w:hAnsi="Arial" w:cs="Arial"/>
          <w:color w:val="202124"/>
          <w:sz w:val="22"/>
          <w:szCs w:val="22"/>
          <w:shd w:val="clear" w:color="auto" w:fill="FFFFFF"/>
        </w:rPr>
        <w:t xml:space="preserve"> or any other intoxicating substances such as sniffing glue. Voluntary intoxication is not a defence to a crime exactly however, it is relevant when determining if the defendant had the relevant mens rea for the crime. In your case the intoxicant was the anti-depressants that you willingly had chosen to take. Voluntary intoxication can be used to negate the mens rea for certain crimes; if the defendant was so intoxicated that would mean they are incapable of forming the intent required (DPP v Beard)</w:t>
      </w:r>
    </w:p>
    <w:p w14:paraId="7AA82F5C" w14:textId="77777777" w:rsidR="00B87CE7" w:rsidRDefault="00B87CE7" w:rsidP="00B87CE7">
      <w:pPr>
        <w:pStyle w:val="NormalWeb"/>
        <w:shd w:val="clear" w:color="auto" w:fill="FFFFFF"/>
        <w:spacing w:before="0" w:beforeAutospacing="0" w:after="0" w:afterAutospacing="0"/>
        <w:jc w:val="both"/>
        <w:rPr>
          <w:rFonts w:ascii="Arial" w:hAnsi="Arial" w:cs="Arial"/>
          <w:color w:val="202124"/>
          <w:sz w:val="22"/>
          <w:szCs w:val="22"/>
          <w:shd w:val="clear" w:color="auto" w:fill="FFFFFF"/>
        </w:rPr>
      </w:pPr>
    </w:p>
    <w:p w14:paraId="212DC64C" w14:textId="77777777" w:rsidR="00B87CE7" w:rsidRDefault="00B87CE7" w:rsidP="00B87CE7">
      <w:pPr>
        <w:pStyle w:val="NormalWeb"/>
        <w:shd w:val="clear" w:color="auto" w:fill="FFFFFF"/>
        <w:spacing w:before="0" w:beforeAutospacing="0" w:after="0" w:afterAutospacing="0"/>
        <w:jc w:val="both"/>
        <w:rPr>
          <w:rFonts w:ascii="Arial" w:hAnsi="Arial" w:cs="Arial"/>
          <w:color w:val="202124"/>
          <w:sz w:val="22"/>
          <w:szCs w:val="22"/>
          <w:shd w:val="clear" w:color="auto" w:fill="FFFFFF"/>
        </w:rPr>
      </w:pPr>
    </w:p>
    <w:p w14:paraId="741D1E68" w14:textId="77777777" w:rsidR="00B87CE7" w:rsidRDefault="00B87CE7" w:rsidP="00B87CE7">
      <w:pPr>
        <w:pStyle w:val="NormalWeb"/>
        <w:shd w:val="clear" w:color="auto" w:fill="FFFFFF"/>
        <w:spacing w:before="0" w:beforeAutospacing="0" w:after="0" w:afterAutospacing="0"/>
        <w:jc w:val="both"/>
        <w:rPr>
          <w:rFonts w:ascii="Arial" w:hAnsi="Arial" w:cs="Arial"/>
          <w:color w:val="202124"/>
          <w:sz w:val="22"/>
          <w:szCs w:val="22"/>
          <w:shd w:val="clear" w:color="auto" w:fill="FFFFFF"/>
        </w:rPr>
      </w:pPr>
      <w:r>
        <w:rPr>
          <w:rFonts w:ascii="Arial" w:hAnsi="Arial" w:cs="Arial"/>
          <w:color w:val="202124"/>
          <w:sz w:val="22"/>
          <w:szCs w:val="22"/>
          <w:shd w:val="clear" w:color="auto" w:fill="FFFFFF"/>
        </w:rPr>
        <w:lastRenderedPageBreak/>
        <w:t xml:space="preserve">Karim, taking all factors into consideration, it appears to look like you will be liable for both theft and s 18 grievous bodily harm and will be tried in the crown court. It is unlikely that you will be able to use any defences as you suffice both the actus reus and mens rea for both offences. Because of this, you will be charged for the full offence however, due to theft being an either way offence and item you stole was not of much importance or money you may not be charged for a long time. But in terms of s 18 </w:t>
      </w:r>
      <w:proofErr w:type="spellStart"/>
      <w:r>
        <w:rPr>
          <w:rFonts w:ascii="Arial" w:hAnsi="Arial" w:cs="Arial"/>
          <w:color w:val="202124"/>
          <w:sz w:val="22"/>
          <w:szCs w:val="22"/>
          <w:shd w:val="clear" w:color="auto" w:fill="FFFFFF"/>
        </w:rPr>
        <w:t>gbh</w:t>
      </w:r>
      <w:proofErr w:type="spellEnd"/>
      <w:r>
        <w:rPr>
          <w:rFonts w:ascii="Arial" w:hAnsi="Arial" w:cs="Arial"/>
          <w:color w:val="202124"/>
          <w:sz w:val="22"/>
          <w:szCs w:val="22"/>
          <w:shd w:val="clear" w:color="auto" w:fill="FFFFFF"/>
        </w:rPr>
        <w:t xml:space="preserve">, the severity of the crime was extremely high so you will be charged for the offence accordingly. </w:t>
      </w:r>
    </w:p>
    <w:p w14:paraId="1C2482F4" w14:textId="77777777" w:rsidR="00B87CE7" w:rsidRDefault="00B87CE7" w:rsidP="00B87CE7">
      <w:pPr>
        <w:pStyle w:val="NormalWeb"/>
        <w:shd w:val="clear" w:color="auto" w:fill="FFFFFF"/>
        <w:spacing w:before="0" w:beforeAutospacing="0" w:after="0" w:afterAutospacing="0"/>
        <w:jc w:val="both"/>
        <w:rPr>
          <w:rFonts w:ascii="Arial" w:hAnsi="Arial" w:cs="Arial"/>
          <w:color w:val="202124"/>
          <w:sz w:val="22"/>
          <w:szCs w:val="22"/>
          <w:shd w:val="clear" w:color="auto" w:fill="FFFFFF"/>
        </w:rPr>
      </w:pPr>
    </w:p>
    <w:p w14:paraId="3FC09831" w14:textId="77777777" w:rsidR="00B87CE7" w:rsidRPr="00926E4E" w:rsidRDefault="00B87CE7" w:rsidP="00B87CE7">
      <w:pPr>
        <w:pStyle w:val="NormalWeb"/>
        <w:shd w:val="clear" w:color="auto" w:fill="FFFFFF"/>
        <w:spacing w:before="0" w:beforeAutospacing="0" w:after="0" w:afterAutospacing="0"/>
        <w:jc w:val="both"/>
        <w:rPr>
          <w:rFonts w:ascii="Segoe UI" w:hAnsi="Segoe UI" w:cs="Segoe UI"/>
          <w:color w:val="A8D08D" w:themeColor="accent6" w:themeTint="99"/>
          <w:sz w:val="22"/>
          <w:szCs w:val="22"/>
          <w:lang w:val="en-US"/>
        </w:rPr>
      </w:pPr>
      <w:r>
        <w:rPr>
          <w:rFonts w:ascii="Arial" w:hAnsi="Arial" w:cs="Arial"/>
          <w:color w:val="202124"/>
          <w:sz w:val="22"/>
          <w:szCs w:val="22"/>
          <w:shd w:val="clear" w:color="auto" w:fill="FFFFFF"/>
        </w:rPr>
        <w:t>Yours Sincerely, Hermela Tecleab</w:t>
      </w:r>
    </w:p>
    <w:p w14:paraId="5A9B6990" w14:textId="77777777" w:rsidR="00B87CE7" w:rsidRDefault="00B87CE7" w:rsidP="00B87CE7"/>
    <w:p w14:paraId="172DAA62" w14:textId="77777777" w:rsidR="00B87CE7" w:rsidRDefault="00B87CE7" w:rsidP="00B87CE7">
      <w:r>
        <w:t xml:space="preserve">Draft, not finished with referencing yet </w:t>
      </w:r>
    </w:p>
    <w:p w14:paraId="4DEE28C0" w14:textId="77777777" w:rsidR="00B87CE7" w:rsidRDefault="00B87CE7" w:rsidP="00B87CE7"/>
    <w:p w14:paraId="1BD7FAC1" w14:textId="77777777" w:rsidR="001F56E0" w:rsidRDefault="001F56E0"/>
    <w:sectPr w:rsidR="001F56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CE7"/>
    <w:rsid w:val="001F56E0"/>
    <w:rsid w:val="004D436B"/>
    <w:rsid w:val="007C21E0"/>
    <w:rsid w:val="00B87C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B0757"/>
  <w15:chartTrackingRefBased/>
  <w15:docId w15:val="{AEB7A7D4-671B-4BF0-B8BE-FE5AE6E79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C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87CE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1346</Words>
  <Characters>6263</Characters>
  <Application>Microsoft Office Word</Application>
  <DocSecurity>0</DocSecurity>
  <Lines>107</Lines>
  <Paragraphs>17</Paragraphs>
  <ScaleCrop>false</ScaleCrop>
  <Company/>
  <LinksUpToDate>false</LinksUpToDate>
  <CharactersWithSpaces>7592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hermela tecleab</dc:creator>
  <cp:keywords/>
  <dc:description/>
  <cp:lastModifiedBy>hermela tecleab</cp:lastModifiedBy>
  <cp:revision>1</cp:revision>
  <dcterms:created xsi:type="dcterms:W3CDTF">2022-04-01T01:43:00Z</dcterms:created>
  <dcterms:modified xsi:type="dcterms:W3CDTF">2022-04-01T01:44:00Z</dcterms:modified>
</cp:coreProperties>
</file>