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EFA1F" w14:textId="77777777" w:rsidR="00CA0DC2" w:rsidRDefault="00CA0DC2">
      <w:pPr>
        <w:spacing w:line="259" w:lineRule="auto"/>
        <w:jc w:val="center"/>
        <w:rPr>
          <w:rFonts w:ascii="Arial" w:hAnsi="Arial" w:cs="Arial"/>
          <w:b/>
          <w:bCs/>
          <w:sz w:val="36"/>
          <w:szCs w:val="32"/>
        </w:rPr>
      </w:pPr>
    </w:p>
    <w:p w14:paraId="209E7D16" w14:textId="77777777" w:rsidR="00CA0DC2" w:rsidRDefault="00F42B17">
      <w:pPr>
        <w:spacing w:line="259" w:lineRule="auto"/>
        <w:jc w:val="distribute"/>
      </w:pPr>
      <w:r>
        <w:rPr>
          <w:noProof/>
        </w:rPr>
        <w:drawing>
          <wp:inline distT="0" distB="0" distL="0" distR="0" wp14:anchorId="0CD3B029" wp14:editId="3019BF15">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7B317859" w14:textId="77777777" w:rsidR="00CA0DC2" w:rsidRPr="000F741D" w:rsidRDefault="00F42B17">
      <w:pPr>
        <w:spacing w:before="240" w:after="240"/>
        <w:jc w:val="center"/>
        <w:rPr>
          <w:rFonts w:ascii="Arial" w:eastAsia="Times New Roman" w:hAnsi="Arial" w:cs="Arial"/>
          <w:b/>
          <w:bCs/>
          <w:sz w:val="32"/>
          <w:szCs w:val="24"/>
        </w:rPr>
      </w:pPr>
      <w:proofErr w:type="spellStart"/>
      <w:r w:rsidRPr="000F741D">
        <w:rPr>
          <w:rFonts w:ascii="Arial" w:eastAsia="Times New Roman" w:hAnsi="Arial" w:cs="Arial"/>
          <w:b/>
          <w:bCs/>
          <w:sz w:val="32"/>
          <w:szCs w:val="24"/>
        </w:rPr>
        <w:t>Programme</w:t>
      </w:r>
      <w:proofErr w:type="spellEnd"/>
      <w:r w:rsidRPr="000F741D">
        <w:rPr>
          <w:rFonts w:ascii="Arial" w:eastAsia="Times New Roman" w:hAnsi="Arial" w:cs="Arial"/>
          <w:b/>
          <w:bCs/>
          <w:sz w:val="32"/>
          <w:szCs w:val="24"/>
        </w:rPr>
        <w:t>: Master of Business Administration</w:t>
      </w:r>
    </w:p>
    <w:p w14:paraId="33E2F9D9" w14:textId="77777777" w:rsidR="00CA0DC2" w:rsidRPr="000F741D" w:rsidRDefault="00F42B17">
      <w:pPr>
        <w:spacing w:before="240" w:after="240"/>
        <w:jc w:val="center"/>
        <w:rPr>
          <w:rFonts w:ascii="Arial" w:eastAsia="Times New Roman" w:hAnsi="Arial" w:cs="Arial"/>
          <w:b/>
          <w:bCs/>
          <w:sz w:val="32"/>
          <w:szCs w:val="24"/>
        </w:rPr>
      </w:pPr>
      <w:r w:rsidRPr="000F741D">
        <w:rPr>
          <w:rFonts w:ascii="Arial" w:eastAsia="Times New Roman" w:hAnsi="Arial" w:cs="Arial"/>
          <w:b/>
          <w:bCs/>
          <w:sz w:val="32"/>
          <w:szCs w:val="24"/>
        </w:rPr>
        <w:t>Module Name: Marketing Management</w:t>
      </w:r>
    </w:p>
    <w:p w14:paraId="2597DC11" w14:textId="77777777" w:rsidR="00CA0DC2" w:rsidRPr="000F741D" w:rsidRDefault="00F42B17">
      <w:pPr>
        <w:spacing w:before="240" w:after="240"/>
        <w:jc w:val="center"/>
        <w:rPr>
          <w:rFonts w:ascii="Arial" w:eastAsia="Times New Roman" w:hAnsi="Arial" w:cs="Arial"/>
          <w:b/>
          <w:bCs/>
          <w:sz w:val="32"/>
          <w:szCs w:val="24"/>
        </w:rPr>
      </w:pPr>
      <w:r w:rsidRPr="000F741D">
        <w:rPr>
          <w:rFonts w:ascii="Arial" w:eastAsia="Times New Roman" w:hAnsi="Arial" w:cs="Arial"/>
          <w:b/>
          <w:bCs/>
          <w:sz w:val="32"/>
          <w:szCs w:val="24"/>
        </w:rPr>
        <w:t>Module code: LCMB7024</w:t>
      </w:r>
    </w:p>
    <w:p w14:paraId="4DE230AC" w14:textId="567127D4" w:rsidR="00CA0DC2" w:rsidRPr="000F741D" w:rsidRDefault="00F42B17">
      <w:pPr>
        <w:spacing w:before="240" w:after="240"/>
        <w:jc w:val="center"/>
        <w:rPr>
          <w:rFonts w:ascii="Arial" w:eastAsia="Times New Roman" w:hAnsi="Arial" w:cs="Arial"/>
          <w:b/>
          <w:bCs/>
          <w:sz w:val="32"/>
          <w:szCs w:val="24"/>
        </w:rPr>
      </w:pPr>
      <w:r w:rsidRPr="000F741D">
        <w:rPr>
          <w:rFonts w:ascii="Arial" w:eastAsia="Times New Roman" w:hAnsi="Arial" w:cs="Arial"/>
          <w:b/>
          <w:bCs/>
          <w:sz w:val="32"/>
          <w:szCs w:val="24"/>
        </w:rPr>
        <w:t xml:space="preserve">Module </w:t>
      </w:r>
      <w:r w:rsidRPr="000F741D">
        <w:rPr>
          <w:rFonts w:ascii="Arial" w:hAnsi="Arial" w:cs="Arial"/>
          <w:b/>
          <w:bCs/>
          <w:sz w:val="32"/>
          <w:szCs w:val="24"/>
        </w:rPr>
        <w:t xml:space="preserve">Lecturer: </w:t>
      </w:r>
      <w:r w:rsidR="005D5008" w:rsidRPr="000F741D">
        <w:rPr>
          <w:rFonts w:ascii="Arial" w:hAnsi="Arial" w:cs="Arial"/>
          <w:b/>
          <w:bCs/>
          <w:sz w:val="32"/>
          <w:szCs w:val="24"/>
        </w:rPr>
        <w:t xml:space="preserve">Taonga </w:t>
      </w:r>
      <w:proofErr w:type="spellStart"/>
      <w:r w:rsidR="005D5008" w:rsidRPr="000F741D">
        <w:rPr>
          <w:rFonts w:ascii="Arial" w:hAnsi="Arial" w:cs="Arial"/>
          <w:b/>
          <w:bCs/>
          <w:sz w:val="32"/>
          <w:szCs w:val="24"/>
        </w:rPr>
        <w:t>Kaonga</w:t>
      </w:r>
      <w:proofErr w:type="spellEnd"/>
      <w:r w:rsidR="005D5008" w:rsidRPr="000F741D">
        <w:rPr>
          <w:rFonts w:ascii="Arial" w:hAnsi="Arial" w:cs="Arial"/>
          <w:b/>
          <w:bCs/>
          <w:sz w:val="32"/>
          <w:szCs w:val="24"/>
        </w:rPr>
        <w:t xml:space="preserve"> </w:t>
      </w:r>
      <w:proofErr w:type="spellStart"/>
      <w:r w:rsidR="005D5008" w:rsidRPr="000F741D">
        <w:rPr>
          <w:rFonts w:ascii="Arial" w:hAnsi="Arial" w:cs="Arial"/>
          <w:b/>
          <w:bCs/>
          <w:sz w:val="32"/>
          <w:szCs w:val="24"/>
        </w:rPr>
        <w:t>Sobere-Snithers</w:t>
      </w:r>
      <w:proofErr w:type="spellEnd"/>
    </w:p>
    <w:p w14:paraId="79720EAC" w14:textId="77777777" w:rsidR="00CA0DC2" w:rsidRPr="000F741D" w:rsidRDefault="00F42B17">
      <w:pPr>
        <w:spacing w:before="240" w:after="240"/>
        <w:jc w:val="center"/>
        <w:rPr>
          <w:rFonts w:ascii="Arial" w:eastAsia="Times New Roman" w:hAnsi="Arial" w:cs="Arial"/>
          <w:b/>
          <w:bCs/>
          <w:iCs/>
          <w:sz w:val="32"/>
          <w:szCs w:val="24"/>
        </w:rPr>
      </w:pPr>
      <w:r w:rsidRPr="000F741D">
        <w:rPr>
          <w:rFonts w:ascii="Arial" w:eastAsia="Times New Roman" w:hAnsi="Arial" w:cs="Arial"/>
          <w:b/>
          <w:bCs/>
          <w:iCs/>
          <w:sz w:val="32"/>
          <w:szCs w:val="24"/>
        </w:rPr>
        <w:t xml:space="preserve">“Title:  A Case Study of </w:t>
      </w:r>
      <w:proofErr w:type="spellStart"/>
      <w:r w:rsidRPr="000F741D">
        <w:rPr>
          <w:rFonts w:ascii="Arial" w:eastAsia="Times New Roman" w:hAnsi="Arial" w:cs="Arial"/>
          <w:b/>
          <w:bCs/>
          <w:iCs/>
          <w:sz w:val="32"/>
          <w:szCs w:val="24"/>
        </w:rPr>
        <w:t>Codelco</w:t>
      </w:r>
      <w:proofErr w:type="spellEnd"/>
      <w:r w:rsidRPr="000F741D">
        <w:rPr>
          <w:rFonts w:ascii="Arial" w:eastAsia="Times New Roman" w:hAnsi="Arial" w:cs="Arial"/>
          <w:b/>
          <w:bCs/>
          <w:iCs/>
          <w:sz w:val="32"/>
          <w:szCs w:val="24"/>
        </w:rPr>
        <w:t xml:space="preserve"> (Chile)”</w:t>
      </w:r>
    </w:p>
    <w:p w14:paraId="27A9D4AC" w14:textId="77777777" w:rsidR="00CA0DC2" w:rsidRPr="000F741D" w:rsidRDefault="00F42B17">
      <w:pPr>
        <w:spacing w:before="240" w:after="240"/>
        <w:jc w:val="center"/>
        <w:rPr>
          <w:rFonts w:ascii="Arial" w:eastAsia="Times New Roman" w:hAnsi="Arial" w:cs="Arial"/>
          <w:b/>
          <w:bCs/>
          <w:i/>
          <w:sz w:val="32"/>
          <w:szCs w:val="24"/>
        </w:rPr>
      </w:pPr>
      <w:r w:rsidRPr="000F741D">
        <w:rPr>
          <w:rFonts w:ascii="Arial" w:eastAsia="Times New Roman" w:hAnsi="Arial" w:cs="Arial"/>
          <w:b/>
          <w:bCs/>
          <w:sz w:val="32"/>
          <w:szCs w:val="24"/>
        </w:rPr>
        <w:t xml:space="preserve">Student </w:t>
      </w:r>
      <w:proofErr w:type="spellStart"/>
      <w:proofErr w:type="gramStart"/>
      <w:r w:rsidRPr="000F741D">
        <w:rPr>
          <w:rFonts w:ascii="Arial" w:eastAsia="Times New Roman" w:hAnsi="Arial" w:cs="Arial"/>
          <w:b/>
          <w:bCs/>
          <w:sz w:val="32"/>
          <w:szCs w:val="24"/>
        </w:rPr>
        <w:t>Name:Darshil</w:t>
      </w:r>
      <w:proofErr w:type="spellEnd"/>
      <w:proofErr w:type="gramEnd"/>
      <w:r w:rsidRPr="000F741D">
        <w:rPr>
          <w:rFonts w:ascii="Arial" w:eastAsia="Times New Roman" w:hAnsi="Arial" w:cs="Arial"/>
          <w:b/>
          <w:bCs/>
          <w:sz w:val="32"/>
          <w:szCs w:val="24"/>
        </w:rPr>
        <w:t xml:space="preserve"> </w:t>
      </w:r>
      <w:proofErr w:type="spellStart"/>
      <w:r w:rsidRPr="000F741D">
        <w:rPr>
          <w:rFonts w:ascii="Arial" w:eastAsia="Times New Roman" w:hAnsi="Arial" w:cs="Arial"/>
          <w:b/>
          <w:bCs/>
          <w:sz w:val="32"/>
          <w:szCs w:val="24"/>
        </w:rPr>
        <w:t>Mukeshkumar</w:t>
      </w:r>
      <w:proofErr w:type="spellEnd"/>
      <w:r w:rsidRPr="000F741D">
        <w:rPr>
          <w:rFonts w:ascii="Arial" w:eastAsia="Times New Roman" w:hAnsi="Arial" w:cs="Arial"/>
          <w:b/>
          <w:bCs/>
          <w:sz w:val="32"/>
          <w:szCs w:val="24"/>
        </w:rPr>
        <w:t xml:space="preserve"> Dodiya</w:t>
      </w:r>
    </w:p>
    <w:p w14:paraId="39508B73" w14:textId="77777777" w:rsidR="00CA0DC2" w:rsidRPr="000F741D" w:rsidRDefault="00F42B17">
      <w:pPr>
        <w:spacing w:before="240" w:after="240"/>
        <w:jc w:val="center"/>
        <w:rPr>
          <w:rFonts w:ascii="Arial" w:eastAsia="Times New Roman" w:hAnsi="Arial" w:cs="Arial"/>
          <w:b/>
          <w:bCs/>
          <w:sz w:val="32"/>
          <w:szCs w:val="24"/>
        </w:rPr>
      </w:pPr>
      <w:r w:rsidRPr="000F741D">
        <w:rPr>
          <w:rFonts w:ascii="Arial" w:eastAsia="Times New Roman" w:hAnsi="Arial" w:cs="Arial"/>
          <w:b/>
          <w:bCs/>
          <w:sz w:val="32"/>
          <w:szCs w:val="24"/>
        </w:rPr>
        <w:t>Student ID: 2522995</w:t>
      </w:r>
    </w:p>
    <w:p w14:paraId="620280C2" w14:textId="77777777" w:rsidR="00CA0DC2" w:rsidRDefault="00CA0DC2">
      <w:pPr>
        <w:spacing w:line="259" w:lineRule="auto"/>
        <w:jc w:val="center"/>
      </w:pPr>
    </w:p>
    <w:p w14:paraId="15128558" w14:textId="77777777" w:rsidR="00CA0DC2" w:rsidRDefault="00CA0DC2">
      <w:pPr>
        <w:spacing w:line="259" w:lineRule="auto"/>
        <w:jc w:val="center"/>
        <w:rPr>
          <w:rFonts w:ascii="Arial" w:hAnsi="Arial" w:cs="Arial"/>
          <w:b/>
          <w:bCs/>
          <w:sz w:val="36"/>
          <w:szCs w:val="32"/>
        </w:rPr>
      </w:pPr>
    </w:p>
    <w:p w14:paraId="029245E8"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40908CF4"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047C44EA"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2E6C6813"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0FE17B0B" w14:textId="77777777" w:rsidR="00CA0DC2" w:rsidRDefault="00CA0DC2"/>
    <w:p w14:paraId="583A1C2D"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sdt>
      <w:sdtPr>
        <w:rPr>
          <w:rFonts w:ascii="Times New Roman" w:eastAsiaTheme="minorHAnsi" w:hAnsi="Times New Roman" w:cstheme="minorBidi"/>
          <w:color w:val="000000" w:themeColor="text1"/>
          <w:kern w:val="2"/>
          <w:sz w:val="24"/>
          <w:szCs w:val="22"/>
          <w14:ligatures w14:val="standardContextual"/>
        </w:rPr>
        <w:id w:val="1745766090"/>
        <w:docPartObj>
          <w:docPartGallery w:val="Table of Contents"/>
          <w:docPartUnique/>
        </w:docPartObj>
      </w:sdtPr>
      <w:sdtEndPr>
        <w:rPr>
          <w:b/>
          <w:bCs/>
        </w:rPr>
      </w:sdtEndPr>
      <w:sdtContent>
        <w:p w14:paraId="4857D99E" w14:textId="77777777" w:rsidR="00CA0DC2" w:rsidRDefault="00F42B17">
          <w:pPr>
            <w:pStyle w:val="TOCHeading1"/>
          </w:pPr>
          <w:r>
            <w:t>Table of Contents</w:t>
          </w:r>
        </w:p>
        <w:p w14:paraId="6D44521F" w14:textId="77777777" w:rsidR="00CA0DC2" w:rsidRDefault="00F42B17">
          <w:pPr>
            <w:pStyle w:val="TOC1"/>
            <w:tabs>
              <w:tab w:val="right" w:leader="dot" w:pos="9350"/>
            </w:tabs>
            <w:rPr>
              <w:rFonts w:asciiTheme="minorHAnsi" w:eastAsiaTheme="minorEastAsia" w:hAnsiTheme="minorHAnsi" w:hint="eastAsia"/>
              <w:color w:val="auto"/>
              <w:szCs w:val="24"/>
            </w:rPr>
          </w:pPr>
          <w:r>
            <w:fldChar w:fldCharType="begin"/>
          </w:r>
          <w:r>
            <w:instrText xml:space="preserve"> TOC \o "1-3" \h \z \u </w:instrText>
          </w:r>
          <w:r>
            <w:fldChar w:fldCharType="separate"/>
          </w:r>
          <w:hyperlink w:anchor="_Toc231650793" w:history="1">
            <w:r>
              <w:rPr>
                <w:rStyle w:val="Hyperlink"/>
                <w:rFonts w:ascii="Arial" w:hAnsi="Arial" w:cs="Arial"/>
              </w:rPr>
              <w:t>Introduction</w:t>
            </w:r>
            <w:r>
              <w:tab/>
            </w:r>
            <w:r>
              <w:fldChar w:fldCharType="begin"/>
            </w:r>
            <w:r>
              <w:instrText xml:space="preserve"> PAGEREF _Toc231650793 \h </w:instrText>
            </w:r>
            <w:r>
              <w:fldChar w:fldCharType="separate"/>
            </w:r>
            <w:r>
              <w:t>3</w:t>
            </w:r>
            <w:r>
              <w:fldChar w:fldCharType="end"/>
            </w:r>
          </w:hyperlink>
        </w:p>
        <w:p w14:paraId="710F534A" w14:textId="77777777" w:rsidR="00CA0DC2" w:rsidRDefault="00EE585D">
          <w:pPr>
            <w:pStyle w:val="TOC1"/>
            <w:tabs>
              <w:tab w:val="right" w:leader="dot" w:pos="9350"/>
            </w:tabs>
            <w:rPr>
              <w:rFonts w:asciiTheme="minorHAnsi" w:eastAsiaTheme="minorEastAsia" w:hAnsiTheme="minorHAnsi" w:hint="eastAsia"/>
              <w:color w:val="auto"/>
              <w:szCs w:val="24"/>
            </w:rPr>
          </w:pPr>
          <w:hyperlink w:anchor="_Toc231650794" w:history="1">
            <w:r w:rsidR="00F42B17">
              <w:rPr>
                <w:rStyle w:val="Hyperlink"/>
                <w:rFonts w:ascii="Arial" w:hAnsi="Arial" w:cs="Arial"/>
              </w:rPr>
              <w:t>Task 1: Analysis of Marketing Environment</w:t>
            </w:r>
            <w:r w:rsidR="00F42B17">
              <w:tab/>
            </w:r>
            <w:r w:rsidR="00F42B17">
              <w:fldChar w:fldCharType="begin"/>
            </w:r>
            <w:r w:rsidR="00F42B17">
              <w:instrText xml:space="preserve"> PAGEREF _Toc231650794 \h </w:instrText>
            </w:r>
            <w:r w:rsidR="00F42B17">
              <w:fldChar w:fldCharType="separate"/>
            </w:r>
            <w:r w:rsidR="00F42B17">
              <w:t>3</w:t>
            </w:r>
            <w:r w:rsidR="00F42B17">
              <w:fldChar w:fldCharType="end"/>
            </w:r>
          </w:hyperlink>
        </w:p>
        <w:p w14:paraId="73FB2A9A" w14:textId="77777777" w:rsidR="00CA0DC2" w:rsidRDefault="00EE585D">
          <w:pPr>
            <w:pStyle w:val="TOC2"/>
            <w:tabs>
              <w:tab w:val="right" w:leader="dot" w:pos="9350"/>
            </w:tabs>
            <w:rPr>
              <w:rFonts w:asciiTheme="minorHAnsi" w:eastAsiaTheme="minorEastAsia" w:hAnsiTheme="minorHAnsi" w:hint="eastAsia"/>
              <w:color w:val="auto"/>
              <w:szCs w:val="24"/>
            </w:rPr>
          </w:pPr>
          <w:hyperlink w:anchor="_Toc231650795" w:history="1">
            <w:r w:rsidR="00F42B17">
              <w:rPr>
                <w:rStyle w:val="Hyperlink"/>
                <w:rFonts w:ascii="Arial" w:hAnsi="Arial" w:cs="Arial"/>
              </w:rPr>
              <w:t>Natural Environment</w:t>
            </w:r>
            <w:r w:rsidR="00F42B17">
              <w:tab/>
            </w:r>
            <w:r w:rsidR="00F42B17">
              <w:fldChar w:fldCharType="begin"/>
            </w:r>
            <w:r w:rsidR="00F42B17">
              <w:instrText xml:space="preserve"> PAGEREF _Toc231650795 \h </w:instrText>
            </w:r>
            <w:r w:rsidR="00F42B17">
              <w:fldChar w:fldCharType="separate"/>
            </w:r>
            <w:r w:rsidR="00F42B17">
              <w:t>3</w:t>
            </w:r>
            <w:r w:rsidR="00F42B17">
              <w:fldChar w:fldCharType="end"/>
            </w:r>
          </w:hyperlink>
        </w:p>
        <w:p w14:paraId="059E455E" w14:textId="77777777" w:rsidR="00CA0DC2" w:rsidRDefault="00EE585D">
          <w:pPr>
            <w:pStyle w:val="TOC2"/>
            <w:tabs>
              <w:tab w:val="right" w:leader="dot" w:pos="9350"/>
            </w:tabs>
            <w:rPr>
              <w:rFonts w:asciiTheme="minorHAnsi" w:eastAsiaTheme="minorEastAsia" w:hAnsiTheme="minorHAnsi" w:hint="eastAsia"/>
              <w:color w:val="auto"/>
              <w:szCs w:val="24"/>
            </w:rPr>
          </w:pPr>
          <w:hyperlink w:anchor="_Toc231650796" w:history="1">
            <w:r w:rsidR="00F42B17">
              <w:rPr>
                <w:rStyle w:val="Hyperlink"/>
                <w:rFonts w:ascii="Arial" w:hAnsi="Arial" w:cs="Arial"/>
              </w:rPr>
              <w:t>Political and regulatory environment</w:t>
            </w:r>
            <w:r w:rsidR="00F42B17">
              <w:tab/>
            </w:r>
            <w:r w:rsidR="00F42B17">
              <w:fldChar w:fldCharType="begin"/>
            </w:r>
            <w:r w:rsidR="00F42B17">
              <w:instrText xml:space="preserve"> PAGEREF _Toc231650796 \h </w:instrText>
            </w:r>
            <w:r w:rsidR="00F42B17">
              <w:fldChar w:fldCharType="separate"/>
            </w:r>
            <w:r w:rsidR="00F42B17">
              <w:t>5</w:t>
            </w:r>
            <w:r w:rsidR="00F42B17">
              <w:fldChar w:fldCharType="end"/>
            </w:r>
          </w:hyperlink>
        </w:p>
        <w:p w14:paraId="23D7DE86" w14:textId="77777777" w:rsidR="00CA0DC2" w:rsidRDefault="00EE585D">
          <w:pPr>
            <w:pStyle w:val="TOC1"/>
            <w:tabs>
              <w:tab w:val="right" w:leader="dot" w:pos="9350"/>
            </w:tabs>
            <w:rPr>
              <w:rFonts w:asciiTheme="minorHAnsi" w:eastAsiaTheme="minorEastAsia" w:hAnsiTheme="minorHAnsi" w:hint="eastAsia"/>
              <w:color w:val="auto"/>
              <w:szCs w:val="24"/>
            </w:rPr>
          </w:pPr>
          <w:hyperlink w:anchor="_Toc231650797" w:history="1">
            <w:r w:rsidR="00F42B17">
              <w:rPr>
                <w:rStyle w:val="Hyperlink"/>
                <w:rFonts w:ascii="Arial" w:hAnsi="Arial" w:cs="Arial"/>
              </w:rPr>
              <w:t>Task 2: Strategic Growth and Competitive Positioning</w:t>
            </w:r>
            <w:r w:rsidR="00F42B17">
              <w:tab/>
            </w:r>
            <w:r w:rsidR="00F42B17">
              <w:fldChar w:fldCharType="begin"/>
            </w:r>
            <w:r w:rsidR="00F42B17">
              <w:instrText xml:space="preserve"> PAGEREF _Toc231650797 \h </w:instrText>
            </w:r>
            <w:r w:rsidR="00F42B17">
              <w:fldChar w:fldCharType="separate"/>
            </w:r>
            <w:r w:rsidR="00F42B17">
              <w:t>7</w:t>
            </w:r>
            <w:r w:rsidR="00F42B17">
              <w:fldChar w:fldCharType="end"/>
            </w:r>
          </w:hyperlink>
        </w:p>
        <w:p w14:paraId="2B807713" w14:textId="77777777" w:rsidR="00CA0DC2" w:rsidRDefault="00EE585D">
          <w:pPr>
            <w:pStyle w:val="TOC2"/>
            <w:tabs>
              <w:tab w:val="right" w:leader="dot" w:pos="9350"/>
            </w:tabs>
            <w:rPr>
              <w:rFonts w:asciiTheme="minorHAnsi" w:eastAsiaTheme="minorEastAsia" w:hAnsiTheme="minorHAnsi" w:hint="eastAsia"/>
              <w:color w:val="auto"/>
              <w:szCs w:val="24"/>
            </w:rPr>
          </w:pPr>
          <w:hyperlink w:anchor="_Toc231650798" w:history="1">
            <w:r w:rsidR="00F42B17">
              <w:rPr>
                <w:rStyle w:val="Hyperlink"/>
                <w:rFonts w:ascii="Arial" w:hAnsi="Arial" w:cs="Arial"/>
              </w:rPr>
              <w:t>Strategic Growth through the Ansoff Matrix</w:t>
            </w:r>
            <w:r w:rsidR="00F42B17">
              <w:tab/>
            </w:r>
            <w:r w:rsidR="00F42B17">
              <w:fldChar w:fldCharType="begin"/>
            </w:r>
            <w:r w:rsidR="00F42B17">
              <w:instrText xml:space="preserve"> PAGEREF _Toc231650798 \h </w:instrText>
            </w:r>
            <w:r w:rsidR="00F42B17">
              <w:fldChar w:fldCharType="separate"/>
            </w:r>
            <w:r w:rsidR="00F42B17">
              <w:t>7</w:t>
            </w:r>
            <w:r w:rsidR="00F42B17">
              <w:fldChar w:fldCharType="end"/>
            </w:r>
          </w:hyperlink>
        </w:p>
        <w:p w14:paraId="7A64D6CF" w14:textId="77777777" w:rsidR="00CA0DC2" w:rsidRDefault="00EE585D">
          <w:pPr>
            <w:pStyle w:val="TOC2"/>
            <w:tabs>
              <w:tab w:val="right" w:leader="dot" w:pos="9350"/>
            </w:tabs>
            <w:rPr>
              <w:rFonts w:asciiTheme="minorHAnsi" w:eastAsiaTheme="minorEastAsia" w:hAnsiTheme="minorHAnsi" w:hint="eastAsia"/>
              <w:color w:val="auto"/>
              <w:szCs w:val="24"/>
            </w:rPr>
          </w:pPr>
          <w:hyperlink w:anchor="_Toc231650799" w:history="1">
            <w:r w:rsidR="00F42B17">
              <w:rPr>
                <w:rStyle w:val="Hyperlink"/>
                <w:rFonts w:ascii="Arial" w:hAnsi="Arial" w:cs="Arial"/>
              </w:rPr>
              <w:t>Achieving Competitive Advantage through Porter’s Generic Strategies</w:t>
            </w:r>
            <w:r w:rsidR="00F42B17">
              <w:tab/>
            </w:r>
            <w:r w:rsidR="00F42B17">
              <w:fldChar w:fldCharType="begin"/>
            </w:r>
            <w:r w:rsidR="00F42B17">
              <w:instrText xml:space="preserve"> PAGEREF _Toc231650799 \h </w:instrText>
            </w:r>
            <w:r w:rsidR="00F42B17">
              <w:fldChar w:fldCharType="separate"/>
            </w:r>
            <w:r w:rsidR="00F42B17">
              <w:t>9</w:t>
            </w:r>
            <w:r w:rsidR="00F42B17">
              <w:fldChar w:fldCharType="end"/>
            </w:r>
          </w:hyperlink>
        </w:p>
        <w:p w14:paraId="0991CB46" w14:textId="77777777" w:rsidR="00CA0DC2" w:rsidRDefault="00EE585D">
          <w:pPr>
            <w:pStyle w:val="TOC1"/>
            <w:tabs>
              <w:tab w:val="right" w:leader="dot" w:pos="9350"/>
            </w:tabs>
            <w:rPr>
              <w:rFonts w:asciiTheme="minorHAnsi" w:eastAsiaTheme="minorEastAsia" w:hAnsiTheme="minorHAnsi" w:hint="eastAsia"/>
              <w:color w:val="auto"/>
              <w:szCs w:val="24"/>
            </w:rPr>
          </w:pPr>
          <w:hyperlink w:anchor="_Toc231650800" w:history="1">
            <w:r w:rsidR="00F42B17">
              <w:rPr>
                <w:rStyle w:val="Hyperlink"/>
                <w:rFonts w:ascii="Arial" w:hAnsi="Arial" w:cs="Arial"/>
              </w:rPr>
              <w:t>Task 3: Critical Reflection on AI Usage</w:t>
            </w:r>
            <w:r w:rsidR="00F42B17">
              <w:tab/>
            </w:r>
            <w:r w:rsidR="00F42B17">
              <w:fldChar w:fldCharType="begin"/>
            </w:r>
            <w:r w:rsidR="00F42B17">
              <w:instrText xml:space="preserve"> PAGEREF _Toc231650800 \h </w:instrText>
            </w:r>
            <w:r w:rsidR="00F42B17">
              <w:fldChar w:fldCharType="separate"/>
            </w:r>
            <w:r w:rsidR="00F42B17">
              <w:t>11</w:t>
            </w:r>
            <w:r w:rsidR="00F42B17">
              <w:fldChar w:fldCharType="end"/>
            </w:r>
          </w:hyperlink>
        </w:p>
        <w:p w14:paraId="392FEA83" w14:textId="77777777" w:rsidR="00CA0DC2" w:rsidRDefault="00EE585D">
          <w:pPr>
            <w:pStyle w:val="TOC1"/>
            <w:tabs>
              <w:tab w:val="right" w:leader="dot" w:pos="9350"/>
            </w:tabs>
            <w:rPr>
              <w:rFonts w:asciiTheme="minorHAnsi" w:eastAsiaTheme="minorEastAsia" w:hAnsiTheme="minorHAnsi" w:hint="eastAsia"/>
              <w:color w:val="auto"/>
              <w:szCs w:val="24"/>
            </w:rPr>
          </w:pPr>
          <w:hyperlink w:anchor="_Toc231650801" w:history="1">
            <w:r w:rsidR="00F42B17">
              <w:rPr>
                <w:rStyle w:val="Hyperlink"/>
                <w:rFonts w:ascii="Arial" w:hAnsi="Arial" w:cs="Arial"/>
              </w:rPr>
              <w:t>References</w:t>
            </w:r>
            <w:r w:rsidR="00F42B17">
              <w:tab/>
            </w:r>
            <w:r w:rsidR="00F42B17">
              <w:fldChar w:fldCharType="begin"/>
            </w:r>
            <w:r w:rsidR="00F42B17">
              <w:instrText xml:space="preserve"> PAGEREF _Toc231650801 \h </w:instrText>
            </w:r>
            <w:r w:rsidR="00F42B17">
              <w:fldChar w:fldCharType="separate"/>
            </w:r>
            <w:r w:rsidR="00F42B17">
              <w:t>13</w:t>
            </w:r>
            <w:r w:rsidR="00F42B17">
              <w:fldChar w:fldCharType="end"/>
            </w:r>
          </w:hyperlink>
        </w:p>
        <w:p w14:paraId="7E447243" w14:textId="77777777" w:rsidR="00CA0DC2" w:rsidRDefault="00F42B17">
          <w:r>
            <w:rPr>
              <w:b/>
              <w:bCs/>
            </w:rPr>
            <w:fldChar w:fldCharType="end"/>
          </w:r>
        </w:p>
      </w:sdtContent>
    </w:sdt>
    <w:p w14:paraId="22E069E8" w14:textId="77777777" w:rsidR="00CA0DC2" w:rsidRDefault="00CA0DC2">
      <w:pPr>
        <w:rPr>
          <w:rFonts w:ascii="Arial" w:hAnsi="Arial" w:cs="Arial"/>
        </w:rPr>
      </w:pPr>
    </w:p>
    <w:p w14:paraId="164B9C9C" w14:textId="77777777" w:rsidR="00CA0DC2" w:rsidRDefault="00F42B17">
      <w:pPr>
        <w:spacing w:line="259" w:lineRule="auto"/>
        <w:jc w:val="left"/>
        <w:rPr>
          <w:rFonts w:ascii="Arial" w:hAnsi="Arial" w:cs="Arial"/>
        </w:rPr>
      </w:pPr>
      <w:r>
        <w:rPr>
          <w:rFonts w:ascii="Arial" w:hAnsi="Arial" w:cs="Arial"/>
        </w:rPr>
        <w:br w:type="page"/>
      </w:r>
    </w:p>
    <w:p w14:paraId="6DC3D068" w14:textId="77777777" w:rsidR="00CA0DC2" w:rsidRDefault="00F42B17">
      <w:pPr>
        <w:pStyle w:val="Heading1"/>
        <w:rPr>
          <w:rFonts w:ascii="Arial" w:hAnsi="Arial" w:cs="Arial"/>
        </w:rPr>
      </w:pPr>
      <w:bookmarkStart w:id="0" w:name="_Toc231650793"/>
      <w:r>
        <w:rPr>
          <w:rFonts w:ascii="Arial" w:hAnsi="Arial" w:cs="Arial"/>
        </w:rPr>
        <w:lastRenderedPageBreak/>
        <w:t>Introduction</w:t>
      </w:r>
      <w:bookmarkEnd w:id="0"/>
    </w:p>
    <w:p w14:paraId="0C1F076B" w14:textId="77777777" w:rsidR="00CA0DC2" w:rsidRDefault="00F42B17">
      <w:pPr>
        <w:rPr>
          <w:rFonts w:ascii="Arial" w:hAnsi="Arial" w:cs="Arial"/>
        </w:rPr>
      </w:pPr>
      <w:r>
        <w:rPr>
          <w:rFonts w:ascii="Arial" w:hAnsi="Arial" w:cs="Arial"/>
        </w:rPr>
        <w:t xml:space="preserve">The metals and mining industry is experiencing a major transformation due to the unprecedented pressure placed on </w:t>
      </w:r>
      <w:proofErr w:type="spellStart"/>
      <w:r>
        <w:rPr>
          <w:rFonts w:ascii="Arial" w:hAnsi="Arial" w:cs="Arial"/>
        </w:rPr>
        <w:t>organisations</w:t>
      </w:r>
      <w:proofErr w:type="spellEnd"/>
      <w:r>
        <w:rPr>
          <w:rFonts w:ascii="Arial" w:hAnsi="Arial" w:cs="Arial"/>
        </w:rPr>
        <w:t xml:space="preserve"> to cut GHG emissions and meet sustainability targets. The marketing environment analysis is one of the necessary steps that help the firms </w:t>
      </w:r>
      <w:proofErr w:type="spellStart"/>
      <w:r>
        <w:rPr>
          <w:rFonts w:ascii="Arial" w:hAnsi="Arial" w:cs="Arial"/>
        </w:rPr>
        <w:t>recognise</w:t>
      </w:r>
      <w:proofErr w:type="spellEnd"/>
      <w:r>
        <w:rPr>
          <w:rFonts w:ascii="Arial" w:hAnsi="Arial" w:cs="Arial"/>
        </w:rPr>
        <w:t xml:space="preserve"> the opportunities and threats present in the external factors that affect strategic affairs and competitive position in the eyes of the firm. This report is mainly concerned with the state-owned copper-mining company, </w:t>
      </w:r>
      <w:proofErr w:type="spellStart"/>
      <w:r>
        <w:rPr>
          <w:rFonts w:ascii="Arial" w:hAnsi="Arial" w:cs="Arial"/>
        </w:rPr>
        <w:t>Codelco</w:t>
      </w:r>
      <w:proofErr w:type="spellEnd"/>
      <w:r>
        <w:rPr>
          <w:rFonts w:ascii="Arial" w:hAnsi="Arial" w:cs="Arial"/>
        </w:rPr>
        <w:t xml:space="preserve">, Chile, which is one of the world's largest copper producers. It examines in critical analysis the main actors from the external marketing environment that will impact </w:t>
      </w:r>
      <w:proofErr w:type="spellStart"/>
      <w:r>
        <w:rPr>
          <w:rFonts w:ascii="Arial" w:hAnsi="Arial" w:cs="Arial"/>
        </w:rPr>
        <w:t>Codelco's</w:t>
      </w:r>
      <w:proofErr w:type="spellEnd"/>
      <w:r>
        <w:rPr>
          <w:rFonts w:ascii="Arial" w:hAnsi="Arial" w:cs="Arial"/>
        </w:rPr>
        <w:t xml:space="preserve"> change to operate in a less-carbon footprint manner, focusing on the natural environment. Besides, strategic growth opportunities are assessed by Ansoff growth matrix, and the role played by Artificial Intelligence in the developing analysis is considered.</w:t>
      </w:r>
    </w:p>
    <w:p w14:paraId="1D6C3B10" w14:textId="77777777" w:rsidR="00CA0DC2" w:rsidRDefault="00F42B17">
      <w:pPr>
        <w:jc w:val="center"/>
        <w:rPr>
          <w:rFonts w:ascii="Arial" w:hAnsi="Arial" w:cs="Arial"/>
        </w:rPr>
      </w:pPr>
      <w:r>
        <w:rPr>
          <w:noProof/>
        </w:rPr>
        <w:drawing>
          <wp:inline distT="0" distB="0" distL="0" distR="0" wp14:anchorId="66C44638" wp14:editId="12C6B806">
            <wp:extent cx="3657600" cy="2194560"/>
            <wp:effectExtent l="0" t="0" r="0" b="0"/>
            <wp:docPr id="862509587" name="Picture 2" descr="Codelco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09587" name="Picture 2" descr="Codelco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657600" cy="2194560"/>
                    </a:xfrm>
                    <a:prstGeom prst="rect">
                      <a:avLst/>
                    </a:prstGeom>
                    <a:noFill/>
                    <a:ln>
                      <a:noFill/>
                    </a:ln>
                  </pic:spPr>
                </pic:pic>
              </a:graphicData>
            </a:graphic>
          </wp:inline>
        </w:drawing>
      </w:r>
      <w:r>
        <w:rPr>
          <w:rFonts w:ascii="Arial" w:hAnsi="Arial" w:cs="Arial"/>
        </w:rPr>
        <w:br/>
      </w:r>
      <w:r>
        <w:rPr>
          <w:rFonts w:ascii="Arial" w:hAnsi="Arial" w:cs="Arial"/>
          <w:b/>
          <w:bCs/>
        </w:rPr>
        <w:t xml:space="preserve">Figure 1: </w:t>
      </w:r>
      <w:proofErr w:type="spellStart"/>
      <w:r>
        <w:rPr>
          <w:rFonts w:ascii="Arial" w:hAnsi="Arial" w:cs="Arial"/>
          <w:b/>
          <w:bCs/>
        </w:rPr>
        <w:t>Codelco</w:t>
      </w:r>
      <w:proofErr w:type="spellEnd"/>
      <w:r>
        <w:rPr>
          <w:rFonts w:ascii="Arial" w:hAnsi="Arial" w:cs="Arial"/>
          <w:b/>
          <w:bCs/>
        </w:rPr>
        <w:t xml:space="preserve"> Logo</w:t>
      </w:r>
      <w:r>
        <w:rPr>
          <w:rFonts w:ascii="Arial" w:hAnsi="Arial" w:cs="Arial"/>
        </w:rPr>
        <w:br/>
        <w:t xml:space="preserve">(Source: </w:t>
      </w:r>
      <w:proofErr w:type="spellStart"/>
      <w:r>
        <w:rPr>
          <w:rFonts w:ascii="Arial" w:hAnsi="Arial" w:cs="Arial"/>
        </w:rPr>
        <w:t>Codelco</w:t>
      </w:r>
      <w:proofErr w:type="spellEnd"/>
      <w:r>
        <w:rPr>
          <w:rFonts w:ascii="Arial" w:hAnsi="Arial" w:cs="Arial"/>
        </w:rPr>
        <w:t>, 2022)</w:t>
      </w:r>
    </w:p>
    <w:p w14:paraId="5C228836" w14:textId="77777777" w:rsidR="00CA0DC2" w:rsidRDefault="00F42B17">
      <w:pPr>
        <w:pStyle w:val="Heading1"/>
        <w:rPr>
          <w:rFonts w:ascii="Arial" w:hAnsi="Arial" w:cs="Arial"/>
        </w:rPr>
      </w:pPr>
      <w:bookmarkStart w:id="1" w:name="_Toc231650794"/>
      <w:r>
        <w:rPr>
          <w:rFonts w:ascii="Arial" w:hAnsi="Arial" w:cs="Arial"/>
        </w:rPr>
        <w:t>Task 1: Analysis of Marketing Environment</w:t>
      </w:r>
      <w:bookmarkEnd w:id="1"/>
    </w:p>
    <w:p w14:paraId="33D070AF" w14:textId="77777777" w:rsidR="00CA0DC2" w:rsidRDefault="00F42B17">
      <w:pPr>
        <w:pStyle w:val="Heading2"/>
        <w:rPr>
          <w:rFonts w:ascii="Arial" w:hAnsi="Arial" w:cs="Arial"/>
        </w:rPr>
      </w:pPr>
      <w:bookmarkStart w:id="2" w:name="_Toc231650795"/>
      <w:r>
        <w:rPr>
          <w:rFonts w:ascii="Arial" w:hAnsi="Arial" w:cs="Arial"/>
        </w:rPr>
        <w:t>Natural Environment</w:t>
      </w:r>
      <w:bookmarkEnd w:id="2"/>
    </w:p>
    <w:p w14:paraId="5E7FC715" w14:textId="77777777" w:rsidR="00CA0DC2" w:rsidRDefault="00F42B17">
      <w:pPr>
        <w:rPr>
          <w:rFonts w:ascii="Arial" w:hAnsi="Arial" w:cs="Arial"/>
        </w:rPr>
      </w:pPr>
      <w:r>
        <w:rPr>
          <w:rFonts w:ascii="Arial" w:hAnsi="Arial" w:cs="Arial"/>
        </w:rPr>
        <w:t xml:space="preserve">Nature is the largest external influence on </w:t>
      </w:r>
      <w:proofErr w:type="spellStart"/>
      <w:r>
        <w:rPr>
          <w:rFonts w:ascii="Arial" w:hAnsi="Arial" w:cs="Arial"/>
        </w:rPr>
        <w:t>Codelco's</w:t>
      </w:r>
      <w:proofErr w:type="spellEnd"/>
      <w:r>
        <w:rPr>
          <w:rFonts w:ascii="Arial" w:hAnsi="Arial" w:cs="Arial"/>
        </w:rPr>
        <w:t xml:space="preserve"> strategy to go towards lower carbon operations. According to </w:t>
      </w:r>
      <w:proofErr w:type="spellStart"/>
      <w:r>
        <w:rPr>
          <w:rFonts w:ascii="Arial" w:hAnsi="Arial" w:cs="Arial"/>
        </w:rPr>
        <w:t>Adewole</w:t>
      </w:r>
      <w:proofErr w:type="spellEnd"/>
      <w:r>
        <w:rPr>
          <w:rFonts w:ascii="Arial" w:hAnsi="Arial" w:cs="Arial"/>
        </w:rPr>
        <w:t xml:space="preserve"> (2022), environmental sustainability has become a topic for a CSR problem to become a central business and marketing problem. Mining operations rely on a significant amount of resource and produce heavy amounts of </w:t>
      </w:r>
      <w:r>
        <w:rPr>
          <w:rFonts w:ascii="Arial" w:hAnsi="Arial" w:cs="Arial"/>
        </w:rPr>
        <w:lastRenderedPageBreak/>
        <w:t>greenhouse gas emissions during resource extraction, transporting the resource, processing, and refinement. As a result, mining firms are under greater pressure to minimize the environmental impact of their operations whilst maximizing productivity and profitability.</w:t>
      </w:r>
    </w:p>
    <w:p w14:paraId="670564D7" w14:textId="77777777" w:rsidR="00CA0DC2" w:rsidRDefault="00F42B17">
      <w:pPr>
        <w:rPr>
          <w:rFonts w:ascii="Arial" w:hAnsi="Arial" w:cs="Arial"/>
        </w:rPr>
      </w:pPr>
      <w:r>
        <w:rPr>
          <w:rFonts w:ascii="Arial" w:hAnsi="Arial" w:cs="Arial"/>
        </w:rPr>
        <w:t xml:space="preserve">Climate change is a threat and a chance for </w:t>
      </w:r>
      <w:proofErr w:type="spellStart"/>
      <w:r>
        <w:rPr>
          <w:rFonts w:ascii="Arial" w:hAnsi="Arial" w:cs="Arial"/>
        </w:rPr>
        <w:t>Codelco</w:t>
      </w:r>
      <w:proofErr w:type="spellEnd"/>
      <w:r>
        <w:rPr>
          <w:rFonts w:ascii="Arial" w:hAnsi="Arial" w:cs="Arial"/>
        </w:rPr>
        <w:t xml:space="preserve"> (</w:t>
      </w:r>
      <w:proofErr w:type="spellStart"/>
      <w:r>
        <w:rPr>
          <w:rFonts w:ascii="Arial" w:hAnsi="Arial" w:cs="Arial"/>
        </w:rPr>
        <w:t>Codelco</w:t>
      </w:r>
      <w:proofErr w:type="spellEnd"/>
      <w:r>
        <w:rPr>
          <w:rFonts w:ascii="Arial" w:hAnsi="Arial" w:cs="Arial"/>
        </w:rPr>
        <w:t xml:space="preserve">, 2022). Chile is suffering from long periods of drought which could impact water supply, a vital resource for the nation's mining industry. Water scarcity impacts directly production efficiency, contributes to higher operating costs. In addition, climate risks hinder access to resources and operation continuity in the future. </w:t>
      </w:r>
      <w:proofErr w:type="spellStart"/>
      <w:r>
        <w:rPr>
          <w:rFonts w:ascii="Arial" w:hAnsi="Arial" w:cs="Arial"/>
        </w:rPr>
        <w:t>Codelco</w:t>
      </w:r>
      <w:proofErr w:type="spellEnd"/>
      <w:r>
        <w:rPr>
          <w:rFonts w:ascii="Arial" w:hAnsi="Arial" w:cs="Arial"/>
        </w:rPr>
        <w:t xml:space="preserve"> must invest in cutting-edge technology to address these environmental challenges and implement sustainable practices such as seawater desalination facilities, renewable energy solutions, and energy-efficient extraction methods.</w:t>
      </w:r>
    </w:p>
    <w:p w14:paraId="54FA81BE" w14:textId="77777777" w:rsidR="00CA0DC2" w:rsidRDefault="00F42B17">
      <w:pPr>
        <w:jc w:val="center"/>
        <w:rPr>
          <w:rFonts w:ascii="Arial" w:hAnsi="Arial" w:cs="Arial"/>
        </w:rPr>
      </w:pPr>
      <w:r>
        <w:rPr>
          <w:rFonts w:ascii="Arial" w:hAnsi="Arial" w:cs="Arial"/>
        </w:rPr>
        <w:br/>
      </w:r>
      <w:r>
        <w:rPr>
          <w:noProof/>
        </w:rPr>
        <w:drawing>
          <wp:inline distT="0" distB="0" distL="0" distR="0" wp14:anchorId="6C8E844F" wp14:editId="3276CB81">
            <wp:extent cx="4095750" cy="2703195"/>
            <wp:effectExtent l="0" t="0" r="0" b="1905"/>
            <wp:docPr id="1751945862" name="Picture 3" descr="This Startup Wants to Stop Chile's Reservoirs Evapor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945862" name="Picture 3" descr="This Startup Wants to Stop Chile's Reservoirs Evaporat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4100555" cy="2706980"/>
                    </a:xfrm>
                    <a:prstGeom prst="rect">
                      <a:avLst/>
                    </a:prstGeom>
                    <a:noFill/>
                    <a:ln>
                      <a:noFill/>
                    </a:ln>
                  </pic:spPr>
                </pic:pic>
              </a:graphicData>
            </a:graphic>
          </wp:inline>
        </w:drawing>
      </w:r>
      <w:r>
        <w:rPr>
          <w:rFonts w:ascii="Arial" w:hAnsi="Arial" w:cs="Arial"/>
        </w:rPr>
        <w:br/>
      </w:r>
      <w:r>
        <w:rPr>
          <w:rFonts w:ascii="Arial" w:hAnsi="Arial" w:cs="Arial"/>
          <w:b/>
          <w:bCs/>
        </w:rPr>
        <w:t>Figure 2: Drought Issues in Chile</w:t>
      </w:r>
    </w:p>
    <w:p w14:paraId="2950369C" w14:textId="77777777" w:rsidR="00CA0DC2" w:rsidRDefault="00F42B17">
      <w:pPr>
        <w:jc w:val="center"/>
        <w:rPr>
          <w:rFonts w:ascii="Arial" w:hAnsi="Arial" w:cs="Arial"/>
        </w:rPr>
      </w:pPr>
      <w:r>
        <w:rPr>
          <w:rFonts w:ascii="Arial" w:hAnsi="Arial" w:cs="Arial"/>
        </w:rPr>
        <w:t xml:space="preserve">(Source: </w:t>
      </w:r>
      <w:proofErr w:type="spellStart"/>
      <w:r>
        <w:rPr>
          <w:rFonts w:ascii="Arial" w:hAnsi="Arial" w:cs="Arial"/>
        </w:rPr>
        <w:t>Codelco</w:t>
      </w:r>
      <w:proofErr w:type="spellEnd"/>
      <w:r>
        <w:rPr>
          <w:rFonts w:ascii="Arial" w:hAnsi="Arial" w:cs="Arial"/>
        </w:rPr>
        <w:t>, 2022)</w:t>
      </w:r>
    </w:p>
    <w:p w14:paraId="054BB752" w14:textId="77777777" w:rsidR="00CA0DC2" w:rsidRDefault="00F42B17">
      <w:pPr>
        <w:rPr>
          <w:rFonts w:ascii="Arial" w:hAnsi="Arial" w:cs="Arial"/>
        </w:rPr>
      </w:pPr>
      <w:r>
        <w:rPr>
          <w:rFonts w:ascii="Arial" w:hAnsi="Arial" w:cs="Arial"/>
        </w:rPr>
        <w:t xml:space="preserve">Environmental sustainability has become a more important driver of consumers' buying decisions in industrial markets from a marketing standpoint (Lopes </w:t>
      </w:r>
      <w:r>
        <w:rPr>
          <w:rFonts w:ascii="Arial" w:hAnsi="Arial" w:cs="Arial"/>
          <w:i/>
          <w:iCs/>
        </w:rPr>
        <w:t xml:space="preserve">et al., </w:t>
      </w:r>
      <w:r>
        <w:rPr>
          <w:rFonts w:ascii="Arial" w:hAnsi="Arial" w:cs="Arial"/>
        </w:rPr>
        <w:t xml:space="preserve">2024). Some international manufacturers, notably within the EV, renewable power, and electronics industries, are looking for suppliers who can certify their production to be lower carbon. </w:t>
      </w:r>
      <w:proofErr w:type="spellStart"/>
      <w:r>
        <w:rPr>
          <w:rFonts w:ascii="Arial" w:hAnsi="Arial" w:cs="Arial"/>
        </w:rPr>
        <w:lastRenderedPageBreak/>
        <w:t>Codelco</w:t>
      </w:r>
      <w:proofErr w:type="spellEnd"/>
      <w:r>
        <w:rPr>
          <w:rFonts w:ascii="Arial" w:hAnsi="Arial" w:cs="Arial"/>
        </w:rPr>
        <w:t xml:space="preserve"> has an opportunity in copper, which is fundamental in technologies for clean energy. The company can build a brand image by producing “green copper”, which has lower emission so as to be more competitive in the market.</w:t>
      </w:r>
    </w:p>
    <w:p w14:paraId="44C4848E" w14:textId="77777777" w:rsidR="00CA0DC2" w:rsidRDefault="00F42B17">
      <w:pPr>
        <w:rPr>
          <w:rFonts w:ascii="Arial" w:hAnsi="Arial" w:cs="Arial"/>
        </w:rPr>
      </w:pPr>
      <w:r>
        <w:rPr>
          <w:rFonts w:ascii="Arial" w:hAnsi="Arial" w:cs="Arial"/>
        </w:rPr>
        <w:t xml:space="preserve">The shift towards a lower carbon business is, however, fraught with some significant challenges. There's a significant amount of investment that needs to be made in renewables infrastructure, electrification technologies and sustainable mining processes. These investments can create a positive future but can also diminish the profitability in the near term, and introduce challenges to operation. Moreover, there is still uncertainty related to </w:t>
      </w:r>
      <w:proofErr w:type="spellStart"/>
      <w:r>
        <w:rPr>
          <w:rFonts w:ascii="Arial" w:hAnsi="Arial" w:cs="Arial"/>
        </w:rPr>
        <w:t>decarbonisation</w:t>
      </w:r>
      <w:proofErr w:type="spellEnd"/>
      <w:r>
        <w:rPr>
          <w:rFonts w:ascii="Arial" w:hAnsi="Arial" w:cs="Arial"/>
        </w:rPr>
        <w:t xml:space="preserve"> efforts' reach and effectiveness within the mining industry (Issa </w:t>
      </w:r>
      <w:r>
        <w:rPr>
          <w:rFonts w:ascii="Arial" w:hAnsi="Arial" w:cs="Arial"/>
          <w:i/>
          <w:iCs/>
        </w:rPr>
        <w:t xml:space="preserve">et al., </w:t>
      </w:r>
      <w:r>
        <w:rPr>
          <w:rFonts w:ascii="Arial" w:hAnsi="Arial" w:cs="Arial"/>
        </w:rPr>
        <w:t>2023).</w:t>
      </w:r>
    </w:p>
    <w:p w14:paraId="421E052A" w14:textId="77777777" w:rsidR="00CA0DC2" w:rsidRDefault="00F42B17">
      <w:pPr>
        <w:rPr>
          <w:rFonts w:ascii="Arial" w:hAnsi="Arial" w:cs="Arial"/>
        </w:rPr>
      </w:pPr>
      <w:r>
        <w:rPr>
          <w:rFonts w:ascii="Arial" w:hAnsi="Arial" w:cs="Arial"/>
        </w:rPr>
        <w:t xml:space="preserve">Isolating effects of the natural environment, the natural environment doesn't simply limit </w:t>
      </w:r>
      <w:proofErr w:type="spellStart"/>
      <w:r>
        <w:rPr>
          <w:rFonts w:ascii="Arial" w:hAnsi="Arial" w:cs="Arial"/>
        </w:rPr>
        <w:t>Codelco's</w:t>
      </w:r>
      <w:proofErr w:type="spellEnd"/>
      <w:r>
        <w:rPr>
          <w:rFonts w:ascii="Arial" w:hAnsi="Arial" w:cs="Arial"/>
        </w:rPr>
        <w:t xml:space="preserve"> operations. Rather it's a catalyst for strategy and innovation. Responses to environmental challenges that are successful can gain the trust of stakeholders and bring in more environmentally-conscious investors and new markets for sustainable materials (Bhattacharjee </w:t>
      </w:r>
      <w:r>
        <w:rPr>
          <w:rFonts w:ascii="Arial" w:hAnsi="Arial" w:cs="Arial"/>
          <w:i/>
          <w:iCs/>
        </w:rPr>
        <w:t xml:space="preserve">et al., </w:t>
      </w:r>
      <w:r>
        <w:rPr>
          <w:rFonts w:ascii="Arial" w:hAnsi="Arial" w:cs="Arial"/>
        </w:rPr>
        <w:t xml:space="preserve">2025). Hence, the natural environment is the one that will pose a serious challenge for </w:t>
      </w:r>
      <w:proofErr w:type="spellStart"/>
      <w:r>
        <w:rPr>
          <w:rFonts w:ascii="Arial" w:hAnsi="Arial" w:cs="Arial"/>
        </w:rPr>
        <w:t>Codelco's</w:t>
      </w:r>
      <w:proofErr w:type="spellEnd"/>
      <w:r>
        <w:rPr>
          <w:rFonts w:ascii="Arial" w:hAnsi="Arial" w:cs="Arial"/>
        </w:rPr>
        <w:t xml:space="preserve"> growth prospects, yet also poses an opportunity for the company's development.</w:t>
      </w:r>
    </w:p>
    <w:p w14:paraId="14B90456" w14:textId="77777777" w:rsidR="00CA0DC2" w:rsidRDefault="00F42B17">
      <w:pPr>
        <w:pStyle w:val="Heading2"/>
        <w:rPr>
          <w:rFonts w:ascii="Arial" w:hAnsi="Arial" w:cs="Arial"/>
        </w:rPr>
      </w:pPr>
      <w:bookmarkStart w:id="3" w:name="_Toc231650796"/>
      <w:r>
        <w:rPr>
          <w:rFonts w:ascii="Arial" w:hAnsi="Arial" w:cs="Arial"/>
        </w:rPr>
        <w:t>Political and regulatory environment</w:t>
      </w:r>
      <w:bookmarkEnd w:id="3"/>
    </w:p>
    <w:p w14:paraId="18E8162F" w14:textId="77777777" w:rsidR="00CA0DC2" w:rsidRDefault="00F42B17">
      <w:pPr>
        <w:rPr>
          <w:rFonts w:ascii="Arial" w:hAnsi="Arial" w:cs="Arial"/>
        </w:rPr>
      </w:pPr>
      <w:r>
        <w:rPr>
          <w:rFonts w:ascii="Arial" w:hAnsi="Arial" w:cs="Arial"/>
        </w:rPr>
        <w:t xml:space="preserve">Political and regulatory pressures also impact </w:t>
      </w:r>
      <w:proofErr w:type="spellStart"/>
      <w:r>
        <w:rPr>
          <w:rFonts w:ascii="Arial" w:hAnsi="Arial" w:cs="Arial"/>
        </w:rPr>
        <w:t>Codelco's</w:t>
      </w:r>
      <w:proofErr w:type="spellEnd"/>
      <w:r>
        <w:rPr>
          <w:rFonts w:ascii="Arial" w:hAnsi="Arial" w:cs="Arial"/>
        </w:rPr>
        <w:t xml:space="preserve"> efforts to transition towards a lower carbon product and operations. Countries all over the world are enacting more stringent environmental laws, carbon reduction goals and sustainability reporting standards (Luo and Tang, 2023). These regulatory moves impact on the working environment and strategic targets for the mining sector.</w:t>
      </w:r>
    </w:p>
    <w:p w14:paraId="1AA7D2BB" w14:textId="77777777" w:rsidR="00CA0DC2" w:rsidRDefault="00F42B17">
      <w:pPr>
        <w:rPr>
          <w:rFonts w:ascii="Arial" w:hAnsi="Arial" w:cs="Arial"/>
        </w:rPr>
      </w:pPr>
      <w:proofErr w:type="spellStart"/>
      <w:r>
        <w:rPr>
          <w:rFonts w:ascii="Arial" w:hAnsi="Arial" w:cs="Arial"/>
        </w:rPr>
        <w:t>Codelco</w:t>
      </w:r>
      <w:proofErr w:type="spellEnd"/>
      <w:r>
        <w:rPr>
          <w:rFonts w:ascii="Arial" w:hAnsi="Arial" w:cs="Arial"/>
        </w:rPr>
        <w:t xml:space="preserve"> is a state-owned company operating in a changing policy context in Chile which is strongly focused on the environment and mining areas (Reuters Staff, 2026). The Chilean government has set ambitious climate targets, such as the goal of becoming carbon neutral, and is implementing initiatives to boost renewable energy use. This lends encouragement to the mining companies for the adoption of cleaner technologies for </w:t>
      </w:r>
      <w:r>
        <w:rPr>
          <w:rFonts w:ascii="Arial" w:hAnsi="Arial" w:cs="Arial"/>
        </w:rPr>
        <w:lastRenderedPageBreak/>
        <w:t>production as well as for reducing emissions. These are no longer optional with a degree of compliance but are now a necessary condition of legitimacy for operations.</w:t>
      </w:r>
    </w:p>
    <w:p w14:paraId="334C189D" w14:textId="77777777" w:rsidR="00CA0DC2" w:rsidRDefault="00F42B17">
      <w:pPr>
        <w:rPr>
          <w:rFonts w:ascii="Arial" w:hAnsi="Arial" w:cs="Arial"/>
        </w:rPr>
      </w:pPr>
      <w:r>
        <w:rPr>
          <w:rFonts w:ascii="Arial" w:hAnsi="Arial" w:cs="Arial"/>
        </w:rPr>
        <w:t xml:space="preserve">Regulatory pressure presents opportunities and risks to </w:t>
      </w:r>
      <w:proofErr w:type="spellStart"/>
      <w:r>
        <w:rPr>
          <w:rFonts w:ascii="Arial" w:hAnsi="Arial" w:cs="Arial"/>
        </w:rPr>
        <w:t>Codelco</w:t>
      </w:r>
      <w:proofErr w:type="spellEnd"/>
      <w:r>
        <w:rPr>
          <w:rFonts w:ascii="Arial" w:hAnsi="Arial" w:cs="Arial"/>
        </w:rPr>
        <w:t>. Yet on the other hand, the stricter environmental requirements they impose lead to higher compliance costs and they will necessitate constant investments in sustainable technologies. If they are not meeting the regulators' expectations, there can be financial penalties, damage to their reputation and limitation of future projects that could be mined. Moreover, international environmental standards are increasingly affecting access to the international markets, including in areas where sustainability is a driving determinant in sustainability procurement decisions (</w:t>
      </w:r>
      <w:proofErr w:type="spellStart"/>
      <w:r>
        <w:rPr>
          <w:rFonts w:ascii="Arial" w:hAnsi="Arial" w:cs="Arial"/>
        </w:rPr>
        <w:t>Letunovska</w:t>
      </w:r>
      <w:proofErr w:type="spellEnd"/>
      <w:r>
        <w:rPr>
          <w:rFonts w:ascii="Arial" w:hAnsi="Arial" w:cs="Arial"/>
        </w:rPr>
        <w:t xml:space="preserve"> </w:t>
      </w:r>
      <w:r>
        <w:rPr>
          <w:rFonts w:ascii="Arial" w:hAnsi="Arial" w:cs="Arial"/>
          <w:i/>
          <w:iCs/>
        </w:rPr>
        <w:t xml:space="preserve">et al., </w:t>
      </w:r>
      <w:r>
        <w:rPr>
          <w:rFonts w:ascii="Arial" w:hAnsi="Arial" w:cs="Arial"/>
        </w:rPr>
        <w:t>2023).</w:t>
      </w:r>
    </w:p>
    <w:p w14:paraId="09592039" w14:textId="77777777" w:rsidR="00CA0DC2" w:rsidRDefault="00F42B17">
      <w:pPr>
        <w:rPr>
          <w:rFonts w:ascii="Arial" w:hAnsi="Arial" w:cs="Arial"/>
        </w:rPr>
      </w:pPr>
      <w:r>
        <w:rPr>
          <w:rFonts w:ascii="Arial" w:hAnsi="Arial" w:cs="Arial"/>
        </w:rPr>
        <w:t xml:space="preserve">On the other hand, there are good government policies in place that can support the sustainability transition of </w:t>
      </w:r>
      <w:proofErr w:type="spellStart"/>
      <w:r>
        <w:rPr>
          <w:rFonts w:ascii="Arial" w:hAnsi="Arial" w:cs="Arial"/>
        </w:rPr>
        <w:t>Codelco</w:t>
      </w:r>
      <w:proofErr w:type="spellEnd"/>
      <w:r>
        <w:rPr>
          <w:rFonts w:ascii="Arial" w:hAnsi="Arial" w:cs="Arial"/>
        </w:rPr>
        <w:t xml:space="preserve"> (McDonald, 2023). Low barriers can be caused by enabling public investment in renewable energy assets, subsidies and/or tax policy, positive regulation on sustainable technology. </w:t>
      </w:r>
      <w:proofErr w:type="spellStart"/>
      <w:r>
        <w:rPr>
          <w:rFonts w:ascii="Arial" w:hAnsi="Arial" w:cs="Arial"/>
        </w:rPr>
        <w:t>Codelco's</w:t>
      </w:r>
      <w:proofErr w:type="spellEnd"/>
      <w:r>
        <w:rPr>
          <w:rFonts w:ascii="Arial" w:hAnsi="Arial" w:cs="Arial"/>
        </w:rPr>
        <w:t xml:space="preserve"> continued role as a state-owned firm, in addition, might also benefit from greater government support in its longer-term environmental efforts, consistent with the state's climate goals (</w:t>
      </w:r>
      <w:proofErr w:type="spellStart"/>
      <w:r>
        <w:rPr>
          <w:rFonts w:ascii="Arial" w:hAnsi="Arial" w:cs="Arial"/>
        </w:rPr>
        <w:t>Orihuela</w:t>
      </w:r>
      <w:proofErr w:type="spellEnd"/>
      <w:r>
        <w:rPr>
          <w:rFonts w:ascii="Arial" w:hAnsi="Arial" w:cs="Arial"/>
        </w:rPr>
        <w:t xml:space="preserve"> </w:t>
      </w:r>
      <w:r>
        <w:rPr>
          <w:rFonts w:ascii="Arial" w:hAnsi="Arial" w:cs="Arial"/>
          <w:i/>
          <w:iCs/>
        </w:rPr>
        <w:t xml:space="preserve">et al., </w:t>
      </w:r>
      <w:r>
        <w:rPr>
          <w:rFonts w:ascii="Arial" w:hAnsi="Arial" w:cs="Arial"/>
        </w:rPr>
        <w:t>2026).</w:t>
      </w:r>
    </w:p>
    <w:p w14:paraId="3B35CE60" w14:textId="77777777" w:rsidR="00CA0DC2" w:rsidRDefault="00F42B17">
      <w:pPr>
        <w:rPr>
          <w:rFonts w:ascii="Arial" w:hAnsi="Arial" w:cs="Arial"/>
        </w:rPr>
      </w:pPr>
      <w:r>
        <w:rPr>
          <w:rFonts w:ascii="Arial" w:hAnsi="Arial" w:cs="Arial"/>
        </w:rPr>
        <w:t>Stakeholder’s views are also influenced by the political context. Environmental, social and governance (ESG) aspects are now becoming important factors for investors in making investment decisions. Good regulatory compliance reflects the businesses' commitment to sustainability and responsible actions (</w:t>
      </w:r>
      <w:proofErr w:type="spellStart"/>
      <w:r>
        <w:rPr>
          <w:rFonts w:ascii="Arial" w:hAnsi="Arial" w:cs="Arial"/>
        </w:rPr>
        <w:t>Adekemi</w:t>
      </w:r>
      <w:proofErr w:type="spellEnd"/>
      <w:r>
        <w:rPr>
          <w:rFonts w:ascii="Arial" w:hAnsi="Arial" w:cs="Arial"/>
        </w:rPr>
        <w:t xml:space="preserve">, 2026). This will potentially help to increase </w:t>
      </w:r>
      <w:proofErr w:type="spellStart"/>
      <w:r>
        <w:rPr>
          <w:rFonts w:ascii="Arial" w:hAnsi="Arial" w:cs="Arial"/>
        </w:rPr>
        <w:t>Codelco's</w:t>
      </w:r>
      <w:proofErr w:type="spellEnd"/>
      <w:r>
        <w:rPr>
          <w:rFonts w:ascii="Arial" w:hAnsi="Arial" w:cs="Arial"/>
        </w:rPr>
        <w:t xml:space="preserve"> investor credibility and trust among its different clients and stakeholder groups in response to the environmental regulations.</w:t>
      </w:r>
    </w:p>
    <w:p w14:paraId="1A3AFE09" w14:textId="77777777" w:rsidR="00CA0DC2" w:rsidRDefault="00F42B17">
      <w:pPr>
        <w:rPr>
          <w:rFonts w:ascii="Arial" w:hAnsi="Arial" w:cs="Arial"/>
        </w:rPr>
      </w:pPr>
      <w:r>
        <w:rPr>
          <w:rFonts w:ascii="Arial" w:hAnsi="Arial" w:cs="Arial"/>
        </w:rPr>
        <w:t>The risk assessment indicates that regulation is not to be viewed solely as a compliance issue. Rather, they can be used to be strategic instruments to stimulate innovation, efficiency and market differentiation. Proactive companies that go above and beyond the regulations have a better chance of taking advantage of the opportunities the next low carbon economy represents (Stern, 2022).</w:t>
      </w:r>
    </w:p>
    <w:p w14:paraId="64306BD8" w14:textId="77777777" w:rsidR="00CA0DC2" w:rsidRDefault="00F42B17">
      <w:pPr>
        <w:pStyle w:val="Heading1"/>
        <w:rPr>
          <w:rFonts w:ascii="Arial" w:hAnsi="Arial" w:cs="Arial"/>
        </w:rPr>
      </w:pPr>
      <w:bookmarkStart w:id="4" w:name="_Toc231650797"/>
      <w:r>
        <w:rPr>
          <w:rFonts w:ascii="Arial" w:hAnsi="Arial" w:cs="Arial"/>
        </w:rPr>
        <w:lastRenderedPageBreak/>
        <w:t>Task 2: Strategic Growth and Competitive Positioning</w:t>
      </w:r>
      <w:bookmarkEnd w:id="4"/>
    </w:p>
    <w:p w14:paraId="30A62FBC" w14:textId="77777777" w:rsidR="00CA0DC2" w:rsidRDefault="00F42B17">
      <w:pPr>
        <w:pStyle w:val="Heading2"/>
        <w:rPr>
          <w:rFonts w:ascii="Arial" w:hAnsi="Arial" w:cs="Arial"/>
        </w:rPr>
      </w:pPr>
      <w:bookmarkStart w:id="5" w:name="_Toc231650798"/>
      <w:r>
        <w:rPr>
          <w:rFonts w:ascii="Arial" w:hAnsi="Arial" w:cs="Arial"/>
        </w:rPr>
        <w:t>Strategic Growth through the Ansoff Matrix</w:t>
      </w:r>
      <w:bookmarkEnd w:id="5"/>
    </w:p>
    <w:p w14:paraId="72821935" w14:textId="77777777" w:rsidR="00CA0DC2" w:rsidRDefault="00F42B17">
      <w:pPr>
        <w:rPr>
          <w:rFonts w:ascii="Arial" w:hAnsi="Arial" w:cs="Arial"/>
        </w:rPr>
      </w:pPr>
      <w:r>
        <w:rPr>
          <w:rFonts w:ascii="Arial" w:hAnsi="Arial" w:cs="Arial"/>
        </w:rPr>
        <w:t xml:space="preserve">After </w:t>
      </w:r>
      <w:proofErr w:type="spellStart"/>
      <w:r>
        <w:rPr>
          <w:rFonts w:ascii="Arial" w:hAnsi="Arial" w:cs="Arial"/>
        </w:rPr>
        <w:t>analysing</w:t>
      </w:r>
      <w:proofErr w:type="spellEnd"/>
      <w:r>
        <w:rPr>
          <w:rFonts w:ascii="Arial" w:hAnsi="Arial" w:cs="Arial"/>
        </w:rPr>
        <w:t xml:space="preserve"> the natural and the political environment, </w:t>
      </w:r>
      <w:proofErr w:type="spellStart"/>
      <w:r>
        <w:rPr>
          <w:rFonts w:ascii="Arial" w:hAnsi="Arial" w:cs="Arial"/>
        </w:rPr>
        <w:t>Codelco</w:t>
      </w:r>
      <w:proofErr w:type="spellEnd"/>
      <w:r>
        <w:rPr>
          <w:rFonts w:ascii="Arial" w:hAnsi="Arial" w:cs="Arial"/>
        </w:rPr>
        <w:t xml:space="preserve"> needs a growth strategy that will enable it to continue with a sustainable approach, while consolidating its competitive position on the international copper market. The Ansoff Matrix outlines four growth strategies – market penetration, market development, product development and diversification. The product development area is expected to be the best positioned to grow </w:t>
      </w:r>
      <w:proofErr w:type="spellStart"/>
      <w:r>
        <w:rPr>
          <w:rFonts w:ascii="Arial" w:hAnsi="Arial" w:cs="Arial"/>
        </w:rPr>
        <w:t>Codelco's</w:t>
      </w:r>
      <w:proofErr w:type="spellEnd"/>
      <w:r>
        <w:rPr>
          <w:rFonts w:ascii="Arial" w:hAnsi="Arial" w:cs="Arial"/>
        </w:rPr>
        <w:t xml:space="preserve"> business, especially considering the global push towards sustainable raw materials and decarbonization in the industry (</w:t>
      </w:r>
      <w:proofErr w:type="spellStart"/>
      <w:r>
        <w:rPr>
          <w:rFonts w:ascii="Arial" w:hAnsi="Arial" w:cs="Arial"/>
        </w:rPr>
        <w:t>Kruschel</w:t>
      </w:r>
      <w:proofErr w:type="spellEnd"/>
      <w:r>
        <w:rPr>
          <w:rFonts w:ascii="Arial" w:hAnsi="Arial" w:cs="Arial"/>
        </w:rPr>
        <w:t xml:space="preserve"> and </w:t>
      </w:r>
      <w:proofErr w:type="spellStart"/>
      <w:r>
        <w:rPr>
          <w:rFonts w:ascii="Arial" w:hAnsi="Arial" w:cs="Arial"/>
        </w:rPr>
        <w:t>Lafranchise</w:t>
      </w:r>
      <w:proofErr w:type="spellEnd"/>
      <w:r>
        <w:rPr>
          <w:rFonts w:ascii="Arial" w:hAnsi="Arial" w:cs="Arial"/>
        </w:rPr>
        <w:t>, 2023).</w:t>
      </w:r>
    </w:p>
    <w:p w14:paraId="040E0543" w14:textId="77777777" w:rsidR="00CA0DC2" w:rsidRDefault="00F42B17">
      <w:pPr>
        <w:jc w:val="center"/>
        <w:rPr>
          <w:rFonts w:ascii="Arial" w:hAnsi="Arial" w:cs="Arial"/>
        </w:rPr>
      </w:pPr>
      <w:r>
        <w:rPr>
          <w:noProof/>
        </w:rPr>
        <w:drawing>
          <wp:inline distT="0" distB="0" distL="0" distR="0" wp14:anchorId="1269D0A2" wp14:editId="0075963F">
            <wp:extent cx="3804920" cy="2728595"/>
            <wp:effectExtent l="0" t="0" r="5080" b="0"/>
            <wp:docPr id="643003424" name="Picture 4"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003424" name="Picture 4" descr="Ansoff matrix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812139" cy="2733662"/>
                    </a:xfrm>
                    <a:prstGeom prst="rect">
                      <a:avLst/>
                    </a:prstGeom>
                    <a:noFill/>
                    <a:ln>
                      <a:noFill/>
                    </a:ln>
                  </pic:spPr>
                </pic:pic>
              </a:graphicData>
            </a:graphic>
          </wp:inline>
        </w:drawing>
      </w:r>
      <w:r>
        <w:rPr>
          <w:rFonts w:ascii="Arial" w:hAnsi="Arial" w:cs="Arial"/>
        </w:rPr>
        <w:br/>
      </w:r>
      <w:r>
        <w:rPr>
          <w:rFonts w:ascii="Arial" w:hAnsi="Arial" w:cs="Arial"/>
          <w:b/>
          <w:bCs/>
        </w:rPr>
        <w:t>Figure 3: Ansoff Matrix Model</w:t>
      </w:r>
      <w:r>
        <w:rPr>
          <w:rFonts w:ascii="Arial" w:hAnsi="Arial" w:cs="Arial"/>
        </w:rPr>
        <w:br/>
        <w:t xml:space="preserve">(Source: </w:t>
      </w:r>
      <w:proofErr w:type="spellStart"/>
      <w:r>
        <w:rPr>
          <w:rFonts w:ascii="Arial" w:hAnsi="Arial" w:cs="Arial"/>
        </w:rPr>
        <w:t>Peterdy</w:t>
      </w:r>
      <w:proofErr w:type="spellEnd"/>
      <w:r>
        <w:rPr>
          <w:rFonts w:ascii="Arial" w:hAnsi="Arial" w:cs="Arial"/>
        </w:rPr>
        <w:t>, 2025)</w:t>
      </w:r>
    </w:p>
    <w:p w14:paraId="28EC8A52" w14:textId="77777777" w:rsidR="00CA0DC2" w:rsidRDefault="00F42B17">
      <w:pPr>
        <w:rPr>
          <w:rFonts w:ascii="Arial" w:hAnsi="Arial" w:cs="Arial"/>
        </w:rPr>
      </w:pPr>
      <w:r>
        <w:rPr>
          <w:rFonts w:ascii="Arial" w:hAnsi="Arial" w:cs="Arial"/>
        </w:rPr>
        <w:t xml:space="preserve">Product development is adding new or enhanced products to the product line already in the market. </w:t>
      </w:r>
      <w:proofErr w:type="spellStart"/>
      <w:r>
        <w:rPr>
          <w:rFonts w:ascii="Arial" w:hAnsi="Arial" w:cs="Arial"/>
        </w:rPr>
        <w:t>Codelco</w:t>
      </w:r>
      <w:proofErr w:type="spellEnd"/>
      <w:r>
        <w:rPr>
          <w:rFonts w:ascii="Arial" w:hAnsi="Arial" w:cs="Arial"/>
        </w:rPr>
        <w:t xml:space="preserve"> can thus concentrate on producing low-carbon copper products that align with the sustainability standards of industry customers, instead of producing just conventional copper products. The world's shift to a renewable energy system, EVs, battery technologies, and smart infrastructure has driven growth in copper consumption as well as demands in terms of environmental performance along the supply chain (Yang </w:t>
      </w:r>
      <w:r>
        <w:rPr>
          <w:rFonts w:ascii="Arial" w:hAnsi="Arial" w:cs="Arial"/>
          <w:i/>
          <w:iCs/>
        </w:rPr>
        <w:t xml:space="preserve">et al., </w:t>
      </w:r>
      <w:r>
        <w:rPr>
          <w:rFonts w:ascii="Arial" w:hAnsi="Arial" w:cs="Arial"/>
        </w:rPr>
        <w:t>2022). As a result, customers have begun to require suppliers to provide evidence that they produce with less carbon and responsible production.</w:t>
      </w:r>
    </w:p>
    <w:p w14:paraId="1583415C" w14:textId="77777777" w:rsidR="00CA0DC2" w:rsidRDefault="00F42B17">
      <w:pPr>
        <w:rPr>
          <w:rFonts w:ascii="Arial" w:hAnsi="Arial" w:cs="Arial"/>
        </w:rPr>
      </w:pPr>
      <w:proofErr w:type="spellStart"/>
      <w:r>
        <w:rPr>
          <w:rFonts w:ascii="Arial" w:hAnsi="Arial" w:cs="Arial"/>
        </w:rPr>
        <w:lastRenderedPageBreak/>
        <w:t>Codelco</w:t>
      </w:r>
      <w:proofErr w:type="spellEnd"/>
      <w:r>
        <w:rPr>
          <w:rFonts w:ascii="Arial" w:hAnsi="Arial" w:cs="Arial"/>
        </w:rPr>
        <w:t xml:space="preserve"> can market certified low carbon copper metal, through the development of new products, using renewable energy, electric equipment for mining, new water management systems, and environmentally best practices. These products would not really impact the business in terms of changing existing Industrial customer base, because the old Industrial customers would still be buying copper. This enhanced environmental specification, however, would add value to the end user looking at reducing their carbon footprint, and at meeting sustainability commitments (</w:t>
      </w:r>
      <w:proofErr w:type="spellStart"/>
      <w:r>
        <w:rPr>
          <w:rFonts w:ascii="Arial" w:hAnsi="Arial" w:cs="Arial"/>
        </w:rPr>
        <w:t>Rajaeifar</w:t>
      </w:r>
      <w:proofErr w:type="spellEnd"/>
      <w:r>
        <w:rPr>
          <w:rFonts w:ascii="Arial" w:hAnsi="Arial" w:cs="Arial"/>
        </w:rPr>
        <w:t xml:space="preserve"> </w:t>
      </w:r>
      <w:r>
        <w:rPr>
          <w:rFonts w:ascii="Arial" w:hAnsi="Arial" w:cs="Arial"/>
          <w:i/>
          <w:iCs/>
        </w:rPr>
        <w:t xml:space="preserve">et al., </w:t>
      </w:r>
      <w:r>
        <w:rPr>
          <w:rFonts w:ascii="Arial" w:hAnsi="Arial" w:cs="Arial"/>
        </w:rPr>
        <w:t>2022).</w:t>
      </w:r>
    </w:p>
    <w:p w14:paraId="676F2A88" w14:textId="77777777" w:rsidR="00CA0DC2" w:rsidRDefault="00F42B17">
      <w:pPr>
        <w:rPr>
          <w:rFonts w:ascii="Arial" w:hAnsi="Arial" w:cs="Arial"/>
        </w:rPr>
      </w:pPr>
      <w:r>
        <w:rPr>
          <w:rFonts w:ascii="Arial" w:hAnsi="Arial" w:cs="Arial"/>
        </w:rPr>
        <w:t xml:space="preserve">This is a strategy that is very similar to those of the emerging markets. Numerous multinational companies have and continue to have high environmental, social, and governance (ESG) goals, and they take sustainability performance into account when choosing suppliers. </w:t>
      </w:r>
      <w:proofErr w:type="spellStart"/>
      <w:r>
        <w:rPr>
          <w:rFonts w:ascii="Arial" w:hAnsi="Arial" w:cs="Arial"/>
        </w:rPr>
        <w:t>Codelco</w:t>
      </w:r>
      <w:proofErr w:type="spellEnd"/>
      <w:r>
        <w:rPr>
          <w:rFonts w:ascii="Arial" w:hAnsi="Arial" w:cs="Arial"/>
        </w:rPr>
        <w:t xml:space="preserve"> can build relationships with consumers and win over consumers who will be interested in sustainable procurement with their low carbon products (van der Linde and </w:t>
      </w:r>
      <w:proofErr w:type="spellStart"/>
      <w:r>
        <w:rPr>
          <w:rFonts w:ascii="Arial" w:hAnsi="Arial" w:cs="Arial"/>
        </w:rPr>
        <w:t>Mera</w:t>
      </w:r>
      <w:proofErr w:type="spellEnd"/>
      <w:r>
        <w:rPr>
          <w:rFonts w:ascii="Arial" w:hAnsi="Arial" w:cs="Arial"/>
        </w:rPr>
        <w:t>, 2024). With product development, the company can therefore be able to differentiate without taking in new markets or industries.</w:t>
      </w:r>
    </w:p>
    <w:p w14:paraId="2EBF8184" w14:textId="77777777" w:rsidR="00CA0DC2" w:rsidRDefault="00F42B17">
      <w:pPr>
        <w:rPr>
          <w:rFonts w:ascii="Arial" w:hAnsi="Arial" w:cs="Arial"/>
        </w:rPr>
      </w:pPr>
      <w:r>
        <w:rPr>
          <w:rFonts w:ascii="Arial" w:hAnsi="Arial" w:cs="Arial"/>
        </w:rPr>
        <w:t xml:space="preserve">Market penetration could help drive growth through an increase in sales of products that are currently being sold in the market. This, however, would only have limited upside potential, given the competitive and mature nature of the copper industry. Monopoly power and sustainable competitive advantage will not occur simply due to price-based competition. Likewise, market development—getting into other geographic markets—can boost revenue but will not directly meet the customer and stakeholder concerns about environmental sustainability (Lan, 2023). Diversification would be into new industries which would involve supplying high risks and resources to the </w:t>
      </w:r>
      <w:proofErr w:type="spellStart"/>
      <w:r>
        <w:rPr>
          <w:rFonts w:ascii="Arial" w:hAnsi="Arial" w:cs="Arial"/>
        </w:rPr>
        <w:t>organisation</w:t>
      </w:r>
      <w:proofErr w:type="spellEnd"/>
      <w:r>
        <w:rPr>
          <w:rFonts w:ascii="Arial" w:hAnsi="Arial" w:cs="Arial"/>
        </w:rPr>
        <w:t>. As a result, product development is the most harmonious and workable development strategy given the sustained growth and sustainability goals.</w:t>
      </w:r>
    </w:p>
    <w:p w14:paraId="03D88431" w14:textId="77777777" w:rsidR="00CA0DC2" w:rsidRDefault="00F42B17">
      <w:pPr>
        <w:rPr>
          <w:rFonts w:ascii="Arial" w:hAnsi="Arial" w:cs="Arial"/>
        </w:rPr>
      </w:pPr>
      <w:r>
        <w:rPr>
          <w:rFonts w:ascii="Arial" w:hAnsi="Arial" w:cs="Arial"/>
        </w:rPr>
        <w:t xml:space="preserve">This is because of the moderate risk attached to product development as per a critical evaluation of Ansoff Matrix. Procedures and innovation will be a significant investment needed to make truly lower-carbon products. In addition, there is a risk that customers will not accept high price premiums if they have concerns about economic uncertainty when choosing sustainable products. However, with growing environmental awareness </w:t>
      </w:r>
      <w:r>
        <w:rPr>
          <w:rFonts w:ascii="Arial" w:hAnsi="Arial" w:cs="Arial"/>
        </w:rPr>
        <w:lastRenderedPageBreak/>
        <w:t>and compliance, a rising demand for sustainable materials can be seen in the long run. Hence, the benefits are likely to be greater than the risks.</w:t>
      </w:r>
    </w:p>
    <w:p w14:paraId="2453FA1C" w14:textId="77777777" w:rsidR="00CA0DC2" w:rsidRDefault="00F42B17">
      <w:pPr>
        <w:pStyle w:val="Heading2"/>
        <w:rPr>
          <w:rFonts w:ascii="Arial" w:hAnsi="Arial" w:cs="Arial"/>
        </w:rPr>
      </w:pPr>
      <w:bookmarkStart w:id="6" w:name="_Toc231650799"/>
      <w:r>
        <w:rPr>
          <w:rFonts w:ascii="Arial" w:hAnsi="Arial" w:cs="Arial"/>
        </w:rPr>
        <w:t>Achieving Competitive Advantage through Porter’s Generic Strategies</w:t>
      </w:r>
      <w:bookmarkEnd w:id="6"/>
    </w:p>
    <w:p w14:paraId="44AEC163" w14:textId="77777777" w:rsidR="00CA0DC2" w:rsidRDefault="00F42B17">
      <w:pPr>
        <w:rPr>
          <w:rFonts w:ascii="Arial" w:hAnsi="Arial" w:cs="Arial"/>
        </w:rPr>
      </w:pPr>
      <w:r>
        <w:rPr>
          <w:rFonts w:ascii="Arial" w:hAnsi="Arial" w:cs="Arial"/>
        </w:rPr>
        <w:t xml:space="preserve">The Ansoff Matrix defines the growth strategy but the Porter's Generic Strategies offer a way to appreciate the various methods through which </w:t>
      </w:r>
      <w:proofErr w:type="spellStart"/>
      <w:r>
        <w:rPr>
          <w:rFonts w:ascii="Arial" w:hAnsi="Arial" w:cs="Arial"/>
        </w:rPr>
        <w:t>Codelco</w:t>
      </w:r>
      <w:proofErr w:type="spellEnd"/>
      <w:r>
        <w:rPr>
          <w:rFonts w:ascii="Arial" w:hAnsi="Arial" w:cs="Arial"/>
        </w:rPr>
        <w:t xml:space="preserve"> can either attain or maintain competitive advantage. </w:t>
      </w:r>
      <w:proofErr w:type="spellStart"/>
      <w:r>
        <w:rPr>
          <w:rFonts w:ascii="Arial" w:hAnsi="Arial" w:cs="Arial"/>
        </w:rPr>
        <w:t>Organisations</w:t>
      </w:r>
      <w:proofErr w:type="spellEnd"/>
      <w:r>
        <w:rPr>
          <w:rFonts w:ascii="Arial" w:hAnsi="Arial" w:cs="Arial"/>
        </w:rPr>
        <w:t xml:space="preserve"> generally play the cost leadership game, the differentiation game or the focus game, according to Porter (</w:t>
      </w:r>
      <w:proofErr w:type="spellStart"/>
      <w:r>
        <w:rPr>
          <w:rFonts w:ascii="Arial" w:hAnsi="Arial" w:cs="Arial"/>
        </w:rPr>
        <w:t>Acar</w:t>
      </w:r>
      <w:proofErr w:type="spellEnd"/>
      <w:r>
        <w:rPr>
          <w:rFonts w:ascii="Arial" w:hAnsi="Arial" w:cs="Arial"/>
        </w:rPr>
        <w:t xml:space="preserve">, 2024). Differentiation strategy is the best strategy to be adopted for </w:t>
      </w:r>
      <w:proofErr w:type="spellStart"/>
      <w:r>
        <w:rPr>
          <w:rFonts w:ascii="Arial" w:hAnsi="Arial" w:cs="Arial"/>
        </w:rPr>
        <w:t>Codelco</w:t>
      </w:r>
      <w:proofErr w:type="spellEnd"/>
      <w:r>
        <w:rPr>
          <w:rFonts w:ascii="Arial" w:hAnsi="Arial" w:cs="Arial"/>
        </w:rPr>
        <w:t>, with the intention of helping the company shift its business to a lower-carbon level.</w:t>
      </w:r>
    </w:p>
    <w:p w14:paraId="7F3DDC29" w14:textId="77777777" w:rsidR="00CA0DC2" w:rsidRDefault="00F42B17">
      <w:pPr>
        <w:jc w:val="center"/>
        <w:rPr>
          <w:rFonts w:ascii="Arial" w:hAnsi="Arial" w:cs="Arial"/>
        </w:rPr>
      </w:pPr>
      <w:r>
        <w:rPr>
          <w:noProof/>
        </w:rPr>
        <w:drawing>
          <wp:inline distT="0" distB="0" distL="0" distR="0" wp14:anchorId="3A1195A0" wp14:editId="4FA5F171">
            <wp:extent cx="3850640" cy="2804795"/>
            <wp:effectExtent l="0" t="0" r="0" b="0"/>
            <wp:docPr id="2035173837" name="Picture 5" descr="Porter's (Three) Generic Strategies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73837" name="Picture 5" descr="Porter's (Three) Generic Strategies Explained - SM Insigh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859758" cy="2811108"/>
                    </a:xfrm>
                    <a:prstGeom prst="rect">
                      <a:avLst/>
                    </a:prstGeom>
                    <a:noFill/>
                    <a:ln>
                      <a:noFill/>
                    </a:ln>
                  </pic:spPr>
                </pic:pic>
              </a:graphicData>
            </a:graphic>
          </wp:inline>
        </w:drawing>
      </w:r>
      <w:r>
        <w:rPr>
          <w:rFonts w:ascii="Arial" w:hAnsi="Arial" w:cs="Arial"/>
        </w:rPr>
        <w:br/>
      </w:r>
      <w:r>
        <w:rPr>
          <w:rFonts w:ascii="Arial" w:hAnsi="Arial" w:cs="Arial"/>
          <w:b/>
          <w:bCs/>
        </w:rPr>
        <w:t>Figure 4: Porters’ Generic Strategies</w:t>
      </w:r>
      <w:r>
        <w:rPr>
          <w:rFonts w:ascii="Arial" w:hAnsi="Arial" w:cs="Arial"/>
        </w:rPr>
        <w:br/>
        <w:t xml:space="preserve">(Source: </w:t>
      </w:r>
      <w:proofErr w:type="spellStart"/>
      <w:r>
        <w:rPr>
          <w:rFonts w:ascii="Arial" w:hAnsi="Arial" w:cs="Arial"/>
        </w:rPr>
        <w:t>Acar</w:t>
      </w:r>
      <w:proofErr w:type="spellEnd"/>
      <w:r>
        <w:rPr>
          <w:rFonts w:ascii="Arial" w:hAnsi="Arial" w:cs="Arial"/>
        </w:rPr>
        <w:t>, 2024)</w:t>
      </w:r>
    </w:p>
    <w:p w14:paraId="03341200" w14:textId="77777777" w:rsidR="00CA0DC2" w:rsidRDefault="00F42B17">
      <w:pPr>
        <w:rPr>
          <w:rFonts w:ascii="Arial" w:hAnsi="Arial" w:cs="Arial"/>
        </w:rPr>
      </w:pPr>
      <w:r>
        <w:rPr>
          <w:rFonts w:ascii="Arial" w:hAnsi="Arial" w:cs="Arial"/>
        </w:rPr>
        <w:t xml:space="preserve">Differentiation is done by providing a product/service that customers see as special and beneficial. </w:t>
      </w:r>
      <w:proofErr w:type="spellStart"/>
      <w:r>
        <w:rPr>
          <w:rFonts w:ascii="Arial" w:hAnsi="Arial" w:cs="Arial"/>
        </w:rPr>
        <w:t>Codelco</w:t>
      </w:r>
      <w:proofErr w:type="spellEnd"/>
      <w:r>
        <w:rPr>
          <w:rFonts w:ascii="Arial" w:hAnsi="Arial" w:cs="Arial"/>
        </w:rPr>
        <w:t>, for its part, would stand out for the sustainability of its copper production and products. The company is not just about offering the lowest prices, it can be about environmental performance, transparency, innovation and responsible resource management. It's a change in consumer trends, investor demands, and global regulatory changes that is behind this approach.</w:t>
      </w:r>
    </w:p>
    <w:p w14:paraId="7FA33C46" w14:textId="77777777" w:rsidR="00CA0DC2" w:rsidRDefault="00F42B17">
      <w:pPr>
        <w:rPr>
          <w:rFonts w:ascii="Arial" w:hAnsi="Arial" w:cs="Arial"/>
        </w:rPr>
      </w:pPr>
      <w:r>
        <w:rPr>
          <w:rFonts w:ascii="Arial" w:hAnsi="Arial" w:cs="Arial"/>
        </w:rPr>
        <w:lastRenderedPageBreak/>
        <w:t>There are multiple reasons for differentiation strategy viability. Copper is essential to the renewable energy infrastructure and the coming electrification revolution (</w:t>
      </w:r>
      <w:proofErr w:type="spellStart"/>
      <w:r>
        <w:rPr>
          <w:rFonts w:ascii="Arial" w:hAnsi="Arial" w:cs="Arial"/>
        </w:rPr>
        <w:t>Cathles</w:t>
      </w:r>
      <w:proofErr w:type="spellEnd"/>
      <w:r>
        <w:rPr>
          <w:rFonts w:ascii="Arial" w:hAnsi="Arial" w:cs="Arial"/>
        </w:rPr>
        <w:t xml:space="preserve"> </w:t>
      </w:r>
      <w:r>
        <w:rPr>
          <w:rFonts w:ascii="Arial" w:hAnsi="Arial" w:cs="Arial"/>
          <w:i/>
          <w:iCs/>
        </w:rPr>
        <w:t xml:space="preserve">et al., </w:t>
      </w:r>
      <w:r>
        <w:rPr>
          <w:rFonts w:ascii="Arial" w:hAnsi="Arial" w:cs="Arial"/>
        </w:rPr>
        <w:t>2025). Business customers in these industries will likely see the importance of sustainable source. Second, sustainability problems have been on the rise as part of procurement, especially for multinational firms aiming to enhance their ESG rating. Thirdly, the integration of strong sustainability characteristics can improve corporate reputation and build stakeholder relationships.</w:t>
      </w:r>
    </w:p>
    <w:p w14:paraId="344C4511" w14:textId="77777777" w:rsidR="00CA0DC2" w:rsidRDefault="00F42B17">
      <w:pPr>
        <w:rPr>
          <w:rFonts w:ascii="Arial" w:hAnsi="Arial" w:cs="Arial"/>
        </w:rPr>
      </w:pPr>
      <w:r>
        <w:rPr>
          <w:rFonts w:ascii="Arial" w:hAnsi="Arial" w:cs="Arial"/>
        </w:rPr>
        <w:t xml:space="preserve">If differentiation is to be achieved, there is a need to invest in the digital monitoring systems, transparent sustainability and carbon reduction technologies and in renewable energy adoption for </w:t>
      </w:r>
      <w:proofErr w:type="spellStart"/>
      <w:r>
        <w:rPr>
          <w:rFonts w:ascii="Arial" w:hAnsi="Arial" w:cs="Arial"/>
        </w:rPr>
        <w:t>Codelco</w:t>
      </w:r>
      <w:proofErr w:type="spellEnd"/>
      <w:r>
        <w:rPr>
          <w:rFonts w:ascii="Arial" w:hAnsi="Arial" w:cs="Arial"/>
        </w:rPr>
        <w:t xml:space="preserve"> (Cohen and </w:t>
      </w:r>
      <w:proofErr w:type="spellStart"/>
      <w:r>
        <w:rPr>
          <w:rFonts w:ascii="Arial" w:hAnsi="Arial" w:cs="Arial"/>
        </w:rPr>
        <w:t>Raineri</w:t>
      </w:r>
      <w:proofErr w:type="spellEnd"/>
      <w:r>
        <w:rPr>
          <w:rFonts w:ascii="Arial" w:hAnsi="Arial" w:cs="Arial"/>
        </w:rPr>
        <w:t>, 2025). These initiatives would yield information supporting claims on reduction of carbon emissions. Credibility and customer trust may be further boosted with independent environmental certifications and audits which might be conducted along the way. The company may also form strategic alliances with the renewable energy providers and technology suppliers to boost innovation and enhance operational efficiencies.</w:t>
      </w:r>
    </w:p>
    <w:p w14:paraId="6D025C7D" w14:textId="77777777" w:rsidR="00CA0DC2" w:rsidRDefault="00F42B17">
      <w:pPr>
        <w:rPr>
          <w:rFonts w:ascii="Arial" w:hAnsi="Arial" w:cs="Arial"/>
        </w:rPr>
      </w:pPr>
      <w:r>
        <w:rPr>
          <w:rFonts w:ascii="Arial" w:hAnsi="Arial" w:cs="Arial"/>
        </w:rPr>
        <w:t xml:space="preserve">While overall cost leadership is still relevant in commodity markets, a strategy of cost competition alone may be more challenging in the future. Operational costs will probably rise throughout the mining industry due to environmental laws, reduction in carbon emission and consumer demands. Hence, price competition alone cannot offer a long-term benefit. The differentiation strategy enables </w:t>
      </w:r>
      <w:proofErr w:type="spellStart"/>
      <w:r>
        <w:rPr>
          <w:rFonts w:ascii="Arial" w:hAnsi="Arial" w:cs="Arial"/>
        </w:rPr>
        <w:t>Codelco</w:t>
      </w:r>
      <w:proofErr w:type="spellEnd"/>
      <w:r>
        <w:rPr>
          <w:rFonts w:ascii="Arial" w:hAnsi="Arial" w:cs="Arial"/>
        </w:rPr>
        <w:t xml:space="preserve"> to charge for its high-quality products and services, to build customer loyalty and to lessen the impact of price variations in global commodity markets.</w:t>
      </w:r>
    </w:p>
    <w:p w14:paraId="0EA313E9" w14:textId="77777777" w:rsidR="00CA0DC2" w:rsidRDefault="00F42B17">
      <w:pPr>
        <w:rPr>
          <w:rFonts w:ascii="Arial" w:hAnsi="Arial" w:cs="Arial"/>
        </w:rPr>
      </w:pPr>
      <w:r>
        <w:rPr>
          <w:rFonts w:ascii="Arial" w:hAnsi="Arial" w:cs="Arial"/>
        </w:rPr>
        <w:t xml:space="preserve">However, differentiation can be challenging, too, when approached from a critical perspective. Sustainability </w:t>
      </w:r>
      <w:proofErr w:type="gramStart"/>
      <w:r>
        <w:rPr>
          <w:rFonts w:ascii="Arial" w:hAnsi="Arial" w:cs="Arial"/>
        </w:rPr>
        <w:t>have</w:t>
      </w:r>
      <w:proofErr w:type="gramEnd"/>
      <w:r>
        <w:rPr>
          <w:rFonts w:ascii="Arial" w:hAnsi="Arial" w:cs="Arial"/>
        </w:rPr>
        <w:t xml:space="preserve"> a significant investment need and in many cases, it can only provide steps toward competitive benefits in the long term (</w:t>
      </w:r>
      <w:proofErr w:type="spellStart"/>
      <w:r>
        <w:rPr>
          <w:rFonts w:ascii="Arial" w:hAnsi="Arial" w:cs="Arial"/>
        </w:rPr>
        <w:t>Challoumis</w:t>
      </w:r>
      <w:proofErr w:type="spellEnd"/>
      <w:r>
        <w:rPr>
          <w:rFonts w:ascii="Arial" w:hAnsi="Arial" w:cs="Arial"/>
        </w:rPr>
        <w:t xml:space="preserve">, 2024). Also, a competitor might offer some of the same sorts of environmental programs, leading to a decline in the level of differentiation over time. The only way to meet this challenge is for </w:t>
      </w:r>
      <w:proofErr w:type="spellStart"/>
      <w:r>
        <w:rPr>
          <w:rFonts w:ascii="Arial" w:hAnsi="Arial" w:cs="Arial"/>
        </w:rPr>
        <w:t>Codelco</w:t>
      </w:r>
      <w:proofErr w:type="spellEnd"/>
      <w:r>
        <w:rPr>
          <w:rFonts w:ascii="Arial" w:hAnsi="Arial" w:cs="Arial"/>
        </w:rPr>
        <w:t xml:space="preserve"> to continually redesign and able to embed sustainability within its value proposition and </w:t>
      </w:r>
      <w:proofErr w:type="spellStart"/>
      <w:r>
        <w:rPr>
          <w:rFonts w:ascii="Arial" w:hAnsi="Arial" w:cs="Arial"/>
        </w:rPr>
        <w:t>organisational</w:t>
      </w:r>
      <w:proofErr w:type="spellEnd"/>
      <w:r>
        <w:rPr>
          <w:rFonts w:ascii="Arial" w:hAnsi="Arial" w:cs="Arial"/>
        </w:rPr>
        <w:t xml:space="preserve"> culture. The idea of competitive advantage in turn has to be perceived as a continuous process.</w:t>
      </w:r>
    </w:p>
    <w:p w14:paraId="213F85B9" w14:textId="77777777" w:rsidR="00CA0DC2" w:rsidRDefault="00F42B17">
      <w:pPr>
        <w:rPr>
          <w:rFonts w:ascii="Arial" w:hAnsi="Arial" w:cs="Arial"/>
        </w:rPr>
      </w:pPr>
      <w:r>
        <w:rPr>
          <w:rFonts w:ascii="Arial" w:hAnsi="Arial" w:cs="Arial"/>
        </w:rPr>
        <w:lastRenderedPageBreak/>
        <w:t xml:space="preserve">Product development and product differentiation means strategic alignment of growth and competitiveness. Product development is how lower-carbon copper products will be developed; differentiation is what will make them bring unique value to customers. These frameworks will assist </w:t>
      </w:r>
      <w:proofErr w:type="spellStart"/>
      <w:r>
        <w:rPr>
          <w:rFonts w:ascii="Arial" w:hAnsi="Arial" w:cs="Arial"/>
        </w:rPr>
        <w:t>Codelco</w:t>
      </w:r>
      <w:proofErr w:type="spellEnd"/>
      <w:r>
        <w:rPr>
          <w:rFonts w:ascii="Arial" w:hAnsi="Arial" w:cs="Arial"/>
        </w:rPr>
        <w:t xml:space="preserve"> in realizing its goal of developing market strength and effectively addressing environmental and regulatory challenges. By sustainable innovation, sustainable production practices and in order to make a clear environmental value proposition, the company can enable better long-term competitiveness and open up growth opportunities in global economy, which is growing more and more sustainability-oriented.</w:t>
      </w:r>
    </w:p>
    <w:p w14:paraId="1CF9C6E7" w14:textId="77777777" w:rsidR="00CA0DC2" w:rsidRDefault="00F42B17">
      <w:pPr>
        <w:pStyle w:val="Heading1"/>
        <w:rPr>
          <w:rFonts w:ascii="Arial" w:hAnsi="Arial" w:cs="Arial"/>
        </w:rPr>
      </w:pPr>
      <w:bookmarkStart w:id="7" w:name="_Toc231650800"/>
      <w:r>
        <w:rPr>
          <w:rFonts w:ascii="Arial" w:hAnsi="Arial" w:cs="Arial"/>
        </w:rPr>
        <w:t>Task 3: Critical Reflection on AI Usage</w:t>
      </w:r>
      <w:bookmarkEnd w:id="7"/>
    </w:p>
    <w:p w14:paraId="35504457" w14:textId="77777777" w:rsidR="00CA0DC2" w:rsidRDefault="00F42B17">
      <w:pPr>
        <w:rPr>
          <w:rFonts w:ascii="Arial" w:hAnsi="Arial" w:cs="Arial"/>
        </w:rPr>
      </w:pPr>
      <w:r>
        <w:rPr>
          <w:rFonts w:ascii="Arial" w:hAnsi="Arial" w:cs="Arial"/>
        </w:rPr>
        <w:t>The assessment guidelines were followed and Artificial Intelligence (AI) was used in a limited and supporting role in the preparation of this report. In particular, generative artificial intelligence tools were employed to support the research process, such as finding relevant academic materials, summarizing long articles and examining various perspectives on issues connected to sustainability, the marketing environment and strategic development plans. Another feature was the use of AI to detect grammar errors and enhance the clarity of the language used in the article.</w:t>
      </w:r>
    </w:p>
    <w:p w14:paraId="635A8ED3" w14:textId="77777777" w:rsidR="00CA0DC2" w:rsidRDefault="00F42B17">
      <w:pPr>
        <w:rPr>
          <w:rFonts w:ascii="Arial" w:hAnsi="Arial" w:cs="Arial"/>
        </w:rPr>
      </w:pPr>
      <w:r>
        <w:rPr>
          <w:rFonts w:ascii="Arial" w:hAnsi="Arial" w:cs="Arial"/>
        </w:rPr>
        <w:t xml:space="preserve">All content gathered from AI sources was cross-referenced with academic research articles, textbooks, company reports and trustworthy sources from the industry to make sure the information from AI-driven tools is accurate. Special attention was paid to the cross-checking process in the analysis of </w:t>
      </w:r>
      <w:proofErr w:type="spellStart"/>
      <w:r>
        <w:rPr>
          <w:rFonts w:ascii="Arial" w:hAnsi="Arial" w:cs="Arial"/>
        </w:rPr>
        <w:t>Codelco's</w:t>
      </w:r>
      <w:proofErr w:type="spellEnd"/>
      <w:r>
        <w:rPr>
          <w:rFonts w:ascii="Arial" w:hAnsi="Arial" w:cs="Arial"/>
        </w:rPr>
        <w:t xml:space="preserve"> sustainability projects and environmental problems. There were a couple cases where AI created summaries that were discriminatory, missing context and missing out on important details. These constraints have been overcome by having consulted original material and by the use of evidence-based analysis. This verification process helped </w:t>
      </w:r>
      <w:proofErr w:type="spellStart"/>
      <w:r>
        <w:rPr>
          <w:rFonts w:ascii="Arial" w:hAnsi="Arial" w:cs="Arial"/>
        </w:rPr>
        <w:t>minimise</w:t>
      </w:r>
      <w:proofErr w:type="spellEnd"/>
      <w:r>
        <w:rPr>
          <w:rFonts w:ascii="Arial" w:hAnsi="Arial" w:cs="Arial"/>
        </w:rPr>
        <w:t xml:space="preserve"> the risk of factual inaccuracies, misleading information, and AI hallucinations.</w:t>
      </w:r>
    </w:p>
    <w:p w14:paraId="242630F6" w14:textId="77777777" w:rsidR="00CA0DC2" w:rsidRDefault="00F42B17">
      <w:pPr>
        <w:rPr>
          <w:rFonts w:ascii="Arial" w:hAnsi="Arial" w:cs="Arial"/>
        </w:rPr>
      </w:pPr>
      <w:r>
        <w:rPr>
          <w:rFonts w:ascii="Arial" w:hAnsi="Arial" w:cs="Arial"/>
        </w:rPr>
        <w:t xml:space="preserve">The information was located and reviewed by AI, but the analysis, interpretation of the findings, and use of marketing frameworks as well as the final arguments in the report were written by the student. The assessment on the natural and political environment, recommending a product development strategy through Ansoff Matrix and discussing the </w:t>
      </w:r>
      <w:r>
        <w:rPr>
          <w:rFonts w:ascii="Arial" w:hAnsi="Arial" w:cs="Arial"/>
        </w:rPr>
        <w:lastRenderedPageBreak/>
        <w:t>competitive advantage were all made through personal judgment and critical thinking based on the literature reviewed.</w:t>
      </w:r>
    </w:p>
    <w:p w14:paraId="68310DF4" w14:textId="77777777" w:rsidR="00CA0DC2" w:rsidRDefault="00F42B17">
      <w:pPr>
        <w:rPr>
          <w:rFonts w:ascii="Arial" w:hAnsi="Arial" w:cs="Arial"/>
        </w:rPr>
      </w:pPr>
      <w:r>
        <w:rPr>
          <w:rFonts w:ascii="Arial" w:hAnsi="Arial" w:cs="Arial"/>
        </w:rPr>
        <w:t>AI has generated ethical and professional concerns with higher education use of artificial intelligence. While AI can streamline research, over-reliance on content created by AI could compromise academic integrity and critical thinking. Transparently and verifying information is essential to responsible use, along with following institutional guidelines. In this regard, then, AI should be used as an aid to research, and not as a substitute for independent research and scholarly judgment.</w:t>
      </w:r>
    </w:p>
    <w:p w14:paraId="3CF13982" w14:textId="77777777" w:rsidR="00CA0DC2" w:rsidRDefault="00CA0DC2">
      <w:pPr>
        <w:rPr>
          <w:rFonts w:ascii="Arial" w:hAnsi="Arial" w:cs="Arial"/>
        </w:rPr>
      </w:pPr>
    </w:p>
    <w:p w14:paraId="0D381156" w14:textId="77777777" w:rsidR="00CA0DC2" w:rsidRDefault="00F42B17">
      <w:pPr>
        <w:spacing w:line="259" w:lineRule="auto"/>
        <w:jc w:val="left"/>
        <w:rPr>
          <w:rFonts w:ascii="Arial" w:eastAsiaTheme="majorEastAsia" w:hAnsi="Arial" w:cs="Arial"/>
          <w:b/>
          <w:sz w:val="28"/>
          <w:szCs w:val="32"/>
        </w:rPr>
      </w:pPr>
      <w:r>
        <w:rPr>
          <w:rFonts w:ascii="Arial" w:hAnsi="Arial" w:cs="Arial"/>
        </w:rPr>
        <w:br w:type="page"/>
      </w:r>
    </w:p>
    <w:p w14:paraId="3AFDD34E" w14:textId="77777777" w:rsidR="00CA0DC2" w:rsidRDefault="00F42B17">
      <w:pPr>
        <w:pStyle w:val="Heading1"/>
        <w:rPr>
          <w:rFonts w:ascii="Arial" w:hAnsi="Arial" w:cs="Arial"/>
        </w:rPr>
      </w:pPr>
      <w:bookmarkStart w:id="8" w:name="_Toc231650801"/>
      <w:r>
        <w:rPr>
          <w:rFonts w:ascii="Arial" w:hAnsi="Arial" w:cs="Arial"/>
        </w:rPr>
        <w:lastRenderedPageBreak/>
        <w:t>References</w:t>
      </w:r>
      <w:bookmarkEnd w:id="8"/>
    </w:p>
    <w:p w14:paraId="36A0209E" w14:textId="77777777" w:rsidR="00CA0DC2" w:rsidRDefault="00F42B17">
      <w:pPr>
        <w:rPr>
          <w:rFonts w:ascii="Arial" w:hAnsi="Arial" w:cs="Arial"/>
        </w:rPr>
      </w:pPr>
      <w:proofErr w:type="spellStart"/>
      <w:r>
        <w:rPr>
          <w:rFonts w:ascii="Arial" w:hAnsi="Arial" w:cs="Arial"/>
        </w:rPr>
        <w:t>Acar</w:t>
      </w:r>
      <w:proofErr w:type="spellEnd"/>
      <w:r>
        <w:rPr>
          <w:rFonts w:ascii="Arial" w:hAnsi="Arial" w:cs="Arial"/>
        </w:rPr>
        <w:t>, S., 2024. A review of Porter’s generic strategies: Strategy examples in international firms. </w:t>
      </w:r>
      <w:r>
        <w:rPr>
          <w:rFonts w:ascii="Arial" w:hAnsi="Arial" w:cs="Arial"/>
          <w:i/>
          <w:iCs/>
        </w:rPr>
        <w:t>International Social Sciences Studies Journal</w:t>
      </w:r>
      <w:r>
        <w:rPr>
          <w:rFonts w:ascii="Arial" w:hAnsi="Arial" w:cs="Arial"/>
        </w:rPr>
        <w:t>, </w:t>
      </w:r>
      <w:r>
        <w:rPr>
          <w:rFonts w:ascii="Arial" w:hAnsi="Arial" w:cs="Arial"/>
          <w:i/>
          <w:iCs/>
        </w:rPr>
        <w:t>10</w:t>
      </w:r>
      <w:r>
        <w:rPr>
          <w:rFonts w:ascii="Arial" w:hAnsi="Arial" w:cs="Arial"/>
        </w:rPr>
        <w:t xml:space="preserve">(11), pp.1902-1918. </w:t>
      </w:r>
      <w:hyperlink r:id="rId12" w:history="1">
        <w:r>
          <w:rPr>
            <w:rStyle w:val="Hyperlink"/>
            <w:rFonts w:ascii="Arial" w:hAnsi="Arial" w:cs="Arial"/>
          </w:rPr>
          <w:t>https://sssjournal.com/files/sssjournal/e5935340-8b65-4cf6-a1c1-cf266026257d.pdf</w:t>
        </w:r>
      </w:hyperlink>
    </w:p>
    <w:p w14:paraId="3810199A" w14:textId="77777777" w:rsidR="00CA0DC2" w:rsidRDefault="00F42B17">
      <w:pPr>
        <w:rPr>
          <w:rFonts w:ascii="Arial" w:hAnsi="Arial" w:cs="Arial"/>
        </w:rPr>
      </w:pPr>
      <w:proofErr w:type="spellStart"/>
      <w:r>
        <w:rPr>
          <w:rFonts w:ascii="Arial" w:hAnsi="Arial" w:cs="Arial"/>
        </w:rPr>
        <w:t>Adekemi</w:t>
      </w:r>
      <w:proofErr w:type="spellEnd"/>
      <w:r>
        <w:rPr>
          <w:rFonts w:ascii="Arial" w:hAnsi="Arial" w:cs="Arial"/>
        </w:rPr>
        <w:t>, P., 2025. Review on the role of law in corporate sustainability and green practices. </w:t>
      </w:r>
      <w:r>
        <w:rPr>
          <w:rFonts w:ascii="Arial" w:hAnsi="Arial" w:cs="Arial"/>
          <w:i/>
          <w:iCs/>
        </w:rPr>
        <w:t>Global Journal of Environmental Science &amp; Sustainability</w:t>
      </w:r>
      <w:r>
        <w:rPr>
          <w:rFonts w:ascii="Arial" w:hAnsi="Arial" w:cs="Arial"/>
        </w:rPr>
        <w:t>, </w:t>
      </w:r>
      <w:r>
        <w:rPr>
          <w:rFonts w:ascii="Arial" w:hAnsi="Arial" w:cs="Arial"/>
          <w:i/>
          <w:iCs/>
        </w:rPr>
        <w:t>2</w:t>
      </w:r>
      <w:r>
        <w:rPr>
          <w:rFonts w:ascii="Arial" w:hAnsi="Arial" w:cs="Arial"/>
        </w:rPr>
        <w:t xml:space="preserve">(1), pp.1-8. </w:t>
      </w:r>
      <w:hyperlink r:id="rId13" w:history="1">
        <w:r>
          <w:rPr>
            <w:rStyle w:val="Hyperlink"/>
            <w:rFonts w:ascii="Arial" w:hAnsi="Arial" w:cs="Arial"/>
          </w:rPr>
          <w:t>https://koozakar.com/storage/publications/pdfs/loZuVC0QoP61FtlI2CUkkDd3S33KVemqPFWpUm39.pdf</w:t>
        </w:r>
      </w:hyperlink>
    </w:p>
    <w:p w14:paraId="5CB2F85E" w14:textId="77777777" w:rsidR="00CA0DC2" w:rsidRDefault="00F42B17">
      <w:pPr>
        <w:rPr>
          <w:rFonts w:ascii="Arial" w:hAnsi="Arial" w:cs="Arial"/>
        </w:rPr>
      </w:pPr>
      <w:proofErr w:type="spellStart"/>
      <w:r>
        <w:rPr>
          <w:rFonts w:ascii="Arial" w:hAnsi="Arial" w:cs="Arial"/>
        </w:rPr>
        <w:t>Adewole</w:t>
      </w:r>
      <w:proofErr w:type="spellEnd"/>
      <w:r>
        <w:rPr>
          <w:rFonts w:ascii="Arial" w:hAnsi="Arial" w:cs="Arial"/>
        </w:rPr>
        <w:t xml:space="preserve">, O., 2022. “Issues emanating from business impact on climate, environmental sustainability and CSR (Corporate Social Responsibility): steps towards pragmatism in extant </w:t>
      </w:r>
      <w:proofErr w:type="spellStart"/>
      <w:r>
        <w:rPr>
          <w:rFonts w:ascii="Arial" w:hAnsi="Arial" w:cs="Arial"/>
        </w:rPr>
        <w:t>realities</w:t>
      </w:r>
      <w:proofErr w:type="gramStart"/>
      <w:r>
        <w:rPr>
          <w:rFonts w:ascii="Arial" w:hAnsi="Arial" w:cs="Arial"/>
        </w:rPr>
        <w:t>”:“</w:t>
      </w:r>
      <w:proofErr w:type="gramEnd"/>
      <w:r>
        <w:rPr>
          <w:rFonts w:ascii="Arial" w:hAnsi="Arial" w:cs="Arial"/>
        </w:rPr>
        <w:t>Brand</w:t>
      </w:r>
      <w:proofErr w:type="spellEnd"/>
      <w:r>
        <w:rPr>
          <w:rFonts w:ascii="Arial" w:hAnsi="Arial" w:cs="Arial"/>
        </w:rPr>
        <w:t xml:space="preserve"> translation to equity from ‘CSR as a potential tool in climate change mitigation and enhancing financial performances in organizations” Brand translation to equity. </w:t>
      </w:r>
      <w:r>
        <w:rPr>
          <w:rFonts w:ascii="Arial" w:hAnsi="Arial" w:cs="Arial"/>
          <w:i/>
          <w:iCs/>
        </w:rPr>
        <w:t>International Journal of Corporate Social Responsibility</w:t>
      </w:r>
      <w:r>
        <w:rPr>
          <w:rFonts w:ascii="Arial" w:hAnsi="Arial" w:cs="Arial"/>
        </w:rPr>
        <w:t>, </w:t>
      </w:r>
      <w:r>
        <w:rPr>
          <w:rFonts w:ascii="Arial" w:hAnsi="Arial" w:cs="Arial"/>
          <w:i/>
          <w:iCs/>
        </w:rPr>
        <w:t>7</w:t>
      </w:r>
      <w:r>
        <w:rPr>
          <w:rFonts w:ascii="Arial" w:hAnsi="Arial" w:cs="Arial"/>
        </w:rPr>
        <w:t xml:space="preserve">(1), p.6. </w:t>
      </w:r>
      <w:hyperlink r:id="rId14" w:history="1">
        <w:r>
          <w:rPr>
            <w:rStyle w:val="Hyperlink"/>
            <w:rFonts w:ascii="Arial" w:hAnsi="Arial" w:cs="Arial"/>
          </w:rPr>
          <w:t>https://link.springer.com/article/10.1186/s40991-022-00073-1</w:t>
        </w:r>
      </w:hyperlink>
    </w:p>
    <w:p w14:paraId="58EF1CAB" w14:textId="77777777" w:rsidR="00CA0DC2" w:rsidRDefault="00F42B17">
      <w:pPr>
        <w:rPr>
          <w:rFonts w:ascii="Arial" w:hAnsi="Arial" w:cs="Arial"/>
        </w:rPr>
      </w:pPr>
      <w:r>
        <w:rPr>
          <w:rFonts w:ascii="Arial" w:hAnsi="Arial" w:cs="Arial"/>
        </w:rPr>
        <w:t>Bhattacharjee, J., Singh, R. and Singh, N.K., 2025. Embracing sustainability: Role of corporate social responsibility in promoting green growth amidst a competitive business environment in India. In </w:t>
      </w:r>
      <w:r>
        <w:rPr>
          <w:rFonts w:ascii="Arial" w:hAnsi="Arial" w:cs="Arial"/>
          <w:i/>
          <w:iCs/>
        </w:rPr>
        <w:t>Integrating Environmental Sustainability and Corporate Social Responsibility: A Move Beyond Profit: Corporate Social Responsibility for Environmental Sustainability</w:t>
      </w:r>
      <w:r>
        <w:rPr>
          <w:rFonts w:ascii="Arial" w:hAnsi="Arial" w:cs="Arial"/>
        </w:rPr>
        <w:t xml:space="preserve"> (pp. 205-223). Cham: Springer Nature Switzerland. </w:t>
      </w:r>
      <w:hyperlink r:id="rId15" w:history="1">
        <w:r>
          <w:rPr>
            <w:rStyle w:val="Hyperlink"/>
            <w:rFonts w:ascii="Arial" w:hAnsi="Arial" w:cs="Arial"/>
          </w:rPr>
          <w:t>https://link.springer.com/chapter/10.1007/978-3-031-81469-3_9</w:t>
        </w:r>
      </w:hyperlink>
    </w:p>
    <w:p w14:paraId="682BA2E3" w14:textId="77777777" w:rsidR="00CA0DC2" w:rsidRDefault="00F42B17">
      <w:pPr>
        <w:rPr>
          <w:rFonts w:ascii="Arial" w:hAnsi="Arial" w:cs="Arial"/>
        </w:rPr>
      </w:pPr>
      <w:proofErr w:type="spellStart"/>
      <w:r>
        <w:rPr>
          <w:rFonts w:ascii="Arial" w:hAnsi="Arial" w:cs="Arial"/>
        </w:rPr>
        <w:t>Cathles</w:t>
      </w:r>
      <w:proofErr w:type="spellEnd"/>
      <w:r>
        <w:rPr>
          <w:rFonts w:ascii="Arial" w:hAnsi="Arial" w:cs="Arial"/>
        </w:rPr>
        <w:t>, L.M., Simon, A.C. and Wood, D., 2025. Copper: mining, development, and electrification. </w:t>
      </w:r>
      <w:r>
        <w:rPr>
          <w:rFonts w:ascii="Arial" w:hAnsi="Arial" w:cs="Arial"/>
          <w:i/>
          <w:iCs/>
        </w:rPr>
        <w:t>SEG Discovery</w:t>
      </w:r>
      <w:r>
        <w:rPr>
          <w:rFonts w:ascii="Arial" w:hAnsi="Arial" w:cs="Arial"/>
        </w:rPr>
        <w:t xml:space="preserve">, (141), pp.13-20. </w:t>
      </w:r>
      <w:hyperlink r:id="rId16" w:history="1">
        <w:r>
          <w:rPr>
            <w:rStyle w:val="Hyperlink"/>
            <w:rFonts w:ascii="Arial" w:hAnsi="Arial" w:cs="Arial"/>
          </w:rPr>
          <w:t>https://pubs.geoscienceworld.org/segweb/segdiscovery/article-abstract/doi/10.5382/SEGnews.2025-141.fea-01/654182</w:t>
        </w:r>
      </w:hyperlink>
    </w:p>
    <w:p w14:paraId="6D14C557" w14:textId="77777777" w:rsidR="00CA0DC2" w:rsidRDefault="00F42B17">
      <w:pPr>
        <w:rPr>
          <w:rFonts w:ascii="Arial" w:hAnsi="Arial" w:cs="Arial"/>
        </w:rPr>
      </w:pPr>
      <w:proofErr w:type="spellStart"/>
      <w:r>
        <w:rPr>
          <w:rFonts w:ascii="Arial" w:hAnsi="Arial" w:cs="Arial"/>
        </w:rPr>
        <w:t>Challoumis</w:t>
      </w:r>
      <w:proofErr w:type="spellEnd"/>
      <w:r>
        <w:rPr>
          <w:rFonts w:ascii="Arial" w:hAnsi="Arial" w:cs="Arial"/>
        </w:rPr>
        <w:t>, C., 2024. Sustainable Investment and Long-Term Economic Growth. </w:t>
      </w:r>
      <w:r>
        <w:rPr>
          <w:rFonts w:ascii="Arial" w:hAnsi="Arial" w:cs="Arial"/>
          <w:i/>
          <w:iCs/>
        </w:rPr>
        <w:t>SSRN Electronic Journal</w:t>
      </w:r>
      <w:r>
        <w:rPr>
          <w:rFonts w:ascii="Arial" w:hAnsi="Arial" w:cs="Arial"/>
        </w:rPr>
        <w:t xml:space="preserve">. </w:t>
      </w:r>
      <w:hyperlink r:id="rId17" w:history="1">
        <w:r>
          <w:rPr>
            <w:rStyle w:val="Hyperlink"/>
            <w:rFonts w:ascii="Arial" w:hAnsi="Arial" w:cs="Arial"/>
          </w:rPr>
          <w:t>https://www.academia.edu/download/120640573/ssrn_4915788_1_.pdf</w:t>
        </w:r>
      </w:hyperlink>
    </w:p>
    <w:p w14:paraId="50E38381" w14:textId="77777777" w:rsidR="00CA0DC2" w:rsidRDefault="00F42B17">
      <w:pPr>
        <w:rPr>
          <w:rFonts w:ascii="Arial" w:hAnsi="Arial" w:cs="Arial"/>
        </w:rPr>
      </w:pPr>
      <w:proofErr w:type="spellStart"/>
      <w:r>
        <w:rPr>
          <w:rFonts w:ascii="Arial" w:hAnsi="Arial" w:cs="Arial"/>
        </w:rPr>
        <w:t>Codelco</w:t>
      </w:r>
      <w:proofErr w:type="spellEnd"/>
      <w:r>
        <w:rPr>
          <w:rFonts w:ascii="Arial" w:hAnsi="Arial" w:cs="Arial"/>
        </w:rPr>
        <w:t xml:space="preserve"> (2022). </w:t>
      </w:r>
      <w:r>
        <w:rPr>
          <w:rFonts w:ascii="Arial" w:hAnsi="Arial" w:cs="Arial"/>
          <w:i/>
          <w:iCs/>
        </w:rPr>
        <w:t>Annual Reports</w:t>
      </w:r>
      <w:r>
        <w:rPr>
          <w:rFonts w:ascii="Arial" w:hAnsi="Arial" w:cs="Arial"/>
        </w:rPr>
        <w:t xml:space="preserve">. [online] www.codelco.com. Available at: </w:t>
      </w:r>
      <w:hyperlink r:id="rId18" w:history="1">
        <w:r>
          <w:rPr>
            <w:rStyle w:val="Hyperlink"/>
            <w:rFonts w:ascii="Arial" w:hAnsi="Arial" w:cs="Arial"/>
          </w:rPr>
          <w:t>https://www.codelco.com/annual-reports</w:t>
        </w:r>
      </w:hyperlink>
      <w:r>
        <w:rPr>
          <w:rFonts w:ascii="Arial" w:hAnsi="Arial" w:cs="Arial"/>
        </w:rPr>
        <w:t>.</w:t>
      </w:r>
    </w:p>
    <w:p w14:paraId="4338D117" w14:textId="77777777" w:rsidR="00CA0DC2" w:rsidRDefault="00F42B17">
      <w:pPr>
        <w:rPr>
          <w:rFonts w:ascii="Arial" w:hAnsi="Arial" w:cs="Arial"/>
        </w:rPr>
      </w:pPr>
      <w:r>
        <w:rPr>
          <w:rFonts w:ascii="Arial" w:hAnsi="Arial" w:cs="Arial"/>
        </w:rPr>
        <w:lastRenderedPageBreak/>
        <w:t xml:space="preserve">Cohen, A. and </w:t>
      </w:r>
      <w:proofErr w:type="spellStart"/>
      <w:r>
        <w:rPr>
          <w:rFonts w:ascii="Arial" w:hAnsi="Arial" w:cs="Arial"/>
        </w:rPr>
        <w:t>Raineri</w:t>
      </w:r>
      <w:proofErr w:type="spellEnd"/>
      <w:r>
        <w:rPr>
          <w:rFonts w:ascii="Arial" w:hAnsi="Arial" w:cs="Arial"/>
        </w:rPr>
        <w:t xml:space="preserve">, R., 2025. Extractives: challenges and opportunities for the south in the energy transition: A. Cohen and R. </w:t>
      </w:r>
      <w:proofErr w:type="spellStart"/>
      <w:r>
        <w:rPr>
          <w:rFonts w:ascii="Arial" w:hAnsi="Arial" w:cs="Arial"/>
        </w:rPr>
        <w:t>Raineri</w:t>
      </w:r>
      <w:proofErr w:type="spellEnd"/>
      <w:r>
        <w:rPr>
          <w:rFonts w:ascii="Arial" w:hAnsi="Arial" w:cs="Arial"/>
        </w:rPr>
        <w:t>. </w:t>
      </w:r>
      <w:r>
        <w:rPr>
          <w:rFonts w:ascii="Arial" w:hAnsi="Arial" w:cs="Arial"/>
          <w:i/>
          <w:iCs/>
        </w:rPr>
        <w:t>Mineral Economics</w:t>
      </w:r>
      <w:r>
        <w:rPr>
          <w:rFonts w:ascii="Arial" w:hAnsi="Arial" w:cs="Arial"/>
        </w:rPr>
        <w:t>, </w:t>
      </w:r>
      <w:r>
        <w:rPr>
          <w:rFonts w:ascii="Arial" w:hAnsi="Arial" w:cs="Arial"/>
          <w:i/>
          <w:iCs/>
        </w:rPr>
        <w:t>38</w:t>
      </w:r>
      <w:r>
        <w:rPr>
          <w:rFonts w:ascii="Arial" w:hAnsi="Arial" w:cs="Arial"/>
        </w:rPr>
        <w:t xml:space="preserve">(2), pp.253-272. </w:t>
      </w:r>
      <w:hyperlink r:id="rId19" w:history="1">
        <w:r>
          <w:rPr>
            <w:rStyle w:val="Hyperlink"/>
            <w:rFonts w:ascii="Arial" w:hAnsi="Arial" w:cs="Arial"/>
          </w:rPr>
          <w:t>https://link.springer.com/article/10.1007/s13563-024-00479-2</w:t>
        </w:r>
      </w:hyperlink>
    </w:p>
    <w:p w14:paraId="75BA4867" w14:textId="77777777" w:rsidR="00CA0DC2" w:rsidRDefault="00F42B17">
      <w:pPr>
        <w:rPr>
          <w:rFonts w:ascii="Arial" w:hAnsi="Arial" w:cs="Arial"/>
        </w:rPr>
      </w:pPr>
      <w:r>
        <w:rPr>
          <w:rFonts w:ascii="Arial" w:hAnsi="Arial" w:cs="Arial"/>
        </w:rPr>
        <w:t xml:space="preserve">Issa, M., </w:t>
      </w:r>
      <w:proofErr w:type="spellStart"/>
      <w:r>
        <w:rPr>
          <w:rFonts w:ascii="Arial" w:hAnsi="Arial" w:cs="Arial"/>
        </w:rPr>
        <w:t>Ilinca</w:t>
      </w:r>
      <w:proofErr w:type="spellEnd"/>
      <w:r>
        <w:rPr>
          <w:rFonts w:ascii="Arial" w:hAnsi="Arial" w:cs="Arial"/>
        </w:rPr>
        <w:t xml:space="preserve">, A., Rousse, D.R., </w:t>
      </w:r>
      <w:proofErr w:type="spellStart"/>
      <w:r>
        <w:rPr>
          <w:rFonts w:ascii="Arial" w:hAnsi="Arial" w:cs="Arial"/>
        </w:rPr>
        <w:t>Boulon</w:t>
      </w:r>
      <w:proofErr w:type="spellEnd"/>
      <w:r>
        <w:rPr>
          <w:rFonts w:ascii="Arial" w:hAnsi="Arial" w:cs="Arial"/>
        </w:rPr>
        <w:t xml:space="preserve">, L. and </w:t>
      </w:r>
      <w:proofErr w:type="spellStart"/>
      <w:r>
        <w:rPr>
          <w:rFonts w:ascii="Arial" w:hAnsi="Arial" w:cs="Arial"/>
        </w:rPr>
        <w:t>Groleau</w:t>
      </w:r>
      <w:proofErr w:type="spellEnd"/>
      <w:r>
        <w:rPr>
          <w:rFonts w:ascii="Arial" w:hAnsi="Arial" w:cs="Arial"/>
        </w:rPr>
        <w:t>, P., 2023. Renewable energy and decarbonization in the Canadian mining industry: Opportunities and challenges. </w:t>
      </w:r>
      <w:r>
        <w:rPr>
          <w:rFonts w:ascii="Arial" w:hAnsi="Arial" w:cs="Arial"/>
          <w:i/>
          <w:iCs/>
        </w:rPr>
        <w:t>Energies</w:t>
      </w:r>
      <w:r>
        <w:rPr>
          <w:rFonts w:ascii="Arial" w:hAnsi="Arial" w:cs="Arial"/>
        </w:rPr>
        <w:t>, </w:t>
      </w:r>
      <w:r>
        <w:rPr>
          <w:rFonts w:ascii="Arial" w:hAnsi="Arial" w:cs="Arial"/>
          <w:i/>
          <w:iCs/>
        </w:rPr>
        <w:t>16</w:t>
      </w:r>
      <w:r>
        <w:rPr>
          <w:rFonts w:ascii="Arial" w:hAnsi="Arial" w:cs="Arial"/>
        </w:rPr>
        <w:t xml:space="preserve">(19), p.6967. </w:t>
      </w:r>
      <w:hyperlink r:id="rId20" w:history="1">
        <w:r>
          <w:rPr>
            <w:rStyle w:val="Hyperlink"/>
            <w:rFonts w:ascii="Arial" w:hAnsi="Arial" w:cs="Arial"/>
          </w:rPr>
          <w:t>https://www.mdpi.com/1996-1073/16/19/6967</w:t>
        </w:r>
      </w:hyperlink>
    </w:p>
    <w:p w14:paraId="06788A96" w14:textId="77777777" w:rsidR="00CA0DC2" w:rsidRDefault="00F42B17">
      <w:pPr>
        <w:rPr>
          <w:rFonts w:ascii="Arial" w:hAnsi="Arial" w:cs="Arial"/>
        </w:rPr>
      </w:pPr>
      <w:proofErr w:type="spellStart"/>
      <w:r>
        <w:rPr>
          <w:rFonts w:ascii="Arial" w:hAnsi="Arial" w:cs="Arial"/>
        </w:rPr>
        <w:t>Kruschel</w:t>
      </w:r>
      <w:proofErr w:type="spellEnd"/>
      <w:r>
        <w:rPr>
          <w:rFonts w:ascii="Arial" w:hAnsi="Arial" w:cs="Arial"/>
        </w:rPr>
        <w:t xml:space="preserve">, L.B. and </w:t>
      </w:r>
      <w:proofErr w:type="spellStart"/>
      <w:r>
        <w:rPr>
          <w:rFonts w:ascii="Arial" w:hAnsi="Arial" w:cs="Arial"/>
        </w:rPr>
        <w:t>Lafranchise</w:t>
      </w:r>
      <w:proofErr w:type="spellEnd"/>
      <w:r>
        <w:rPr>
          <w:rFonts w:ascii="Arial" w:hAnsi="Arial" w:cs="Arial"/>
        </w:rPr>
        <w:t>, J.F., 2023. White Gold Rush–</w:t>
      </w:r>
      <w:proofErr w:type="spellStart"/>
      <w:r>
        <w:rPr>
          <w:rFonts w:ascii="Arial" w:hAnsi="Arial" w:cs="Arial"/>
        </w:rPr>
        <w:t>Codelco’s</w:t>
      </w:r>
      <w:proofErr w:type="spellEnd"/>
      <w:r>
        <w:rPr>
          <w:rFonts w:ascii="Arial" w:hAnsi="Arial" w:cs="Arial"/>
        </w:rPr>
        <w:t xml:space="preserve"> Lithium Ambitions in Chile. </w:t>
      </w:r>
      <w:hyperlink r:id="rId21" w:history="1">
        <w:r>
          <w:rPr>
            <w:rStyle w:val="Hyperlink"/>
            <w:rFonts w:ascii="Arial" w:hAnsi="Arial" w:cs="Arial"/>
          </w:rPr>
          <w:t>https://research.cbs.dk/files/98727500/1567855_29068_Master_Thesis.pdf</w:t>
        </w:r>
      </w:hyperlink>
    </w:p>
    <w:p w14:paraId="59695703" w14:textId="77777777" w:rsidR="00CA0DC2" w:rsidRDefault="00F42B17">
      <w:pPr>
        <w:rPr>
          <w:rFonts w:ascii="Arial" w:hAnsi="Arial" w:cs="Arial"/>
        </w:rPr>
      </w:pPr>
      <w:r>
        <w:rPr>
          <w:rFonts w:ascii="Arial" w:hAnsi="Arial" w:cs="Arial"/>
        </w:rPr>
        <w:t>Lan, T.T.N., 2023. Market development strategy of renewable energy industry in Vietnam. </w:t>
      </w:r>
      <w:r>
        <w:rPr>
          <w:rFonts w:ascii="Arial" w:hAnsi="Arial" w:cs="Arial"/>
          <w:i/>
          <w:iCs/>
        </w:rPr>
        <w:t xml:space="preserve">International journal of business and </w:t>
      </w:r>
      <w:proofErr w:type="spellStart"/>
      <w:r>
        <w:rPr>
          <w:rFonts w:ascii="Arial" w:hAnsi="Arial" w:cs="Arial"/>
          <w:i/>
          <w:iCs/>
        </w:rPr>
        <w:t>globalisation</w:t>
      </w:r>
      <w:proofErr w:type="spellEnd"/>
      <w:r>
        <w:rPr>
          <w:rFonts w:ascii="Arial" w:hAnsi="Arial" w:cs="Arial"/>
        </w:rPr>
        <w:t>, </w:t>
      </w:r>
      <w:r>
        <w:rPr>
          <w:rFonts w:ascii="Arial" w:hAnsi="Arial" w:cs="Arial"/>
          <w:i/>
          <w:iCs/>
        </w:rPr>
        <w:t>1</w:t>
      </w:r>
      <w:r>
        <w:rPr>
          <w:rFonts w:ascii="Arial" w:hAnsi="Arial" w:cs="Arial"/>
        </w:rPr>
        <w:t xml:space="preserve">, pp.1-9. </w:t>
      </w:r>
      <w:hyperlink r:id="rId22" w:history="1">
        <w:r>
          <w:rPr>
            <w:rStyle w:val="Hyperlink"/>
            <w:rFonts w:ascii="Arial" w:hAnsi="Arial" w:cs="Arial"/>
          </w:rPr>
          <w:t>https://www.researchgate.net/profile/Tony-Ng-29/publication/368987885_Market_development_strategy_of_renewable_energy_industry_in_Vietnam/links/65d89e27adf2362b6352e292/Market-development-strategy-of-renewable-energy-industry-in-Vietnam.pdf</w:t>
        </w:r>
      </w:hyperlink>
    </w:p>
    <w:p w14:paraId="393BE29C" w14:textId="77777777" w:rsidR="00CA0DC2" w:rsidRDefault="00F42B17">
      <w:pPr>
        <w:rPr>
          <w:rFonts w:ascii="Arial" w:hAnsi="Arial" w:cs="Arial"/>
        </w:rPr>
      </w:pPr>
      <w:proofErr w:type="spellStart"/>
      <w:r>
        <w:rPr>
          <w:rFonts w:ascii="Arial" w:hAnsi="Arial" w:cs="Arial"/>
        </w:rPr>
        <w:t>Letunovska</w:t>
      </w:r>
      <w:proofErr w:type="spellEnd"/>
      <w:r>
        <w:rPr>
          <w:rFonts w:ascii="Arial" w:hAnsi="Arial" w:cs="Arial"/>
        </w:rPr>
        <w:t xml:space="preserve">, N., </w:t>
      </w:r>
      <w:proofErr w:type="spellStart"/>
      <w:r>
        <w:rPr>
          <w:rFonts w:ascii="Arial" w:hAnsi="Arial" w:cs="Arial"/>
        </w:rPr>
        <w:t>Offei</w:t>
      </w:r>
      <w:proofErr w:type="spellEnd"/>
      <w:r>
        <w:rPr>
          <w:rFonts w:ascii="Arial" w:hAnsi="Arial" w:cs="Arial"/>
        </w:rPr>
        <w:t xml:space="preserve">, F.A., Junior, P.A., </w:t>
      </w:r>
      <w:proofErr w:type="spellStart"/>
      <w:r>
        <w:rPr>
          <w:rFonts w:ascii="Arial" w:hAnsi="Arial" w:cs="Arial"/>
        </w:rPr>
        <w:t>Lyulyov</w:t>
      </w:r>
      <w:proofErr w:type="spellEnd"/>
      <w:r>
        <w:rPr>
          <w:rFonts w:ascii="Arial" w:hAnsi="Arial" w:cs="Arial"/>
        </w:rPr>
        <w:t xml:space="preserve">, O., </w:t>
      </w:r>
      <w:proofErr w:type="spellStart"/>
      <w:r>
        <w:rPr>
          <w:rFonts w:ascii="Arial" w:hAnsi="Arial" w:cs="Arial"/>
        </w:rPr>
        <w:t>Pimonenko</w:t>
      </w:r>
      <w:proofErr w:type="spellEnd"/>
      <w:r>
        <w:rPr>
          <w:rFonts w:ascii="Arial" w:hAnsi="Arial" w:cs="Arial"/>
        </w:rPr>
        <w:t xml:space="preserve">, T. and </w:t>
      </w:r>
      <w:proofErr w:type="spellStart"/>
      <w:r>
        <w:rPr>
          <w:rFonts w:ascii="Arial" w:hAnsi="Arial" w:cs="Arial"/>
        </w:rPr>
        <w:t>Kwilinski</w:t>
      </w:r>
      <w:proofErr w:type="spellEnd"/>
      <w:r>
        <w:rPr>
          <w:rFonts w:ascii="Arial" w:hAnsi="Arial" w:cs="Arial"/>
        </w:rPr>
        <w:t>, A., 2023. Green supply chain management: The effect of procurement sustainability on reverse logistics. </w:t>
      </w:r>
      <w:r>
        <w:rPr>
          <w:rFonts w:ascii="Arial" w:hAnsi="Arial" w:cs="Arial"/>
          <w:i/>
          <w:iCs/>
        </w:rPr>
        <w:t>Logistics</w:t>
      </w:r>
      <w:r>
        <w:rPr>
          <w:rFonts w:ascii="Arial" w:hAnsi="Arial" w:cs="Arial"/>
        </w:rPr>
        <w:t>, </w:t>
      </w:r>
      <w:r>
        <w:rPr>
          <w:rFonts w:ascii="Arial" w:hAnsi="Arial" w:cs="Arial"/>
          <w:i/>
          <w:iCs/>
        </w:rPr>
        <w:t>7</w:t>
      </w:r>
      <w:r>
        <w:rPr>
          <w:rFonts w:ascii="Arial" w:hAnsi="Arial" w:cs="Arial"/>
        </w:rPr>
        <w:t xml:space="preserve">(3), p.47. </w:t>
      </w:r>
      <w:hyperlink r:id="rId23" w:history="1">
        <w:r>
          <w:rPr>
            <w:rStyle w:val="Hyperlink"/>
            <w:rFonts w:ascii="Arial" w:hAnsi="Arial" w:cs="Arial"/>
          </w:rPr>
          <w:t>https://www.mdpi.com/2305-6290/7/3/47</w:t>
        </w:r>
      </w:hyperlink>
    </w:p>
    <w:p w14:paraId="49715051" w14:textId="77777777" w:rsidR="00CA0DC2" w:rsidRDefault="00F42B17">
      <w:pPr>
        <w:rPr>
          <w:rFonts w:ascii="Arial" w:hAnsi="Arial" w:cs="Arial"/>
        </w:rPr>
      </w:pPr>
      <w:r>
        <w:rPr>
          <w:rFonts w:ascii="Arial" w:hAnsi="Arial" w:cs="Arial"/>
        </w:rPr>
        <w:t xml:space="preserve">Lopes, J.M., Gomes, S. and </w:t>
      </w:r>
      <w:proofErr w:type="spellStart"/>
      <w:r>
        <w:rPr>
          <w:rFonts w:ascii="Arial" w:hAnsi="Arial" w:cs="Arial"/>
        </w:rPr>
        <w:t>Trancoso</w:t>
      </w:r>
      <w:proofErr w:type="spellEnd"/>
      <w:r>
        <w:rPr>
          <w:rFonts w:ascii="Arial" w:hAnsi="Arial" w:cs="Arial"/>
        </w:rPr>
        <w:t>, T., 2024. Navigating the green maze: insights for businesses on consumer decision-making and the mediating role of their environmental concerns. </w:t>
      </w:r>
      <w:r>
        <w:rPr>
          <w:rFonts w:ascii="Arial" w:hAnsi="Arial" w:cs="Arial"/>
          <w:i/>
          <w:iCs/>
        </w:rPr>
        <w:t>Sustainability Accounting, Management and Policy Journal</w:t>
      </w:r>
      <w:r>
        <w:rPr>
          <w:rFonts w:ascii="Arial" w:hAnsi="Arial" w:cs="Arial"/>
        </w:rPr>
        <w:t>, </w:t>
      </w:r>
      <w:r>
        <w:rPr>
          <w:rFonts w:ascii="Arial" w:hAnsi="Arial" w:cs="Arial"/>
          <w:i/>
          <w:iCs/>
        </w:rPr>
        <w:t>15</w:t>
      </w:r>
      <w:r>
        <w:rPr>
          <w:rFonts w:ascii="Arial" w:hAnsi="Arial" w:cs="Arial"/>
        </w:rPr>
        <w:t xml:space="preserve">(4), pp.861-883. </w:t>
      </w:r>
      <w:hyperlink r:id="rId24" w:history="1">
        <w:r>
          <w:rPr>
            <w:rStyle w:val="Hyperlink"/>
            <w:rFonts w:ascii="Arial" w:hAnsi="Arial" w:cs="Arial"/>
          </w:rPr>
          <w:t>https://www.emerald.com/sampj/article/15/4/861/1228752</w:t>
        </w:r>
      </w:hyperlink>
    </w:p>
    <w:p w14:paraId="1B22FE82" w14:textId="77777777" w:rsidR="00CA0DC2" w:rsidRDefault="00F42B17">
      <w:pPr>
        <w:rPr>
          <w:rFonts w:ascii="Arial" w:hAnsi="Arial" w:cs="Arial"/>
        </w:rPr>
      </w:pPr>
      <w:r>
        <w:rPr>
          <w:rFonts w:ascii="Arial" w:hAnsi="Arial" w:cs="Arial"/>
        </w:rPr>
        <w:t>Luo, L. and Tang, Q., 2023. The real effects of ESG reporting and GRI standards on carbon mitigation: International evidence. </w:t>
      </w:r>
      <w:r>
        <w:rPr>
          <w:rFonts w:ascii="Arial" w:hAnsi="Arial" w:cs="Arial"/>
          <w:i/>
          <w:iCs/>
        </w:rPr>
        <w:t>Business Strategy and the Environment</w:t>
      </w:r>
      <w:r>
        <w:rPr>
          <w:rFonts w:ascii="Arial" w:hAnsi="Arial" w:cs="Arial"/>
        </w:rPr>
        <w:t>, </w:t>
      </w:r>
      <w:r>
        <w:rPr>
          <w:rFonts w:ascii="Arial" w:hAnsi="Arial" w:cs="Arial"/>
          <w:i/>
          <w:iCs/>
        </w:rPr>
        <w:t>32</w:t>
      </w:r>
      <w:r>
        <w:rPr>
          <w:rFonts w:ascii="Arial" w:hAnsi="Arial" w:cs="Arial"/>
        </w:rPr>
        <w:t xml:space="preserve">(6), pp.2985-3000. </w:t>
      </w:r>
      <w:hyperlink r:id="rId25" w:history="1">
        <w:r>
          <w:rPr>
            <w:rStyle w:val="Hyperlink"/>
            <w:rFonts w:ascii="Arial" w:hAnsi="Arial" w:cs="Arial"/>
          </w:rPr>
          <w:t>https://onlinelibrary.wiley.com/doi/abs/10.1002/bse.3281</w:t>
        </w:r>
      </w:hyperlink>
    </w:p>
    <w:p w14:paraId="288A74DB" w14:textId="77777777" w:rsidR="00CA0DC2" w:rsidRDefault="00F42B17">
      <w:pPr>
        <w:rPr>
          <w:rFonts w:ascii="Arial" w:hAnsi="Arial" w:cs="Arial"/>
        </w:rPr>
      </w:pPr>
      <w:r>
        <w:rPr>
          <w:rFonts w:ascii="Arial" w:hAnsi="Arial" w:cs="Arial"/>
        </w:rPr>
        <w:t>McDonald, L., 2023. Chile and the clean energy transition. </w:t>
      </w:r>
      <w:r>
        <w:rPr>
          <w:rFonts w:ascii="Arial" w:hAnsi="Arial" w:cs="Arial"/>
          <w:i/>
          <w:iCs/>
        </w:rPr>
        <w:t>American Ceramic Society Bulletin</w:t>
      </w:r>
      <w:r>
        <w:rPr>
          <w:rFonts w:ascii="Arial" w:hAnsi="Arial" w:cs="Arial"/>
        </w:rPr>
        <w:t xml:space="preserve">, pp.17-37. </w:t>
      </w:r>
      <w:hyperlink r:id="rId26" w:history="1">
        <w:r>
          <w:rPr>
            <w:rStyle w:val="Hyperlink"/>
            <w:rFonts w:ascii="Arial" w:hAnsi="Arial" w:cs="Arial"/>
          </w:rPr>
          <w:t>https://ceramics.org/wp-content/bulletin/2023/pdf/articles/F-Chile_aug23%20hi-res.pdf</w:t>
        </w:r>
      </w:hyperlink>
    </w:p>
    <w:p w14:paraId="62B1AECD" w14:textId="77777777" w:rsidR="00CA0DC2" w:rsidRDefault="00F42B17">
      <w:pPr>
        <w:rPr>
          <w:rFonts w:ascii="Arial" w:hAnsi="Arial" w:cs="Arial"/>
        </w:rPr>
      </w:pPr>
      <w:proofErr w:type="spellStart"/>
      <w:r>
        <w:rPr>
          <w:rFonts w:ascii="Arial" w:hAnsi="Arial" w:cs="Arial"/>
        </w:rPr>
        <w:lastRenderedPageBreak/>
        <w:t>Orihuela</w:t>
      </w:r>
      <w:proofErr w:type="spellEnd"/>
      <w:r>
        <w:rPr>
          <w:rFonts w:ascii="Arial" w:hAnsi="Arial" w:cs="Arial"/>
        </w:rPr>
        <w:t xml:space="preserve">, J.C., </w:t>
      </w:r>
      <w:proofErr w:type="spellStart"/>
      <w:r>
        <w:rPr>
          <w:rFonts w:ascii="Arial" w:hAnsi="Arial" w:cs="Arial"/>
        </w:rPr>
        <w:t>Irarrázaval</w:t>
      </w:r>
      <w:proofErr w:type="spellEnd"/>
      <w:r>
        <w:rPr>
          <w:rFonts w:ascii="Arial" w:hAnsi="Arial" w:cs="Arial"/>
        </w:rPr>
        <w:t>, F. and Flores, C., 2026. Chile at the green window of opportunity: the troubled road to new productive capabilities. </w:t>
      </w:r>
      <w:r>
        <w:rPr>
          <w:rFonts w:ascii="Arial" w:hAnsi="Arial" w:cs="Arial"/>
          <w:i/>
          <w:iCs/>
        </w:rPr>
        <w:t>Journal of Globalization and Development</w:t>
      </w:r>
      <w:r>
        <w:rPr>
          <w:rFonts w:ascii="Arial" w:hAnsi="Arial" w:cs="Arial"/>
        </w:rPr>
        <w:t>, </w:t>
      </w:r>
      <w:r>
        <w:rPr>
          <w:rFonts w:ascii="Arial" w:hAnsi="Arial" w:cs="Arial"/>
          <w:i/>
          <w:iCs/>
        </w:rPr>
        <w:t>16</w:t>
      </w:r>
      <w:r>
        <w:rPr>
          <w:rFonts w:ascii="Arial" w:hAnsi="Arial" w:cs="Arial"/>
        </w:rPr>
        <w:t xml:space="preserve">(2), pp.277-304. </w:t>
      </w:r>
      <w:hyperlink r:id="rId27" w:history="1">
        <w:r>
          <w:rPr>
            <w:rStyle w:val="Hyperlink"/>
            <w:rFonts w:ascii="Arial" w:hAnsi="Arial" w:cs="Arial"/>
          </w:rPr>
          <w:t>https://www.degruyterbrill.com/document/doi/10.1515/jgd-2024-0090/html</w:t>
        </w:r>
      </w:hyperlink>
    </w:p>
    <w:p w14:paraId="558BE5FB" w14:textId="77777777" w:rsidR="00CA0DC2" w:rsidRDefault="00F42B17">
      <w:pPr>
        <w:rPr>
          <w:rFonts w:ascii="Arial" w:hAnsi="Arial" w:cs="Arial"/>
        </w:rPr>
      </w:pPr>
      <w:proofErr w:type="spellStart"/>
      <w:r>
        <w:rPr>
          <w:rFonts w:ascii="Arial" w:hAnsi="Arial" w:cs="Arial"/>
        </w:rPr>
        <w:t>Peterdy</w:t>
      </w:r>
      <w:proofErr w:type="spellEnd"/>
      <w:r>
        <w:rPr>
          <w:rFonts w:ascii="Arial" w:hAnsi="Arial" w:cs="Arial"/>
        </w:rPr>
        <w:t xml:space="preserve">, K. (2025). </w:t>
      </w:r>
      <w:r>
        <w:rPr>
          <w:rFonts w:ascii="Arial" w:hAnsi="Arial" w:cs="Arial"/>
          <w:i/>
          <w:iCs/>
        </w:rPr>
        <w:t>Ansoff Matrix</w:t>
      </w:r>
      <w:r>
        <w:rPr>
          <w:rFonts w:ascii="Arial" w:hAnsi="Arial" w:cs="Arial"/>
        </w:rPr>
        <w:t xml:space="preserve">. [online] Corporate Finance Institute. Available at: </w:t>
      </w:r>
      <w:hyperlink r:id="rId28" w:history="1">
        <w:r>
          <w:rPr>
            <w:rStyle w:val="Hyperlink"/>
            <w:rFonts w:ascii="Arial" w:hAnsi="Arial" w:cs="Arial"/>
          </w:rPr>
          <w:t>https://corporatefinanceinstitute.com/resources/management/ansoff-matrix/</w:t>
        </w:r>
      </w:hyperlink>
      <w:r>
        <w:rPr>
          <w:rFonts w:ascii="Arial" w:hAnsi="Arial" w:cs="Arial"/>
        </w:rPr>
        <w:t>.</w:t>
      </w:r>
    </w:p>
    <w:p w14:paraId="7302C385" w14:textId="77777777" w:rsidR="00CA0DC2" w:rsidRDefault="00F42B17">
      <w:pPr>
        <w:rPr>
          <w:rFonts w:ascii="Arial" w:hAnsi="Arial" w:cs="Arial"/>
        </w:rPr>
      </w:pPr>
      <w:proofErr w:type="spellStart"/>
      <w:r>
        <w:rPr>
          <w:rFonts w:ascii="Arial" w:hAnsi="Arial" w:cs="Arial"/>
        </w:rPr>
        <w:t>Rajaeifar</w:t>
      </w:r>
      <w:proofErr w:type="spellEnd"/>
      <w:r>
        <w:rPr>
          <w:rFonts w:ascii="Arial" w:hAnsi="Arial" w:cs="Arial"/>
        </w:rPr>
        <w:t xml:space="preserve">, M.A., </w:t>
      </w:r>
      <w:proofErr w:type="spellStart"/>
      <w:r>
        <w:rPr>
          <w:rFonts w:ascii="Arial" w:hAnsi="Arial" w:cs="Arial"/>
        </w:rPr>
        <w:t>Ghadimi</w:t>
      </w:r>
      <w:proofErr w:type="spellEnd"/>
      <w:r>
        <w:rPr>
          <w:rFonts w:ascii="Arial" w:hAnsi="Arial" w:cs="Arial"/>
        </w:rPr>
        <w:t xml:space="preserve">, P., </w:t>
      </w:r>
      <w:proofErr w:type="spellStart"/>
      <w:r>
        <w:rPr>
          <w:rFonts w:ascii="Arial" w:hAnsi="Arial" w:cs="Arial"/>
        </w:rPr>
        <w:t>Raugei</w:t>
      </w:r>
      <w:proofErr w:type="spellEnd"/>
      <w:r>
        <w:rPr>
          <w:rFonts w:ascii="Arial" w:hAnsi="Arial" w:cs="Arial"/>
        </w:rPr>
        <w:t>, M., Wu, Y. and Heidrich, O., 2022. Challenges and recent developments in supply and value chains of electric vehicle batteries: A sustainability perspective. </w:t>
      </w:r>
      <w:r>
        <w:rPr>
          <w:rFonts w:ascii="Arial" w:hAnsi="Arial" w:cs="Arial"/>
          <w:i/>
          <w:iCs/>
        </w:rPr>
        <w:t>Resources, Conservation and Recycling</w:t>
      </w:r>
      <w:r>
        <w:rPr>
          <w:rFonts w:ascii="Arial" w:hAnsi="Arial" w:cs="Arial"/>
        </w:rPr>
        <w:t>, </w:t>
      </w:r>
      <w:r>
        <w:rPr>
          <w:rFonts w:ascii="Arial" w:hAnsi="Arial" w:cs="Arial"/>
          <w:i/>
          <w:iCs/>
        </w:rPr>
        <w:t>180</w:t>
      </w:r>
      <w:r>
        <w:rPr>
          <w:rFonts w:ascii="Arial" w:hAnsi="Arial" w:cs="Arial"/>
        </w:rPr>
        <w:t xml:space="preserve">, p.106144. </w:t>
      </w:r>
      <w:hyperlink r:id="rId29" w:history="1">
        <w:r>
          <w:rPr>
            <w:rStyle w:val="Hyperlink"/>
            <w:rFonts w:ascii="Arial" w:hAnsi="Arial" w:cs="Arial"/>
          </w:rPr>
          <w:t>https://www.sciencedirect.com/science/article/pii/S0921344921007527</w:t>
        </w:r>
      </w:hyperlink>
    </w:p>
    <w:p w14:paraId="4C13B063" w14:textId="77777777" w:rsidR="00CA0DC2" w:rsidRDefault="00F42B17">
      <w:pPr>
        <w:rPr>
          <w:rFonts w:ascii="Arial" w:hAnsi="Arial" w:cs="Arial"/>
        </w:rPr>
      </w:pPr>
      <w:r>
        <w:rPr>
          <w:rFonts w:ascii="Arial" w:hAnsi="Arial" w:cs="Arial"/>
        </w:rPr>
        <w:t xml:space="preserve">Reuters Staff (2026). Chile’s </w:t>
      </w:r>
      <w:proofErr w:type="spellStart"/>
      <w:r>
        <w:rPr>
          <w:rFonts w:ascii="Arial" w:hAnsi="Arial" w:cs="Arial"/>
        </w:rPr>
        <w:t>Codelco</w:t>
      </w:r>
      <w:proofErr w:type="spellEnd"/>
      <w:r>
        <w:rPr>
          <w:rFonts w:ascii="Arial" w:hAnsi="Arial" w:cs="Arial"/>
        </w:rPr>
        <w:t xml:space="preserve"> logs $4.85 billion pre-tax profit in ‘very difficult’ 2025. </w:t>
      </w:r>
      <w:r>
        <w:rPr>
          <w:rFonts w:ascii="Arial" w:hAnsi="Arial" w:cs="Arial"/>
          <w:i/>
          <w:iCs/>
        </w:rPr>
        <w:t>Reuters</w:t>
      </w:r>
      <w:r>
        <w:rPr>
          <w:rFonts w:ascii="Arial" w:hAnsi="Arial" w:cs="Arial"/>
        </w:rPr>
        <w:t xml:space="preserve">. [online] 27 Mar. Available at: </w:t>
      </w:r>
      <w:hyperlink r:id="rId30" w:history="1">
        <w:r>
          <w:rPr>
            <w:rStyle w:val="Hyperlink"/>
            <w:rFonts w:ascii="Arial" w:hAnsi="Arial" w:cs="Arial"/>
          </w:rPr>
          <w:t>https://www.reuters.com/world/americas/chiles-codelco-reports-485-billion-pre-tax-profit-2025-2026-03-27/</w:t>
        </w:r>
      </w:hyperlink>
      <w:r>
        <w:rPr>
          <w:rFonts w:ascii="Arial" w:hAnsi="Arial" w:cs="Arial"/>
        </w:rPr>
        <w:t>.</w:t>
      </w:r>
    </w:p>
    <w:p w14:paraId="2A62B589" w14:textId="77777777" w:rsidR="00CA0DC2" w:rsidRDefault="00F42B17">
      <w:pPr>
        <w:rPr>
          <w:rFonts w:ascii="Arial" w:hAnsi="Arial" w:cs="Arial"/>
        </w:rPr>
      </w:pPr>
      <w:r>
        <w:rPr>
          <w:rFonts w:ascii="Arial" w:hAnsi="Arial" w:cs="Arial"/>
        </w:rPr>
        <w:t>Stern, N., 2022. Towards a carbon neutral economy: How government should respond to market failures and market absence. </w:t>
      </w:r>
      <w:r>
        <w:rPr>
          <w:rFonts w:ascii="Arial" w:hAnsi="Arial" w:cs="Arial"/>
          <w:i/>
          <w:iCs/>
        </w:rPr>
        <w:t>Journal of Government and Economics</w:t>
      </w:r>
      <w:r>
        <w:rPr>
          <w:rFonts w:ascii="Arial" w:hAnsi="Arial" w:cs="Arial"/>
        </w:rPr>
        <w:t>, </w:t>
      </w:r>
      <w:r>
        <w:rPr>
          <w:rFonts w:ascii="Arial" w:hAnsi="Arial" w:cs="Arial"/>
          <w:i/>
          <w:iCs/>
        </w:rPr>
        <w:t>6</w:t>
      </w:r>
      <w:r>
        <w:rPr>
          <w:rFonts w:ascii="Arial" w:hAnsi="Arial" w:cs="Arial"/>
        </w:rPr>
        <w:t xml:space="preserve">, p.100036. </w:t>
      </w:r>
      <w:hyperlink r:id="rId31" w:history="1">
        <w:r>
          <w:rPr>
            <w:rStyle w:val="Hyperlink"/>
            <w:rFonts w:ascii="Arial" w:hAnsi="Arial" w:cs="Arial"/>
          </w:rPr>
          <w:t>https://www.sciencedirect.com/science/article/pii/S2667319322000088</w:t>
        </w:r>
      </w:hyperlink>
    </w:p>
    <w:p w14:paraId="27DB0E01" w14:textId="77777777" w:rsidR="00CA0DC2" w:rsidRDefault="00F42B17">
      <w:pPr>
        <w:rPr>
          <w:rFonts w:ascii="Arial" w:hAnsi="Arial" w:cs="Arial"/>
        </w:rPr>
      </w:pPr>
      <w:r>
        <w:rPr>
          <w:rFonts w:ascii="Arial" w:hAnsi="Arial" w:cs="Arial"/>
        </w:rPr>
        <w:t xml:space="preserve">van der Linde, G. and </w:t>
      </w:r>
      <w:proofErr w:type="spellStart"/>
      <w:r>
        <w:rPr>
          <w:rFonts w:ascii="Arial" w:hAnsi="Arial" w:cs="Arial"/>
        </w:rPr>
        <w:t>Mera</w:t>
      </w:r>
      <w:proofErr w:type="spellEnd"/>
      <w:r>
        <w:rPr>
          <w:rFonts w:ascii="Arial" w:hAnsi="Arial" w:cs="Arial"/>
        </w:rPr>
        <w:t xml:space="preserve">, T., 2024. Are customers' purchasing decisions influenced by environmentally responsible business practices in emerging </w:t>
      </w:r>
      <w:proofErr w:type="gramStart"/>
      <w:r>
        <w:rPr>
          <w:rFonts w:ascii="Arial" w:hAnsi="Arial" w:cs="Arial"/>
        </w:rPr>
        <w:t>nations?.</w:t>
      </w:r>
      <w:proofErr w:type="gramEnd"/>
      <w:r>
        <w:rPr>
          <w:rFonts w:ascii="Arial" w:hAnsi="Arial" w:cs="Arial"/>
        </w:rPr>
        <w:t> </w:t>
      </w:r>
      <w:r>
        <w:rPr>
          <w:rFonts w:ascii="Arial" w:hAnsi="Arial" w:cs="Arial"/>
          <w:i/>
          <w:iCs/>
        </w:rPr>
        <w:t>Latin American Business and Sustainability Review</w:t>
      </w:r>
      <w:r>
        <w:rPr>
          <w:rFonts w:ascii="Arial" w:hAnsi="Arial" w:cs="Arial"/>
        </w:rPr>
        <w:t>, </w:t>
      </w:r>
      <w:r>
        <w:rPr>
          <w:rFonts w:ascii="Arial" w:hAnsi="Arial" w:cs="Arial"/>
          <w:i/>
          <w:iCs/>
        </w:rPr>
        <w:t>1</w:t>
      </w:r>
      <w:r>
        <w:rPr>
          <w:rFonts w:ascii="Arial" w:hAnsi="Arial" w:cs="Arial"/>
        </w:rPr>
        <w:t xml:space="preserve">(1), pp.14-23. </w:t>
      </w:r>
      <w:hyperlink r:id="rId32" w:history="1">
        <w:r>
          <w:rPr>
            <w:rStyle w:val="Hyperlink"/>
            <w:rFonts w:ascii="Arial" w:hAnsi="Arial" w:cs="Arial"/>
          </w:rPr>
          <w:t>https://labsreview.org/index.php/albus/article/view/6</w:t>
        </w:r>
      </w:hyperlink>
    </w:p>
    <w:p w14:paraId="19B50FE9" w14:textId="77777777" w:rsidR="00CA0DC2" w:rsidRDefault="00F42B17">
      <w:pPr>
        <w:rPr>
          <w:rFonts w:ascii="Arial" w:hAnsi="Arial" w:cs="Arial"/>
        </w:rPr>
      </w:pPr>
      <w:r>
        <w:rPr>
          <w:rFonts w:ascii="Arial" w:hAnsi="Arial" w:cs="Arial"/>
        </w:rPr>
        <w:t>Yang, Z., Huang, H. and Lin, F., 2022. Sustainable electric vehicle batteries for a sustainable world: perspectives on battery cathodes, environment, supply chain, manufacturing, life cycle, and policy. </w:t>
      </w:r>
      <w:r>
        <w:rPr>
          <w:rFonts w:ascii="Arial" w:hAnsi="Arial" w:cs="Arial"/>
          <w:i/>
          <w:iCs/>
        </w:rPr>
        <w:t>Advanced Energy Materials</w:t>
      </w:r>
      <w:r>
        <w:rPr>
          <w:rFonts w:ascii="Arial" w:hAnsi="Arial" w:cs="Arial"/>
        </w:rPr>
        <w:t>, </w:t>
      </w:r>
      <w:r>
        <w:rPr>
          <w:rFonts w:ascii="Arial" w:hAnsi="Arial" w:cs="Arial"/>
          <w:i/>
          <w:iCs/>
        </w:rPr>
        <w:t>12</w:t>
      </w:r>
      <w:r>
        <w:rPr>
          <w:rFonts w:ascii="Arial" w:hAnsi="Arial" w:cs="Arial"/>
        </w:rPr>
        <w:t xml:space="preserve">(26), p.2200383. </w:t>
      </w:r>
      <w:hyperlink r:id="rId33" w:history="1">
        <w:r>
          <w:rPr>
            <w:rStyle w:val="Hyperlink"/>
            <w:rFonts w:ascii="Arial" w:hAnsi="Arial" w:cs="Arial"/>
          </w:rPr>
          <w:t>https://advanced.onlinelibrary.wiley.com/doi/abs/10.1002/aenm.202200383</w:t>
        </w:r>
      </w:hyperlink>
    </w:p>
    <w:p w14:paraId="5230256D" w14:textId="77777777" w:rsidR="00CA0DC2" w:rsidRDefault="00CA0DC2">
      <w:pPr>
        <w:rPr>
          <w:rFonts w:ascii="Arial" w:hAnsi="Arial" w:cs="Arial"/>
        </w:rPr>
      </w:pPr>
    </w:p>
    <w:p w14:paraId="1C18A0E4" w14:textId="77777777" w:rsidR="00CA0DC2" w:rsidRDefault="00CA0DC2"/>
    <w:p w14:paraId="77E0F995" w14:textId="77777777" w:rsidR="00CA0DC2" w:rsidRDefault="00F42B17">
      <w:r>
        <w:t xml:space="preserve"> </w:t>
      </w:r>
    </w:p>
    <w:sectPr w:rsidR="00CA0DC2">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999ED" w14:textId="77777777" w:rsidR="00EE585D" w:rsidRDefault="00EE585D">
      <w:pPr>
        <w:spacing w:line="240" w:lineRule="auto"/>
      </w:pPr>
      <w:r>
        <w:separator/>
      </w:r>
    </w:p>
  </w:endnote>
  <w:endnote w:type="continuationSeparator" w:id="0">
    <w:p w14:paraId="278FDD48" w14:textId="77777777" w:rsidR="00EE585D" w:rsidRDefault="00EE58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Segoe U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altName w:val="Segoe UI Variable Display"/>
    <w:charset w:val="00"/>
    <w:family w:val="swiss"/>
    <w:pitch w:val="default"/>
    <w:sig w:usb0="00000000" w:usb1="00000000"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043020"/>
      <w:docPartObj>
        <w:docPartGallery w:val="AutoText"/>
      </w:docPartObj>
    </w:sdtPr>
    <w:sdtEndPr/>
    <w:sdtContent>
      <w:sdt>
        <w:sdtPr>
          <w:id w:val="-1769616900"/>
          <w:docPartObj>
            <w:docPartGallery w:val="AutoText"/>
          </w:docPartObj>
        </w:sdtPr>
        <w:sdtEndPr/>
        <w:sdtContent>
          <w:p w14:paraId="54A16614" w14:textId="77777777" w:rsidR="00CA0DC2" w:rsidRDefault="00F42B1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4ED5F677" w14:textId="77777777" w:rsidR="00CA0DC2" w:rsidRDefault="00CA0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652ED" w14:textId="77777777" w:rsidR="00EE585D" w:rsidRDefault="00EE585D">
      <w:pPr>
        <w:spacing w:after="0"/>
      </w:pPr>
      <w:r>
        <w:separator/>
      </w:r>
    </w:p>
  </w:footnote>
  <w:footnote w:type="continuationSeparator" w:id="0">
    <w:p w14:paraId="34568E3E" w14:textId="77777777" w:rsidR="00EE585D" w:rsidRDefault="00EE585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65E6"/>
    <w:rsid w:val="00075303"/>
    <w:rsid w:val="000F741D"/>
    <w:rsid w:val="002D256C"/>
    <w:rsid w:val="002F7CBF"/>
    <w:rsid w:val="00536BAE"/>
    <w:rsid w:val="00560469"/>
    <w:rsid w:val="0059287C"/>
    <w:rsid w:val="005D5008"/>
    <w:rsid w:val="00623CA4"/>
    <w:rsid w:val="007C3CAB"/>
    <w:rsid w:val="00967A3D"/>
    <w:rsid w:val="009D7FE1"/>
    <w:rsid w:val="009E1B9A"/>
    <w:rsid w:val="009E60FD"/>
    <w:rsid w:val="009F1EC3"/>
    <w:rsid w:val="00AC0A44"/>
    <w:rsid w:val="00BB3DDF"/>
    <w:rsid w:val="00CA0DC2"/>
    <w:rsid w:val="00D065E6"/>
    <w:rsid w:val="00D342DC"/>
    <w:rsid w:val="00D93199"/>
    <w:rsid w:val="00E35748"/>
    <w:rsid w:val="00E55BD3"/>
    <w:rsid w:val="00E610AA"/>
    <w:rsid w:val="00E91929"/>
    <w:rsid w:val="00EE585D"/>
    <w:rsid w:val="00F42B17"/>
    <w:rsid w:val="146418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892C"/>
  <w15:docId w15:val="{17BA179F-9048-4623-A92B-4C938A150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color w:val="000000" w:themeColor="text1"/>
      <w:kern w:val="2"/>
      <w:sz w:val="24"/>
      <w:szCs w:val="22"/>
      <w:lang w:val="en-US" w:eastAsia="en-US"/>
      <w14:ligatures w14:val="standardContextual"/>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color w:val="auto"/>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0F4761" w:themeColor="accent1" w:themeShade="BF"/>
      <w:sz w:val="24"/>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rPr>
      <w:rFonts w:ascii="Times New Roman" w:hAnsi="Times New Roman"/>
      <w:color w:val="000000" w:themeColor="text1"/>
      <w:sz w:val="24"/>
    </w:rPr>
  </w:style>
  <w:style w:type="character" w:customStyle="1" w:styleId="FooterChar">
    <w:name w:val="Footer Char"/>
    <w:basedOn w:val="DefaultParagraphFont"/>
    <w:link w:val="Footer"/>
    <w:uiPriority w:val="99"/>
    <w:qFormat/>
    <w:rPr>
      <w:rFonts w:ascii="Times New Roman" w:hAnsi="Times New Roman"/>
      <w:color w:val="000000" w:themeColor="text1"/>
      <w:sz w:val="24"/>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0F4761" w:themeColor="accent1" w:themeShade="BF"/>
      <w:kern w:val="0"/>
      <w:sz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oozakar.com/storage/publications/pdfs/loZuVC0QoP61FtlI2CUkkDd3S33KVemqPFWpUm39.pdf" TargetMode="External"/><Relationship Id="rId18" Type="http://schemas.openxmlformats.org/officeDocument/2006/relationships/hyperlink" Target="https://www.codelco.com/annual-reports" TargetMode="External"/><Relationship Id="rId26" Type="http://schemas.openxmlformats.org/officeDocument/2006/relationships/hyperlink" Target="https://ceramics.org/wp-content/bulletin/2023/pdf/articles/F-Chile_aug23%20hi-res.pdf" TargetMode="External"/><Relationship Id="rId3" Type="http://schemas.openxmlformats.org/officeDocument/2006/relationships/settings" Target="settings.xml"/><Relationship Id="rId21" Type="http://schemas.openxmlformats.org/officeDocument/2006/relationships/hyperlink" Target="https://research.cbs.dk/files/98727500/1567855_29068_Master_Thesis.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sssjournal.com/files/sssjournal/e5935340-8b65-4cf6-a1c1-cf266026257d.pdf" TargetMode="External"/><Relationship Id="rId17" Type="http://schemas.openxmlformats.org/officeDocument/2006/relationships/hyperlink" Target="https://www.academia.edu/download/120640573/ssrn_4915788_1_.pdf" TargetMode="External"/><Relationship Id="rId25" Type="http://schemas.openxmlformats.org/officeDocument/2006/relationships/hyperlink" Target="https://onlinelibrary.wiley.com/doi/abs/10.1002/bse.3281" TargetMode="External"/><Relationship Id="rId33" Type="http://schemas.openxmlformats.org/officeDocument/2006/relationships/hyperlink" Target="https://advanced.onlinelibrary.wiley.com/doi/abs/10.1002/aenm.202200383" TargetMode="External"/><Relationship Id="rId2" Type="http://schemas.openxmlformats.org/officeDocument/2006/relationships/styles" Target="styles.xml"/><Relationship Id="rId16" Type="http://schemas.openxmlformats.org/officeDocument/2006/relationships/hyperlink" Target="https://pubs.geoscienceworld.org/segweb/segdiscovery/article-abstract/doi/10.5382/SEGnews.2025-141.fea-01/654182" TargetMode="External"/><Relationship Id="rId20" Type="http://schemas.openxmlformats.org/officeDocument/2006/relationships/hyperlink" Target="https://www.mdpi.com/1996-1073/16/19/6967" TargetMode="External"/><Relationship Id="rId29" Type="http://schemas.openxmlformats.org/officeDocument/2006/relationships/hyperlink" Target="https://www.sciencedirect.com/science/article/pii/S09213449210075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merald.com/sampj/article/15/4/861/1228752" TargetMode="External"/><Relationship Id="rId32" Type="http://schemas.openxmlformats.org/officeDocument/2006/relationships/hyperlink" Target="https://labsreview.org/index.php/albus/article/view/6" TargetMode="External"/><Relationship Id="rId5" Type="http://schemas.openxmlformats.org/officeDocument/2006/relationships/footnotes" Target="footnotes.xml"/><Relationship Id="rId15" Type="http://schemas.openxmlformats.org/officeDocument/2006/relationships/hyperlink" Target="https://link.springer.com/chapter/10.1007/978-3-031-81469-3_9" TargetMode="External"/><Relationship Id="rId23" Type="http://schemas.openxmlformats.org/officeDocument/2006/relationships/hyperlink" Target="https://www.mdpi.com/2305-6290/7/3/47" TargetMode="External"/><Relationship Id="rId28" Type="http://schemas.openxmlformats.org/officeDocument/2006/relationships/hyperlink" Target="https://corporatefinanceinstitute.com/resources/management/ansoff-matrix/" TargetMode="External"/><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link.springer.com/article/10.1007/s13563-024-00479-2" TargetMode="External"/><Relationship Id="rId31" Type="http://schemas.openxmlformats.org/officeDocument/2006/relationships/hyperlink" Target="https://www.sciencedirect.com/science/article/pii/S266731932200008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link.springer.com/article/10.1186/s40991-022-00073-1" TargetMode="External"/><Relationship Id="rId22" Type="http://schemas.openxmlformats.org/officeDocument/2006/relationships/hyperlink" Target="https://www.researchgate.net/profile/Tony-Ng-29/publication/368987885_Market_development_strategy_of_renewable_energy_industry_in_Vietnam/links/65d89e27adf2362b6352e292/Market-development-strategy-of-renewable-energy-industry-in-Vietnam.pdf" TargetMode="External"/><Relationship Id="rId27" Type="http://schemas.openxmlformats.org/officeDocument/2006/relationships/hyperlink" Target="https://www.degruyterbrill.com/document/doi/10.1515/jgd-2024-0090/html" TargetMode="External"/><Relationship Id="rId30" Type="http://schemas.openxmlformats.org/officeDocument/2006/relationships/hyperlink" Target="https://www.reuters.com/world/americas/chiles-codelco-reports-485-billion-pre-tax-profit-2025-2026-03-27/"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1AB36-1118-4AD1-84F8-9EF173BE2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3994</Words>
  <Characters>22768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Darshil Dodiya</dc:creator>
  <cp:lastModifiedBy>Darshil Dodiya</cp:lastModifiedBy>
  <cp:revision>7</cp:revision>
  <dcterms:created xsi:type="dcterms:W3CDTF">2026-06-06T08:00:00Z</dcterms:created>
  <dcterms:modified xsi:type="dcterms:W3CDTF">2026-06-24T13:40:00Z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1033-12.1.0.26880</vt:lpwstr>
  </property>
  <property fmtid="{D5CDD505-2E9C-101B-9397-08002B2CF9AE}" pid="4" name="ICV">
    <vt:lpwstr>5FA9E210CD8E450CB19F4C2D454A9910_13</vt:lpwstr>
  </property>
</Properties>
</file>