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6CC580" w14:textId="4EEA0E15" w:rsidR="00BD4367" w:rsidRPr="00570186" w:rsidRDefault="00BD4367" w:rsidP="0084328E">
      <w:pPr>
        <w:jc w:val="both"/>
        <w:rPr>
          <w:rFonts w:ascii="Arial" w:hAnsi="Arial" w:cs="Arial"/>
        </w:rPr>
      </w:pPr>
      <w:r w:rsidRPr="00570186">
        <w:rPr>
          <w:rFonts w:ascii="Arial" w:hAnsi="Arial" w:cs="Arial"/>
        </w:rPr>
        <w:t>It Can Be Argued That Precedent Is No Longer Needed in the Current UK Legal System</w:t>
      </w:r>
    </w:p>
    <w:p w14:paraId="7EA80896" w14:textId="1B21D467" w:rsidR="00BD4367" w:rsidRPr="00570186" w:rsidRDefault="00BD4367" w:rsidP="0084328E">
      <w:pPr>
        <w:jc w:val="both"/>
        <w:rPr>
          <w:rFonts w:ascii="Arial" w:hAnsi="Arial" w:cs="Arial"/>
        </w:rPr>
      </w:pPr>
      <w:r w:rsidRPr="00570186">
        <w:rPr>
          <w:rFonts w:ascii="Arial" w:hAnsi="Arial" w:cs="Arial"/>
        </w:rPr>
        <w:t xml:space="preserve">                         Introductions</w:t>
      </w:r>
    </w:p>
    <w:p w14:paraId="15DFE159" w14:textId="4A25CE7E" w:rsidR="00BD4367" w:rsidRPr="00570186" w:rsidRDefault="009853CF" w:rsidP="0084328E">
      <w:pPr>
        <w:jc w:val="both"/>
        <w:rPr>
          <w:rFonts w:ascii="Arial" w:hAnsi="Arial" w:cs="Arial"/>
        </w:rPr>
      </w:pPr>
      <w:r>
        <w:rPr>
          <w:rFonts w:ascii="Arial" w:hAnsi="Arial" w:cs="Arial"/>
        </w:rPr>
        <w:t>In this</w:t>
      </w:r>
      <w:r w:rsidR="00C35DA6" w:rsidRPr="00570186">
        <w:rPr>
          <w:rFonts w:ascii="Arial" w:hAnsi="Arial" w:cs="Arial"/>
        </w:rPr>
        <w:t xml:space="preserve"> assignment</w:t>
      </w:r>
      <w:r w:rsidR="00707557">
        <w:rPr>
          <w:rFonts w:ascii="Arial" w:hAnsi="Arial" w:cs="Arial"/>
        </w:rPr>
        <w:t>,</w:t>
      </w:r>
      <w:r w:rsidR="005F1982" w:rsidRPr="00570186">
        <w:rPr>
          <w:rFonts w:ascii="Arial" w:hAnsi="Arial" w:cs="Arial"/>
        </w:rPr>
        <w:t xml:space="preserve"> we</w:t>
      </w:r>
      <w:r w:rsidR="00C35DA6" w:rsidRPr="00570186">
        <w:rPr>
          <w:rFonts w:ascii="Arial" w:hAnsi="Arial" w:cs="Arial"/>
        </w:rPr>
        <w:t xml:space="preserve"> will discuss</w:t>
      </w:r>
      <w:r w:rsidR="00B363C1" w:rsidRPr="00570186">
        <w:rPr>
          <w:rFonts w:ascii="Arial" w:hAnsi="Arial" w:cs="Arial"/>
        </w:rPr>
        <w:t xml:space="preserve"> the </w:t>
      </w:r>
      <w:r w:rsidR="00BD4367" w:rsidRPr="00570186">
        <w:rPr>
          <w:rFonts w:ascii="Arial" w:hAnsi="Arial" w:cs="Arial"/>
        </w:rPr>
        <w:t>common law system's central idea of</w:t>
      </w:r>
      <w:r w:rsidR="00977C6F" w:rsidRPr="00570186">
        <w:rPr>
          <w:rFonts w:ascii="Arial" w:hAnsi="Arial" w:cs="Arial"/>
        </w:rPr>
        <w:t xml:space="preserve"> how </w:t>
      </w:r>
      <w:r w:rsidR="00BD4367" w:rsidRPr="00570186">
        <w:rPr>
          <w:rFonts w:ascii="Arial" w:hAnsi="Arial" w:cs="Arial"/>
        </w:rPr>
        <w:t xml:space="preserve">legal precedent has </w:t>
      </w:r>
      <w:r w:rsidR="0084328E" w:rsidRPr="00570186">
        <w:rPr>
          <w:rFonts w:ascii="Arial" w:hAnsi="Arial" w:cs="Arial"/>
        </w:rPr>
        <w:t>significantly influenced</w:t>
      </w:r>
      <w:r w:rsidR="00BD4367" w:rsidRPr="00570186">
        <w:rPr>
          <w:rFonts w:ascii="Arial" w:hAnsi="Arial" w:cs="Arial"/>
        </w:rPr>
        <w:t xml:space="preserve"> the development of UK law. Nonetheless, discussions over its importance and applicability in the current legal system have surfaced recently. This</w:t>
      </w:r>
      <w:r w:rsidR="0014664D" w:rsidRPr="00570186">
        <w:rPr>
          <w:rFonts w:ascii="Arial" w:hAnsi="Arial" w:cs="Arial"/>
        </w:rPr>
        <w:t xml:space="preserve"> assignment</w:t>
      </w:r>
      <w:r w:rsidR="00BD4367" w:rsidRPr="00570186">
        <w:rPr>
          <w:rFonts w:ascii="Arial" w:hAnsi="Arial" w:cs="Arial"/>
        </w:rPr>
        <w:t xml:space="preserve"> will examine the legal system's structure in the United Kingdom, the function and significance of precedent, significant case law, the benefits and drawbacks of following precedent, and possible improvements. </w:t>
      </w:r>
      <w:r w:rsidR="0084328E" w:rsidRPr="00570186">
        <w:rPr>
          <w:rFonts w:ascii="Arial" w:hAnsi="Arial" w:cs="Arial"/>
        </w:rPr>
        <w:t>Ultimately</w:t>
      </w:r>
      <w:r w:rsidR="00BD4367" w:rsidRPr="00570186">
        <w:rPr>
          <w:rFonts w:ascii="Arial" w:hAnsi="Arial" w:cs="Arial"/>
        </w:rPr>
        <w:t>, it will assess the degree to which the present legal system in the United Kingdom satisfies the claim that precedent is no longer necessary.</w:t>
      </w:r>
    </w:p>
    <w:p w14:paraId="0FC2379C" w14:textId="77777777" w:rsidR="00D96EBD" w:rsidRPr="00570186" w:rsidRDefault="00D96EBD" w:rsidP="0084328E">
      <w:pPr>
        <w:spacing w:after="0" w:line="240" w:lineRule="auto"/>
        <w:jc w:val="both"/>
        <w:rPr>
          <w:rFonts w:ascii="Arial" w:eastAsia="Times New Roman" w:hAnsi="Arial" w:cs="Arial"/>
          <w:kern w:val="0"/>
          <w:lang w:eastAsia="en-GB"/>
          <w14:ligatures w14:val="none"/>
        </w:rPr>
      </w:pPr>
    </w:p>
    <w:p w14:paraId="651A98B7" w14:textId="72E25411" w:rsidR="00467196" w:rsidRPr="00570186" w:rsidRDefault="00467196" w:rsidP="00467196">
      <w:pPr>
        <w:spacing w:after="0" w:line="240" w:lineRule="auto"/>
        <w:jc w:val="both"/>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What does Prece</w:t>
      </w:r>
      <w:r w:rsidR="00DB565B" w:rsidRPr="00570186">
        <w:rPr>
          <w:rFonts w:ascii="Arial" w:eastAsia="Times New Roman" w:hAnsi="Arial" w:cs="Arial"/>
          <w:kern w:val="0"/>
          <w:lang w:eastAsia="en-GB"/>
          <w14:ligatures w14:val="none"/>
        </w:rPr>
        <w:t>dent</w:t>
      </w:r>
      <w:r w:rsidRPr="00570186">
        <w:rPr>
          <w:rFonts w:ascii="Arial" w:eastAsia="Times New Roman" w:hAnsi="Arial" w:cs="Arial"/>
          <w:kern w:val="0"/>
          <w:lang w:eastAsia="en-GB"/>
          <w14:ligatures w14:val="none"/>
        </w:rPr>
        <w:t xml:space="preserve"> mean?</w:t>
      </w:r>
    </w:p>
    <w:p w14:paraId="48618C2F" w14:textId="77777777" w:rsidR="00467196" w:rsidRPr="00570186" w:rsidRDefault="00467196" w:rsidP="00467196">
      <w:pPr>
        <w:spacing w:after="0" w:line="240" w:lineRule="auto"/>
        <w:jc w:val="both"/>
        <w:rPr>
          <w:rFonts w:ascii="Arial" w:eastAsia="Times New Roman" w:hAnsi="Arial" w:cs="Arial"/>
          <w:kern w:val="0"/>
          <w:lang w:eastAsia="en-GB"/>
          <w14:ligatures w14:val="none"/>
        </w:rPr>
      </w:pPr>
    </w:p>
    <w:p w14:paraId="614BC089" w14:textId="77C1A844" w:rsidR="00467196" w:rsidRPr="00570186" w:rsidRDefault="0009190D" w:rsidP="00467196">
      <w:pPr>
        <w:spacing w:after="0" w:line="240" w:lineRule="auto"/>
        <w:jc w:val="both"/>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 xml:space="preserve">According to </w:t>
      </w:r>
      <w:r w:rsidR="007A4285" w:rsidRPr="00570186">
        <w:rPr>
          <w:rFonts w:ascii="Arial" w:eastAsia="Times New Roman" w:hAnsi="Arial" w:cs="Arial"/>
          <w:kern w:val="0"/>
          <w:lang w:eastAsia="en-GB"/>
          <w14:ligatures w14:val="none"/>
        </w:rPr>
        <w:t xml:space="preserve">Liddell and Schubert (2022), the </w:t>
      </w:r>
      <w:r w:rsidR="00467196" w:rsidRPr="00570186">
        <w:rPr>
          <w:rFonts w:ascii="Arial" w:eastAsia="Times New Roman" w:hAnsi="Arial" w:cs="Arial"/>
          <w:kern w:val="0"/>
          <w:lang w:eastAsia="en-GB"/>
          <w14:ligatures w14:val="none"/>
        </w:rPr>
        <w:t>legal principle known as precedent, or stare decisis, states that decisions made by judges in the past should serve as a guide for issues decided in the future. Precedent can be persuasive, meaning decisions from lower courts or other jurisdictions may have an impact but not binding authority, or binding, meaning lower courts must obey rulings from higher courts. By ensuring uniformity and predictability in the legal system, this system enables people and organisations to make plans for their future while having a realistic awareness of the potential legal ramifications of their choices.</w:t>
      </w:r>
    </w:p>
    <w:p w14:paraId="652935D1" w14:textId="77777777" w:rsidR="0024379A" w:rsidRPr="00570186" w:rsidRDefault="0024379A" w:rsidP="0084328E">
      <w:pPr>
        <w:spacing w:after="0" w:line="240" w:lineRule="auto"/>
        <w:jc w:val="both"/>
        <w:rPr>
          <w:rFonts w:ascii="Arial" w:eastAsia="Times New Roman" w:hAnsi="Arial" w:cs="Arial"/>
          <w:kern w:val="0"/>
          <w:lang w:eastAsia="en-GB"/>
          <w14:ligatures w14:val="none"/>
        </w:rPr>
      </w:pPr>
    </w:p>
    <w:p w14:paraId="1035AA0C" w14:textId="77777777" w:rsidR="0024379A" w:rsidRPr="001501A6" w:rsidRDefault="0024379A" w:rsidP="0024379A">
      <w:pPr>
        <w:jc w:val="both"/>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 xml:space="preserve">Discussing </w:t>
      </w:r>
      <w:r w:rsidRPr="001501A6">
        <w:rPr>
          <w:rFonts w:ascii="Arial" w:eastAsia="Times New Roman" w:hAnsi="Arial" w:cs="Arial"/>
          <w:kern w:val="0"/>
          <w:lang w:eastAsia="en-GB"/>
          <w14:ligatures w14:val="none"/>
        </w:rPr>
        <w:t xml:space="preserve">the Need for </w:t>
      </w:r>
      <w:r w:rsidRPr="00570186">
        <w:rPr>
          <w:rFonts w:ascii="Arial" w:eastAsia="Times New Roman" w:hAnsi="Arial" w:cs="Arial"/>
          <w:kern w:val="0"/>
          <w:lang w:eastAsia="en-GB"/>
          <w14:ligatures w14:val="none"/>
        </w:rPr>
        <w:t>Precedents</w:t>
      </w:r>
      <w:r w:rsidRPr="001501A6">
        <w:rPr>
          <w:rFonts w:ascii="Arial" w:eastAsia="Times New Roman" w:hAnsi="Arial" w:cs="Arial"/>
          <w:kern w:val="0"/>
          <w:lang w:eastAsia="en-GB"/>
          <w14:ligatures w14:val="none"/>
        </w:rPr>
        <w:t xml:space="preserve"> in the Current Legal System of the United Kingdom</w:t>
      </w:r>
      <w:r w:rsidRPr="001501A6">
        <w:rPr>
          <w:rFonts w:ascii="Arial" w:eastAsia="Times New Roman" w:hAnsi="Arial" w:cs="Arial"/>
          <w:kern w:val="0"/>
          <w:lang w:eastAsia="en-GB"/>
          <w14:ligatures w14:val="none"/>
        </w:rPr>
        <w:br/>
        <w:t>Examining multiple elements is crucial when determining if precedent is still required in the contemporary legal system of the United Kingdom.</w:t>
      </w:r>
    </w:p>
    <w:p w14:paraId="75C941C2" w14:textId="77777777" w:rsidR="0024379A" w:rsidRPr="00570186" w:rsidRDefault="0024379A" w:rsidP="0024379A">
      <w:pPr>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Technological and societal Changes: The previous system is under threat from the quick speed at which technology is developing and from societal change. Artificial intelligence, privacy and security, and digital privacy are just a few examples of the legal concerns that arise from new technology and the frequent need for creative interpretations that precedents may not fully provide. A strict devotion to precedent can impede the law's ability to swiftly adjust to new developments.</w:t>
      </w:r>
    </w:p>
    <w:p w14:paraId="44ECA08B" w14:textId="77777777" w:rsidR="0024379A" w:rsidRPr="0077410E" w:rsidRDefault="0024379A" w:rsidP="0024379A">
      <w:pPr>
        <w:rPr>
          <w:rFonts w:ascii="Arial" w:eastAsia="Times New Roman" w:hAnsi="Arial" w:cs="Arial"/>
          <w:kern w:val="0"/>
          <w:lang w:eastAsia="en-GB"/>
          <w14:ligatures w14:val="none"/>
        </w:rPr>
      </w:pPr>
      <w:r w:rsidRPr="0077410E">
        <w:rPr>
          <w:rFonts w:ascii="Arial" w:eastAsia="Times New Roman" w:hAnsi="Arial" w:cs="Arial"/>
          <w:kern w:val="0"/>
          <w:lang w:eastAsia="en-GB"/>
          <w14:ligatures w14:val="none"/>
        </w:rPr>
        <w:t>Judicial Flexibility: While precedent offers consistency, it can also stifle the judges' ability to be innovative and adaptable. Even in situations when new facts demand a different course of action, judges could feel constrained by decisions made years before. More latitude for judges to depart from precedent in special circumstances may result in more just and equitable decisions.</w:t>
      </w:r>
    </w:p>
    <w:p w14:paraId="10F1F9DE" w14:textId="77777777" w:rsidR="0024379A" w:rsidRPr="00570186" w:rsidRDefault="0024379A" w:rsidP="0084328E">
      <w:pPr>
        <w:spacing w:after="0" w:line="240" w:lineRule="auto"/>
        <w:jc w:val="both"/>
        <w:rPr>
          <w:rFonts w:ascii="Arial" w:eastAsia="Times New Roman" w:hAnsi="Arial" w:cs="Arial"/>
          <w:kern w:val="0"/>
          <w:lang w:eastAsia="en-GB"/>
          <w14:ligatures w14:val="none"/>
        </w:rPr>
      </w:pPr>
    </w:p>
    <w:p w14:paraId="0B31CA97" w14:textId="77777777" w:rsidR="0024379A" w:rsidRPr="00570186" w:rsidRDefault="0024379A" w:rsidP="0084328E">
      <w:pPr>
        <w:spacing w:after="0" w:line="240" w:lineRule="auto"/>
        <w:jc w:val="both"/>
        <w:rPr>
          <w:rFonts w:ascii="Arial" w:eastAsia="Times New Roman" w:hAnsi="Arial" w:cs="Arial"/>
          <w:kern w:val="0"/>
          <w:lang w:eastAsia="en-GB"/>
          <w14:ligatures w14:val="none"/>
        </w:rPr>
      </w:pPr>
    </w:p>
    <w:p w14:paraId="32EB221C" w14:textId="77777777" w:rsidR="0024379A" w:rsidRPr="00570186" w:rsidRDefault="0014664D" w:rsidP="0084328E">
      <w:pPr>
        <w:spacing w:after="0" w:line="240" w:lineRule="auto"/>
        <w:jc w:val="both"/>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 xml:space="preserve">UK Justice system’s organisation </w:t>
      </w:r>
    </w:p>
    <w:p w14:paraId="2273DCBC" w14:textId="6D24AC19" w:rsidR="00BD4367" w:rsidRPr="00570186" w:rsidRDefault="00BD4367" w:rsidP="0084328E">
      <w:pPr>
        <w:spacing w:after="0" w:line="240" w:lineRule="auto"/>
        <w:jc w:val="both"/>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lastRenderedPageBreak/>
        <w:br/>
      </w:r>
      <w:r w:rsidR="0045008F" w:rsidRPr="00570186">
        <w:rPr>
          <w:rFonts w:ascii="Arial" w:eastAsia="Times New Roman" w:hAnsi="Arial" w:cs="Arial"/>
          <w:kern w:val="0"/>
          <w:lang w:eastAsia="en-GB"/>
          <w14:ligatures w14:val="none"/>
        </w:rPr>
        <w:t xml:space="preserve">As defined by GOV.UK </w:t>
      </w:r>
      <w:r w:rsidR="00EA4D56" w:rsidRPr="00570186">
        <w:rPr>
          <w:rFonts w:ascii="Arial" w:eastAsia="Times New Roman" w:hAnsi="Arial" w:cs="Arial"/>
          <w:kern w:val="0"/>
          <w:lang w:eastAsia="en-GB"/>
          <w14:ligatures w14:val="none"/>
        </w:rPr>
        <w:t>(2014), t</w:t>
      </w:r>
      <w:r w:rsidRPr="00570186">
        <w:rPr>
          <w:rFonts w:ascii="Arial" w:eastAsia="Times New Roman" w:hAnsi="Arial" w:cs="Arial"/>
          <w:kern w:val="0"/>
          <w:lang w:eastAsia="en-GB"/>
          <w14:ligatures w14:val="none"/>
        </w:rPr>
        <w:t xml:space="preserve">he Supreme Court sits at the top of the legal system in the United Kingdom, with the Court of Appeal, High Court, and other lower courts following it. This framework guarantees a well-defined course for appeals and the formation of case law. Interpreting and applying the law is the responsibility of the judiciary, with higher courts establishing precedents that lower courts must abide by. </w:t>
      </w:r>
      <w:r w:rsidR="0084328E" w:rsidRPr="00570186">
        <w:rPr>
          <w:rFonts w:ascii="Arial" w:eastAsia="Times New Roman" w:hAnsi="Arial" w:cs="Arial"/>
          <w:kern w:val="0"/>
          <w:lang w:eastAsia="en-GB"/>
          <w14:ligatures w14:val="none"/>
        </w:rPr>
        <w:t>This hierarchy is essential for the legal system to remain coherent and consistent</w:t>
      </w:r>
      <w:r w:rsidRPr="00570186">
        <w:rPr>
          <w:rFonts w:ascii="Arial" w:eastAsia="Times New Roman" w:hAnsi="Arial" w:cs="Arial"/>
          <w:kern w:val="0"/>
          <w:lang w:eastAsia="en-GB"/>
          <w14:ligatures w14:val="none"/>
        </w:rPr>
        <w:t>.</w:t>
      </w:r>
    </w:p>
    <w:p w14:paraId="2CA2ECF5" w14:textId="77777777" w:rsidR="00BD4367" w:rsidRPr="00570186" w:rsidRDefault="00BD4367" w:rsidP="0084328E">
      <w:pPr>
        <w:spacing w:after="0" w:line="240" w:lineRule="auto"/>
        <w:jc w:val="both"/>
        <w:rPr>
          <w:rFonts w:ascii="Arial" w:eastAsia="Times New Roman" w:hAnsi="Arial" w:cs="Arial"/>
          <w:kern w:val="0"/>
          <w:lang w:eastAsia="en-GB"/>
          <w14:ligatures w14:val="none"/>
        </w:rPr>
      </w:pPr>
    </w:p>
    <w:p w14:paraId="3DF56051" w14:textId="77777777" w:rsidR="00BD4367" w:rsidRPr="00570186" w:rsidRDefault="00BD4367" w:rsidP="0084328E">
      <w:pPr>
        <w:spacing w:after="0" w:line="240" w:lineRule="auto"/>
        <w:jc w:val="both"/>
        <w:rPr>
          <w:rFonts w:ascii="Arial" w:eastAsia="Times New Roman" w:hAnsi="Arial" w:cs="Arial"/>
          <w:kern w:val="0"/>
          <w:lang w:eastAsia="en-GB"/>
          <w14:ligatures w14:val="none"/>
        </w:rPr>
      </w:pPr>
    </w:p>
    <w:p w14:paraId="0D6F7C70" w14:textId="07A8DAC6" w:rsidR="004D07A5" w:rsidRPr="00570186" w:rsidRDefault="00BD4367" w:rsidP="0084328E">
      <w:pPr>
        <w:spacing w:after="0" w:line="240" w:lineRule="auto"/>
        <w:jc w:val="both"/>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br/>
      </w:r>
      <w:r w:rsidR="004D07A5" w:rsidRPr="00570186">
        <w:rPr>
          <w:rFonts w:ascii="Arial" w:eastAsia="Times New Roman" w:hAnsi="Arial" w:cs="Arial"/>
          <w:kern w:val="0"/>
          <w:lang w:eastAsia="en-GB"/>
          <w14:ligatures w14:val="none"/>
        </w:rPr>
        <w:t xml:space="preserve">Important case Law </w:t>
      </w:r>
    </w:p>
    <w:p w14:paraId="33C42AC0" w14:textId="77777777" w:rsidR="004D07A5" w:rsidRPr="00570186" w:rsidRDefault="004D07A5" w:rsidP="0084328E">
      <w:pPr>
        <w:spacing w:after="0" w:line="240" w:lineRule="auto"/>
        <w:jc w:val="both"/>
        <w:rPr>
          <w:rFonts w:ascii="Arial" w:eastAsia="Times New Roman" w:hAnsi="Arial" w:cs="Arial"/>
          <w:kern w:val="0"/>
          <w:lang w:eastAsia="en-GB"/>
          <w14:ligatures w14:val="none"/>
        </w:rPr>
      </w:pPr>
    </w:p>
    <w:p w14:paraId="4291697C" w14:textId="40E95FAE" w:rsidR="00BD4367" w:rsidRPr="00570186" w:rsidRDefault="00BD4367" w:rsidP="0084328E">
      <w:pPr>
        <w:spacing w:after="0" w:line="240" w:lineRule="auto"/>
        <w:jc w:val="both"/>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 xml:space="preserve">Donoghue v. Stevenson </w:t>
      </w:r>
      <w:r w:rsidR="00A90440" w:rsidRPr="00570186">
        <w:rPr>
          <w:rFonts w:ascii="Arial" w:eastAsia="Times New Roman" w:hAnsi="Arial" w:cs="Arial"/>
          <w:kern w:val="0"/>
          <w:lang w:eastAsia="en-GB"/>
          <w14:ligatures w14:val="none"/>
        </w:rPr>
        <w:t>(</w:t>
      </w:r>
      <w:r w:rsidRPr="00570186">
        <w:rPr>
          <w:rFonts w:ascii="Arial" w:eastAsia="Times New Roman" w:hAnsi="Arial" w:cs="Arial"/>
          <w:kern w:val="0"/>
          <w:lang w:eastAsia="en-GB"/>
          <w14:ligatures w14:val="none"/>
        </w:rPr>
        <w:t>1932</w:t>
      </w:r>
      <w:r w:rsidR="00A90440" w:rsidRPr="00570186">
        <w:rPr>
          <w:rFonts w:ascii="Arial" w:eastAsia="Times New Roman" w:hAnsi="Arial" w:cs="Arial"/>
          <w:kern w:val="0"/>
          <w:lang w:eastAsia="en-GB"/>
          <w14:ligatures w14:val="none"/>
        </w:rPr>
        <w:t>)</w:t>
      </w:r>
      <w:r w:rsidRPr="00570186">
        <w:rPr>
          <w:rFonts w:ascii="Arial" w:eastAsia="Times New Roman" w:hAnsi="Arial" w:cs="Arial"/>
          <w:kern w:val="0"/>
          <w:lang w:eastAsia="en-GB"/>
          <w14:ligatures w14:val="none"/>
        </w:rPr>
        <w:t xml:space="preserve"> AC 562 is one famous case that helped to define the contemporary meaning of carelessness. The duty of care idea was established by this decision, which had a significant impact on tort law</w:t>
      </w:r>
      <w:r w:rsidR="00144D15" w:rsidRPr="00570186">
        <w:rPr>
          <w:rFonts w:ascii="Arial" w:eastAsia="Times New Roman" w:hAnsi="Arial" w:cs="Arial"/>
          <w:kern w:val="0"/>
          <w:lang w:eastAsia="en-GB"/>
          <w14:ligatures w14:val="none"/>
        </w:rPr>
        <w:t xml:space="preserve"> and in</w:t>
      </w:r>
      <w:r w:rsidR="00A90440" w:rsidRPr="00570186">
        <w:rPr>
          <w:rFonts w:ascii="Arial" w:eastAsia="Times New Roman" w:hAnsi="Arial" w:cs="Arial"/>
          <w:kern w:val="0"/>
          <w:lang w:eastAsia="en-GB"/>
          <w14:ligatures w14:val="none"/>
        </w:rPr>
        <w:t xml:space="preserve"> </w:t>
      </w:r>
      <w:r w:rsidR="00144D15" w:rsidRPr="00570186">
        <w:rPr>
          <w:rFonts w:ascii="Arial" w:eastAsia="Times New Roman" w:hAnsi="Arial" w:cs="Arial"/>
          <w:kern w:val="0"/>
          <w:lang w:eastAsia="en-GB"/>
          <w14:ligatures w14:val="none"/>
        </w:rPr>
        <w:t>particular</w:t>
      </w:r>
      <w:r w:rsidR="00A90440" w:rsidRPr="00570186">
        <w:rPr>
          <w:rFonts w:ascii="Arial" w:eastAsia="Times New Roman" w:hAnsi="Arial" w:cs="Arial"/>
          <w:kern w:val="0"/>
          <w:lang w:eastAsia="en-GB"/>
          <w14:ligatures w14:val="none"/>
        </w:rPr>
        <w:t>, the doctrine of negligence (</w:t>
      </w:r>
      <w:r w:rsidR="007C0EFE" w:rsidRPr="00570186">
        <w:rPr>
          <w:rFonts w:ascii="Arial" w:eastAsia="Times New Roman" w:hAnsi="Arial" w:cs="Arial"/>
          <w:kern w:val="0"/>
          <w:lang w:eastAsia="en-GB"/>
          <w14:ligatures w14:val="none"/>
        </w:rPr>
        <w:t>S</w:t>
      </w:r>
      <w:r w:rsidR="00900E06" w:rsidRPr="00570186">
        <w:rPr>
          <w:rFonts w:ascii="Arial" w:eastAsia="Times New Roman" w:hAnsi="Arial" w:cs="Arial"/>
          <w:kern w:val="0"/>
          <w:lang w:eastAsia="en-GB"/>
          <w14:ligatures w14:val="none"/>
        </w:rPr>
        <w:t>anojri</w:t>
      </w:r>
      <w:r w:rsidR="007C0EFE" w:rsidRPr="00570186">
        <w:rPr>
          <w:rFonts w:ascii="Arial" w:eastAsia="Times New Roman" w:hAnsi="Arial" w:cs="Arial"/>
          <w:kern w:val="0"/>
          <w:lang w:eastAsia="en-GB"/>
          <w14:ligatures w14:val="none"/>
        </w:rPr>
        <w:t>, 2022).</w:t>
      </w:r>
      <w:r w:rsidR="00D85733" w:rsidRPr="00570186">
        <w:rPr>
          <w:rFonts w:ascii="Arial" w:eastAsia="Times New Roman" w:hAnsi="Arial" w:cs="Arial"/>
          <w:kern w:val="0"/>
          <w:lang w:eastAsia="en-GB"/>
          <w14:ligatures w14:val="none"/>
        </w:rPr>
        <w:t xml:space="preserve"> </w:t>
      </w:r>
      <w:r w:rsidRPr="00570186">
        <w:rPr>
          <w:rFonts w:ascii="Arial" w:eastAsia="Times New Roman" w:hAnsi="Arial" w:cs="Arial"/>
          <w:kern w:val="0"/>
          <w:lang w:eastAsia="en-GB"/>
          <w14:ligatures w14:val="none"/>
        </w:rPr>
        <w:t>R v. Brown [1993] 2 All ER 75 is another significant case that established significant guidelines for consent in criminal law. These examples show how precedent develops and modifies legal ideas, indicating its continued importance in maintaining the consistency and clarity of the law</w:t>
      </w:r>
      <w:r w:rsidR="004F0839" w:rsidRPr="00570186">
        <w:rPr>
          <w:rFonts w:ascii="Arial" w:eastAsia="Times New Roman" w:hAnsi="Arial" w:cs="Arial"/>
          <w:kern w:val="0"/>
          <w:lang w:eastAsia="en-GB"/>
          <w14:ligatures w14:val="none"/>
        </w:rPr>
        <w:t xml:space="preserve"> (</w:t>
      </w:r>
      <w:r w:rsidR="00DC3ECA" w:rsidRPr="00570186">
        <w:rPr>
          <w:rFonts w:ascii="Arial" w:eastAsia="Times New Roman" w:hAnsi="Arial" w:cs="Arial"/>
          <w:kern w:val="0"/>
          <w:lang w:eastAsia="en-GB"/>
          <w14:ligatures w14:val="none"/>
        </w:rPr>
        <w:t xml:space="preserve">Giles, 1994). </w:t>
      </w:r>
    </w:p>
    <w:p w14:paraId="20E7579D" w14:textId="77777777" w:rsidR="00BD4367" w:rsidRPr="00570186" w:rsidRDefault="00BD4367" w:rsidP="0084328E">
      <w:pPr>
        <w:spacing w:after="0" w:line="240" w:lineRule="auto"/>
        <w:jc w:val="both"/>
        <w:rPr>
          <w:rFonts w:ascii="Arial" w:eastAsia="Times New Roman" w:hAnsi="Arial" w:cs="Arial"/>
          <w:kern w:val="0"/>
          <w:lang w:eastAsia="en-GB"/>
          <w14:ligatures w14:val="none"/>
        </w:rPr>
      </w:pPr>
    </w:p>
    <w:p w14:paraId="722ECB96" w14:textId="77777777" w:rsidR="005A60CC" w:rsidRPr="00570186" w:rsidRDefault="005A60CC" w:rsidP="005A60CC">
      <w:pPr>
        <w:spacing w:after="0" w:line="240" w:lineRule="auto"/>
        <w:jc w:val="both"/>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Extra Important Case Law</w:t>
      </w:r>
    </w:p>
    <w:p w14:paraId="08451FA0" w14:textId="6EF7DA3E" w:rsidR="005A60CC" w:rsidRPr="00570186" w:rsidRDefault="005A60CC" w:rsidP="005A60CC">
      <w:pPr>
        <w:spacing w:after="0" w:line="240" w:lineRule="auto"/>
        <w:jc w:val="both"/>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 xml:space="preserve">It is crucial to look at other notable decisions that have influenced different areas of law </w:t>
      </w:r>
      <w:r w:rsidR="00B15E4E">
        <w:rPr>
          <w:rFonts w:ascii="Arial" w:eastAsia="Times New Roman" w:hAnsi="Arial" w:cs="Arial"/>
          <w:kern w:val="0"/>
          <w:lang w:eastAsia="en-GB"/>
          <w14:ligatures w14:val="none"/>
        </w:rPr>
        <w:t>to understand better</w:t>
      </w:r>
      <w:r w:rsidRPr="00570186">
        <w:rPr>
          <w:rFonts w:ascii="Arial" w:eastAsia="Times New Roman" w:hAnsi="Arial" w:cs="Arial"/>
          <w:kern w:val="0"/>
          <w:lang w:eastAsia="en-GB"/>
          <w14:ligatures w14:val="none"/>
        </w:rPr>
        <w:t xml:space="preserve"> the function and significance of precedent in the UK legal system</w:t>
      </w:r>
      <w:r w:rsidR="000E4DD9">
        <w:rPr>
          <w:rFonts w:ascii="Arial" w:eastAsia="Times New Roman" w:hAnsi="Arial" w:cs="Arial"/>
          <w:kern w:val="0"/>
          <w:lang w:eastAsia="en-GB"/>
          <w14:ligatures w14:val="none"/>
        </w:rPr>
        <w:t xml:space="preserve"> </w:t>
      </w:r>
      <w:r w:rsidR="00357089">
        <w:rPr>
          <w:rFonts w:ascii="Arial" w:eastAsia="Times New Roman" w:hAnsi="Arial" w:cs="Arial"/>
          <w:kern w:val="0"/>
          <w:lang w:eastAsia="en-GB"/>
          <w14:ligatures w14:val="none"/>
        </w:rPr>
        <w:t>including</w:t>
      </w:r>
      <w:r w:rsidR="000E4DD9">
        <w:rPr>
          <w:rFonts w:ascii="Arial" w:eastAsia="Times New Roman" w:hAnsi="Arial" w:cs="Arial"/>
          <w:kern w:val="0"/>
          <w:lang w:eastAsia="en-GB"/>
          <w14:ligatures w14:val="none"/>
        </w:rPr>
        <w:t xml:space="preserve"> cases such as: </w:t>
      </w:r>
    </w:p>
    <w:p w14:paraId="5EDAE06A" w14:textId="77777777" w:rsidR="005A60CC" w:rsidRPr="00570186" w:rsidRDefault="005A60CC" w:rsidP="005A60CC">
      <w:pPr>
        <w:spacing w:after="0" w:line="240" w:lineRule="auto"/>
        <w:jc w:val="both"/>
        <w:rPr>
          <w:rFonts w:ascii="Arial" w:eastAsia="Times New Roman" w:hAnsi="Arial" w:cs="Arial"/>
          <w:kern w:val="0"/>
          <w:lang w:eastAsia="en-GB"/>
          <w14:ligatures w14:val="none"/>
        </w:rPr>
      </w:pPr>
    </w:p>
    <w:p w14:paraId="0D038CD9" w14:textId="0FF0E569" w:rsidR="005D3E7A" w:rsidRPr="00570186" w:rsidRDefault="005A60CC" w:rsidP="005D3E7A">
      <w:pPr>
        <w:spacing w:after="0" w:line="240" w:lineRule="auto"/>
        <w:jc w:val="both"/>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Queensland (No 2) v. Mabo (1992) HCA 23</w:t>
      </w:r>
      <w:r w:rsidR="005D3E7A" w:rsidRPr="00570186">
        <w:rPr>
          <w:rFonts w:ascii="Arial" w:eastAsia="Times New Roman" w:hAnsi="Arial" w:cs="Arial"/>
          <w:kern w:val="0"/>
          <w:lang w:eastAsia="en-GB"/>
          <w14:ligatures w14:val="none"/>
        </w:rPr>
        <w:t>:</w:t>
      </w:r>
    </w:p>
    <w:p w14:paraId="17DCE2AE" w14:textId="77777777" w:rsidR="005D3E7A" w:rsidRPr="00570186" w:rsidRDefault="005D3E7A" w:rsidP="005D3E7A">
      <w:pPr>
        <w:spacing w:after="0" w:line="240" w:lineRule="auto"/>
        <w:jc w:val="both"/>
        <w:rPr>
          <w:rFonts w:ascii="Arial" w:eastAsia="Times New Roman" w:hAnsi="Arial" w:cs="Arial"/>
          <w:kern w:val="0"/>
          <w:lang w:eastAsia="en-GB"/>
          <w14:ligatures w14:val="none"/>
        </w:rPr>
      </w:pPr>
    </w:p>
    <w:p w14:paraId="33F78F35" w14:textId="65EFCC7D" w:rsidR="009D7BC5" w:rsidRPr="00570186" w:rsidRDefault="009D7BC5" w:rsidP="005D3E7A">
      <w:pPr>
        <w:spacing w:after="0" w:line="240" w:lineRule="auto"/>
        <w:jc w:val="both"/>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 xml:space="preserve">Mabo v. Queensland (No 2), an Australian case, is often </w:t>
      </w:r>
      <w:r w:rsidR="00B15E4E">
        <w:rPr>
          <w:rFonts w:ascii="Arial" w:eastAsia="Times New Roman" w:hAnsi="Arial" w:cs="Arial"/>
          <w:kern w:val="0"/>
          <w:lang w:eastAsia="en-GB"/>
          <w14:ligatures w14:val="none"/>
        </w:rPr>
        <w:t>mentioned when discussing</w:t>
      </w:r>
      <w:r w:rsidRPr="00570186">
        <w:rPr>
          <w:rFonts w:ascii="Arial" w:eastAsia="Times New Roman" w:hAnsi="Arial" w:cs="Arial"/>
          <w:kern w:val="0"/>
          <w:lang w:eastAsia="en-GB"/>
          <w14:ligatures w14:val="none"/>
        </w:rPr>
        <w:t xml:space="preserve"> Indigenous land rights and the terra nullius doctrine. Rejecting the idea that Australia was terra nullius (property belonging to no one) at the time of European arrival, the High Court of Australia acknowledged the customary land rights of the Meriam people. This historic case has impacted precedents and comparable legal arguments concerning Indigenous rights and acknowledging historical injustices in other common law jurisdictions, such as the UK.</w:t>
      </w:r>
    </w:p>
    <w:p w14:paraId="2ACBDCB7" w14:textId="77777777" w:rsidR="00727EE3" w:rsidRPr="00570186" w:rsidRDefault="00727EE3" w:rsidP="005D3E7A">
      <w:pPr>
        <w:spacing w:after="0" w:line="240" w:lineRule="auto"/>
        <w:jc w:val="both"/>
        <w:rPr>
          <w:rFonts w:ascii="Arial" w:eastAsia="Times New Roman" w:hAnsi="Arial" w:cs="Arial"/>
          <w:kern w:val="0"/>
          <w:lang w:eastAsia="en-GB"/>
          <w14:ligatures w14:val="none"/>
        </w:rPr>
      </w:pPr>
    </w:p>
    <w:p w14:paraId="0A9E1834" w14:textId="34791892" w:rsidR="00431DBB" w:rsidRPr="00570186" w:rsidRDefault="00431DBB" w:rsidP="00431DBB">
      <w:pPr>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 xml:space="preserve"> UKHL 12 [R v. R, 1991]</w:t>
      </w:r>
    </w:p>
    <w:p w14:paraId="3160F38F" w14:textId="6E1341C1" w:rsidR="00727EE3" w:rsidRPr="00570186" w:rsidRDefault="00727EE3" w:rsidP="00727EE3">
      <w:pPr>
        <w:spacing w:after="0" w:line="240" w:lineRule="auto"/>
        <w:jc w:val="both"/>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The House of Lords declared that a husband might be found guilty of raping his wife in this instance, eliminating the marital rape exemption. This ruling marked a dramatic departure from accepted criminal law and social mores, reflecting shifting views on women's autonomy and rights in marriage. It demonstrated how the court might modify rules of law to reflect modern norms, even when doing so required breaking with established precedents.</w:t>
      </w:r>
    </w:p>
    <w:p w14:paraId="49F1EF53" w14:textId="77777777" w:rsidR="004D07A5" w:rsidRPr="00570186" w:rsidRDefault="004D07A5" w:rsidP="0084328E">
      <w:pPr>
        <w:spacing w:after="0" w:line="240" w:lineRule="auto"/>
        <w:jc w:val="both"/>
        <w:rPr>
          <w:rFonts w:ascii="Arial" w:eastAsia="Times New Roman" w:hAnsi="Arial" w:cs="Arial"/>
          <w:kern w:val="0"/>
          <w:lang w:eastAsia="en-GB"/>
          <w14:ligatures w14:val="none"/>
        </w:rPr>
      </w:pPr>
    </w:p>
    <w:p w14:paraId="6953C289" w14:textId="55EEDB39" w:rsidR="00DB565B" w:rsidRPr="00570186" w:rsidRDefault="0024379A" w:rsidP="0084328E">
      <w:pPr>
        <w:spacing w:after="0" w:line="240" w:lineRule="auto"/>
        <w:jc w:val="both"/>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 xml:space="preserve">The precedent system offers a lot of advantages, such as consistency and predictability, but it also has a lot of disadvantages, including rigidity and complexity. Precedent is still an essential component of the legal system in the United Kingdom, despite some people's claims to the contrary. However, addressing the system's shortcomings could improve its efficacy and flexibility in a world that is changing </w:t>
      </w:r>
      <w:r w:rsidRPr="00570186">
        <w:rPr>
          <w:rFonts w:ascii="Arial" w:eastAsia="Times New Roman" w:hAnsi="Arial" w:cs="Arial"/>
          <w:kern w:val="0"/>
          <w:lang w:eastAsia="en-GB"/>
          <w14:ligatures w14:val="none"/>
        </w:rPr>
        <w:lastRenderedPageBreak/>
        <w:t>quickly. Therefore, although precedent shouldn't be completely abandoned, careful revisions are required to guarantee its continuous applicability and relevance.</w:t>
      </w:r>
    </w:p>
    <w:p w14:paraId="7DF9BF90" w14:textId="0DA0B531" w:rsidR="00511386" w:rsidRPr="00570186" w:rsidRDefault="00511386" w:rsidP="0084328E">
      <w:pPr>
        <w:spacing w:after="0" w:line="240" w:lineRule="auto"/>
        <w:jc w:val="both"/>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Advantages and Disadvantages of Precedent</w:t>
      </w:r>
    </w:p>
    <w:p w14:paraId="67B99882" w14:textId="77777777" w:rsidR="00511386" w:rsidRPr="00570186" w:rsidRDefault="00511386" w:rsidP="0084328E">
      <w:pPr>
        <w:spacing w:after="0" w:line="240" w:lineRule="auto"/>
        <w:jc w:val="both"/>
        <w:rPr>
          <w:rFonts w:ascii="Arial" w:eastAsia="Times New Roman" w:hAnsi="Arial" w:cs="Arial"/>
          <w:kern w:val="0"/>
          <w:lang w:eastAsia="en-GB"/>
          <w14:ligatures w14:val="none"/>
        </w:rPr>
      </w:pPr>
    </w:p>
    <w:p w14:paraId="5FE73D3A" w14:textId="77777777" w:rsidR="00BA7C61" w:rsidRPr="00570186" w:rsidRDefault="00511386" w:rsidP="0084328E">
      <w:pPr>
        <w:jc w:val="both"/>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Advantages: Consistency and Predictability: A stable and predictable legal environment is created by precedent, which guarantees that instances that are identical are handled similarly. The idea that everyone is treated equally under the law is upheld by this uniformity, which is essential to the rule of law.</w:t>
      </w:r>
    </w:p>
    <w:p w14:paraId="4AE312BE" w14:textId="0452D945" w:rsidR="00BA7C61" w:rsidRPr="00570186" w:rsidRDefault="00511386" w:rsidP="0084328E">
      <w:pPr>
        <w:jc w:val="both"/>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br/>
        <w:t>Efficiency: Courts save time and money by adhering to established precedents. This effectiveness enables speedier case resolution and lessens the load on the legal system</w:t>
      </w:r>
      <w:r w:rsidR="00BA7C61" w:rsidRPr="00570186">
        <w:rPr>
          <w:rFonts w:ascii="Arial" w:eastAsia="Times New Roman" w:hAnsi="Arial" w:cs="Arial"/>
          <w:kern w:val="0"/>
          <w:lang w:eastAsia="en-GB"/>
          <w14:ligatures w14:val="none"/>
        </w:rPr>
        <w:t>.</w:t>
      </w:r>
    </w:p>
    <w:p w14:paraId="56CA2BCF" w14:textId="7C0E2F36" w:rsidR="00BA7C61" w:rsidRPr="00570186" w:rsidRDefault="00511386" w:rsidP="0084328E">
      <w:pPr>
        <w:jc w:val="both"/>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br/>
        <w:t>Stability and Continuity: The legal system is anchored by precedent, which keeps it continuous over time. Sustaining public trust in the legal system depends on this stability</w:t>
      </w:r>
      <w:r w:rsidR="00BA7C61" w:rsidRPr="00570186">
        <w:rPr>
          <w:rFonts w:ascii="Arial" w:eastAsia="Times New Roman" w:hAnsi="Arial" w:cs="Arial"/>
          <w:kern w:val="0"/>
          <w:lang w:eastAsia="en-GB"/>
          <w14:ligatures w14:val="none"/>
        </w:rPr>
        <w:t>.</w:t>
      </w:r>
    </w:p>
    <w:p w14:paraId="7D4E9A1A" w14:textId="24FF9545" w:rsidR="00511386" w:rsidRPr="00570186" w:rsidRDefault="00511386" w:rsidP="0084328E">
      <w:pPr>
        <w:jc w:val="both"/>
        <w:rPr>
          <w:rFonts w:ascii="Arial" w:eastAsia="Times New Roman" w:hAnsi="Arial" w:cs="Arial"/>
          <w:kern w:val="0"/>
          <w:lang w:eastAsia="en-GB"/>
          <w14:ligatures w14:val="none"/>
        </w:rPr>
      </w:pPr>
    </w:p>
    <w:p w14:paraId="2E034A98" w14:textId="2F04D9AA" w:rsidR="0077410E" w:rsidRPr="0077410E" w:rsidRDefault="00511386" w:rsidP="0024379A">
      <w:pPr>
        <w:jc w:val="both"/>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Disadvantaged:  Rigidity: Unwillingness to adapt the law to changing social conditions might result from a strict adherence to precedent. This intransigence may lead to the application of antiquated legal doctrines to contemporary problems.</w:t>
      </w:r>
      <w:r w:rsidRPr="00570186">
        <w:rPr>
          <w:rFonts w:ascii="Arial" w:eastAsia="Times New Roman" w:hAnsi="Arial" w:cs="Arial"/>
          <w:kern w:val="0"/>
          <w:lang w:eastAsia="en-GB"/>
          <w14:ligatures w14:val="none"/>
        </w:rPr>
        <w:br/>
        <w:t>Complexity: Navigating and applying pertinent precedents can be challenging for practitioners due to the large amount of case law. This intricacy may result in uneven</w:t>
      </w:r>
      <w:r w:rsidR="00253AB8" w:rsidRPr="00570186">
        <w:rPr>
          <w:rFonts w:ascii="Arial" w:eastAsia="Times New Roman" w:hAnsi="Arial" w:cs="Arial"/>
          <w:kern w:val="0"/>
          <w:lang w:eastAsia="en-GB"/>
          <w14:ligatures w14:val="none"/>
        </w:rPr>
        <w:t xml:space="preserve"> legal</w:t>
      </w:r>
      <w:r w:rsidR="001E4A1D" w:rsidRPr="00570186">
        <w:rPr>
          <w:rFonts w:ascii="Arial" w:eastAsia="Times New Roman" w:hAnsi="Arial" w:cs="Arial"/>
          <w:kern w:val="0"/>
          <w:lang w:eastAsia="en-GB"/>
          <w14:ligatures w14:val="none"/>
        </w:rPr>
        <w:t xml:space="preserve"> </w:t>
      </w:r>
      <w:r w:rsidR="00253AB8" w:rsidRPr="00570186">
        <w:rPr>
          <w:rFonts w:ascii="Arial" w:eastAsia="Times New Roman" w:hAnsi="Arial" w:cs="Arial"/>
          <w:kern w:val="0"/>
          <w:lang w:eastAsia="en-GB"/>
          <w14:ligatures w14:val="none"/>
        </w:rPr>
        <w:t>applications and higher legal expenses.</w:t>
      </w:r>
      <w:r w:rsidRPr="00570186">
        <w:rPr>
          <w:rFonts w:ascii="Arial" w:eastAsia="Times New Roman" w:hAnsi="Arial" w:cs="Arial"/>
          <w:kern w:val="0"/>
          <w:lang w:eastAsia="en-GB"/>
          <w14:ligatures w14:val="none"/>
        </w:rPr>
        <w:br/>
        <w:t>Outdated Precedents: Sometimes precedents become old yet are still used, which might have unfair consequences. This problem underlines how the legal system must change and adapt.</w:t>
      </w:r>
    </w:p>
    <w:p w14:paraId="1075E254" w14:textId="0925D656" w:rsidR="00470882" w:rsidRPr="00570186" w:rsidRDefault="0024379A" w:rsidP="00470882">
      <w:pPr>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 xml:space="preserve">Global Influences: International human rights norms and legal principles are </w:t>
      </w:r>
      <w:r w:rsidR="004345A0">
        <w:rPr>
          <w:rFonts w:ascii="Arial" w:eastAsia="Times New Roman" w:hAnsi="Arial" w:cs="Arial"/>
          <w:kern w:val="0"/>
          <w:lang w:eastAsia="en-GB"/>
          <w14:ligatures w14:val="none"/>
        </w:rPr>
        <w:t>increasingly impacting</w:t>
      </w:r>
      <w:r w:rsidRPr="00570186">
        <w:rPr>
          <w:rFonts w:ascii="Arial" w:eastAsia="Times New Roman" w:hAnsi="Arial" w:cs="Arial"/>
          <w:kern w:val="0"/>
          <w:lang w:eastAsia="en-GB"/>
          <w14:ligatures w14:val="none"/>
        </w:rPr>
        <w:t xml:space="preserve"> the UK. There may be situations </w:t>
      </w:r>
      <w:proofErr w:type="gramStart"/>
      <w:r w:rsidRPr="00570186">
        <w:rPr>
          <w:rFonts w:ascii="Arial" w:eastAsia="Times New Roman" w:hAnsi="Arial" w:cs="Arial"/>
          <w:kern w:val="0"/>
          <w:lang w:eastAsia="en-GB"/>
          <w14:ligatures w14:val="none"/>
        </w:rPr>
        <w:t>where</w:t>
      </w:r>
      <w:proofErr w:type="gramEnd"/>
      <w:r w:rsidRPr="00570186">
        <w:rPr>
          <w:rFonts w:ascii="Arial" w:eastAsia="Times New Roman" w:hAnsi="Arial" w:cs="Arial"/>
          <w:kern w:val="0"/>
          <w:lang w:eastAsia="en-GB"/>
          <w14:ligatures w14:val="none"/>
        </w:rPr>
        <w:t xml:space="preserve"> incorporating these larger viewpoints into domestic law conflicts with previously established cases. A legal system that is overly constrained by earlier rulings can find it difficult to successfully incorporate these international influences.</w:t>
      </w:r>
      <w:r w:rsidR="00470882" w:rsidRPr="00570186">
        <w:rPr>
          <w:rFonts w:ascii="Arial" w:eastAsia="Times New Roman" w:hAnsi="Arial" w:cs="Arial"/>
          <w:kern w:val="0"/>
          <w:lang w:eastAsia="en-GB"/>
          <w14:ligatures w14:val="none"/>
        </w:rPr>
        <w:t xml:space="preserve"> Human rights and global influences.</w:t>
      </w:r>
    </w:p>
    <w:p w14:paraId="099FA3C2" w14:textId="312DEBA1" w:rsidR="0002726D" w:rsidRPr="00570186" w:rsidRDefault="0002726D" w:rsidP="00470882">
      <w:pPr>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 xml:space="preserve">Establish a group to evaluate and revise legal precedents </w:t>
      </w:r>
      <w:r w:rsidR="00592586" w:rsidRPr="00570186">
        <w:rPr>
          <w:rFonts w:ascii="Arial" w:eastAsia="Times New Roman" w:hAnsi="Arial" w:cs="Arial"/>
          <w:kern w:val="0"/>
          <w:lang w:eastAsia="en-GB"/>
          <w14:ligatures w14:val="none"/>
        </w:rPr>
        <w:t>regularly</w:t>
      </w:r>
      <w:r w:rsidRPr="00570186">
        <w:rPr>
          <w:rFonts w:ascii="Arial" w:eastAsia="Times New Roman" w:hAnsi="Arial" w:cs="Arial"/>
          <w:kern w:val="0"/>
          <w:lang w:eastAsia="en-GB"/>
          <w14:ligatures w14:val="none"/>
        </w:rPr>
        <w:t>, discarding any that are out of date or incompatible with contemporary principles. This proactive stance guarantees that the legal system adjusts to reflect changes in society.</w:t>
      </w:r>
    </w:p>
    <w:p w14:paraId="058883CB" w14:textId="4C536725" w:rsidR="0077410E" w:rsidRPr="00570186" w:rsidRDefault="00470882" w:rsidP="00470882">
      <w:pPr>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Also</w:t>
      </w:r>
      <w:r w:rsidR="00513D7A" w:rsidRPr="00570186">
        <w:rPr>
          <w:rFonts w:ascii="Arial" w:eastAsia="Times New Roman" w:hAnsi="Arial" w:cs="Arial"/>
          <w:kern w:val="0"/>
          <w:lang w:eastAsia="en-GB"/>
          <w14:ligatures w14:val="none"/>
        </w:rPr>
        <w:t>,</w:t>
      </w:r>
      <w:r w:rsidRPr="00570186">
        <w:rPr>
          <w:rFonts w:ascii="Arial" w:eastAsia="Times New Roman" w:hAnsi="Arial" w:cs="Arial"/>
          <w:kern w:val="0"/>
          <w:lang w:eastAsia="en-GB"/>
          <w14:ligatures w14:val="none"/>
        </w:rPr>
        <w:t xml:space="preserve"> Globalisation, such as </w:t>
      </w:r>
      <w:r w:rsidR="00592586" w:rsidRPr="00570186">
        <w:rPr>
          <w:rFonts w:ascii="Arial" w:eastAsia="Times New Roman" w:hAnsi="Arial" w:cs="Arial"/>
          <w:kern w:val="0"/>
          <w:lang w:eastAsia="en-GB"/>
          <w14:ligatures w14:val="none"/>
        </w:rPr>
        <w:t>the</w:t>
      </w:r>
      <w:r w:rsidRPr="00570186">
        <w:rPr>
          <w:rFonts w:ascii="Arial" w:eastAsia="Times New Roman" w:hAnsi="Arial" w:cs="Arial"/>
          <w:kern w:val="0"/>
          <w:lang w:eastAsia="en-GB"/>
          <w14:ligatures w14:val="none"/>
        </w:rPr>
        <w:t xml:space="preserve"> precedent system is under threat from the growing impact of human rights standards and international law on national legal systems. International treaties and conventions frequently call for legal interpretations that respect international norms, even when they diverge from previous national precedents.</w:t>
      </w:r>
    </w:p>
    <w:p w14:paraId="7760387D" w14:textId="77777777" w:rsidR="001501A6" w:rsidRPr="00570186" w:rsidRDefault="001501A6" w:rsidP="0084328E">
      <w:pPr>
        <w:jc w:val="both"/>
        <w:rPr>
          <w:rFonts w:ascii="Arial" w:eastAsia="Times New Roman" w:hAnsi="Arial" w:cs="Arial"/>
          <w:kern w:val="0"/>
          <w:lang w:eastAsia="en-GB"/>
          <w14:ligatures w14:val="none"/>
        </w:rPr>
      </w:pPr>
    </w:p>
    <w:p w14:paraId="1CB5134D" w14:textId="00F420C4" w:rsidR="00D561B1" w:rsidRPr="00570186" w:rsidRDefault="00DB565B" w:rsidP="0084328E">
      <w:pPr>
        <w:spacing w:after="0" w:line="240" w:lineRule="auto"/>
        <w:jc w:val="both"/>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Re</w:t>
      </w:r>
      <w:r w:rsidR="00D561B1" w:rsidRPr="00570186">
        <w:rPr>
          <w:rFonts w:ascii="Arial" w:eastAsia="Times New Roman" w:hAnsi="Arial" w:cs="Arial"/>
          <w:kern w:val="0"/>
          <w:lang w:eastAsia="en-GB"/>
          <w14:ligatures w14:val="none"/>
        </w:rPr>
        <w:t>f</w:t>
      </w:r>
      <w:r w:rsidRPr="00570186">
        <w:rPr>
          <w:rFonts w:ascii="Arial" w:eastAsia="Times New Roman" w:hAnsi="Arial" w:cs="Arial"/>
          <w:kern w:val="0"/>
          <w:lang w:eastAsia="en-GB"/>
          <w14:ligatures w14:val="none"/>
        </w:rPr>
        <w:t>or</w:t>
      </w:r>
      <w:r w:rsidR="00D561B1" w:rsidRPr="00570186">
        <w:rPr>
          <w:rFonts w:ascii="Arial" w:eastAsia="Times New Roman" w:hAnsi="Arial" w:cs="Arial"/>
          <w:kern w:val="0"/>
          <w:lang w:eastAsia="en-GB"/>
          <w14:ligatures w14:val="none"/>
        </w:rPr>
        <w:t xml:space="preserve">m Recommendations </w:t>
      </w:r>
    </w:p>
    <w:p w14:paraId="132C319A" w14:textId="77777777" w:rsidR="00D561B1" w:rsidRPr="00570186" w:rsidRDefault="00D561B1" w:rsidP="0084328E">
      <w:pPr>
        <w:spacing w:after="0" w:line="240" w:lineRule="auto"/>
        <w:jc w:val="both"/>
        <w:rPr>
          <w:rFonts w:ascii="Arial" w:eastAsia="Times New Roman" w:hAnsi="Arial" w:cs="Arial"/>
          <w:kern w:val="0"/>
          <w:lang w:eastAsia="en-GB"/>
          <w14:ligatures w14:val="none"/>
        </w:rPr>
      </w:pPr>
    </w:p>
    <w:p w14:paraId="528E825D" w14:textId="3919ABCB" w:rsidR="009D3DDB" w:rsidRPr="00570186" w:rsidRDefault="00511386" w:rsidP="009D3DDB">
      <w:pPr>
        <w:spacing w:after="0" w:line="240" w:lineRule="auto"/>
        <w:jc w:val="both"/>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Reforms that address these problems could include giving judges more latitude to depart from out-of-date precedents, streamlining the case reporting process, and placing more focus on legislative interpretation. Adding components from other legal systems, like civil law, could also result in a legal framework that is more adaptable and versatile. These changes would assist in striking a compromise between the requirement for legal growth and uniformity.</w:t>
      </w:r>
    </w:p>
    <w:p w14:paraId="75FDE6FD" w14:textId="77777777" w:rsidR="009D3DDB" w:rsidRPr="00570186" w:rsidRDefault="009D3DDB" w:rsidP="009D3DDB">
      <w:pPr>
        <w:spacing w:after="0" w:line="240" w:lineRule="auto"/>
        <w:jc w:val="both"/>
        <w:rPr>
          <w:rFonts w:ascii="Arial" w:eastAsia="Times New Roman" w:hAnsi="Arial" w:cs="Arial"/>
          <w:kern w:val="0"/>
          <w:lang w:eastAsia="en-GB"/>
          <w14:ligatures w14:val="none"/>
        </w:rPr>
      </w:pPr>
    </w:p>
    <w:p w14:paraId="6F5BA406" w14:textId="77777777" w:rsidR="001501A6" w:rsidRPr="00570186" w:rsidRDefault="001501A6" w:rsidP="001501A6">
      <w:pPr>
        <w:spacing w:after="0" w:line="240" w:lineRule="auto"/>
        <w:jc w:val="both"/>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Reform Options</w:t>
      </w:r>
    </w:p>
    <w:p w14:paraId="6F93FA17" w14:textId="6E62E0AA" w:rsidR="001501A6" w:rsidRPr="00570186" w:rsidRDefault="001501A6" w:rsidP="001501A6">
      <w:pPr>
        <w:spacing w:after="0" w:line="240" w:lineRule="auto"/>
        <w:jc w:val="both"/>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A few reforms that could solve these issues include granting courts more latitude to deviate from out-of-date precedents, expediting the case reporting procedure, and emphasising the interpretation of legislation more. Another way to develop a more flexible and adaptable legal framework would be to incorporate components from other legal systems, such as civil law. The requirement for expansion and consistency in the law would be better balanced by these adjustments.</w:t>
      </w:r>
    </w:p>
    <w:p w14:paraId="0ECD84A9" w14:textId="77777777" w:rsidR="009D3DDB" w:rsidRPr="00570186" w:rsidRDefault="009D3DDB" w:rsidP="009D3DDB">
      <w:pPr>
        <w:spacing w:after="0" w:line="240" w:lineRule="auto"/>
        <w:jc w:val="both"/>
        <w:rPr>
          <w:rFonts w:ascii="Arial" w:eastAsia="Times New Roman" w:hAnsi="Arial" w:cs="Arial"/>
          <w:b/>
          <w:bCs/>
          <w:kern w:val="0"/>
          <w:lang w:eastAsia="en-GB"/>
          <w14:ligatures w14:val="none"/>
        </w:rPr>
      </w:pPr>
    </w:p>
    <w:p w14:paraId="739EC413" w14:textId="77777777" w:rsidR="009D3DDB" w:rsidRPr="00570186" w:rsidRDefault="009D3DDB" w:rsidP="009D3DDB">
      <w:pPr>
        <w:spacing w:after="0" w:line="240" w:lineRule="auto"/>
        <w:jc w:val="both"/>
        <w:rPr>
          <w:rFonts w:ascii="Arial" w:eastAsia="Times New Roman" w:hAnsi="Arial" w:cs="Arial"/>
          <w:b/>
          <w:bCs/>
          <w:kern w:val="0"/>
          <w:lang w:eastAsia="en-GB"/>
          <w14:ligatures w14:val="none"/>
        </w:rPr>
      </w:pPr>
    </w:p>
    <w:p w14:paraId="056D0AA9" w14:textId="77777777" w:rsidR="009D3DDB" w:rsidRPr="00570186" w:rsidRDefault="009D3DDB" w:rsidP="009D3DDB">
      <w:pPr>
        <w:spacing w:after="0" w:line="240" w:lineRule="auto"/>
        <w:jc w:val="both"/>
        <w:rPr>
          <w:rFonts w:ascii="Arial" w:eastAsia="Times New Roman" w:hAnsi="Arial" w:cs="Arial"/>
          <w:b/>
          <w:bCs/>
          <w:kern w:val="0"/>
          <w:lang w:eastAsia="en-GB"/>
          <w14:ligatures w14:val="none"/>
        </w:rPr>
      </w:pPr>
    </w:p>
    <w:p w14:paraId="79C44947" w14:textId="2CD51400" w:rsidR="00511386" w:rsidRPr="00570186" w:rsidRDefault="00511386" w:rsidP="009D3DDB">
      <w:pPr>
        <w:spacing w:after="0" w:line="240" w:lineRule="auto"/>
        <w:jc w:val="both"/>
        <w:rPr>
          <w:rFonts w:ascii="Arial" w:eastAsia="Times New Roman" w:hAnsi="Arial" w:cs="Arial"/>
          <w:kern w:val="0"/>
          <w:lang w:eastAsia="en-GB"/>
          <w14:ligatures w14:val="none"/>
        </w:rPr>
      </w:pPr>
      <w:r w:rsidRPr="00570186">
        <w:rPr>
          <w:rFonts w:ascii="Arial" w:eastAsia="Times New Roman" w:hAnsi="Arial" w:cs="Arial"/>
          <w:b/>
          <w:bCs/>
          <w:kern w:val="0"/>
          <w:lang w:eastAsia="en-GB"/>
          <w14:ligatures w14:val="none"/>
        </w:rPr>
        <w:t>Conclusion</w:t>
      </w:r>
    </w:p>
    <w:p w14:paraId="7A3C30B6" w14:textId="49A0E484" w:rsidR="00511386" w:rsidRPr="00570186" w:rsidRDefault="00511386" w:rsidP="0084328E">
      <w:pPr>
        <w:spacing w:before="100" w:beforeAutospacing="1" w:after="100" w:afterAutospacing="1" w:line="240" w:lineRule="auto"/>
        <w:jc w:val="both"/>
        <w:rPr>
          <w:rFonts w:ascii="Arial" w:eastAsia="Times New Roman" w:hAnsi="Arial" w:cs="Arial"/>
          <w:kern w:val="0"/>
          <w:lang w:eastAsia="en-GB"/>
          <w14:ligatures w14:val="none"/>
        </w:rPr>
      </w:pPr>
      <w:r w:rsidRPr="00570186">
        <w:rPr>
          <w:rFonts w:ascii="Arial" w:eastAsia="Times New Roman" w:hAnsi="Arial" w:cs="Arial"/>
          <w:kern w:val="0"/>
          <w:lang w:eastAsia="en-GB"/>
          <w14:ligatures w14:val="none"/>
        </w:rPr>
        <w:t>In conclusion, while the precedent system has numerous benefits, including consistency and predictability, it also has significant drawbacks, such as rigidity and complexity. Although some argue that precedent is no longer needed, it remains a fundamental aspect of the UK legal system. However, reforming the system to address its limitations could enhance its effectiveness and adaptability in a rapidly changing world. while precedent should not be entirely abandoned, thoughtful reforms are necessary to ensure its continued relevance and utility.</w:t>
      </w:r>
      <w:r w:rsidR="009F12A3" w:rsidRPr="00570186">
        <w:rPr>
          <w:rFonts w:ascii="Arial" w:hAnsi="Arial" w:cs="Arial"/>
        </w:rPr>
        <w:t xml:space="preserve"> </w:t>
      </w:r>
      <w:r w:rsidR="009F12A3" w:rsidRPr="00570186">
        <w:rPr>
          <w:rFonts w:ascii="Arial" w:eastAsia="Times New Roman" w:hAnsi="Arial" w:cs="Arial"/>
          <w:kern w:val="0"/>
          <w:lang w:eastAsia="en-GB"/>
          <w14:ligatures w14:val="none"/>
        </w:rPr>
        <w:t>Although the UK legal system's precedent system has historically offered predictability and stability, its shortcomings are becoming more and more apparent in a world that is changing quickly. Through a reduction of precedent and the implementation of deliberate reforms, the legal system can be made more adaptable, efficient, and consistent with modern principles and international norms. Maintaining the law's flexibility and adaptability to new situations will increase its usefulness and relevance in enforcing justice in the contemporary day.</w:t>
      </w:r>
    </w:p>
    <w:p w14:paraId="23144C07" w14:textId="77777777" w:rsidR="00511386" w:rsidRPr="00570186" w:rsidRDefault="00511386" w:rsidP="0084328E">
      <w:pPr>
        <w:jc w:val="both"/>
        <w:rPr>
          <w:rFonts w:ascii="Arial" w:eastAsia="Times New Roman" w:hAnsi="Arial" w:cs="Arial"/>
          <w:kern w:val="0"/>
          <w:lang w:eastAsia="en-GB"/>
          <w14:ligatures w14:val="none"/>
        </w:rPr>
      </w:pPr>
    </w:p>
    <w:p w14:paraId="01EE1716" w14:textId="57D4B5A1" w:rsidR="00511386" w:rsidRPr="00570186" w:rsidRDefault="00511386" w:rsidP="0084328E">
      <w:pPr>
        <w:spacing w:after="0" w:line="240" w:lineRule="auto"/>
        <w:jc w:val="both"/>
        <w:rPr>
          <w:rFonts w:ascii="Arial" w:eastAsia="Times New Roman" w:hAnsi="Arial" w:cs="Arial"/>
          <w:kern w:val="0"/>
          <w:lang w:eastAsia="en-GB"/>
          <w14:ligatures w14:val="none"/>
        </w:rPr>
      </w:pPr>
    </w:p>
    <w:p w14:paraId="034FED0E" w14:textId="77777777" w:rsidR="00BD4367" w:rsidRPr="00570186" w:rsidRDefault="00BD4367" w:rsidP="0084328E">
      <w:pPr>
        <w:jc w:val="both"/>
        <w:rPr>
          <w:rFonts w:ascii="Arial" w:hAnsi="Arial" w:cs="Arial"/>
        </w:rPr>
      </w:pPr>
    </w:p>
    <w:p w14:paraId="0BDB7C53" w14:textId="77777777" w:rsidR="007C7D34" w:rsidRDefault="007C7D34" w:rsidP="00A61993">
      <w:pPr>
        <w:pStyle w:val="NormalWeb"/>
        <w:spacing w:before="0" w:beforeAutospacing="0" w:after="240" w:afterAutospacing="0" w:line="360" w:lineRule="auto"/>
        <w:rPr>
          <w:rFonts w:ascii="Arial" w:hAnsi="Arial" w:cs="Arial"/>
        </w:rPr>
      </w:pPr>
    </w:p>
    <w:p w14:paraId="0A39BD9B" w14:textId="77777777" w:rsidR="007C7D34" w:rsidRDefault="007C7D34" w:rsidP="00A61993">
      <w:pPr>
        <w:pStyle w:val="NormalWeb"/>
        <w:spacing w:before="0" w:beforeAutospacing="0" w:after="240" w:afterAutospacing="0" w:line="360" w:lineRule="auto"/>
        <w:rPr>
          <w:rFonts w:ascii="Arial" w:hAnsi="Arial" w:cs="Arial"/>
        </w:rPr>
      </w:pPr>
    </w:p>
    <w:p w14:paraId="78F39B4A" w14:textId="77777777" w:rsidR="007C7D34" w:rsidRDefault="007C7D34" w:rsidP="00A61993">
      <w:pPr>
        <w:pStyle w:val="NormalWeb"/>
        <w:spacing w:before="0" w:beforeAutospacing="0" w:after="240" w:afterAutospacing="0" w:line="360" w:lineRule="auto"/>
        <w:rPr>
          <w:rFonts w:ascii="Arial" w:hAnsi="Arial" w:cs="Arial"/>
        </w:rPr>
      </w:pPr>
    </w:p>
    <w:p w14:paraId="7B363403" w14:textId="77777777" w:rsidR="007C7D34" w:rsidRDefault="007C7D34" w:rsidP="00A61993">
      <w:pPr>
        <w:pStyle w:val="NormalWeb"/>
        <w:spacing w:before="0" w:beforeAutospacing="0" w:after="240" w:afterAutospacing="0" w:line="360" w:lineRule="auto"/>
        <w:rPr>
          <w:rFonts w:ascii="Arial" w:hAnsi="Arial" w:cs="Arial"/>
        </w:rPr>
      </w:pPr>
    </w:p>
    <w:p w14:paraId="5846F60D" w14:textId="2FB47002" w:rsidR="00FE66FC" w:rsidRDefault="00FE66FC" w:rsidP="00A61993">
      <w:pPr>
        <w:pStyle w:val="NormalWeb"/>
        <w:spacing w:before="0" w:beforeAutospacing="0" w:after="240" w:afterAutospacing="0" w:line="360" w:lineRule="auto"/>
        <w:rPr>
          <w:rFonts w:ascii="Arial" w:hAnsi="Arial" w:cs="Arial"/>
        </w:rPr>
      </w:pPr>
      <w:r>
        <w:rPr>
          <w:rFonts w:ascii="Arial" w:hAnsi="Arial" w:cs="Arial"/>
        </w:rPr>
        <w:lastRenderedPageBreak/>
        <w:t>Reference List</w:t>
      </w:r>
    </w:p>
    <w:p w14:paraId="5124D455" w14:textId="77777777" w:rsidR="00664ED7" w:rsidRPr="00664ED7" w:rsidRDefault="00664ED7" w:rsidP="00664ED7">
      <w:pPr>
        <w:pStyle w:val="NormalWeb"/>
        <w:spacing w:after="240" w:line="360" w:lineRule="auto"/>
        <w:rPr>
          <w:rFonts w:ascii="Arial" w:hAnsi="Arial" w:cs="Arial"/>
        </w:rPr>
      </w:pPr>
      <w:r w:rsidRPr="00664ED7">
        <w:rPr>
          <w:rFonts w:ascii="Arial" w:hAnsi="Arial" w:cs="Arial"/>
        </w:rPr>
        <w:t xml:space="preserve">Barnett, Laura. “The Process of Law Reform: Conditions for Success.” </w:t>
      </w:r>
      <w:r w:rsidRPr="00664ED7">
        <w:rPr>
          <w:rFonts w:ascii="Arial" w:hAnsi="Arial" w:cs="Arial"/>
          <w:i/>
          <w:iCs/>
        </w:rPr>
        <w:t>Federal Law Review</w:t>
      </w:r>
      <w:r w:rsidRPr="00664ED7">
        <w:rPr>
          <w:rFonts w:ascii="Arial" w:hAnsi="Arial" w:cs="Arial"/>
        </w:rPr>
        <w:t>, vol. 39, no. 1, Mar. 2011, pp. 161–193, classic.austlii.edu.au/au/journals/</w:t>
      </w:r>
      <w:proofErr w:type="spellStart"/>
      <w:r w:rsidRPr="00664ED7">
        <w:rPr>
          <w:rFonts w:ascii="Arial" w:hAnsi="Arial" w:cs="Arial"/>
        </w:rPr>
        <w:t>FedLawRw</w:t>
      </w:r>
      <w:proofErr w:type="spellEnd"/>
      <w:r w:rsidRPr="00664ED7">
        <w:rPr>
          <w:rFonts w:ascii="Arial" w:hAnsi="Arial" w:cs="Arial"/>
        </w:rPr>
        <w:t>/2011/6.pdf, https://doi.org/10.1177/0067205x1103900106. Accessed 21 May 2024.</w:t>
      </w:r>
    </w:p>
    <w:p w14:paraId="496A35D3" w14:textId="77777777" w:rsidR="00150E5D" w:rsidRPr="00664ED7" w:rsidRDefault="00664ED7" w:rsidP="00150E5D">
      <w:pPr>
        <w:pStyle w:val="NormalWeb"/>
        <w:spacing w:after="240" w:line="360" w:lineRule="auto"/>
        <w:rPr>
          <w:rFonts w:ascii="Arial" w:hAnsi="Arial" w:cs="Arial"/>
        </w:rPr>
      </w:pPr>
      <w:r w:rsidRPr="00664ED7">
        <w:rPr>
          <w:rFonts w:ascii="Arial" w:hAnsi="Arial" w:cs="Arial"/>
        </w:rPr>
        <w:t xml:space="preserve">Devaney, James Gerard. “The Role of Precedent in the Jurisprudence of the International Court of Justice: A Constructive Interpretation.” </w:t>
      </w:r>
      <w:r w:rsidRPr="00664ED7">
        <w:rPr>
          <w:rFonts w:ascii="Arial" w:hAnsi="Arial" w:cs="Arial"/>
          <w:i/>
          <w:iCs/>
        </w:rPr>
        <w:t>Leiden Journal of International Law</w:t>
      </w:r>
      <w:r w:rsidRPr="00664ED7">
        <w:rPr>
          <w:rFonts w:ascii="Arial" w:hAnsi="Arial" w:cs="Arial"/>
        </w:rPr>
        <w:t xml:space="preserve">, 21 Apr. 2022, pp. 1–19, </w:t>
      </w:r>
      <w:r w:rsidR="00150E5D" w:rsidRPr="00664ED7">
        <w:rPr>
          <w:rFonts w:ascii="Arial" w:hAnsi="Arial" w:cs="Arial"/>
        </w:rPr>
        <w:t>https://doi.org/10.1017/s092215652200022x.</w:t>
      </w:r>
    </w:p>
    <w:p w14:paraId="225915E2" w14:textId="63AAB232" w:rsidR="00DD4B17" w:rsidRDefault="00F345AC" w:rsidP="00F345AC">
      <w:pPr>
        <w:pStyle w:val="NormalWeb"/>
        <w:spacing w:before="0" w:beforeAutospacing="0" w:after="240" w:afterAutospacing="0" w:line="360" w:lineRule="auto"/>
        <w:rPr>
          <w:rFonts w:ascii="Arial" w:hAnsi="Arial" w:cs="Arial"/>
        </w:rPr>
      </w:pPr>
      <w:r w:rsidRPr="00570186">
        <w:rPr>
          <w:rFonts w:ascii="Arial" w:hAnsi="Arial" w:cs="Arial"/>
        </w:rPr>
        <w:t xml:space="preserve">Giles, M. (1994). R v Brown: Consensual Harm and the Public Interest. </w:t>
      </w:r>
      <w:r w:rsidRPr="00570186">
        <w:rPr>
          <w:rFonts w:ascii="Arial" w:hAnsi="Arial" w:cs="Arial"/>
          <w:i/>
          <w:iCs/>
        </w:rPr>
        <w:t>The Modern Law Review</w:t>
      </w:r>
      <w:r w:rsidRPr="00570186">
        <w:rPr>
          <w:rFonts w:ascii="Arial" w:hAnsi="Arial" w:cs="Arial"/>
        </w:rPr>
        <w:t xml:space="preserve">, [online] 57(1), pp.101–111. Available at: </w:t>
      </w:r>
      <w:hyperlink r:id="rId5" w:history="1">
        <w:r w:rsidR="00DD4B17" w:rsidRPr="00397E41">
          <w:rPr>
            <w:rStyle w:val="Hyperlink"/>
            <w:rFonts w:ascii="Arial" w:hAnsi="Arial" w:cs="Arial"/>
          </w:rPr>
          <w:t>https://www.jstor.org/stable/1096703</w:t>
        </w:r>
      </w:hyperlink>
    </w:p>
    <w:p w14:paraId="103679B5" w14:textId="2D957F5A" w:rsidR="00F345AC" w:rsidRPr="00570186" w:rsidRDefault="00F345AC" w:rsidP="00F345AC">
      <w:pPr>
        <w:pStyle w:val="NormalWeb"/>
        <w:spacing w:before="0" w:beforeAutospacing="0" w:after="240" w:afterAutospacing="0" w:line="360" w:lineRule="auto"/>
        <w:rPr>
          <w:rFonts w:ascii="Arial" w:hAnsi="Arial" w:cs="Arial"/>
        </w:rPr>
      </w:pPr>
      <w:r w:rsidRPr="00570186">
        <w:rPr>
          <w:rFonts w:ascii="Arial" w:hAnsi="Arial" w:cs="Arial"/>
        </w:rPr>
        <w:t xml:space="preserve"> </w:t>
      </w:r>
      <w:r w:rsidR="00DD4B17">
        <w:rPr>
          <w:rFonts w:ascii="Arial" w:hAnsi="Arial" w:cs="Arial"/>
        </w:rPr>
        <w:t>(</w:t>
      </w:r>
      <w:r w:rsidRPr="00570186">
        <w:rPr>
          <w:rFonts w:ascii="Arial" w:hAnsi="Arial" w:cs="Arial"/>
        </w:rPr>
        <w:t xml:space="preserve">Accessed </w:t>
      </w:r>
      <w:r w:rsidR="00DD4B17">
        <w:rPr>
          <w:rFonts w:ascii="Arial" w:hAnsi="Arial" w:cs="Arial"/>
        </w:rPr>
        <w:t xml:space="preserve">on: </w:t>
      </w:r>
      <w:r w:rsidRPr="00570186">
        <w:rPr>
          <w:rFonts w:ascii="Arial" w:hAnsi="Arial" w:cs="Arial"/>
        </w:rPr>
        <w:t>23 May 2024].</w:t>
      </w:r>
    </w:p>
    <w:p w14:paraId="14E7D3EC" w14:textId="6A959F94" w:rsidR="00F345AC" w:rsidRPr="00570186" w:rsidRDefault="00F345AC" w:rsidP="00F345AC">
      <w:pPr>
        <w:pStyle w:val="NormalWeb"/>
        <w:spacing w:before="0" w:beforeAutospacing="0" w:after="240" w:afterAutospacing="0" w:line="360" w:lineRule="auto"/>
        <w:rPr>
          <w:rFonts w:ascii="Arial" w:hAnsi="Arial" w:cs="Arial"/>
        </w:rPr>
      </w:pPr>
      <w:r w:rsidRPr="00570186">
        <w:rPr>
          <w:rFonts w:ascii="Arial" w:hAnsi="Arial" w:cs="Arial"/>
        </w:rPr>
        <w:t xml:space="preserve">GOV.UK (2014). </w:t>
      </w:r>
      <w:r w:rsidRPr="00570186">
        <w:rPr>
          <w:rFonts w:ascii="Arial" w:hAnsi="Arial" w:cs="Arial"/>
          <w:i/>
          <w:iCs/>
        </w:rPr>
        <w:t>About us</w:t>
      </w:r>
      <w:r w:rsidRPr="00570186">
        <w:rPr>
          <w:rFonts w:ascii="Arial" w:hAnsi="Arial" w:cs="Arial"/>
        </w:rPr>
        <w:t xml:space="preserve">. [online] GOV.UK. Available at: </w:t>
      </w:r>
      <w:hyperlink r:id="rId6" w:history="1">
        <w:r w:rsidR="0070358A" w:rsidRPr="00397E41">
          <w:rPr>
            <w:rStyle w:val="Hyperlink"/>
            <w:rFonts w:ascii="Arial" w:hAnsi="Arial" w:cs="Arial"/>
          </w:rPr>
          <w:t>https://www.gov.uk/government/organisations/ministry-of-justice/about</w:t>
        </w:r>
      </w:hyperlink>
      <w:r w:rsidR="0070358A">
        <w:rPr>
          <w:rFonts w:ascii="Arial" w:hAnsi="Arial" w:cs="Arial"/>
        </w:rPr>
        <w:t xml:space="preserve"> (</w:t>
      </w:r>
      <w:r w:rsidRPr="00570186">
        <w:rPr>
          <w:rFonts w:ascii="Arial" w:hAnsi="Arial" w:cs="Arial"/>
        </w:rPr>
        <w:t>Accessed</w:t>
      </w:r>
      <w:r w:rsidR="0070358A">
        <w:rPr>
          <w:rFonts w:ascii="Arial" w:hAnsi="Arial" w:cs="Arial"/>
        </w:rPr>
        <w:t xml:space="preserve"> on:</w:t>
      </w:r>
      <w:r w:rsidRPr="00570186">
        <w:rPr>
          <w:rFonts w:ascii="Arial" w:hAnsi="Arial" w:cs="Arial"/>
        </w:rPr>
        <w:t xml:space="preserve"> 3 Jun</w:t>
      </w:r>
      <w:r w:rsidR="0070358A">
        <w:rPr>
          <w:rFonts w:ascii="Arial" w:hAnsi="Arial" w:cs="Arial"/>
        </w:rPr>
        <w:t>e</w:t>
      </w:r>
      <w:r w:rsidRPr="00570186">
        <w:rPr>
          <w:rFonts w:ascii="Arial" w:hAnsi="Arial" w:cs="Arial"/>
        </w:rPr>
        <w:t xml:space="preserve"> 2024</w:t>
      </w:r>
      <w:r w:rsidR="0070358A">
        <w:rPr>
          <w:rFonts w:ascii="Arial" w:hAnsi="Arial" w:cs="Arial"/>
        </w:rPr>
        <w:t>)</w:t>
      </w:r>
      <w:r w:rsidRPr="00570186">
        <w:rPr>
          <w:rFonts w:ascii="Arial" w:hAnsi="Arial" w:cs="Arial"/>
        </w:rPr>
        <w:t>.</w:t>
      </w:r>
    </w:p>
    <w:p w14:paraId="54F4F62F" w14:textId="2D6DF113" w:rsidR="00664ED7" w:rsidRPr="00664ED7" w:rsidRDefault="00664ED7" w:rsidP="00664ED7">
      <w:pPr>
        <w:pStyle w:val="NormalWeb"/>
        <w:spacing w:after="240" w:line="360" w:lineRule="auto"/>
        <w:rPr>
          <w:rFonts w:ascii="Arial" w:hAnsi="Arial" w:cs="Arial"/>
        </w:rPr>
      </w:pPr>
      <w:r w:rsidRPr="00664ED7">
        <w:rPr>
          <w:rFonts w:ascii="Arial" w:hAnsi="Arial" w:cs="Arial"/>
        </w:rPr>
        <w:t xml:space="preserve">Harrington, Daniel. “The Power of Precedent: How Court Rulings Influence the Law - </w:t>
      </w:r>
      <w:proofErr w:type="spellStart"/>
      <w:r w:rsidRPr="00664ED7">
        <w:rPr>
          <w:rFonts w:ascii="Arial" w:hAnsi="Arial" w:cs="Arial"/>
        </w:rPr>
        <w:t>Legalitic</w:t>
      </w:r>
      <w:proofErr w:type="spellEnd"/>
      <w:r w:rsidRPr="00664ED7">
        <w:rPr>
          <w:rFonts w:ascii="Arial" w:hAnsi="Arial" w:cs="Arial"/>
        </w:rPr>
        <w:t xml:space="preserve">.” </w:t>
      </w:r>
      <w:r w:rsidRPr="00664ED7">
        <w:rPr>
          <w:rFonts w:ascii="Arial" w:hAnsi="Arial" w:cs="Arial"/>
          <w:i/>
          <w:iCs/>
        </w:rPr>
        <w:t>Legalitic.uk</w:t>
      </w:r>
      <w:r w:rsidRPr="00664ED7">
        <w:rPr>
          <w:rFonts w:ascii="Arial" w:hAnsi="Arial" w:cs="Arial"/>
        </w:rPr>
        <w:t xml:space="preserve">, 11 Feb. 2024, legalitic.uk/the-power-of-precedent-how-court-rulings-influence-the-law. </w:t>
      </w:r>
      <w:r w:rsidR="0070358A">
        <w:rPr>
          <w:rFonts w:ascii="Arial" w:hAnsi="Arial" w:cs="Arial"/>
        </w:rPr>
        <w:t>(</w:t>
      </w:r>
      <w:r w:rsidRPr="00664ED7">
        <w:rPr>
          <w:rFonts w:ascii="Arial" w:hAnsi="Arial" w:cs="Arial"/>
        </w:rPr>
        <w:t>Accessed</w:t>
      </w:r>
      <w:r w:rsidR="002B0072">
        <w:rPr>
          <w:rFonts w:ascii="Arial" w:hAnsi="Arial" w:cs="Arial"/>
        </w:rPr>
        <w:t xml:space="preserve"> on:</w:t>
      </w:r>
      <w:r w:rsidRPr="00664ED7">
        <w:rPr>
          <w:rFonts w:ascii="Arial" w:hAnsi="Arial" w:cs="Arial"/>
        </w:rPr>
        <w:t xml:space="preserve"> 21 June 2024</w:t>
      </w:r>
      <w:r w:rsidR="002B0072">
        <w:rPr>
          <w:rFonts w:ascii="Arial" w:hAnsi="Arial" w:cs="Arial"/>
        </w:rPr>
        <w:t>)</w:t>
      </w:r>
      <w:r w:rsidRPr="00664ED7">
        <w:rPr>
          <w:rFonts w:ascii="Arial" w:hAnsi="Arial" w:cs="Arial"/>
        </w:rPr>
        <w:t>.</w:t>
      </w:r>
    </w:p>
    <w:p w14:paraId="54954802" w14:textId="1F527193" w:rsidR="00664ED7" w:rsidRPr="00664ED7" w:rsidRDefault="00664ED7" w:rsidP="00664ED7">
      <w:pPr>
        <w:pStyle w:val="NormalWeb"/>
        <w:spacing w:after="240" w:line="360" w:lineRule="auto"/>
        <w:rPr>
          <w:rFonts w:ascii="Arial" w:hAnsi="Arial" w:cs="Arial"/>
        </w:rPr>
      </w:pPr>
      <w:r w:rsidRPr="00664ED7">
        <w:rPr>
          <w:rFonts w:ascii="Arial" w:hAnsi="Arial" w:cs="Arial"/>
        </w:rPr>
        <w:t xml:space="preserve">“R v R [1991].” </w:t>
      </w:r>
      <w:r w:rsidRPr="00664ED7">
        <w:rPr>
          <w:rFonts w:ascii="Arial" w:hAnsi="Arial" w:cs="Arial"/>
          <w:i/>
          <w:iCs/>
        </w:rPr>
        <w:t>E-Lawresources.co.uk</w:t>
      </w:r>
      <w:r w:rsidRPr="00664ED7">
        <w:rPr>
          <w:rFonts w:ascii="Arial" w:hAnsi="Arial" w:cs="Arial"/>
        </w:rPr>
        <w:t xml:space="preserve">, 2021, www.e-lawresources.co.uk/R-v-R-%5B1991%5D.php. </w:t>
      </w:r>
      <w:r w:rsidR="002B0072">
        <w:rPr>
          <w:rFonts w:ascii="Arial" w:hAnsi="Arial" w:cs="Arial"/>
        </w:rPr>
        <w:t>(</w:t>
      </w:r>
      <w:r w:rsidRPr="00664ED7">
        <w:rPr>
          <w:rFonts w:ascii="Arial" w:hAnsi="Arial" w:cs="Arial"/>
        </w:rPr>
        <w:t xml:space="preserve">Accessed </w:t>
      </w:r>
      <w:r w:rsidR="002B0072">
        <w:rPr>
          <w:rFonts w:ascii="Arial" w:hAnsi="Arial" w:cs="Arial"/>
        </w:rPr>
        <w:t xml:space="preserve">on: </w:t>
      </w:r>
      <w:r w:rsidRPr="00664ED7">
        <w:rPr>
          <w:rFonts w:ascii="Arial" w:hAnsi="Arial" w:cs="Arial"/>
        </w:rPr>
        <w:t>13 June 2024</w:t>
      </w:r>
      <w:r w:rsidR="002B0072">
        <w:rPr>
          <w:rFonts w:ascii="Arial" w:hAnsi="Arial" w:cs="Arial"/>
        </w:rPr>
        <w:t>)</w:t>
      </w:r>
      <w:r w:rsidRPr="00664ED7">
        <w:rPr>
          <w:rFonts w:ascii="Arial" w:hAnsi="Arial" w:cs="Arial"/>
        </w:rPr>
        <w:t>.</w:t>
      </w:r>
    </w:p>
    <w:p w14:paraId="7DF853E2" w14:textId="1041D19D" w:rsidR="00664ED7" w:rsidRPr="00664ED7" w:rsidRDefault="00664ED7" w:rsidP="00664ED7">
      <w:pPr>
        <w:pStyle w:val="NormalWeb"/>
        <w:spacing w:after="240" w:line="360" w:lineRule="auto"/>
        <w:rPr>
          <w:rFonts w:ascii="Arial" w:hAnsi="Arial" w:cs="Arial"/>
        </w:rPr>
      </w:pPr>
      <w:r w:rsidRPr="00664ED7">
        <w:rPr>
          <w:rFonts w:ascii="Arial" w:hAnsi="Arial" w:cs="Arial"/>
        </w:rPr>
        <w:t xml:space="preserve">Regoli, Natalie. “16 Advantages and Disadvantages of Judicial Precedent.” </w:t>
      </w:r>
      <w:proofErr w:type="spellStart"/>
      <w:r w:rsidRPr="00664ED7">
        <w:rPr>
          <w:rFonts w:ascii="Arial" w:hAnsi="Arial" w:cs="Arial"/>
          <w:i/>
          <w:iCs/>
        </w:rPr>
        <w:t>ConnectUS</w:t>
      </w:r>
      <w:proofErr w:type="spellEnd"/>
      <w:r w:rsidRPr="00664ED7">
        <w:rPr>
          <w:rFonts w:ascii="Arial" w:hAnsi="Arial" w:cs="Arial"/>
        </w:rPr>
        <w:t xml:space="preserve">, 4 May 2019, connectusfund.org/6-advantages-and-disadvantages-of-judicial-precedent. </w:t>
      </w:r>
      <w:r w:rsidR="00FC6ED7">
        <w:rPr>
          <w:rFonts w:ascii="Arial" w:hAnsi="Arial" w:cs="Arial"/>
        </w:rPr>
        <w:t>(</w:t>
      </w:r>
      <w:r w:rsidRPr="00664ED7">
        <w:rPr>
          <w:rFonts w:ascii="Arial" w:hAnsi="Arial" w:cs="Arial"/>
        </w:rPr>
        <w:t xml:space="preserve">Accessed </w:t>
      </w:r>
      <w:proofErr w:type="gramStart"/>
      <w:r w:rsidR="00FC6ED7">
        <w:rPr>
          <w:rFonts w:ascii="Arial" w:hAnsi="Arial" w:cs="Arial"/>
        </w:rPr>
        <w:t>on:</w:t>
      </w:r>
      <w:proofErr w:type="gramEnd"/>
      <w:r w:rsidRPr="00664ED7">
        <w:rPr>
          <w:rFonts w:ascii="Arial" w:hAnsi="Arial" w:cs="Arial"/>
        </w:rPr>
        <w:t>10 June 2024</w:t>
      </w:r>
      <w:r w:rsidR="00FC6ED7">
        <w:rPr>
          <w:rFonts w:ascii="Arial" w:hAnsi="Arial" w:cs="Arial"/>
        </w:rPr>
        <w:t>)</w:t>
      </w:r>
      <w:r w:rsidRPr="00664ED7">
        <w:rPr>
          <w:rFonts w:ascii="Arial" w:hAnsi="Arial" w:cs="Arial"/>
        </w:rPr>
        <w:t>.</w:t>
      </w:r>
    </w:p>
    <w:p w14:paraId="3AB6F92B" w14:textId="1992E080" w:rsidR="00664ED7" w:rsidRPr="00664ED7" w:rsidRDefault="00664ED7" w:rsidP="00664ED7">
      <w:pPr>
        <w:pStyle w:val="NormalWeb"/>
        <w:spacing w:after="240" w:line="360" w:lineRule="auto"/>
        <w:rPr>
          <w:rFonts w:ascii="Arial" w:hAnsi="Arial" w:cs="Arial"/>
        </w:rPr>
      </w:pPr>
      <w:r w:rsidRPr="00664ED7">
        <w:rPr>
          <w:rFonts w:ascii="Arial" w:hAnsi="Arial" w:cs="Arial"/>
        </w:rPr>
        <w:t xml:space="preserve">Tierney, Elliot. “Mabo v Queensland (No 2).” </w:t>
      </w:r>
      <w:proofErr w:type="spellStart"/>
      <w:r w:rsidRPr="00664ED7">
        <w:rPr>
          <w:rFonts w:ascii="Arial" w:hAnsi="Arial" w:cs="Arial"/>
          <w:i/>
          <w:iCs/>
        </w:rPr>
        <w:t>TheLawVault</w:t>
      </w:r>
      <w:proofErr w:type="spellEnd"/>
      <w:r w:rsidRPr="00664ED7">
        <w:rPr>
          <w:rFonts w:ascii="Arial" w:hAnsi="Arial" w:cs="Arial"/>
        </w:rPr>
        <w:t xml:space="preserve">, 17 Aug. 2022, </w:t>
      </w:r>
      <w:hyperlink r:id="rId7" w:history="1">
        <w:r w:rsidR="00303A5E" w:rsidRPr="00664ED7">
          <w:rPr>
            <w:rStyle w:val="Hyperlink"/>
            <w:rFonts w:ascii="Arial" w:hAnsi="Arial" w:cs="Arial"/>
          </w:rPr>
          <w:t>www.thelawvault.org/post/mabo-v-queensland-no-2</w:t>
        </w:r>
      </w:hyperlink>
      <w:r w:rsidR="00303A5E">
        <w:rPr>
          <w:rFonts w:ascii="Arial" w:hAnsi="Arial" w:cs="Arial"/>
        </w:rPr>
        <w:t xml:space="preserve"> </w:t>
      </w:r>
      <w:proofErr w:type="gramStart"/>
      <w:r w:rsidR="00303A5E">
        <w:rPr>
          <w:rFonts w:ascii="Arial" w:hAnsi="Arial" w:cs="Arial"/>
        </w:rPr>
        <w:t>(</w:t>
      </w:r>
      <w:r w:rsidRPr="00664ED7">
        <w:rPr>
          <w:rFonts w:ascii="Arial" w:hAnsi="Arial" w:cs="Arial"/>
        </w:rPr>
        <w:t xml:space="preserve"> Accessed</w:t>
      </w:r>
      <w:proofErr w:type="gramEnd"/>
      <w:r w:rsidR="00303A5E">
        <w:rPr>
          <w:rFonts w:ascii="Arial" w:hAnsi="Arial" w:cs="Arial"/>
        </w:rPr>
        <w:t xml:space="preserve"> on: </w:t>
      </w:r>
      <w:r w:rsidRPr="00664ED7">
        <w:rPr>
          <w:rFonts w:ascii="Arial" w:hAnsi="Arial" w:cs="Arial"/>
        </w:rPr>
        <w:t>11 June 2024</w:t>
      </w:r>
      <w:r w:rsidR="00303A5E">
        <w:rPr>
          <w:rFonts w:ascii="Arial" w:hAnsi="Arial" w:cs="Arial"/>
        </w:rPr>
        <w:t>)</w:t>
      </w:r>
      <w:r w:rsidRPr="00664ED7">
        <w:rPr>
          <w:rFonts w:ascii="Arial" w:hAnsi="Arial" w:cs="Arial"/>
        </w:rPr>
        <w:t>.</w:t>
      </w:r>
    </w:p>
    <w:p w14:paraId="356B562B" w14:textId="77777777" w:rsidR="00664ED7" w:rsidRDefault="00664ED7" w:rsidP="00A61993">
      <w:pPr>
        <w:pStyle w:val="NormalWeb"/>
        <w:spacing w:before="0" w:beforeAutospacing="0" w:after="240" w:afterAutospacing="0" w:line="360" w:lineRule="auto"/>
        <w:rPr>
          <w:rFonts w:ascii="Arial" w:hAnsi="Arial" w:cs="Arial"/>
        </w:rPr>
      </w:pPr>
    </w:p>
    <w:p w14:paraId="201270D9" w14:textId="02B305EC" w:rsidR="00A61993" w:rsidRPr="00570186" w:rsidRDefault="00A61993" w:rsidP="00A61993">
      <w:pPr>
        <w:pStyle w:val="NormalWeb"/>
        <w:spacing w:before="0" w:beforeAutospacing="0" w:after="240" w:afterAutospacing="0" w:line="360" w:lineRule="auto"/>
        <w:rPr>
          <w:rFonts w:ascii="Arial" w:hAnsi="Arial" w:cs="Arial"/>
        </w:rPr>
      </w:pPr>
      <w:r w:rsidRPr="00570186">
        <w:rPr>
          <w:rFonts w:ascii="Arial" w:hAnsi="Arial" w:cs="Arial"/>
        </w:rPr>
        <w:lastRenderedPageBreak/>
        <w:t xml:space="preserve">Liddell, C. and Schubert, J. (2022). </w:t>
      </w:r>
      <w:r w:rsidRPr="00570186">
        <w:rPr>
          <w:rFonts w:ascii="Arial" w:hAnsi="Arial" w:cs="Arial"/>
          <w:i/>
          <w:iCs/>
        </w:rPr>
        <w:t>Precedent in Law</w:t>
      </w:r>
      <w:r w:rsidRPr="00570186">
        <w:rPr>
          <w:rFonts w:ascii="Arial" w:hAnsi="Arial" w:cs="Arial"/>
        </w:rPr>
        <w:t xml:space="preserve">. [online] Study.com. Available at: https://study.com/academy/lesson/precedent-definition-law-examples.html </w:t>
      </w:r>
      <w:r w:rsidR="00050243">
        <w:rPr>
          <w:rFonts w:ascii="Arial" w:hAnsi="Arial" w:cs="Arial"/>
        </w:rPr>
        <w:t>(</w:t>
      </w:r>
      <w:r w:rsidRPr="00570186">
        <w:rPr>
          <w:rFonts w:ascii="Arial" w:hAnsi="Arial" w:cs="Arial"/>
        </w:rPr>
        <w:t xml:space="preserve">Accessed </w:t>
      </w:r>
      <w:r w:rsidR="00050243">
        <w:rPr>
          <w:rFonts w:ascii="Arial" w:hAnsi="Arial" w:cs="Arial"/>
        </w:rPr>
        <w:t xml:space="preserve">on: </w:t>
      </w:r>
      <w:r w:rsidRPr="00570186">
        <w:rPr>
          <w:rFonts w:ascii="Arial" w:hAnsi="Arial" w:cs="Arial"/>
        </w:rPr>
        <w:t>10 Ju</w:t>
      </w:r>
      <w:r w:rsidR="00050243">
        <w:rPr>
          <w:rFonts w:ascii="Arial" w:hAnsi="Arial" w:cs="Arial"/>
        </w:rPr>
        <w:t>ne</w:t>
      </w:r>
      <w:r w:rsidRPr="00570186">
        <w:rPr>
          <w:rFonts w:ascii="Arial" w:hAnsi="Arial" w:cs="Arial"/>
        </w:rPr>
        <w:t xml:space="preserve"> 202</w:t>
      </w:r>
      <w:r w:rsidR="00050243">
        <w:rPr>
          <w:rFonts w:ascii="Arial" w:hAnsi="Arial" w:cs="Arial"/>
        </w:rPr>
        <w:t>4)</w:t>
      </w:r>
      <w:r w:rsidRPr="00570186">
        <w:rPr>
          <w:rFonts w:ascii="Arial" w:hAnsi="Arial" w:cs="Arial"/>
        </w:rPr>
        <w:t>.</w:t>
      </w:r>
    </w:p>
    <w:p w14:paraId="7E800274" w14:textId="6A093367" w:rsidR="00A61993" w:rsidRPr="00570186" w:rsidRDefault="00A61993" w:rsidP="00A61993">
      <w:pPr>
        <w:pStyle w:val="NormalWeb"/>
        <w:spacing w:before="0" w:beforeAutospacing="0" w:after="240" w:afterAutospacing="0" w:line="360" w:lineRule="auto"/>
        <w:rPr>
          <w:rFonts w:ascii="Arial" w:hAnsi="Arial" w:cs="Arial"/>
        </w:rPr>
      </w:pPr>
      <w:r w:rsidRPr="00570186">
        <w:rPr>
          <w:rFonts w:ascii="Arial" w:hAnsi="Arial" w:cs="Arial"/>
        </w:rPr>
        <w:t xml:space="preserve">Sarojni, L. (2022). Donoghue v Stevenson (1932). </w:t>
      </w:r>
      <w:r w:rsidRPr="00570186">
        <w:rPr>
          <w:rFonts w:ascii="Arial" w:hAnsi="Arial" w:cs="Arial"/>
          <w:i/>
          <w:iCs/>
        </w:rPr>
        <w:t>Jus Corpus Law Journal</w:t>
      </w:r>
      <w:r w:rsidRPr="00570186">
        <w:rPr>
          <w:rFonts w:ascii="Arial" w:hAnsi="Arial" w:cs="Arial"/>
        </w:rPr>
        <w:t xml:space="preserve">, [online] 3, p.21. Available at: </w:t>
      </w:r>
      <w:hyperlink r:id="rId8" w:history="1">
        <w:r w:rsidR="00050243" w:rsidRPr="00397E41">
          <w:rPr>
            <w:rStyle w:val="Hyperlink"/>
            <w:rFonts w:ascii="Arial" w:hAnsi="Arial" w:cs="Arial"/>
          </w:rPr>
          <w:t>https://heinonline.org/HOL/LandingPage?handle=hein.journals/juscrp3&amp;div=513&amp;id=&amp;page=</w:t>
        </w:r>
      </w:hyperlink>
      <w:r w:rsidR="00050243">
        <w:rPr>
          <w:rFonts w:ascii="Arial" w:hAnsi="Arial" w:cs="Arial"/>
        </w:rPr>
        <w:t xml:space="preserve">  </w:t>
      </w:r>
      <w:r w:rsidR="003538B6">
        <w:rPr>
          <w:rFonts w:ascii="Arial" w:hAnsi="Arial" w:cs="Arial"/>
        </w:rPr>
        <w:t>(</w:t>
      </w:r>
      <w:r w:rsidRPr="00570186">
        <w:rPr>
          <w:rFonts w:ascii="Arial" w:hAnsi="Arial" w:cs="Arial"/>
        </w:rPr>
        <w:t>Accessed</w:t>
      </w:r>
      <w:r w:rsidR="003538B6">
        <w:rPr>
          <w:rFonts w:ascii="Arial" w:hAnsi="Arial" w:cs="Arial"/>
        </w:rPr>
        <w:t>:</w:t>
      </w:r>
      <w:r w:rsidRPr="00570186">
        <w:rPr>
          <w:rFonts w:ascii="Arial" w:hAnsi="Arial" w:cs="Arial"/>
        </w:rPr>
        <w:t xml:space="preserve"> 13 May 2024</w:t>
      </w:r>
      <w:r w:rsidR="003538B6">
        <w:rPr>
          <w:rFonts w:ascii="Arial" w:hAnsi="Arial" w:cs="Arial"/>
        </w:rPr>
        <w:t>)</w:t>
      </w:r>
      <w:r w:rsidRPr="00570186">
        <w:rPr>
          <w:rFonts w:ascii="Arial" w:hAnsi="Arial" w:cs="Arial"/>
        </w:rPr>
        <w:t>.</w:t>
      </w:r>
    </w:p>
    <w:p w14:paraId="44DD3877" w14:textId="77777777" w:rsidR="00BD4367" w:rsidRPr="00570186" w:rsidRDefault="00BD4367" w:rsidP="0084328E">
      <w:pPr>
        <w:jc w:val="both"/>
        <w:rPr>
          <w:rFonts w:ascii="Arial" w:hAnsi="Arial" w:cs="Arial"/>
        </w:rPr>
      </w:pPr>
    </w:p>
    <w:sectPr w:rsidR="00BD4367" w:rsidRPr="005701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F594386"/>
    <w:multiLevelType w:val="hybridMultilevel"/>
    <w:tmpl w:val="BA0CDE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1877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367"/>
    <w:rsid w:val="0000520E"/>
    <w:rsid w:val="0002726D"/>
    <w:rsid w:val="00050243"/>
    <w:rsid w:val="0007097E"/>
    <w:rsid w:val="0009190D"/>
    <w:rsid w:val="000E4DD9"/>
    <w:rsid w:val="00144D15"/>
    <w:rsid w:val="0014664D"/>
    <w:rsid w:val="001501A6"/>
    <w:rsid w:val="00150E5D"/>
    <w:rsid w:val="001D54B6"/>
    <w:rsid w:val="001E4A1D"/>
    <w:rsid w:val="0024379A"/>
    <w:rsid w:val="00253AB8"/>
    <w:rsid w:val="002B0072"/>
    <w:rsid w:val="00303A5E"/>
    <w:rsid w:val="00333C54"/>
    <w:rsid w:val="003538B6"/>
    <w:rsid w:val="00357089"/>
    <w:rsid w:val="00390F18"/>
    <w:rsid w:val="00431DBB"/>
    <w:rsid w:val="004345A0"/>
    <w:rsid w:val="0045008F"/>
    <w:rsid w:val="00461E86"/>
    <w:rsid w:val="00467196"/>
    <w:rsid w:val="00470882"/>
    <w:rsid w:val="00471B06"/>
    <w:rsid w:val="00473260"/>
    <w:rsid w:val="004D07A5"/>
    <w:rsid w:val="004D3147"/>
    <w:rsid w:val="004F0839"/>
    <w:rsid w:val="00511386"/>
    <w:rsid w:val="00513D7A"/>
    <w:rsid w:val="00570186"/>
    <w:rsid w:val="00592586"/>
    <w:rsid w:val="005A08AD"/>
    <w:rsid w:val="005A60CC"/>
    <w:rsid w:val="005D3E7A"/>
    <w:rsid w:val="005F1982"/>
    <w:rsid w:val="00664ED7"/>
    <w:rsid w:val="0070358A"/>
    <w:rsid w:val="00707557"/>
    <w:rsid w:val="00727EE3"/>
    <w:rsid w:val="00736C07"/>
    <w:rsid w:val="0077410E"/>
    <w:rsid w:val="007A4285"/>
    <w:rsid w:val="007C0EFE"/>
    <w:rsid w:val="007C7D34"/>
    <w:rsid w:val="008167F8"/>
    <w:rsid w:val="0084328E"/>
    <w:rsid w:val="008F65A5"/>
    <w:rsid w:val="00900E06"/>
    <w:rsid w:val="009557C5"/>
    <w:rsid w:val="00977C6F"/>
    <w:rsid w:val="009853CF"/>
    <w:rsid w:val="009D3DDB"/>
    <w:rsid w:val="009D7BC5"/>
    <w:rsid w:val="009F12A3"/>
    <w:rsid w:val="00A222E3"/>
    <w:rsid w:val="00A36434"/>
    <w:rsid w:val="00A61993"/>
    <w:rsid w:val="00A83BB0"/>
    <w:rsid w:val="00A90440"/>
    <w:rsid w:val="00AC20FF"/>
    <w:rsid w:val="00AD72C5"/>
    <w:rsid w:val="00B15E4E"/>
    <w:rsid w:val="00B363C1"/>
    <w:rsid w:val="00B52BCD"/>
    <w:rsid w:val="00B8769D"/>
    <w:rsid w:val="00BA7C61"/>
    <w:rsid w:val="00BD4367"/>
    <w:rsid w:val="00C05C32"/>
    <w:rsid w:val="00C35DA6"/>
    <w:rsid w:val="00D561B1"/>
    <w:rsid w:val="00D85733"/>
    <w:rsid w:val="00D96EBD"/>
    <w:rsid w:val="00DB0603"/>
    <w:rsid w:val="00DB565B"/>
    <w:rsid w:val="00DC3ECA"/>
    <w:rsid w:val="00DD4B17"/>
    <w:rsid w:val="00EA4D56"/>
    <w:rsid w:val="00EC324E"/>
    <w:rsid w:val="00F345AC"/>
    <w:rsid w:val="00F52330"/>
    <w:rsid w:val="00FC6ED7"/>
    <w:rsid w:val="00FE170A"/>
    <w:rsid w:val="00FE6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04B77B"/>
  <w15:chartTrackingRefBased/>
  <w15:docId w15:val="{109ACF95-AC34-43B6-9E8C-184CDBA30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43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43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43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D43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43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43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43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43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43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3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43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43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D43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43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43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43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43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4367"/>
    <w:rPr>
      <w:rFonts w:eastAsiaTheme="majorEastAsia" w:cstheme="majorBidi"/>
      <w:color w:val="272727" w:themeColor="text1" w:themeTint="D8"/>
    </w:rPr>
  </w:style>
  <w:style w:type="paragraph" w:styleId="Title">
    <w:name w:val="Title"/>
    <w:basedOn w:val="Normal"/>
    <w:next w:val="Normal"/>
    <w:link w:val="TitleChar"/>
    <w:uiPriority w:val="10"/>
    <w:qFormat/>
    <w:rsid w:val="00BD43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43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43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43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4367"/>
    <w:pPr>
      <w:spacing w:before="160"/>
      <w:jc w:val="center"/>
    </w:pPr>
    <w:rPr>
      <w:i/>
      <w:iCs/>
      <w:color w:val="404040" w:themeColor="text1" w:themeTint="BF"/>
    </w:rPr>
  </w:style>
  <w:style w:type="character" w:customStyle="1" w:styleId="QuoteChar">
    <w:name w:val="Quote Char"/>
    <w:basedOn w:val="DefaultParagraphFont"/>
    <w:link w:val="Quote"/>
    <w:uiPriority w:val="29"/>
    <w:rsid w:val="00BD4367"/>
    <w:rPr>
      <w:i/>
      <w:iCs/>
      <w:color w:val="404040" w:themeColor="text1" w:themeTint="BF"/>
    </w:rPr>
  </w:style>
  <w:style w:type="paragraph" w:styleId="ListParagraph">
    <w:name w:val="List Paragraph"/>
    <w:basedOn w:val="Normal"/>
    <w:uiPriority w:val="34"/>
    <w:qFormat/>
    <w:rsid w:val="00BD4367"/>
    <w:pPr>
      <w:ind w:left="720"/>
      <w:contextualSpacing/>
    </w:pPr>
  </w:style>
  <w:style w:type="character" w:styleId="IntenseEmphasis">
    <w:name w:val="Intense Emphasis"/>
    <w:basedOn w:val="DefaultParagraphFont"/>
    <w:uiPriority w:val="21"/>
    <w:qFormat/>
    <w:rsid w:val="00BD4367"/>
    <w:rPr>
      <w:i/>
      <w:iCs/>
      <w:color w:val="0F4761" w:themeColor="accent1" w:themeShade="BF"/>
    </w:rPr>
  </w:style>
  <w:style w:type="paragraph" w:styleId="IntenseQuote">
    <w:name w:val="Intense Quote"/>
    <w:basedOn w:val="Normal"/>
    <w:next w:val="Normal"/>
    <w:link w:val="IntenseQuoteChar"/>
    <w:uiPriority w:val="30"/>
    <w:qFormat/>
    <w:rsid w:val="00BD43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4367"/>
    <w:rPr>
      <w:i/>
      <w:iCs/>
      <w:color w:val="0F4761" w:themeColor="accent1" w:themeShade="BF"/>
    </w:rPr>
  </w:style>
  <w:style w:type="character" w:styleId="IntenseReference">
    <w:name w:val="Intense Reference"/>
    <w:basedOn w:val="DefaultParagraphFont"/>
    <w:uiPriority w:val="32"/>
    <w:qFormat/>
    <w:rsid w:val="00BD4367"/>
    <w:rPr>
      <w:b/>
      <w:bCs/>
      <w:smallCaps/>
      <w:color w:val="0F4761" w:themeColor="accent1" w:themeShade="BF"/>
      <w:spacing w:val="5"/>
    </w:rPr>
  </w:style>
  <w:style w:type="paragraph" w:styleId="NormalWeb">
    <w:name w:val="Normal (Web)"/>
    <w:basedOn w:val="Normal"/>
    <w:uiPriority w:val="99"/>
    <w:semiHidden/>
    <w:unhideWhenUsed/>
    <w:rsid w:val="0051138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303A5E"/>
    <w:rPr>
      <w:color w:val="467886" w:themeColor="hyperlink"/>
      <w:u w:val="single"/>
    </w:rPr>
  </w:style>
  <w:style w:type="character" w:styleId="UnresolvedMention">
    <w:name w:val="Unresolved Mention"/>
    <w:basedOn w:val="DefaultParagraphFont"/>
    <w:uiPriority w:val="99"/>
    <w:semiHidden/>
    <w:unhideWhenUsed/>
    <w:rsid w:val="00303A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675745">
      <w:bodyDiv w:val="1"/>
      <w:marLeft w:val="0"/>
      <w:marRight w:val="0"/>
      <w:marTop w:val="0"/>
      <w:marBottom w:val="0"/>
      <w:divBdr>
        <w:top w:val="none" w:sz="0" w:space="0" w:color="auto"/>
        <w:left w:val="none" w:sz="0" w:space="0" w:color="auto"/>
        <w:bottom w:val="none" w:sz="0" w:space="0" w:color="auto"/>
        <w:right w:val="none" w:sz="0" w:space="0" w:color="auto"/>
      </w:divBdr>
    </w:div>
    <w:div w:id="328408447">
      <w:bodyDiv w:val="1"/>
      <w:marLeft w:val="0"/>
      <w:marRight w:val="0"/>
      <w:marTop w:val="0"/>
      <w:marBottom w:val="0"/>
      <w:divBdr>
        <w:top w:val="none" w:sz="0" w:space="0" w:color="auto"/>
        <w:left w:val="none" w:sz="0" w:space="0" w:color="auto"/>
        <w:bottom w:val="none" w:sz="0" w:space="0" w:color="auto"/>
        <w:right w:val="none" w:sz="0" w:space="0" w:color="auto"/>
      </w:divBdr>
    </w:div>
    <w:div w:id="417949857">
      <w:bodyDiv w:val="1"/>
      <w:marLeft w:val="0"/>
      <w:marRight w:val="0"/>
      <w:marTop w:val="0"/>
      <w:marBottom w:val="0"/>
      <w:divBdr>
        <w:top w:val="none" w:sz="0" w:space="0" w:color="auto"/>
        <w:left w:val="none" w:sz="0" w:space="0" w:color="auto"/>
        <w:bottom w:val="none" w:sz="0" w:space="0" w:color="auto"/>
        <w:right w:val="none" w:sz="0" w:space="0" w:color="auto"/>
      </w:divBdr>
    </w:div>
    <w:div w:id="460071298">
      <w:bodyDiv w:val="1"/>
      <w:marLeft w:val="0"/>
      <w:marRight w:val="0"/>
      <w:marTop w:val="0"/>
      <w:marBottom w:val="0"/>
      <w:divBdr>
        <w:top w:val="none" w:sz="0" w:space="0" w:color="auto"/>
        <w:left w:val="none" w:sz="0" w:space="0" w:color="auto"/>
        <w:bottom w:val="none" w:sz="0" w:space="0" w:color="auto"/>
        <w:right w:val="none" w:sz="0" w:space="0" w:color="auto"/>
      </w:divBdr>
    </w:div>
    <w:div w:id="488716851">
      <w:bodyDiv w:val="1"/>
      <w:marLeft w:val="0"/>
      <w:marRight w:val="0"/>
      <w:marTop w:val="0"/>
      <w:marBottom w:val="0"/>
      <w:divBdr>
        <w:top w:val="none" w:sz="0" w:space="0" w:color="auto"/>
        <w:left w:val="none" w:sz="0" w:space="0" w:color="auto"/>
        <w:bottom w:val="none" w:sz="0" w:space="0" w:color="auto"/>
        <w:right w:val="none" w:sz="0" w:space="0" w:color="auto"/>
      </w:divBdr>
    </w:div>
    <w:div w:id="494498206">
      <w:bodyDiv w:val="1"/>
      <w:marLeft w:val="0"/>
      <w:marRight w:val="0"/>
      <w:marTop w:val="0"/>
      <w:marBottom w:val="0"/>
      <w:divBdr>
        <w:top w:val="none" w:sz="0" w:space="0" w:color="auto"/>
        <w:left w:val="none" w:sz="0" w:space="0" w:color="auto"/>
        <w:bottom w:val="none" w:sz="0" w:space="0" w:color="auto"/>
        <w:right w:val="none" w:sz="0" w:space="0" w:color="auto"/>
      </w:divBdr>
    </w:div>
    <w:div w:id="543829324">
      <w:bodyDiv w:val="1"/>
      <w:marLeft w:val="0"/>
      <w:marRight w:val="0"/>
      <w:marTop w:val="0"/>
      <w:marBottom w:val="0"/>
      <w:divBdr>
        <w:top w:val="none" w:sz="0" w:space="0" w:color="auto"/>
        <w:left w:val="none" w:sz="0" w:space="0" w:color="auto"/>
        <w:bottom w:val="none" w:sz="0" w:space="0" w:color="auto"/>
        <w:right w:val="none" w:sz="0" w:space="0" w:color="auto"/>
      </w:divBdr>
    </w:div>
    <w:div w:id="572620177">
      <w:bodyDiv w:val="1"/>
      <w:marLeft w:val="0"/>
      <w:marRight w:val="0"/>
      <w:marTop w:val="0"/>
      <w:marBottom w:val="0"/>
      <w:divBdr>
        <w:top w:val="none" w:sz="0" w:space="0" w:color="auto"/>
        <w:left w:val="none" w:sz="0" w:space="0" w:color="auto"/>
        <w:bottom w:val="none" w:sz="0" w:space="0" w:color="auto"/>
        <w:right w:val="none" w:sz="0" w:space="0" w:color="auto"/>
      </w:divBdr>
    </w:div>
    <w:div w:id="593321480">
      <w:bodyDiv w:val="1"/>
      <w:marLeft w:val="0"/>
      <w:marRight w:val="0"/>
      <w:marTop w:val="0"/>
      <w:marBottom w:val="0"/>
      <w:divBdr>
        <w:top w:val="none" w:sz="0" w:space="0" w:color="auto"/>
        <w:left w:val="none" w:sz="0" w:space="0" w:color="auto"/>
        <w:bottom w:val="none" w:sz="0" w:space="0" w:color="auto"/>
        <w:right w:val="none" w:sz="0" w:space="0" w:color="auto"/>
      </w:divBdr>
    </w:div>
    <w:div w:id="636567265">
      <w:bodyDiv w:val="1"/>
      <w:marLeft w:val="0"/>
      <w:marRight w:val="0"/>
      <w:marTop w:val="0"/>
      <w:marBottom w:val="0"/>
      <w:divBdr>
        <w:top w:val="none" w:sz="0" w:space="0" w:color="auto"/>
        <w:left w:val="none" w:sz="0" w:space="0" w:color="auto"/>
        <w:bottom w:val="none" w:sz="0" w:space="0" w:color="auto"/>
        <w:right w:val="none" w:sz="0" w:space="0" w:color="auto"/>
      </w:divBdr>
    </w:div>
    <w:div w:id="697506864">
      <w:bodyDiv w:val="1"/>
      <w:marLeft w:val="0"/>
      <w:marRight w:val="0"/>
      <w:marTop w:val="0"/>
      <w:marBottom w:val="0"/>
      <w:divBdr>
        <w:top w:val="none" w:sz="0" w:space="0" w:color="auto"/>
        <w:left w:val="none" w:sz="0" w:space="0" w:color="auto"/>
        <w:bottom w:val="none" w:sz="0" w:space="0" w:color="auto"/>
        <w:right w:val="none" w:sz="0" w:space="0" w:color="auto"/>
      </w:divBdr>
    </w:div>
    <w:div w:id="758720342">
      <w:bodyDiv w:val="1"/>
      <w:marLeft w:val="0"/>
      <w:marRight w:val="0"/>
      <w:marTop w:val="0"/>
      <w:marBottom w:val="0"/>
      <w:divBdr>
        <w:top w:val="none" w:sz="0" w:space="0" w:color="auto"/>
        <w:left w:val="none" w:sz="0" w:space="0" w:color="auto"/>
        <w:bottom w:val="none" w:sz="0" w:space="0" w:color="auto"/>
        <w:right w:val="none" w:sz="0" w:space="0" w:color="auto"/>
      </w:divBdr>
    </w:div>
    <w:div w:id="764378150">
      <w:bodyDiv w:val="1"/>
      <w:marLeft w:val="0"/>
      <w:marRight w:val="0"/>
      <w:marTop w:val="0"/>
      <w:marBottom w:val="0"/>
      <w:divBdr>
        <w:top w:val="none" w:sz="0" w:space="0" w:color="auto"/>
        <w:left w:val="none" w:sz="0" w:space="0" w:color="auto"/>
        <w:bottom w:val="none" w:sz="0" w:space="0" w:color="auto"/>
        <w:right w:val="none" w:sz="0" w:space="0" w:color="auto"/>
      </w:divBdr>
    </w:div>
    <w:div w:id="936447712">
      <w:bodyDiv w:val="1"/>
      <w:marLeft w:val="0"/>
      <w:marRight w:val="0"/>
      <w:marTop w:val="0"/>
      <w:marBottom w:val="0"/>
      <w:divBdr>
        <w:top w:val="none" w:sz="0" w:space="0" w:color="auto"/>
        <w:left w:val="none" w:sz="0" w:space="0" w:color="auto"/>
        <w:bottom w:val="none" w:sz="0" w:space="0" w:color="auto"/>
        <w:right w:val="none" w:sz="0" w:space="0" w:color="auto"/>
      </w:divBdr>
    </w:div>
    <w:div w:id="1036077144">
      <w:bodyDiv w:val="1"/>
      <w:marLeft w:val="0"/>
      <w:marRight w:val="0"/>
      <w:marTop w:val="0"/>
      <w:marBottom w:val="0"/>
      <w:divBdr>
        <w:top w:val="none" w:sz="0" w:space="0" w:color="auto"/>
        <w:left w:val="none" w:sz="0" w:space="0" w:color="auto"/>
        <w:bottom w:val="none" w:sz="0" w:space="0" w:color="auto"/>
        <w:right w:val="none" w:sz="0" w:space="0" w:color="auto"/>
      </w:divBdr>
    </w:div>
    <w:div w:id="1072240794">
      <w:bodyDiv w:val="1"/>
      <w:marLeft w:val="0"/>
      <w:marRight w:val="0"/>
      <w:marTop w:val="0"/>
      <w:marBottom w:val="0"/>
      <w:divBdr>
        <w:top w:val="none" w:sz="0" w:space="0" w:color="auto"/>
        <w:left w:val="none" w:sz="0" w:space="0" w:color="auto"/>
        <w:bottom w:val="none" w:sz="0" w:space="0" w:color="auto"/>
        <w:right w:val="none" w:sz="0" w:space="0" w:color="auto"/>
      </w:divBdr>
      <w:divsChild>
        <w:div w:id="313415401">
          <w:marLeft w:val="0"/>
          <w:marRight w:val="0"/>
          <w:marTop w:val="0"/>
          <w:marBottom w:val="0"/>
          <w:divBdr>
            <w:top w:val="none" w:sz="0" w:space="0" w:color="auto"/>
            <w:left w:val="none" w:sz="0" w:space="0" w:color="auto"/>
            <w:bottom w:val="none" w:sz="0" w:space="0" w:color="auto"/>
            <w:right w:val="none" w:sz="0" w:space="0" w:color="auto"/>
          </w:divBdr>
        </w:div>
      </w:divsChild>
    </w:div>
    <w:div w:id="1418672754">
      <w:bodyDiv w:val="1"/>
      <w:marLeft w:val="0"/>
      <w:marRight w:val="0"/>
      <w:marTop w:val="0"/>
      <w:marBottom w:val="0"/>
      <w:divBdr>
        <w:top w:val="none" w:sz="0" w:space="0" w:color="auto"/>
        <w:left w:val="none" w:sz="0" w:space="0" w:color="auto"/>
        <w:bottom w:val="none" w:sz="0" w:space="0" w:color="auto"/>
        <w:right w:val="none" w:sz="0" w:space="0" w:color="auto"/>
      </w:divBdr>
    </w:div>
    <w:div w:id="1455056790">
      <w:bodyDiv w:val="1"/>
      <w:marLeft w:val="0"/>
      <w:marRight w:val="0"/>
      <w:marTop w:val="0"/>
      <w:marBottom w:val="0"/>
      <w:divBdr>
        <w:top w:val="none" w:sz="0" w:space="0" w:color="auto"/>
        <w:left w:val="none" w:sz="0" w:space="0" w:color="auto"/>
        <w:bottom w:val="none" w:sz="0" w:space="0" w:color="auto"/>
        <w:right w:val="none" w:sz="0" w:space="0" w:color="auto"/>
      </w:divBdr>
    </w:div>
    <w:div w:id="1543401341">
      <w:bodyDiv w:val="1"/>
      <w:marLeft w:val="0"/>
      <w:marRight w:val="0"/>
      <w:marTop w:val="0"/>
      <w:marBottom w:val="0"/>
      <w:divBdr>
        <w:top w:val="none" w:sz="0" w:space="0" w:color="auto"/>
        <w:left w:val="none" w:sz="0" w:space="0" w:color="auto"/>
        <w:bottom w:val="none" w:sz="0" w:space="0" w:color="auto"/>
        <w:right w:val="none" w:sz="0" w:space="0" w:color="auto"/>
      </w:divBdr>
    </w:div>
    <w:div w:id="1557543127">
      <w:bodyDiv w:val="1"/>
      <w:marLeft w:val="0"/>
      <w:marRight w:val="0"/>
      <w:marTop w:val="0"/>
      <w:marBottom w:val="0"/>
      <w:divBdr>
        <w:top w:val="none" w:sz="0" w:space="0" w:color="auto"/>
        <w:left w:val="none" w:sz="0" w:space="0" w:color="auto"/>
        <w:bottom w:val="none" w:sz="0" w:space="0" w:color="auto"/>
        <w:right w:val="none" w:sz="0" w:space="0" w:color="auto"/>
      </w:divBdr>
      <w:divsChild>
        <w:div w:id="1145199978">
          <w:marLeft w:val="-720"/>
          <w:marRight w:val="0"/>
          <w:marTop w:val="0"/>
          <w:marBottom w:val="0"/>
          <w:divBdr>
            <w:top w:val="none" w:sz="0" w:space="0" w:color="auto"/>
            <w:left w:val="none" w:sz="0" w:space="0" w:color="auto"/>
            <w:bottom w:val="none" w:sz="0" w:space="0" w:color="auto"/>
            <w:right w:val="none" w:sz="0" w:space="0" w:color="auto"/>
          </w:divBdr>
        </w:div>
      </w:divsChild>
    </w:div>
    <w:div w:id="1574469116">
      <w:bodyDiv w:val="1"/>
      <w:marLeft w:val="0"/>
      <w:marRight w:val="0"/>
      <w:marTop w:val="0"/>
      <w:marBottom w:val="0"/>
      <w:divBdr>
        <w:top w:val="none" w:sz="0" w:space="0" w:color="auto"/>
        <w:left w:val="none" w:sz="0" w:space="0" w:color="auto"/>
        <w:bottom w:val="none" w:sz="0" w:space="0" w:color="auto"/>
        <w:right w:val="none" w:sz="0" w:space="0" w:color="auto"/>
      </w:divBdr>
    </w:div>
    <w:div w:id="1617327723">
      <w:bodyDiv w:val="1"/>
      <w:marLeft w:val="0"/>
      <w:marRight w:val="0"/>
      <w:marTop w:val="0"/>
      <w:marBottom w:val="0"/>
      <w:divBdr>
        <w:top w:val="none" w:sz="0" w:space="0" w:color="auto"/>
        <w:left w:val="none" w:sz="0" w:space="0" w:color="auto"/>
        <w:bottom w:val="none" w:sz="0" w:space="0" w:color="auto"/>
        <w:right w:val="none" w:sz="0" w:space="0" w:color="auto"/>
      </w:divBdr>
    </w:div>
    <w:div w:id="1634286020">
      <w:bodyDiv w:val="1"/>
      <w:marLeft w:val="0"/>
      <w:marRight w:val="0"/>
      <w:marTop w:val="0"/>
      <w:marBottom w:val="0"/>
      <w:divBdr>
        <w:top w:val="none" w:sz="0" w:space="0" w:color="auto"/>
        <w:left w:val="none" w:sz="0" w:space="0" w:color="auto"/>
        <w:bottom w:val="none" w:sz="0" w:space="0" w:color="auto"/>
        <w:right w:val="none" w:sz="0" w:space="0" w:color="auto"/>
      </w:divBdr>
    </w:div>
    <w:div w:id="1676303579">
      <w:bodyDiv w:val="1"/>
      <w:marLeft w:val="0"/>
      <w:marRight w:val="0"/>
      <w:marTop w:val="0"/>
      <w:marBottom w:val="0"/>
      <w:divBdr>
        <w:top w:val="none" w:sz="0" w:space="0" w:color="auto"/>
        <w:left w:val="none" w:sz="0" w:space="0" w:color="auto"/>
        <w:bottom w:val="none" w:sz="0" w:space="0" w:color="auto"/>
        <w:right w:val="none" w:sz="0" w:space="0" w:color="auto"/>
      </w:divBdr>
    </w:div>
    <w:div w:id="1741100993">
      <w:bodyDiv w:val="1"/>
      <w:marLeft w:val="0"/>
      <w:marRight w:val="0"/>
      <w:marTop w:val="0"/>
      <w:marBottom w:val="0"/>
      <w:divBdr>
        <w:top w:val="none" w:sz="0" w:space="0" w:color="auto"/>
        <w:left w:val="none" w:sz="0" w:space="0" w:color="auto"/>
        <w:bottom w:val="none" w:sz="0" w:space="0" w:color="auto"/>
        <w:right w:val="none" w:sz="0" w:space="0" w:color="auto"/>
      </w:divBdr>
    </w:div>
    <w:div w:id="1894389176">
      <w:bodyDiv w:val="1"/>
      <w:marLeft w:val="0"/>
      <w:marRight w:val="0"/>
      <w:marTop w:val="0"/>
      <w:marBottom w:val="0"/>
      <w:divBdr>
        <w:top w:val="none" w:sz="0" w:space="0" w:color="auto"/>
        <w:left w:val="none" w:sz="0" w:space="0" w:color="auto"/>
        <w:bottom w:val="none" w:sz="0" w:space="0" w:color="auto"/>
        <w:right w:val="none" w:sz="0" w:space="0" w:color="auto"/>
      </w:divBdr>
    </w:div>
    <w:div w:id="2053338735">
      <w:bodyDiv w:val="1"/>
      <w:marLeft w:val="0"/>
      <w:marRight w:val="0"/>
      <w:marTop w:val="0"/>
      <w:marBottom w:val="0"/>
      <w:divBdr>
        <w:top w:val="none" w:sz="0" w:space="0" w:color="auto"/>
        <w:left w:val="none" w:sz="0" w:space="0" w:color="auto"/>
        <w:bottom w:val="none" w:sz="0" w:space="0" w:color="auto"/>
        <w:right w:val="none" w:sz="0" w:space="0" w:color="auto"/>
      </w:divBdr>
    </w:div>
    <w:div w:id="2120027404">
      <w:bodyDiv w:val="1"/>
      <w:marLeft w:val="0"/>
      <w:marRight w:val="0"/>
      <w:marTop w:val="0"/>
      <w:marBottom w:val="0"/>
      <w:divBdr>
        <w:top w:val="none" w:sz="0" w:space="0" w:color="auto"/>
        <w:left w:val="none" w:sz="0" w:space="0" w:color="auto"/>
        <w:bottom w:val="none" w:sz="0" w:space="0" w:color="auto"/>
        <w:right w:val="none" w:sz="0" w:space="0" w:color="auto"/>
      </w:divBdr>
    </w:div>
    <w:div w:id="2128497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inonline.org/HOL/LandingPage?handle=hein.journals/juscrp3&amp;div=513&amp;id=&amp;page=" TargetMode="External"/><Relationship Id="rId3" Type="http://schemas.openxmlformats.org/officeDocument/2006/relationships/settings" Target="settings.xml"/><Relationship Id="rId7" Type="http://schemas.openxmlformats.org/officeDocument/2006/relationships/hyperlink" Target="http://www.thelawvault.org/post/mabo-v-queensland-no-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organisations/ministry-of-justice/about" TargetMode="External"/><Relationship Id="rId5" Type="http://schemas.openxmlformats.org/officeDocument/2006/relationships/hyperlink" Target="https://www.jstor.org/stable/109670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512</TotalTime>
  <Pages>6</Pages>
  <Words>1693</Words>
  <Characters>10182</Characters>
  <Application>Microsoft Office Word</Application>
  <DocSecurity>0</DocSecurity>
  <Lines>204</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Salimata Traore</dc:creator>
  <cp:keywords/>
  <dc:description/>
  <cp:lastModifiedBy>Salimata Traore</cp:lastModifiedBy>
  <cp:revision>54</cp:revision>
  <dcterms:created xsi:type="dcterms:W3CDTF">2024-06-20T20:04:00Z</dcterms:created>
  <dcterms:modified xsi:type="dcterms:W3CDTF">2024-06-21T21:30:00Z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576d1d75-8c1a-4380-8ae7-2da014f9323e</vt:lpwstr>
  </property>
</Properties>
</file>