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14825" w14:textId="77777777" w:rsidR="00E516A5" w:rsidRDefault="00E654BC">
      <w:pPr>
        <w:rPr>
          <w:b/>
          <w:bCs/>
          <w:sz w:val="36"/>
          <w:szCs w:val="36"/>
        </w:rPr>
      </w:pPr>
      <w:r w:rsidRPr="00E516A5">
        <w:rPr>
          <w:b/>
          <w:bCs/>
          <w:sz w:val="36"/>
          <w:szCs w:val="36"/>
        </w:rPr>
        <w:t>Name: Osaheni Nabulele</w:t>
      </w:r>
    </w:p>
    <w:p w14:paraId="3199A0A0" w14:textId="77777777" w:rsidR="00405167" w:rsidRDefault="00405167">
      <w:pPr>
        <w:rPr>
          <w:b/>
          <w:bCs/>
          <w:sz w:val="36"/>
          <w:szCs w:val="36"/>
        </w:rPr>
      </w:pPr>
    </w:p>
    <w:p w14:paraId="79EDF379" w14:textId="02EA1055" w:rsidR="00E654BC" w:rsidRDefault="00E654BC">
      <w:pPr>
        <w:rPr>
          <w:b/>
          <w:bCs/>
          <w:sz w:val="36"/>
          <w:szCs w:val="36"/>
        </w:rPr>
      </w:pPr>
      <w:r w:rsidRPr="00E516A5">
        <w:rPr>
          <w:b/>
          <w:bCs/>
          <w:sz w:val="36"/>
          <w:szCs w:val="36"/>
        </w:rPr>
        <w:t>ID Number: 2335292</w:t>
      </w:r>
    </w:p>
    <w:p w14:paraId="2B2D41B5" w14:textId="77777777" w:rsidR="00405167" w:rsidRPr="00E516A5" w:rsidRDefault="00405167">
      <w:pPr>
        <w:rPr>
          <w:b/>
          <w:bCs/>
          <w:sz w:val="36"/>
          <w:szCs w:val="36"/>
        </w:rPr>
      </w:pPr>
    </w:p>
    <w:p w14:paraId="630E5D26" w14:textId="218C88BF" w:rsidR="00E654BC" w:rsidRDefault="00E654BC">
      <w:pPr>
        <w:rPr>
          <w:b/>
          <w:bCs/>
          <w:sz w:val="36"/>
          <w:szCs w:val="36"/>
        </w:rPr>
      </w:pPr>
      <w:r w:rsidRPr="00E516A5">
        <w:rPr>
          <w:b/>
          <w:bCs/>
          <w:sz w:val="36"/>
          <w:szCs w:val="36"/>
        </w:rPr>
        <w:t>Programme: BSc (Hons) Health and S</w:t>
      </w:r>
      <w:r w:rsidR="00E516A5" w:rsidRPr="00E516A5">
        <w:rPr>
          <w:b/>
          <w:bCs/>
          <w:sz w:val="36"/>
          <w:szCs w:val="36"/>
        </w:rPr>
        <w:t>ocial Care</w:t>
      </w:r>
    </w:p>
    <w:p w14:paraId="32A8FEFC" w14:textId="77777777" w:rsidR="00405167" w:rsidRPr="00E516A5" w:rsidRDefault="00405167">
      <w:pPr>
        <w:rPr>
          <w:b/>
          <w:bCs/>
          <w:sz w:val="36"/>
          <w:szCs w:val="36"/>
        </w:rPr>
      </w:pPr>
    </w:p>
    <w:p w14:paraId="296A82D6" w14:textId="507562D7" w:rsidR="00E516A5" w:rsidRDefault="00E516A5">
      <w:pPr>
        <w:rPr>
          <w:b/>
          <w:bCs/>
          <w:sz w:val="36"/>
          <w:szCs w:val="36"/>
        </w:rPr>
      </w:pPr>
      <w:r w:rsidRPr="00E516A5">
        <w:rPr>
          <w:b/>
          <w:bCs/>
          <w:sz w:val="36"/>
          <w:szCs w:val="36"/>
        </w:rPr>
        <w:t>Module: Psychological Classifications and Provisions</w:t>
      </w:r>
    </w:p>
    <w:p w14:paraId="07EBE4B8" w14:textId="77777777" w:rsidR="00405167" w:rsidRPr="00E516A5" w:rsidRDefault="00405167">
      <w:pPr>
        <w:rPr>
          <w:b/>
          <w:bCs/>
          <w:sz w:val="36"/>
          <w:szCs w:val="36"/>
        </w:rPr>
      </w:pPr>
    </w:p>
    <w:p w14:paraId="2B9FBC02" w14:textId="33FB3E30" w:rsidR="00E516A5" w:rsidRDefault="00E516A5">
      <w:pPr>
        <w:rPr>
          <w:b/>
          <w:bCs/>
          <w:sz w:val="36"/>
          <w:szCs w:val="36"/>
        </w:rPr>
      </w:pPr>
      <w:r w:rsidRPr="00E516A5">
        <w:rPr>
          <w:b/>
          <w:bCs/>
          <w:sz w:val="36"/>
          <w:szCs w:val="36"/>
        </w:rPr>
        <w:t>Module Code: BMHP6029</w:t>
      </w:r>
    </w:p>
    <w:p w14:paraId="6DD0F728" w14:textId="77777777" w:rsidR="00405167" w:rsidRPr="00E516A5" w:rsidRDefault="00405167">
      <w:pPr>
        <w:rPr>
          <w:b/>
          <w:bCs/>
          <w:sz w:val="36"/>
          <w:szCs w:val="36"/>
        </w:rPr>
      </w:pPr>
    </w:p>
    <w:p w14:paraId="22462A4C" w14:textId="6AD41828" w:rsidR="00E516A5" w:rsidRDefault="00E516A5">
      <w:pPr>
        <w:rPr>
          <w:b/>
          <w:bCs/>
          <w:sz w:val="36"/>
          <w:szCs w:val="36"/>
        </w:rPr>
      </w:pPr>
      <w:r w:rsidRPr="00E516A5">
        <w:rPr>
          <w:b/>
          <w:bCs/>
          <w:sz w:val="36"/>
          <w:szCs w:val="36"/>
        </w:rPr>
        <w:t>Lecturer:</w:t>
      </w:r>
      <w:r w:rsidR="009A3BD5">
        <w:rPr>
          <w:b/>
          <w:bCs/>
          <w:sz w:val="36"/>
          <w:szCs w:val="36"/>
        </w:rPr>
        <w:t xml:space="preserve"> </w:t>
      </w:r>
      <w:r w:rsidR="005846C9">
        <w:rPr>
          <w:b/>
          <w:bCs/>
          <w:sz w:val="36"/>
          <w:szCs w:val="36"/>
        </w:rPr>
        <w:t xml:space="preserve"> Neale Haddon                 </w:t>
      </w:r>
    </w:p>
    <w:p w14:paraId="0B752FF1" w14:textId="77777777" w:rsidR="00405167" w:rsidRPr="00E516A5" w:rsidRDefault="00405167">
      <w:pPr>
        <w:rPr>
          <w:b/>
          <w:bCs/>
          <w:sz w:val="36"/>
          <w:szCs w:val="36"/>
        </w:rPr>
      </w:pPr>
    </w:p>
    <w:p w14:paraId="3D7EC426" w14:textId="442D9A2B" w:rsidR="00E516A5" w:rsidRDefault="00E516A5">
      <w:pPr>
        <w:rPr>
          <w:b/>
          <w:bCs/>
          <w:sz w:val="36"/>
          <w:szCs w:val="36"/>
        </w:rPr>
      </w:pPr>
      <w:r w:rsidRPr="00E516A5">
        <w:rPr>
          <w:b/>
          <w:bCs/>
          <w:sz w:val="36"/>
          <w:szCs w:val="36"/>
        </w:rPr>
        <w:t>Assignment Title:</w:t>
      </w:r>
      <w:r w:rsidR="00405167">
        <w:rPr>
          <w:b/>
          <w:bCs/>
          <w:sz w:val="36"/>
          <w:szCs w:val="36"/>
        </w:rPr>
        <w:t xml:space="preserve"> Component 2; Written Assignment (Report)</w:t>
      </w:r>
    </w:p>
    <w:p w14:paraId="51EBAB07" w14:textId="77777777" w:rsidR="00405167" w:rsidRPr="00E516A5" w:rsidRDefault="00405167">
      <w:pPr>
        <w:rPr>
          <w:b/>
          <w:bCs/>
          <w:sz w:val="36"/>
          <w:szCs w:val="36"/>
        </w:rPr>
      </w:pPr>
    </w:p>
    <w:p w14:paraId="7168B7AF" w14:textId="6F7C5E14" w:rsidR="00E516A5" w:rsidRDefault="00E516A5">
      <w:pPr>
        <w:rPr>
          <w:b/>
          <w:bCs/>
          <w:sz w:val="36"/>
          <w:szCs w:val="36"/>
        </w:rPr>
      </w:pPr>
      <w:r w:rsidRPr="00E516A5">
        <w:rPr>
          <w:b/>
          <w:bCs/>
          <w:sz w:val="36"/>
          <w:szCs w:val="36"/>
        </w:rPr>
        <w:t>Submission Date:16/11/2026</w:t>
      </w:r>
    </w:p>
    <w:p w14:paraId="661B152C" w14:textId="77777777" w:rsidR="00405167" w:rsidRPr="00E516A5" w:rsidRDefault="00405167">
      <w:pPr>
        <w:rPr>
          <w:b/>
          <w:bCs/>
          <w:sz w:val="36"/>
          <w:szCs w:val="36"/>
        </w:rPr>
      </w:pPr>
    </w:p>
    <w:p w14:paraId="7FAE33B5" w14:textId="1ED6D0F7" w:rsidR="00405167" w:rsidRPr="00E516A5" w:rsidRDefault="00E516A5" w:rsidP="00E516A5">
      <w:pPr>
        <w:rPr>
          <w:b/>
          <w:bCs/>
          <w:sz w:val="36"/>
          <w:szCs w:val="36"/>
        </w:rPr>
      </w:pPr>
      <w:r w:rsidRPr="00E516A5">
        <w:rPr>
          <w:b/>
          <w:bCs/>
          <w:sz w:val="36"/>
          <w:szCs w:val="36"/>
        </w:rPr>
        <w:t xml:space="preserve">Title: </w:t>
      </w:r>
      <w:r w:rsidRPr="00E516A5">
        <w:rPr>
          <w:b/>
          <w:bCs/>
          <w:sz w:val="36"/>
          <w:szCs w:val="36"/>
        </w:rPr>
        <w:t>Critical Examination of Autism Spectrum Disorder in ICD-11 Chapter 6</w:t>
      </w:r>
      <w:r w:rsidR="00405167">
        <w:rPr>
          <w:b/>
          <w:bCs/>
          <w:sz w:val="36"/>
          <w:szCs w:val="36"/>
        </w:rPr>
        <w:t xml:space="preserve">, </w:t>
      </w:r>
      <w:r w:rsidR="00405167" w:rsidRPr="00E516A5">
        <w:rPr>
          <w:b/>
          <w:bCs/>
          <w:sz w:val="36"/>
          <w:szCs w:val="36"/>
        </w:rPr>
        <w:t>category code: 6A02 – autism spectrum disorder</w:t>
      </w:r>
    </w:p>
    <w:p w14:paraId="48E6002B" w14:textId="2BFF566B" w:rsidR="00E516A5" w:rsidRDefault="00E516A5"/>
    <w:p w14:paraId="027CE8F3" w14:textId="77777777" w:rsidR="00F07A76" w:rsidRDefault="00F07A76"/>
    <w:p w14:paraId="54C322BE" w14:textId="2B0F3BFB" w:rsidR="00E516A5" w:rsidRDefault="00E516A5">
      <w:r>
        <w:lastRenderedPageBreak/>
        <w:t>Introduction:</w:t>
      </w:r>
    </w:p>
    <w:p w14:paraId="035E86C8" w14:textId="2FB84969" w:rsidR="00CB7459" w:rsidRDefault="009B3289" w:rsidP="009B3289">
      <w:r w:rsidRPr="009B3289">
        <w:t>To find autism spectrum disorder (ASD), look in Chapter 6 of the International Classification of Diseases, Eleventh Revision (ICD-11) from the World Health Organization (WHO). It is listed under neurodevelopmental illnesses. According to the World Health Organization (2024), the main category number in ICD-11 is 6A02. Other categories cover intellectual growth, functional language, and loss of previously acquired skills. If you look at Kestel and Reed (2024) and the World Health Organization (2024), they say that ICD-11 has been used as the standard for reporting on world health since January 2022. It is possible to make a diagnosis with the help of the ICD-11 Clinical Descriptions and Diagnostic Requirements (CDDR)</w:t>
      </w:r>
      <w:r w:rsidR="0027303B">
        <w:t xml:space="preserve"> </w:t>
      </w:r>
      <w:r w:rsidR="00722793" w:rsidRPr="007C3D69">
        <w:t>(World Health Organization, 2024).</w:t>
      </w:r>
    </w:p>
    <w:p w14:paraId="606F5756" w14:textId="77777777" w:rsidR="00BF214C" w:rsidRDefault="009B3289" w:rsidP="0033580D">
      <w:r w:rsidRPr="009B3289">
        <w:t xml:space="preserve">Autism is a neurodevelopmental disorder that lasts a lifetime. It is characterised by problems communicating and interacting with others, as well as limited, repeated, or rigid patterns of behaviour, interests, or hobbies. According to the World Health Organization (2024), differences in how people feel things could be a part of the clinical picture. But autism is very different between people, so autistic people may have very different skills, support needs, speech styles, and experiences over the course of their lives (Happe and Frith, 2020). This study takes a close look at how autism is classified and diagnosed in ICD-11, how it is treated and rehabilitated, current debates about diagnosis and neurodiversity, new problems that have come up, and what these things mean for health and social care practice. It ends with suggestions for making services more person-centred, culturally sensitive, and </w:t>
      </w:r>
      <w:r w:rsidR="009C5DA7" w:rsidRPr="009B3289">
        <w:t>outcome driven</w:t>
      </w:r>
      <w:r w:rsidRPr="009B3289">
        <w:t>.</w:t>
      </w:r>
    </w:p>
    <w:p w14:paraId="1C8F7305" w14:textId="0184D86C" w:rsidR="0033580D" w:rsidRPr="00BF214C" w:rsidRDefault="0033580D" w:rsidP="0033580D">
      <w:r w:rsidRPr="0033580D">
        <w:rPr>
          <w:b/>
          <w:bCs/>
        </w:rPr>
        <w:t>Classification and Diagnosis in ICD-11</w:t>
      </w:r>
    </w:p>
    <w:p w14:paraId="22B3C960" w14:textId="77777777" w:rsidR="00BF214C" w:rsidRDefault="00851A85" w:rsidP="00E228FD">
      <w:r w:rsidRPr="00851A85">
        <w:t>The ICD-11 classification signifies a significant achievement, as autism is regarded as a spectrum rather than multiple distinct infantile categories. The primary classification is 6A02, autism spectrum disorder. Autism is categorised in ICD-11 based on the presence or absence of an intellectual developmental disorder and the severity of functional language deficits. 6A02.0 Autism devoid of intellectual developmental disorder and exhibiting mild or no functional language impairment Autism accompanied by intellectual developmental disorder and limited functional speech; and 6A02.5 Autism associated with intellectual developmental disorder and a complete or near-complete lack of functional speech. The extra designated and undetermined categories are classified as 6A02.Y and 6A02.Z, respectively (World Health Organization, 2024).</w:t>
      </w:r>
    </w:p>
    <w:p w14:paraId="6AAE7B6B" w14:textId="77777777" w:rsidR="00BF214C" w:rsidRDefault="00CD7A63" w:rsidP="00E228FD">
      <w:r w:rsidRPr="00CD7A63">
        <w:t xml:space="preserve">The practical utility of this coding scheme is that it captures clinically meaningful variations that may impact on support planning. ICD-11 also has specifiers for loss of previously learned abilities; the appropriate code ends in 0 for no loss and 1 for loss (World Health Organization, 2024). This sort of depth information is better than believing all autistic people have the same demands. But classification is a clinical </w:t>
      </w:r>
      <w:r w:rsidRPr="00CD7A63">
        <w:lastRenderedPageBreak/>
        <w:t xml:space="preserve">system and cannot fully reflect the complexity of an individual's functioning, identity, surroundings, communication preferences or quality of life. </w:t>
      </w:r>
      <w:r w:rsidR="007C3D69" w:rsidRPr="00CD7A63">
        <w:t>Happe</w:t>
      </w:r>
      <w:r w:rsidRPr="00CD7A63">
        <w:t xml:space="preserve"> and Frith (2020) suggest that shifting views of autism need that research and practice acknowledge considerable variability rather than treating autism as a unitary condition.</w:t>
      </w:r>
    </w:p>
    <w:p w14:paraId="3A3FC5C8" w14:textId="77777777" w:rsidR="006276CD" w:rsidRDefault="00E228FD" w:rsidP="00CD7A63">
      <w:r w:rsidRPr="00E228FD">
        <w:t>The criteria for diagnosis in ICD-11 CDDR include enduring difficulties in initiating and sustaining social interactions and communication, as well as consistent, repetitive, and rigid behavioural patterns, interests, or activities that are evidently incongruous or excessive for the individual's developmental and sociocultural context (World Health Organization, 2024). The characteristics should manifest over the developmental years, however they may become more apparent as social requirements increase. Consequently, instead of depending on a solitary laboratory or biological examination, the diagnosis is founded on a child's developmental background and a clinical assessment. A comprehensive evaluation should encompass communication, behaviour, sensory experiences, adaptive functions, developmental history, and potential co-occurring issues.</w:t>
      </w:r>
    </w:p>
    <w:p w14:paraId="71E96EA9" w14:textId="560934EA" w:rsidR="00CD7A63" w:rsidRPr="00CD7A63" w:rsidRDefault="006276CD" w:rsidP="00CD7A63">
      <w:r w:rsidRPr="00CD7A63">
        <w:t>An</w:t>
      </w:r>
      <w:r w:rsidR="00CD7A63" w:rsidRPr="00CD7A63">
        <w:t xml:space="preserve"> issue is that autism might be ignored or diagnosed late in people who do not present in ways that meet typical expectations. Research on sex and gender has highlighted the possibility of autism being under-diagnosed in females due to diagnostic concepts and research samples having historically been based on mostly male presentations (Lai, Baron-Cohen and Buxbaum, 2015). Another recent systematic study and meta-analysis also found evidence of male bias in autism diagnoses though the reasons are complicated and may involve referral patterns, diagnostic techniques, presentation and social factors (Cruz et al., 2024). This shows that standard categorisation can enhance consistency but cannot remove human or system level bias from the diagnosis procedure.</w:t>
      </w:r>
    </w:p>
    <w:p w14:paraId="7A336727" w14:textId="6D246285" w:rsidR="00CD7A63" w:rsidRDefault="00CD7A63" w:rsidP="0033580D">
      <w:pPr>
        <w:rPr>
          <w:b/>
          <w:bCs/>
        </w:rPr>
      </w:pPr>
      <w:r w:rsidRPr="00CD7A63">
        <w:rPr>
          <w:b/>
          <w:bCs/>
        </w:rPr>
        <w:t>Treatment and Rehabilitation</w:t>
      </w:r>
    </w:p>
    <w:p w14:paraId="3893BA86" w14:textId="77777777" w:rsidR="002667B5" w:rsidRDefault="007C3D69" w:rsidP="007C3D69">
      <w:r w:rsidRPr="007C3D69">
        <w:t>Autism is not a condition where treatment is merely about getting rid of autistic traits. Support for communication, involvement, wellbeing, independence and quality of life, while addressing difficulties which cause distress or restrict opportunities, is increasingly emphasised in current practice. Evidence-based psychosocial interventions may promote communication and social functioning, but intervention should be individualised according to developmental stage, communication style, strengths, preferences and support needs (World Health Organization, 2024).</w:t>
      </w:r>
    </w:p>
    <w:p w14:paraId="7FA1DD99" w14:textId="5F180C10" w:rsidR="00722793" w:rsidRDefault="007C3D69" w:rsidP="007C3D69">
      <w:r w:rsidRPr="007C3D69">
        <w:t xml:space="preserve">Psychosocial therapies have a well-established presence in autism support, however the evidence base varies by age, outcome and intervention type. Bishop-Fitzpatrick et al. (2013) reported evidence for psychosocial therapies for autistic adults, but also noted limitations in the evidence base, including variance in intervention approaches and outcome metrics. More recent research has moved away from defining success </w:t>
      </w:r>
      <w:r w:rsidRPr="007C3D69">
        <w:lastRenderedPageBreak/>
        <w:t xml:space="preserve">solely in terms of observable social </w:t>
      </w:r>
      <w:r w:rsidRPr="007C3D69">
        <w:t>behaviour and</w:t>
      </w:r>
      <w:r w:rsidRPr="007C3D69">
        <w:t xml:space="preserve"> instead has focused on quality of life and mental health outcomes. For example, Timmerman et al. (2024) reported considerable variability in the measurement of quality of life in randomised controlled trials of autistic individuals, underlining the need for more consistent and relevant outcome measures.</w:t>
      </w:r>
    </w:p>
    <w:p w14:paraId="00CA66B1" w14:textId="77777777" w:rsidR="0099465D" w:rsidRDefault="007C3D69" w:rsidP="007C3D69">
      <w:r w:rsidRPr="007C3D69">
        <w:t>Rehabilitation should therefore be multi-disciplinary and may involve occupational therapists, speech and language therapists, psychologists, nurses, social workers, educators and other specialists depending on individual needs. help may include communication methods, sensory adaptations, independent living skills, employment help, psychological interventions for co-occurring mental health challenges and reasonable adjustments in health and social care contexts. Research has been conducted on mindfulness-based therapies for autistic people (Simione et al., 2024), but the research remains varied, indicating that such interventions should not be presented as uniformly successful. Rehabilitation planning should instead be based on shared decision-making and on a regular review of whether therapies are improving outcomes that matter to the person.</w:t>
      </w:r>
    </w:p>
    <w:p w14:paraId="66DAABF2" w14:textId="53BC7B13" w:rsidR="007C3D69" w:rsidRDefault="007C3D69" w:rsidP="007C3D69">
      <w:r w:rsidRPr="007C3D69">
        <w:t xml:space="preserve">For autistic people, care needs to continue beyond childhood programs. Roy and Strate (2023) emphasise the necessity to recognise autism throughout adulthood and to address health, social, occupational and psychosocial issues. Employment, relationships, housing, physical health and mental health can all impact wellbeing. </w:t>
      </w:r>
      <w:r w:rsidRPr="007C3D69">
        <w:t>Therefore,</w:t>
      </w:r>
      <w:r w:rsidRPr="007C3D69">
        <w:t xml:space="preserve"> rehabilitation should be regarded as participation centred and not limited to symptom management. Pellicano and Heyworth (2023) similarly highlight autism thriving, redirecting focus to the circumstances and conditions that allow autistic persons to have meaningful and fulfilling lives.</w:t>
      </w:r>
    </w:p>
    <w:p w14:paraId="1FA6A827" w14:textId="7D5BEA5B" w:rsidR="007C3D69" w:rsidRDefault="007C3D69" w:rsidP="007C3D69">
      <w:pPr>
        <w:rPr>
          <w:b/>
          <w:bCs/>
        </w:rPr>
      </w:pPr>
      <w:r w:rsidRPr="007C3D69">
        <w:rPr>
          <w:b/>
          <w:bCs/>
        </w:rPr>
        <w:t>Current Debates and Emerging Issues</w:t>
      </w:r>
    </w:p>
    <w:p w14:paraId="50D69F33" w14:textId="77777777" w:rsidR="0099465D" w:rsidRDefault="007C3D69" w:rsidP="007C3D69">
      <w:r w:rsidRPr="007C3D69">
        <w:t>One significant argument relates to the link between the medical classification of autism and the neurodiversity approach. Health services need agreed vocabulary to assess, record and plan. ICD-11 positions autism within a framework of diagnostic classification. However, from a neurodiversity perspective, neurological abnormalities are part of human variation and disability is constructed by environmental barriers, stigma and inaccessible processes. Pellicano and Heyworth (2023) have spoken in favour of approaches that encourage autistic thriving rather than only emphasising inadequacies. A balanced clinical approach can keep the value of diagnosis while accepting the autistic identity, abilities, and autonomy as well as the need for acceptable changes.</w:t>
      </w:r>
    </w:p>
    <w:p w14:paraId="51572571" w14:textId="198F78F3" w:rsidR="0099465D" w:rsidRDefault="007C3D69" w:rsidP="007C3D69">
      <w:r w:rsidRPr="007C3D69">
        <w:t xml:space="preserve">Camouflaging or masking is another major growing issue. Camouflaging is the term used to describe tactics some autistic people adopt to hide or compensate for autism features in social circumstances. Camouflaging has significant psychological and </w:t>
      </w:r>
      <w:r w:rsidRPr="007C3D69">
        <w:lastRenderedPageBreak/>
        <w:t xml:space="preserve">societal implications and is methodologically challenging (Cook, 2021). Zhuang and colleagues (2024) also looked at psychological and sociocultural factors of camouflaging in autistic people, showing how social expectations might shape behaviour. Clinically, the urge to not look autistic may be a problem if others working in the field view good masking as evidence that a person has few support needs. Therefore, assessment should </w:t>
      </w:r>
      <w:r w:rsidR="002667B5" w:rsidRPr="007C3D69">
        <w:t>consider</w:t>
      </w:r>
      <w:r w:rsidRPr="007C3D69">
        <w:t xml:space="preserve"> developmental history and internal experience, rather than simply the behaviour shown during a brief session.</w:t>
      </w:r>
    </w:p>
    <w:p w14:paraId="044E2D21" w14:textId="77777777" w:rsidR="00EB5A33" w:rsidRDefault="007C3D69" w:rsidP="007C3D69">
      <w:r w:rsidRPr="007C3D69">
        <w:t>Sex and gender differences still matter. Lai, Baron-Cohen and Buxbaum (2015) explored how autism may be presented differently across the sexes and genders and stated that research needed to move beyond simplistic assumptions about male and female autism. Cruz et al. (2024) also discovered evidence relevant to diagnostic bias in males. These findings have consequences for practice, in that clinicians should not assume a typical presentation of autism. Improved recognition depends upon awareness of the possibilities of camouflaging, developmental history, disparities in communication and that persons may have established coping methods that mask their issues.</w:t>
      </w:r>
    </w:p>
    <w:p w14:paraId="08C1E0A1" w14:textId="77777777" w:rsidR="00EB5A33" w:rsidRDefault="007C3D69" w:rsidP="007C3D69">
      <w:r w:rsidRPr="007C3D69">
        <w:t>Another challenge that is growing is measuring outcomes. In the past, intervention research has largely focused on observable social or behavioural change. However, autistic persons may value things like autonomy, relationships, sensory wellbeing, work, communication access and quality of life more. Timmerman et al. (2024) found substantial heterogeneity in quality-of-life evaluation in trials of autistic individuals, emphasising the significance of more consistent patient-centred outcomes. Outcome measurement should encompass involvement, wellbeing, autonomy and the person’s own goals, rather than focusing on behavioural change.</w:t>
      </w:r>
    </w:p>
    <w:p w14:paraId="046457AA" w14:textId="1C191185" w:rsidR="007C3D69" w:rsidRDefault="007C3D69" w:rsidP="007C3D69">
      <w:r w:rsidRPr="007C3D69">
        <w:t xml:space="preserve">The variability of autism also makes planning of services difficult. </w:t>
      </w:r>
      <w:r w:rsidRPr="007C3D69">
        <w:t>Happe</w:t>
      </w:r>
      <w:r w:rsidRPr="007C3D69">
        <w:t xml:space="preserve"> and Frith (2020) note that the idea of autism has changed quite a lot over time, and future research must take into consideration variance within the spectrum. The incorporation of the intellectual development and functional language specifiers in ICD-11 provides for useful clinical differentiation but services still require individual assessment. Diagnostic codes should therefore be used as a starting point for assessment and assistance planning, and not as a full description of the person.</w:t>
      </w:r>
    </w:p>
    <w:p w14:paraId="3C1748DD" w14:textId="0604E52A" w:rsidR="007C3D69" w:rsidRDefault="007C3D69" w:rsidP="007C3D69">
      <w:pPr>
        <w:rPr>
          <w:b/>
          <w:bCs/>
        </w:rPr>
      </w:pPr>
      <w:r w:rsidRPr="007C3D69">
        <w:rPr>
          <w:b/>
          <w:bCs/>
        </w:rPr>
        <w:t>Implications for Health and Social Care Practice</w:t>
      </w:r>
    </w:p>
    <w:p w14:paraId="1F89AEB4" w14:textId="77777777" w:rsidR="00EB5A33" w:rsidRDefault="00DA61B2" w:rsidP="00DA61B2">
      <w:r w:rsidRPr="00DA61B2">
        <w:t xml:space="preserve">The ICD-11 classification has significant consequences for health and social care practice, as correct diagnosis and coding can improve communication between specialists and encourage uniform documentation. The WHO deems the CDDR to be relevant not just for doctors who diagnose, but also for nurses, occupational therapists, social workers and other professionals who need to understand mental, behavioural and neurodevelopmental problems (World Health Organization, 2024). It is therefore essential that professionals understand what 6A02 and its accompanying specifiers </w:t>
      </w:r>
      <w:r w:rsidRPr="00DA61B2">
        <w:lastRenderedPageBreak/>
        <w:t>entail, but that they don’t assume that the code alone indicates a person’s needs for support.</w:t>
      </w:r>
    </w:p>
    <w:p w14:paraId="05FF5E97" w14:textId="34B1AEBF" w:rsidR="00DA61B2" w:rsidRDefault="00DA61B2" w:rsidP="00DA61B2">
      <w:r w:rsidRPr="00DA61B2">
        <w:t xml:space="preserve">Practice also </w:t>
      </w:r>
      <w:r w:rsidRPr="00DA61B2">
        <w:t>must</w:t>
      </w:r>
      <w:r w:rsidRPr="00DA61B2">
        <w:t xml:space="preserve"> become more person-centred and accessible. Services can eliminate obstacles by providing straightforward communication, appropriate sensory surroundings, flexible appointments, accessible information and reasonable adaptations. Professionals should ask autistic people how they prefer to communicate and what contextual elements impact their capacity to engage. Training should include diagnostic bias, camouflaging, sex and gender variances and the spectrum of autistic presentations. These modifications can help identify issues early and lower the chances of people only receiving care when their challenges have become serious.</w:t>
      </w:r>
    </w:p>
    <w:p w14:paraId="3FD34C31" w14:textId="214730D0" w:rsidR="00DA61B2" w:rsidRDefault="00DA61B2" w:rsidP="00DA61B2">
      <w:pPr>
        <w:rPr>
          <w:b/>
          <w:bCs/>
        </w:rPr>
      </w:pPr>
      <w:r w:rsidRPr="00DA61B2">
        <w:rPr>
          <w:b/>
          <w:bCs/>
        </w:rPr>
        <w:t>Recommendations</w:t>
      </w:r>
    </w:p>
    <w:p w14:paraId="36778DD0" w14:textId="77777777" w:rsidR="00DA61B2" w:rsidRDefault="00DA61B2" w:rsidP="00DA61B2">
      <w:r w:rsidRPr="00DA61B2">
        <w:t xml:space="preserve">First, UK health and social care agencies should deliver regular autism training for multidisciplinary workers, with specific emphasis on ICD-11 categorisation, diagnostic presentation across the lifetime, camouflaging, sex and gender variations and acceptable adaptations. Second, assessment services should adopt interdisciplinary and developmental approaches, considering information from the individual and, where relevant, family or carers, whilst preserving autonomy and confidentiality. Third, services should assess outcomes that encompass quality of life, involvement, autonomy and personally specified goals rather than only observable behavioural change (Timmerman et al., 2024). </w:t>
      </w:r>
    </w:p>
    <w:p w14:paraId="7821B5EC" w14:textId="46228C92" w:rsidR="00DA61B2" w:rsidRDefault="00DA61B2" w:rsidP="00DA61B2">
      <w:r w:rsidRPr="00DA61B2">
        <w:t>Fourth, autism services need to increase transition and adult provision so assistance does not drop off significantly when persons leave childhood services. Fifth, research should include more diverse autistic communities and enhance representation across sex, gender, age, ethnicity, intellectual capacity and communication features. Finally, autistic persons should be meaningfully involved in service design, research priorities and assessment as lived experience can uncover barriers that may not be seen through diagnostic measures alone (Pellicano and Heyworth, 2023).</w:t>
      </w:r>
    </w:p>
    <w:p w14:paraId="3BB513C4" w14:textId="02E8FB67" w:rsidR="00DA61B2" w:rsidRDefault="00DA61B2" w:rsidP="00DA61B2">
      <w:pPr>
        <w:rPr>
          <w:b/>
          <w:bCs/>
        </w:rPr>
      </w:pPr>
      <w:r w:rsidRPr="00DA61B2">
        <w:rPr>
          <w:b/>
          <w:bCs/>
        </w:rPr>
        <w:t>Conclusion</w:t>
      </w:r>
    </w:p>
    <w:p w14:paraId="4B119FC1" w14:textId="77777777" w:rsidR="00C862C3" w:rsidRDefault="00614511" w:rsidP="00DA61B2">
      <w:r w:rsidRPr="00614511">
        <w:t xml:space="preserve">In ICD-11, </w:t>
      </w:r>
      <w:r w:rsidR="00CB1F31" w:rsidRPr="00614511">
        <w:t>autism spectrum disorder</w:t>
      </w:r>
      <w:r w:rsidRPr="00614511">
        <w:t xml:space="preserve"> is categorised in Chapter 6 as a mental, behavioural, or neurodevelopmental condition. It belongs to the category of neurodevelopmental diseases, classified under the primary code 6A02. The World Health Organization (2024) states that the ICD-11 framework provides a more comprehensive description of autism, encompassing elements of cognitive development, functional communication, and the regression of previously acquired skills. Classifying an individual does not provide a comprehensive understanding of their identity, capabilities, or requirements for assistance.</w:t>
      </w:r>
    </w:p>
    <w:p w14:paraId="5A3DB013" w14:textId="3DF069A4" w:rsidR="00DA61B2" w:rsidRPr="00DA61B2" w:rsidRDefault="00DA61B2" w:rsidP="00DA61B2">
      <w:r w:rsidRPr="00DA61B2">
        <w:lastRenderedPageBreak/>
        <w:t>Therefore, a critical approach to autism includes both accurate diagnosis and person-centred practice. Challenges identified in current data include diagnostic bias, camouflaging, sex and gender disparities, heterogenous presentations, and measurement of meaningful outcomes (Cook et al., 2021; Cruz et al., 2024; Zhuang et al., 2024). Future UK practice should give uniformity, as with ICD-11, but in a neurodiversity-informed, strengths- and participation-based manner. This approach can help ensure that diagnosis is a gateway to appropriate support rather than a label that limits understanding of the individual.</w:t>
      </w:r>
    </w:p>
    <w:p w14:paraId="3D769A86" w14:textId="77777777" w:rsidR="001A7822" w:rsidRDefault="001A7822" w:rsidP="003B2E56"/>
    <w:p w14:paraId="696B37FF" w14:textId="6E05CB07" w:rsidR="003B2E56" w:rsidRDefault="003B2E56" w:rsidP="003B2E56">
      <w:pPr>
        <w:rPr>
          <w:b/>
          <w:bCs/>
        </w:rPr>
      </w:pPr>
      <w:r w:rsidRPr="003B2E56">
        <w:rPr>
          <w:b/>
          <w:bCs/>
        </w:rPr>
        <w:t>Reference</w:t>
      </w:r>
      <w:r w:rsidR="001A7822">
        <w:rPr>
          <w:b/>
          <w:bCs/>
        </w:rPr>
        <w:t xml:space="preserve"> List:</w:t>
      </w:r>
    </w:p>
    <w:p w14:paraId="204EC080" w14:textId="77777777" w:rsidR="0027459C" w:rsidRPr="0027459C" w:rsidRDefault="0027459C" w:rsidP="0027459C">
      <w:pPr>
        <w:rPr>
          <w:b/>
          <w:bCs/>
        </w:rPr>
      </w:pPr>
      <w:r w:rsidRPr="0027459C">
        <w:rPr>
          <w:b/>
          <w:bCs/>
        </w:rPr>
        <w:t xml:space="preserve">Bishop-Fitzpatrick, L., Minshew, N.J. and </w:t>
      </w:r>
      <w:proofErr w:type="spellStart"/>
      <w:r w:rsidRPr="0027459C">
        <w:rPr>
          <w:b/>
          <w:bCs/>
        </w:rPr>
        <w:t>Eack</w:t>
      </w:r>
      <w:proofErr w:type="spellEnd"/>
      <w:r w:rsidRPr="0027459C">
        <w:rPr>
          <w:b/>
          <w:bCs/>
        </w:rPr>
        <w:t xml:space="preserve">, S.M. (2013) ‘A systematic review of psychosocial interventions for adults with autism spectrum disorders’, </w:t>
      </w:r>
      <w:r w:rsidRPr="0027459C">
        <w:rPr>
          <w:b/>
          <w:bCs/>
          <w:i/>
          <w:iCs/>
        </w:rPr>
        <w:t>Journal of Autism and Developmental Disorders</w:t>
      </w:r>
      <w:r w:rsidRPr="0027459C">
        <w:rPr>
          <w:b/>
          <w:bCs/>
        </w:rPr>
        <w:t>, 43(3), pp. 687–694. doi:10.1007/s10803-012-1615-8.</w:t>
      </w:r>
    </w:p>
    <w:p w14:paraId="083BC186" w14:textId="77777777" w:rsidR="0027459C" w:rsidRPr="0027459C" w:rsidRDefault="0027459C" w:rsidP="0027459C">
      <w:pPr>
        <w:rPr>
          <w:b/>
          <w:bCs/>
        </w:rPr>
      </w:pPr>
      <w:r w:rsidRPr="0027459C">
        <w:rPr>
          <w:b/>
          <w:bCs/>
        </w:rPr>
        <w:t xml:space="preserve">Cook, J., Hull, L., Crane, L. and Mandy, W. (2021) ‘Camouflaging in autism: A systematic review’, </w:t>
      </w:r>
      <w:r w:rsidRPr="0027459C">
        <w:rPr>
          <w:b/>
          <w:bCs/>
          <w:i/>
          <w:iCs/>
        </w:rPr>
        <w:t>Clinical Psychology Review</w:t>
      </w:r>
      <w:r w:rsidRPr="0027459C">
        <w:rPr>
          <w:b/>
          <w:bCs/>
        </w:rPr>
        <w:t>, 89, p. 102080. doi:10.1016/j.cpr.2021.102080.</w:t>
      </w:r>
    </w:p>
    <w:p w14:paraId="777BEF0B" w14:textId="77777777" w:rsidR="0027459C" w:rsidRPr="0027459C" w:rsidRDefault="0027459C" w:rsidP="0027459C">
      <w:pPr>
        <w:rPr>
          <w:b/>
          <w:bCs/>
        </w:rPr>
      </w:pPr>
      <w:r w:rsidRPr="0027459C">
        <w:rPr>
          <w:b/>
          <w:bCs/>
        </w:rPr>
        <w:t>Cruz, S., Conde-</w:t>
      </w:r>
      <w:proofErr w:type="spellStart"/>
      <w:r w:rsidRPr="0027459C">
        <w:rPr>
          <w:b/>
          <w:bCs/>
        </w:rPr>
        <w:t>Pumpido</w:t>
      </w:r>
      <w:proofErr w:type="spellEnd"/>
      <w:r w:rsidRPr="0027459C">
        <w:rPr>
          <w:b/>
          <w:bCs/>
        </w:rPr>
        <w:t xml:space="preserve"> Zubizarreta, S., Costa, A.D., Araújo, R., Martinho, J., </w:t>
      </w:r>
      <w:proofErr w:type="spellStart"/>
      <w:r w:rsidRPr="0027459C">
        <w:rPr>
          <w:b/>
          <w:bCs/>
        </w:rPr>
        <w:t>Tubío-Fungueiriño</w:t>
      </w:r>
      <w:proofErr w:type="spellEnd"/>
      <w:r w:rsidRPr="0027459C">
        <w:rPr>
          <w:b/>
          <w:bCs/>
        </w:rPr>
        <w:t xml:space="preserve">, M., Sampaio, A., Cruz, R., Carracedo, A. and Fernández-Prieto, M. (2024) ‘Is there a bias towards males in the diagnosis of autism? A systematic review and meta-analysis’, </w:t>
      </w:r>
      <w:r w:rsidRPr="0027459C">
        <w:rPr>
          <w:b/>
          <w:bCs/>
          <w:i/>
          <w:iCs/>
        </w:rPr>
        <w:t>Neuropsychology Review</w:t>
      </w:r>
      <w:r w:rsidRPr="0027459C">
        <w:rPr>
          <w:b/>
          <w:bCs/>
        </w:rPr>
        <w:t>, 35(1). doi:10.1007/s11065-023-09630-2.</w:t>
      </w:r>
    </w:p>
    <w:p w14:paraId="688E7021" w14:textId="77777777" w:rsidR="0027459C" w:rsidRPr="0027459C" w:rsidRDefault="0027459C" w:rsidP="0027459C">
      <w:pPr>
        <w:rPr>
          <w:b/>
          <w:bCs/>
        </w:rPr>
      </w:pPr>
      <w:proofErr w:type="spellStart"/>
      <w:r w:rsidRPr="0027459C">
        <w:rPr>
          <w:b/>
          <w:bCs/>
        </w:rPr>
        <w:t>Happé</w:t>
      </w:r>
      <w:proofErr w:type="spellEnd"/>
      <w:r w:rsidRPr="0027459C">
        <w:rPr>
          <w:b/>
          <w:bCs/>
        </w:rPr>
        <w:t xml:space="preserve">, F. and Frith, U. (2020) ‘Annual research review: Looking back to look forward – changes in the concept of autism and implications for future research’, </w:t>
      </w:r>
      <w:r w:rsidRPr="0027459C">
        <w:rPr>
          <w:b/>
          <w:bCs/>
          <w:i/>
          <w:iCs/>
        </w:rPr>
        <w:t>Journal of Child Psychology and Psychiatry</w:t>
      </w:r>
      <w:r w:rsidRPr="0027459C">
        <w:rPr>
          <w:b/>
          <w:bCs/>
        </w:rPr>
        <w:t>, 61(3), pp. 218–232. doi:10.1111/jcpp.13176.</w:t>
      </w:r>
    </w:p>
    <w:p w14:paraId="3B709B00" w14:textId="77777777" w:rsidR="0027459C" w:rsidRPr="0027459C" w:rsidRDefault="0027459C" w:rsidP="0027459C">
      <w:pPr>
        <w:rPr>
          <w:b/>
          <w:bCs/>
        </w:rPr>
      </w:pPr>
      <w:r w:rsidRPr="0027459C">
        <w:rPr>
          <w:b/>
          <w:bCs/>
        </w:rPr>
        <w:t xml:space="preserve">Kestel, D. and Reed, G.M. (2024) ‘Global launch of the ICD-11 clinical descriptions and diagnostic requirements (CDDR)’, </w:t>
      </w:r>
      <w:r w:rsidRPr="0027459C">
        <w:rPr>
          <w:b/>
          <w:bCs/>
          <w:i/>
          <w:iCs/>
        </w:rPr>
        <w:t>World Psychiatry</w:t>
      </w:r>
      <w:r w:rsidRPr="0027459C">
        <w:rPr>
          <w:b/>
          <w:bCs/>
        </w:rPr>
        <w:t>, 23(3), pp. 310–311. doi:10.1002/wps.21223.</w:t>
      </w:r>
    </w:p>
    <w:p w14:paraId="69F70FE3" w14:textId="77777777" w:rsidR="0027459C" w:rsidRPr="0027459C" w:rsidRDefault="0027459C" w:rsidP="0027459C">
      <w:pPr>
        <w:rPr>
          <w:b/>
          <w:bCs/>
        </w:rPr>
      </w:pPr>
      <w:r w:rsidRPr="0027459C">
        <w:rPr>
          <w:b/>
          <w:bCs/>
        </w:rPr>
        <w:t xml:space="preserve">Lai, M.-C., Baron-Cohen, S. and Buxbaum, J.D. (2015) ‘Understanding autism in the light of sex/gender’, </w:t>
      </w:r>
      <w:r w:rsidRPr="0027459C">
        <w:rPr>
          <w:b/>
          <w:bCs/>
          <w:i/>
          <w:iCs/>
        </w:rPr>
        <w:t>Molecular Autism</w:t>
      </w:r>
      <w:r w:rsidRPr="0027459C">
        <w:rPr>
          <w:b/>
          <w:bCs/>
        </w:rPr>
        <w:t>, 6(1). doi:10.1186/s13229-015-0021-4.</w:t>
      </w:r>
    </w:p>
    <w:p w14:paraId="46295CD8" w14:textId="77777777" w:rsidR="0027459C" w:rsidRPr="0027459C" w:rsidRDefault="0027459C" w:rsidP="0027459C">
      <w:pPr>
        <w:rPr>
          <w:b/>
          <w:bCs/>
        </w:rPr>
      </w:pPr>
      <w:r w:rsidRPr="0027459C">
        <w:rPr>
          <w:b/>
          <w:bCs/>
        </w:rPr>
        <w:t xml:space="preserve">Pellicano, E. and Heyworth, M. (2023) ‘The foundations of autistic flourishing’, </w:t>
      </w:r>
      <w:r w:rsidRPr="0027459C">
        <w:rPr>
          <w:b/>
          <w:bCs/>
          <w:i/>
          <w:iCs/>
        </w:rPr>
        <w:t>Current Psychiatry Reports</w:t>
      </w:r>
      <w:r w:rsidRPr="0027459C">
        <w:rPr>
          <w:b/>
          <w:bCs/>
        </w:rPr>
        <w:t>, 25(9), pp. 419–427. doi:10.1007/s11920-023-01441-9.</w:t>
      </w:r>
    </w:p>
    <w:p w14:paraId="3BDB9B18" w14:textId="77777777" w:rsidR="0027459C" w:rsidRPr="0027459C" w:rsidRDefault="0027459C" w:rsidP="0027459C">
      <w:pPr>
        <w:rPr>
          <w:b/>
          <w:bCs/>
        </w:rPr>
      </w:pPr>
      <w:r w:rsidRPr="0027459C">
        <w:rPr>
          <w:b/>
          <w:bCs/>
        </w:rPr>
        <w:t xml:space="preserve">Roy, M. and Strate, P. (2023) ‘Autism spectrum disorders in adulthood’, </w:t>
      </w:r>
      <w:proofErr w:type="spellStart"/>
      <w:r w:rsidRPr="0027459C">
        <w:rPr>
          <w:b/>
          <w:bCs/>
          <w:i/>
          <w:iCs/>
        </w:rPr>
        <w:t>Deutsches</w:t>
      </w:r>
      <w:proofErr w:type="spellEnd"/>
      <w:r w:rsidRPr="0027459C">
        <w:rPr>
          <w:b/>
          <w:bCs/>
          <w:i/>
          <w:iCs/>
        </w:rPr>
        <w:t xml:space="preserve"> </w:t>
      </w:r>
      <w:proofErr w:type="spellStart"/>
      <w:r w:rsidRPr="0027459C">
        <w:rPr>
          <w:b/>
          <w:bCs/>
          <w:i/>
          <w:iCs/>
        </w:rPr>
        <w:t>Ärzteblatt</w:t>
      </w:r>
      <w:proofErr w:type="spellEnd"/>
      <w:r w:rsidRPr="0027459C">
        <w:rPr>
          <w:b/>
          <w:bCs/>
          <w:i/>
          <w:iCs/>
        </w:rPr>
        <w:t xml:space="preserve"> International</w:t>
      </w:r>
      <w:r w:rsidRPr="0027459C">
        <w:rPr>
          <w:b/>
          <w:bCs/>
        </w:rPr>
        <w:t>, 120(6). doi:10.3238/arztebl.m2022.0379.</w:t>
      </w:r>
    </w:p>
    <w:p w14:paraId="72D9AC46" w14:textId="77777777" w:rsidR="0027459C" w:rsidRPr="0027459C" w:rsidRDefault="0027459C" w:rsidP="0027459C">
      <w:pPr>
        <w:rPr>
          <w:b/>
          <w:bCs/>
        </w:rPr>
      </w:pPr>
      <w:r w:rsidRPr="0027459C">
        <w:rPr>
          <w:b/>
          <w:bCs/>
        </w:rPr>
        <w:lastRenderedPageBreak/>
        <w:t xml:space="preserve">Simione, L., </w:t>
      </w:r>
      <w:proofErr w:type="spellStart"/>
      <w:r w:rsidRPr="0027459C">
        <w:rPr>
          <w:b/>
          <w:bCs/>
        </w:rPr>
        <w:t>Frolli</w:t>
      </w:r>
      <w:proofErr w:type="spellEnd"/>
      <w:r w:rsidRPr="0027459C">
        <w:rPr>
          <w:b/>
          <w:bCs/>
        </w:rPr>
        <w:t xml:space="preserve">, A., </w:t>
      </w:r>
      <w:proofErr w:type="spellStart"/>
      <w:r w:rsidRPr="0027459C">
        <w:rPr>
          <w:b/>
          <w:bCs/>
        </w:rPr>
        <w:t>Sciattella</w:t>
      </w:r>
      <w:proofErr w:type="spellEnd"/>
      <w:r w:rsidRPr="0027459C">
        <w:rPr>
          <w:b/>
          <w:bCs/>
        </w:rPr>
        <w:t xml:space="preserve">, F. and Chiarella, S.G. (2024) ‘Mindfulness-based interventions for people with autism spectrum disorder: A systematic literature review’, </w:t>
      </w:r>
      <w:r w:rsidRPr="0027459C">
        <w:rPr>
          <w:b/>
          <w:bCs/>
          <w:i/>
          <w:iCs/>
        </w:rPr>
        <w:t>Brain Sciences</w:t>
      </w:r>
      <w:r w:rsidRPr="0027459C">
        <w:rPr>
          <w:b/>
          <w:bCs/>
        </w:rPr>
        <w:t>, 14(10), p. 1001. doi:10.3390/brainsci14101001.</w:t>
      </w:r>
    </w:p>
    <w:p w14:paraId="23B3015A" w14:textId="77777777" w:rsidR="0027459C" w:rsidRPr="0027459C" w:rsidRDefault="0027459C" w:rsidP="0027459C">
      <w:pPr>
        <w:rPr>
          <w:b/>
          <w:bCs/>
        </w:rPr>
      </w:pPr>
      <w:r w:rsidRPr="0027459C">
        <w:rPr>
          <w:b/>
          <w:bCs/>
        </w:rPr>
        <w:t xml:space="preserve">Timmerman, A., </w:t>
      </w:r>
      <w:proofErr w:type="spellStart"/>
      <w:r w:rsidRPr="0027459C">
        <w:rPr>
          <w:b/>
          <w:bCs/>
        </w:rPr>
        <w:t>Totsika</w:t>
      </w:r>
      <w:proofErr w:type="spellEnd"/>
      <w:r w:rsidRPr="0027459C">
        <w:rPr>
          <w:b/>
          <w:bCs/>
        </w:rPr>
        <w:t xml:space="preserve">, V., Lye, V., Crane, L., Linden, A. and Pellicano, E. (2024) ‘Quality-of-life measurement in randomised controlled trials of mental health interventions for autistic adults: A systematic review’, </w:t>
      </w:r>
      <w:r w:rsidRPr="0027459C">
        <w:rPr>
          <w:b/>
          <w:bCs/>
          <w:i/>
          <w:iCs/>
        </w:rPr>
        <w:t>Autism</w:t>
      </w:r>
      <w:r w:rsidRPr="0027459C">
        <w:rPr>
          <w:b/>
          <w:bCs/>
        </w:rPr>
        <w:t>, 29(3), pp. 579–595. doi:10.1177/13623613241287586.</w:t>
      </w:r>
    </w:p>
    <w:p w14:paraId="2547A05B" w14:textId="77777777" w:rsidR="0027459C" w:rsidRPr="0027459C" w:rsidRDefault="0027459C" w:rsidP="0027459C">
      <w:pPr>
        <w:rPr>
          <w:b/>
          <w:bCs/>
        </w:rPr>
      </w:pPr>
      <w:r w:rsidRPr="0027459C">
        <w:rPr>
          <w:b/>
          <w:bCs/>
        </w:rPr>
        <w:t xml:space="preserve">World Health Organization (2024) </w:t>
      </w:r>
      <w:r w:rsidRPr="0027459C">
        <w:rPr>
          <w:b/>
          <w:bCs/>
          <w:i/>
          <w:iCs/>
        </w:rPr>
        <w:t>Clinical descriptions and diagnostic requirements for ICD-11 mental, behavioural and neurodevelopmental disorders</w:t>
      </w:r>
      <w:r w:rsidRPr="0027459C">
        <w:rPr>
          <w:b/>
          <w:bCs/>
        </w:rPr>
        <w:t xml:space="preserve">. Geneva: World Health Organization. Available at: </w:t>
      </w:r>
      <w:hyperlink r:id="rId7" w:history="1">
        <w:r w:rsidRPr="0027459C">
          <w:rPr>
            <w:rStyle w:val="Hyperlink"/>
            <w:b/>
            <w:bCs/>
          </w:rPr>
          <w:t>https://www.who.int/publications/i/item/9789240077263</w:t>
        </w:r>
      </w:hyperlink>
      <w:r w:rsidRPr="0027459C">
        <w:rPr>
          <w:b/>
          <w:bCs/>
        </w:rPr>
        <w:t xml:space="preserve"> (Accessed: 22 September 2026).</w:t>
      </w:r>
    </w:p>
    <w:p w14:paraId="47DF818C" w14:textId="77777777" w:rsidR="0027459C" w:rsidRPr="0027459C" w:rsidRDefault="0027459C" w:rsidP="0027459C">
      <w:pPr>
        <w:rPr>
          <w:b/>
          <w:bCs/>
        </w:rPr>
      </w:pPr>
      <w:r w:rsidRPr="0027459C">
        <w:rPr>
          <w:b/>
          <w:bCs/>
        </w:rPr>
        <w:t xml:space="preserve">Zhuang, S., </w:t>
      </w:r>
      <w:proofErr w:type="spellStart"/>
      <w:r w:rsidRPr="0027459C">
        <w:rPr>
          <w:b/>
          <w:bCs/>
        </w:rPr>
        <w:t>Bougoure</w:t>
      </w:r>
      <w:proofErr w:type="spellEnd"/>
      <w:r w:rsidRPr="0027459C">
        <w:rPr>
          <w:b/>
          <w:bCs/>
        </w:rPr>
        <w:t xml:space="preserve">, M., Leong, D.-J., Dean, L., </w:t>
      </w:r>
      <w:proofErr w:type="spellStart"/>
      <w:r w:rsidRPr="0027459C">
        <w:rPr>
          <w:b/>
          <w:bCs/>
        </w:rPr>
        <w:t>Reddrop</w:t>
      </w:r>
      <w:proofErr w:type="spellEnd"/>
      <w:r w:rsidRPr="0027459C">
        <w:rPr>
          <w:b/>
          <w:bCs/>
        </w:rPr>
        <w:t xml:space="preserve">, S., Naragon-Gainey, K., </w:t>
      </w:r>
      <w:proofErr w:type="spellStart"/>
      <w:r w:rsidRPr="0027459C">
        <w:rPr>
          <w:b/>
          <w:bCs/>
        </w:rPr>
        <w:t>Maybery</w:t>
      </w:r>
      <w:proofErr w:type="spellEnd"/>
      <w:r w:rsidRPr="0027459C">
        <w:rPr>
          <w:b/>
          <w:bCs/>
        </w:rPr>
        <w:t xml:space="preserve">, M., Tan, D.W. and </w:t>
      </w:r>
      <w:proofErr w:type="spellStart"/>
      <w:r w:rsidRPr="0027459C">
        <w:rPr>
          <w:b/>
          <w:bCs/>
        </w:rPr>
        <w:t>Magiati</w:t>
      </w:r>
      <w:proofErr w:type="spellEnd"/>
      <w:r w:rsidRPr="0027459C">
        <w:rPr>
          <w:b/>
          <w:bCs/>
        </w:rPr>
        <w:t xml:space="preserve">, I. (2024) ‘Examining an integrated path model of psychological and sociocultural predictors of camouflaging in autistic adults’, </w:t>
      </w:r>
      <w:r w:rsidRPr="0027459C">
        <w:rPr>
          <w:b/>
          <w:bCs/>
          <w:i/>
          <w:iCs/>
        </w:rPr>
        <w:t>Autism</w:t>
      </w:r>
      <w:r w:rsidRPr="0027459C">
        <w:rPr>
          <w:b/>
          <w:bCs/>
        </w:rPr>
        <w:t>, 29(9), pp. 2328–2343. doi:10.1177/13623613241262110.</w:t>
      </w:r>
    </w:p>
    <w:p w14:paraId="5B93AC25" w14:textId="77777777" w:rsidR="0027459C" w:rsidRPr="003B2E56" w:rsidRDefault="0027459C" w:rsidP="003B2E56">
      <w:pPr>
        <w:rPr>
          <w:b/>
          <w:bCs/>
        </w:rPr>
      </w:pPr>
    </w:p>
    <w:p w14:paraId="44D8FDEC" w14:textId="77777777" w:rsidR="003B2E56" w:rsidRPr="00DA61B2" w:rsidRDefault="003B2E56" w:rsidP="00DA61B2"/>
    <w:p w14:paraId="1A7AA971" w14:textId="77777777" w:rsidR="00DA61B2" w:rsidRPr="00DA61B2" w:rsidRDefault="00DA61B2" w:rsidP="00DA61B2"/>
    <w:p w14:paraId="38C019D8" w14:textId="77777777" w:rsidR="00DA61B2" w:rsidRPr="007C3D69" w:rsidRDefault="00DA61B2" w:rsidP="007C3D69"/>
    <w:p w14:paraId="3694B9A0" w14:textId="77777777" w:rsidR="007C3D69" w:rsidRPr="007C3D69" w:rsidRDefault="007C3D69" w:rsidP="007C3D69"/>
    <w:p w14:paraId="6A874FA9" w14:textId="77777777" w:rsidR="007C3D69" w:rsidRPr="0033580D" w:rsidRDefault="007C3D69" w:rsidP="0033580D"/>
    <w:p w14:paraId="004980E2" w14:textId="77777777" w:rsidR="00405167" w:rsidRDefault="00405167"/>
    <w:sectPr w:rsidR="004051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4BC"/>
    <w:rsid w:val="001A7822"/>
    <w:rsid w:val="002277D6"/>
    <w:rsid w:val="002667B5"/>
    <w:rsid w:val="0027303B"/>
    <w:rsid w:val="0027459C"/>
    <w:rsid w:val="0033580D"/>
    <w:rsid w:val="003B2E56"/>
    <w:rsid w:val="00405167"/>
    <w:rsid w:val="005846C9"/>
    <w:rsid w:val="005D253B"/>
    <w:rsid w:val="00607F1B"/>
    <w:rsid w:val="00614511"/>
    <w:rsid w:val="006276CD"/>
    <w:rsid w:val="00722793"/>
    <w:rsid w:val="007B57B7"/>
    <w:rsid w:val="007C3D69"/>
    <w:rsid w:val="00851A85"/>
    <w:rsid w:val="0099465D"/>
    <w:rsid w:val="009A3BD5"/>
    <w:rsid w:val="009B3289"/>
    <w:rsid w:val="009C5DA7"/>
    <w:rsid w:val="00BF214C"/>
    <w:rsid w:val="00C862C3"/>
    <w:rsid w:val="00CB1F31"/>
    <w:rsid w:val="00CB7459"/>
    <w:rsid w:val="00CD7A63"/>
    <w:rsid w:val="00DA61B2"/>
    <w:rsid w:val="00E228FD"/>
    <w:rsid w:val="00E34128"/>
    <w:rsid w:val="00E516A5"/>
    <w:rsid w:val="00E654BC"/>
    <w:rsid w:val="00EB5A33"/>
    <w:rsid w:val="00F07A76"/>
    <w:rsid w:val="00F47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AD360"/>
  <w15:chartTrackingRefBased/>
  <w15:docId w15:val="{CB02BA75-CE2C-429B-8B56-45B9E98DD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54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54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54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54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54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54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54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54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54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4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54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54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54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54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54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54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54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54BC"/>
    <w:rPr>
      <w:rFonts w:eastAsiaTheme="majorEastAsia" w:cstheme="majorBidi"/>
      <w:color w:val="272727" w:themeColor="text1" w:themeTint="D8"/>
    </w:rPr>
  </w:style>
  <w:style w:type="paragraph" w:styleId="Title">
    <w:name w:val="Title"/>
    <w:basedOn w:val="Normal"/>
    <w:next w:val="Normal"/>
    <w:link w:val="TitleChar"/>
    <w:uiPriority w:val="10"/>
    <w:qFormat/>
    <w:rsid w:val="00E654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54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54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54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54BC"/>
    <w:pPr>
      <w:spacing w:before="160"/>
      <w:jc w:val="center"/>
    </w:pPr>
    <w:rPr>
      <w:i/>
      <w:iCs/>
      <w:color w:val="404040" w:themeColor="text1" w:themeTint="BF"/>
    </w:rPr>
  </w:style>
  <w:style w:type="character" w:customStyle="1" w:styleId="QuoteChar">
    <w:name w:val="Quote Char"/>
    <w:basedOn w:val="DefaultParagraphFont"/>
    <w:link w:val="Quote"/>
    <w:uiPriority w:val="29"/>
    <w:rsid w:val="00E654BC"/>
    <w:rPr>
      <w:i/>
      <w:iCs/>
      <w:color w:val="404040" w:themeColor="text1" w:themeTint="BF"/>
    </w:rPr>
  </w:style>
  <w:style w:type="paragraph" w:styleId="ListParagraph">
    <w:name w:val="List Paragraph"/>
    <w:basedOn w:val="Normal"/>
    <w:uiPriority w:val="34"/>
    <w:qFormat/>
    <w:rsid w:val="00E654BC"/>
    <w:pPr>
      <w:ind w:left="720"/>
      <w:contextualSpacing/>
    </w:pPr>
  </w:style>
  <w:style w:type="character" w:styleId="IntenseEmphasis">
    <w:name w:val="Intense Emphasis"/>
    <w:basedOn w:val="DefaultParagraphFont"/>
    <w:uiPriority w:val="21"/>
    <w:qFormat/>
    <w:rsid w:val="00E654BC"/>
    <w:rPr>
      <w:i/>
      <w:iCs/>
      <w:color w:val="0F4761" w:themeColor="accent1" w:themeShade="BF"/>
    </w:rPr>
  </w:style>
  <w:style w:type="paragraph" w:styleId="IntenseQuote">
    <w:name w:val="Intense Quote"/>
    <w:basedOn w:val="Normal"/>
    <w:next w:val="Normal"/>
    <w:link w:val="IntenseQuoteChar"/>
    <w:uiPriority w:val="30"/>
    <w:qFormat/>
    <w:rsid w:val="00E654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54BC"/>
    <w:rPr>
      <w:i/>
      <w:iCs/>
      <w:color w:val="0F4761" w:themeColor="accent1" w:themeShade="BF"/>
    </w:rPr>
  </w:style>
  <w:style w:type="character" w:styleId="IntenseReference">
    <w:name w:val="Intense Reference"/>
    <w:basedOn w:val="DefaultParagraphFont"/>
    <w:uiPriority w:val="32"/>
    <w:qFormat/>
    <w:rsid w:val="00E654BC"/>
    <w:rPr>
      <w:b/>
      <w:bCs/>
      <w:smallCaps/>
      <w:color w:val="0F4761" w:themeColor="accent1" w:themeShade="BF"/>
      <w:spacing w:val="5"/>
    </w:rPr>
  </w:style>
  <w:style w:type="character" w:styleId="Hyperlink">
    <w:name w:val="Hyperlink"/>
    <w:basedOn w:val="DefaultParagraphFont"/>
    <w:uiPriority w:val="99"/>
    <w:unhideWhenUsed/>
    <w:rsid w:val="0027459C"/>
    <w:rPr>
      <w:color w:val="467886" w:themeColor="hyperlink"/>
      <w:u w:val="single"/>
    </w:rPr>
  </w:style>
  <w:style w:type="character" w:styleId="UnresolvedMention">
    <w:name w:val="Unresolved Mention"/>
    <w:basedOn w:val="DefaultParagraphFont"/>
    <w:uiPriority w:val="99"/>
    <w:semiHidden/>
    <w:unhideWhenUsed/>
    <w:rsid w:val="002745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who.int/publications/i/item/978924007726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cd1a30a99b051adb17725b6d3332e99e">
  <xsd:schema xmlns:xsd="http://www.w3.org/2001/XMLSchema" xmlns:xs="http://www.w3.org/2001/XMLSchema" xmlns:p="http://schemas.microsoft.com/office/2006/metadata/properties" xmlns:ns3="0085e1a2-9cbf-4b92-866b-21f3c89040b6" targetNamespace="http://schemas.microsoft.com/office/2006/metadata/properties" ma:root="true" ma:fieldsID="7b27b219a9ec515d6d13501e7e3484e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F3B63CAE-B6CC-417D-84D5-D3BFF9A0D9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CA0BA-BBC7-418C-AEFE-ECA487D8E043}">
  <ds:schemaRefs>
    <ds:schemaRef ds:uri="http://schemas.microsoft.com/sharepoint/v3/contenttype/forms"/>
  </ds:schemaRefs>
</ds:datastoreItem>
</file>

<file path=customXml/itemProps3.xml><?xml version="1.0" encoding="utf-8"?>
<ds:datastoreItem xmlns:ds="http://schemas.openxmlformats.org/officeDocument/2006/customXml" ds:itemID="{2A91A314-2795-485B-890B-E3F93EFE3CC8}">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1948</TotalTime>
  <Pages>8</Pages>
  <Words>2753</Words>
  <Characters>15695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Osaheni Nabulele (2335292)</dc:creator>
  <cp:keywords/>
  <dc:description/>
  <cp:lastModifiedBy>Osaheni Nabulele (2335292)</cp:lastModifiedBy>
  <cp:revision>25</cp:revision>
  <dcterms:created xsi:type="dcterms:W3CDTF">2026-10-20T07:10:00Z</dcterms:created>
  <dcterms:modified xsi:type="dcterms:W3CDTF">2026-10-22T07:26:00Z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