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695A3C" w14:textId="77777777" w:rsidR="00C173C8" w:rsidRDefault="00C173C8" w:rsidP="009D4480"/>
    <w:p w14:paraId="441BD689" w14:textId="46C7E2D2" w:rsidR="00F15835" w:rsidRPr="009D4480" w:rsidRDefault="009D4480" w:rsidP="009D4480">
      <w:pPr>
        <w:rPr>
          <w:rFonts w:ascii="Calibri" w:hAnsi="Calibri" w:cs="Calibri"/>
          <w:sz w:val="22"/>
          <w:szCs w:val="22"/>
        </w:rPr>
      </w:pPr>
      <w:r w:rsidRPr="009D4480">
        <w:rPr>
          <w:rFonts w:ascii="Calibri" w:hAnsi="Calibri" w:cs="Calibri"/>
          <w:sz w:val="22"/>
          <w:szCs w:val="22"/>
        </w:rPr>
        <w:t xml:space="preserve">The purpose of this assignment is to </w:t>
      </w:r>
      <w:r w:rsidR="00440D63">
        <w:rPr>
          <w:rFonts w:ascii="Calibri" w:hAnsi="Calibri" w:cs="Calibri"/>
          <w:sz w:val="22"/>
          <w:szCs w:val="22"/>
        </w:rPr>
        <w:t xml:space="preserve">evaluate and </w:t>
      </w:r>
      <w:r w:rsidR="00335EDA">
        <w:rPr>
          <w:rFonts w:ascii="Calibri" w:hAnsi="Calibri" w:cs="Calibri"/>
          <w:sz w:val="22"/>
          <w:szCs w:val="22"/>
        </w:rPr>
        <w:t>analyse</w:t>
      </w:r>
      <w:r w:rsidRPr="009D4480">
        <w:rPr>
          <w:rFonts w:ascii="Calibri" w:hAnsi="Calibri" w:cs="Calibri"/>
          <w:sz w:val="22"/>
          <w:szCs w:val="22"/>
        </w:rPr>
        <w:t xml:space="preserve"> the role of consideration. To evaluate how important of a factor it is when it comes to forming a legal and binding contract.</w:t>
      </w:r>
      <w:r w:rsidR="00B9582C">
        <w:rPr>
          <w:rFonts w:ascii="Calibri" w:hAnsi="Calibri" w:cs="Calibri"/>
          <w:sz w:val="22"/>
          <w:szCs w:val="22"/>
        </w:rPr>
        <w:t xml:space="preserve"> </w:t>
      </w:r>
      <w:r w:rsidR="00674BA8">
        <w:rPr>
          <w:rFonts w:ascii="Calibri" w:hAnsi="Calibri" w:cs="Calibri"/>
          <w:sz w:val="22"/>
          <w:szCs w:val="22"/>
        </w:rPr>
        <w:t xml:space="preserve">Consideration is deemed </w:t>
      </w:r>
      <w:r w:rsidR="00416480">
        <w:rPr>
          <w:rFonts w:ascii="Calibri" w:hAnsi="Calibri" w:cs="Calibri"/>
          <w:sz w:val="22"/>
          <w:szCs w:val="22"/>
        </w:rPr>
        <w:t>one of the most fundamental principles within the United Kingdom</w:t>
      </w:r>
      <w:r w:rsidR="00D43908">
        <w:rPr>
          <w:rFonts w:ascii="Calibri" w:hAnsi="Calibri" w:cs="Calibri"/>
          <w:sz w:val="22"/>
          <w:szCs w:val="22"/>
        </w:rPr>
        <w:t xml:space="preserve">. </w:t>
      </w:r>
      <w:r w:rsidR="00F15835">
        <w:rPr>
          <w:rFonts w:ascii="Calibri" w:hAnsi="Calibri" w:cs="Calibri"/>
          <w:sz w:val="22"/>
          <w:szCs w:val="22"/>
        </w:rPr>
        <w:t xml:space="preserve">It is deemed as </w:t>
      </w:r>
      <w:r w:rsidR="00F95478">
        <w:rPr>
          <w:rFonts w:ascii="Calibri" w:hAnsi="Calibri" w:cs="Calibri"/>
          <w:sz w:val="22"/>
          <w:szCs w:val="22"/>
        </w:rPr>
        <w:t xml:space="preserve">a key element in determining whether or not </w:t>
      </w:r>
      <w:r w:rsidR="00931673">
        <w:rPr>
          <w:rFonts w:ascii="Calibri" w:hAnsi="Calibri" w:cs="Calibri"/>
          <w:sz w:val="22"/>
          <w:szCs w:val="22"/>
        </w:rPr>
        <w:t xml:space="preserve">the enforceability </w:t>
      </w:r>
      <w:r w:rsidR="00275E31">
        <w:rPr>
          <w:rFonts w:ascii="Calibri" w:hAnsi="Calibri" w:cs="Calibri"/>
          <w:sz w:val="22"/>
          <w:szCs w:val="22"/>
        </w:rPr>
        <w:t xml:space="preserve">of the agreements within both parties. </w:t>
      </w:r>
      <w:r w:rsidR="0096208F">
        <w:rPr>
          <w:rFonts w:ascii="Calibri" w:hAnsi="Calibri" w:cs="Calibri"/>
          <w:sz w:val="22"/>
          <w:szCs w:val="22"/>
        </w:rPr>
        <w:t>Consideration refers to the exchan</w:t>
      </w:r>
      <w:r w:rsidR="003D5AE1">
        <w:rPr>
          <w:rFonts w:ascii="Calibri" w:hAnsi="Calibri" w:cs="Calibri"/>
          <w:sz w:val="22"/>
          <w:szCs w:val="22"/>
        </w:rPr>
        <w:t xml:space="preserve">ge </w:t>
      </w:r>
      <w:r w:rsidR="007D158D">
        <w:rPr>
          <w:rFonts w:ascii="Calibri" w:hAnsi="Calibri" w:cs="Calibri"/>
          <w:sz w:val="22"/>
          <w:szCs w:val="22"/>
        </w:rPr>
        <w:t>of something that is deemed valuable between two parties. This exchange can usually include things such as goods, money, services</w:t>
      </w:r>
      <w:r w:rsidR="00E37D30">
        <w:rPr>
          <w:rFonts w:ascii="Calibri" w:hAnsi="Calibri" w:cs="Calibri"/>
          <w:sz w:val="22"/>
          <w:szCs w:val="22"/>
        </w:rPr>
        <w:t xml:space="preserve"> and even promises. The promises exchanged are usually </w:t>
      </w:r>
      <w:r w:rsidR="00142FBD">
        <w:rPr>
          <w:rFonts w:ascii="Calibri" w:hAnsi="Calibri" w:cs="Calibri"/>
          <w:sz w:val="22"/>
          <w:szCs w:val="22"/>
        </w:rPr>
        <w:t>promises to a</w:t>
      </w:r>
      <w:r w:rsidR="00F45356">
        <w:rPr>
          <w:rFonts w:ascii="Calibri" w:hAnsi="Calibri" w:cs="Calibri"/>
          <w:sz w:val="22"/>
          <w:szCs w:val="22"/>
        </w:rPr>
        <w:t>b</w:t>
      </w:r>
      <w:r w:rsidR="00142FBD">
        <w:rPr>
          <w:rFonts w:ascii="Calibri" w:hAnsi="Calibri" w:cs="Calibri"/>
          <w:sz w:val="22"/>
          <w:szCs w:val="22"/>
        </w:rPr>
        <w:t xml:space="preserve">stain from doing certain things that can be deemed inappropriate. </w:t>
      </w:r>
      <w:r w:rsidR="00F45356">
        <w:rPr>
          <w:rFonts w:ascii="Calibri" w:hAnsi="Calibri" w:cs="Calibri"/>
          <w:sz w:val="22"/>
          <w:szCs w:val="22"/>
        </w:rPr>
        <w:t xml:space="preserve">The doctrine of consideration can be considered </w:t>
      </w:r>
      <w:r w:rsidR="00F81970">
        <w:rPr>
          <w:rFonts w:ascii="Calibri" w:hAnsi="Calibri" w:cs="Calibri"/>
          <w:sz w:val="22"/>
          <w:szCs w:val="22"/>
        </w:rPr>
        <w:t xml:space="preserve">a </w:t>
      </w:r>
      <w:r w:rsidR="00F45356">
        <w:rPr>
          <w:rFonts w:ascii="Calibri" w:hAnsi="Calibri" w:cs="Calibri"/>
          <w:sz w:val="22"/>
          <w:szCs w:val="22"/>
        </w:rPr>
        <w:t xml:space="preserve">very controversial </w:t>
      </w:r>
      <w:r w:rsidR="00965981">
        <w:rPr>
          <w:rFonts w:ascii="Calibri" w:hAnsi="Calibri" w:cs="Calibri"/>
          <w:sz w:val="22"/>
          <w:szCs w:val="22"/>
        </w:rPr>
        <w:t xml:space="preserve">topic </w:t>
      </w:r>
      <w:r w:rsidR="001A3C0C">
        <w:rPr>
          <w:rFonts w:ascii="Calibri" w:hAnsi="Calibri" w:cs="Calibri"/>
          <w:sz w:val="22"/>
          <w:szCs w:val="22"/>
        </w:rPr>
        <w:t xml:space="preserve">in English and Welsh Law due to </w:t>
      </w:r>
      <w:r w:rsidR="00CD20F3">
        <w:rPr>
          <w:rFonts w:ascii="Calibri" w:hAnsi="Calibri" w:cs="Calibri"/>
          <w:sz w:val="22"/>
          <w:szCs w:val="22"/>
        </w:rPr>
        <w:t xml:space="preserve">being deemed as ‘outdated’, it also </w:t>
      </w:r>
      <w:r w:rsidR="00170A1F">
        <w:rPr>
          <w:rFonts w:ascii="Calibri" w:hAnsi="Calibri" w:cs="Calibri"/>
          <w:sz w:val="22"/>
          <w:szCs w:val="22"/>
        </w:rPr>
        <w:t>tends to</w:t>
      </w:r>
      <w:r w:rsidR="00170A1F" w:rsidRPr="00170A1F">
        <w:rPr>
          <w:rFonts w:ascii="Calibri" w:hAnsi="Calibri" w:cs="Calibri"/>
          <w:sz w:val="22"/>
          <w:szCs w:val="22"/>
        </w:rPr>
        <w:t xml:space="preserve"> deliver unfair results and to limit the enforceability of certain agreements</w:t>
      </w:r>
      <w:r w:rsidR="00170A1F">
        <w:rPr>
          <w:rFonts w:ascii="Calibri" w:hAnsi="Calibri" w:cs="Calibri"/>
          <w:sz w:val="22"/>
          <w:szCs w:val="22"/>
        </w:rPr>
        <w:t xml:space="preserve">. </w:t>
      </w:r>
      <w:r w:rsidR="00103E45">
        <w:rPr>
          <w:rFonts w:ascii="Calibri" w:hAnsi="Calibri" w:cs="Calibri"/>
          <w:sz w:val="22"/>
          <w:szCs w:val="22"/>
        </w:rPr>
        <w:t xml:space="preserve">By evaluating the role of consideration within this assignment </w:t>
      </w:r>
      <w:r w:rsidR="00EE3BF7">
        <w:rPr>
          <w:rFonts w:ascii="Calibri" w:hAnsi="Calibri" w:cs="Calibri"/>
          <w:sz w:val="22"/>
          <w:szCs w:val="22"/>
        </w:rPr>
        <w:t>and what is deemed as valid consideration</w:t>
      </w:r>
      <w:r w:rsidR="00AE183F">
        <w:rPr>
          <w:rFonts w:ascii="Calibri" w:hAnsi="Calibri" w:cs="Calibri"/>
          <w:sz w:val="22"/>
          <w:szCs w:val="22"/>
        </w:rPr>
        <w:t>, this</w:t>
      </w:r>
      <w:r w:rsidR="00EE3BF7">
        <w:rPr>
          <w:rFonts w:ascii="Calibri" w:hAnsi="Calibri" w:cs="Calibri"/>
          <w:sz w:val="22"/>
          <w:szCs w:val="22"/>
        </w:rPr>
        <w:t xml:space="preserve"> will be used to determine the importance of consideration in Contract Law. </w:t>
      </w:r>
    </w:p>
    <w:p w14:paraId="547D066A" w14:textId="77777777" w:rsidR="009D4480" w:rsidRDefault="009D4480" w:rsidP="009D4480">
      <w:pPr>
        <w:rPr>
          <w:rFonts w:ascii="Calibri" w:hAnsi="Calibri" w:cs="Calibri"/>
          <w:sz w:val="22"/>
          <w:szCs w:val="22"/>
        </w:rPr>
      </w:pPr>
    </w:p>
    <w:p w14:paraId="5B6BFA88" w14:textId="4EC5CB8D" w:rsidR="009D4480" w:rsidRPr="009D4480" w:rsidRDefault="009D4480" w:rsidP="009D4480">
      <w:pPr>
        <w:rPr>
          <w:rFonts w:ascii="Calibri" w:hAnsi="Calibri" w:cs="Calibri"/>
          <w:sz w:val="22"/>
          <w:szCs w:val="22"/>
        </w:rPr>
      </w:pPr>
      <w:r w:rsidRPr="009D4480">
        <w:rPr>
          <w:rFonts w:ascii="Calibri" w:hAnsi="Calibri" w:cs="Calibri"/>
          <w:sz w:val="22"/>
          <w:szCs w:val="22"/>
        </w:rPr>
        <w:t>The formation of a contract refers to the procedure in which two or more parties create a legally binding agreement by fulfilling all the necessary elements. There are five main elements that must be followed when creating a contract, these are offer and acceptance, intention to create legal relations, certainty of terms, and lastly consideration (</w:t>
      </w:r>
      <w:proofErr w:type="spellStart"/>
      <w:r w:rsidRPr="009D4480">
        <w:rPr>
          <w:rFonts w:ascii="Calibri" w:hAnsi="Calibri" w:cs="Calibri"/>
          <w:sz w:val="22"/>
          <w:szCs w:val="22"/>
        </w:rPr>
        <w:t>Lexology</w:t>
      </w:r>
      <w:proofErr w:type="spellEnd"/>
      <w:r w:rsidR="00650ABC">
        <w:rPr>
          <w:rFonts w:ascii="Calibri" w:hAnsi="Calibri" w:cs="Calibri"/>
          <w:sz w:val="22"/>
          <w:szCs w:val="22"/>
        </w:rPr>
        <w:t>, 2024</w:t>
      </w:r>
      <w:r w:rsidRPr="009D4480">
        <w:rPr>
          <w:rFonts w:ascii="Calibri" w:hAnsi="Calibri" w:cs="Calibri"/>
          <w:sz w:val="22"/>
          <w:szCs w:val="22"/>
        </w:rPr>
        <w:t xml:space="preserve">). A contract is usually a written document that needs to be signed, but they can also verbal. However oral contracts are harder to evidence meaning that a written contract is the preferred method used. </w:t>
      </w:r>
    </w:p>
    <w:p w14:paraId="5B2F9E61" w14:textId="77777777" w:rsidR="00B575C4" w:rsidRDefault="00B575C4" w:rsidP="009D4480">
      <w:pPr>
        <w:rPr>
          <w:rFonts w:ascii="Calibri" w:hAnsi="Calibri" w:cs="Calibri"/>
          <w:sz w:val="22"/>
          <w:szCs w:val="22"/>
        </w:rPr>
      </w:pPr>
    </w:p>
    <w:p w14:paraId="58770E11" w14:textId="10F32719" w:rsidR="009D4480" w:rsidRPr="009D4480" w:rsidRDefault="009D4480" w:rsidP="009D4480">
      <w:pPr>
        <w:rPr>
          <w:rFonts w:ascii="Calibri" w:hAnsi="Calibri" w:cs="Calibri"/>
          <w:sz w:val="22"/>
          <w:szCs w:val="22"/>
        </w:rPr>
      </w:pPr>
      <w:r w:rsidRPr="009D4480">
        <w:rPr>
          <w:rFonts w:ascii="Calibri" w:hAnsi="Calibri" w:cs="Calibri"/>
          <w:sz w:val="22"/>
          <w:szCs w:val="22"/>
        </w:rPr>
        <w:t xml:space="preserve">An offer is a clear and specific proposal made by one party known as the offeror, with the intention of being accepted by another party often referred to as the offeree. During this stage, contract negotiations can take place. This is where both parties can negotiate terms within the contract in order to benefit both parties and make an agreement that is suitable for both parties before acceptance can take place. An offer must be stated and delivered in a way that a reasonable person would consider. The case of Storer v Manchester City Council [1974] is a vital case that outlines that an offer is ‘an expression of willingness to contract on specified terms and the intention is that it is binding once the offer has been accepted’. The case contributes to the understanding that the objective elements of a contract determine the existence rather than the individual intent. </w:t>
      </w:r>
    </w:p>
    <w:p w14:paraId="48CBD64C" w14:textId="77777777" w:rsidR="009D4480" w:rsidRDefault="009D4480" w:rsidP="009D4480">
      <w:pPr>
        <w:rPr>
          <w:rFonts w:ascii="Calibri" w:hAnsi="Calibri" w:cs="Calibri"/>
          <w:sz w:val="22"/>
          <w:szCs w:val="22"/>
        </w:rPr>
      </w:pPr>
    </w:p>
    <w:p w14:paraId="6A639A22" w14:textId="7FBFE71E" w:rsidR="009D4480" w:rsidRDefault="009D4480" w:rsidP="009D4480">
      <w:pPr>
        <w:rPr>
          <w:rFonts w:ascii="Calibri" w:hAnsi="Calibri" w:cs="Calibri"/>
          <w:i/>
          <w:iCs/>
          <w:sz w:val="22"/>
          <w:szCs w:val="22"/>
        </w:rPr>
      </w:pPr>
      <w:r w:rsidRPr="009D4480">
        <w:rPr>
          <w:rFonts w:ascii="Calibri" w:hAnsi="Calibri" w:cs="Calibri"/>
          <w:sz w:val="22"/>
          <w:szCs w:val="22"/>
        </w:rPr>
        <w:t xml:space="preserve">Acceptance is the final assent to an </w:t>
      </w:r>
      <w:r w:rsidR="00CF42F6" w:rsidRPr="009D4480">
        <w:rPr>
          <w:rFonts w:ascii="Calibri" w:hAnsi="Calibri" w:cs="Calibri"/>
          <w:sz w:val="22"/>
          <w:szCs w:val="22"/>
        </w:rPr>
        <w:t>offer;</w:t>
      </w:r>
      <w:r w:rsidRPr="009D4480">
        <w:rPr>
          <w:rFonts w:ascii="Calibri" w:hAnsi="Calibri" w:cs="Calibri"/>
          <w:sz w:val="22"/>
          <w:szCs w:val="22"/>
        </w:rPr>
        <w:t xml:space="preserve"> the final stage is for the offeree to formally accept the contract. Acceptance can be communicated in a variety of different ways, such as orally in person or over the phone, written by post, by certain conduct provided that it is clear the offeree acted with intent to accept and lastly by electronic methods such as email. Provided that all elements of a contract have been established then a legal and binding contract will be formed (Winder, M </w:t>
      </w:r>
      <w:r w:rsidRPr="009D4480">
        <w:rPr>
          <w:rFonts w:ascii="Calibri" w:hAnsi="Calibri" w:cs="Calibri"/>
          <w:i/>
          <w:iCs/>
          <w:sz w:val="22"/>
          <w:szCs w:val="22"/>
        </w:rPr>
        <w:t xml:space="preserve">et al. 2023). </w:t>
      </w:r>
    </w:p>
    <w:p w14:paraId="74CB0BA9" w14:textId="77777777" w:rsidR="00892292" w:rsidRDefault="00892292" w:rsidP="009D4480">
      <w:pPr>
        <w:rPr>
          <w:rFonts w:ascii="Calibri" w:hAnsi="Calibri" w:cs="Calibri"/>
          <w:i/>
          <w:iCs/>
          <w:sz w:val="22"/>
          <w:szCs w:val="22"/>
        </w:rPr>
      </w:pPr>
    </w:p>
    <w:p w14:paraId="01940730" w14:textId="42EBFB5E" w:rsidR="0007501E" w:rsidRDefault="0053333D" w:rsidP="009D4480">
      <w:pPr>
        <w:rPr>
          <w:rFonts w:ascii="Calibri" w:hAnsi="Calibri" w:cs="Calibri"/>
          <w:sz w:val="22"/>
          <w:szCs w:val="22"/>
        </w:rPr>
      </w:pPr>
      <w:r>
        <w:rPr>
          <w:rFonts w:ascii="Calibri" w:hAnsi="Calibri" w:cs="Calibri"/>
          <w:sz w:val="22"/>
          <w:szCs w:val="22"/>
        </w:rPr>
        <w:t xml:space="preserve">Intention to create legal relations </w:t>
      </w:r>
      <w:r w:rsidR="00810D23">
        <w:rPr>
          <w:rFonts w:ascii="Calibri" w:hAnsi="Calibri" w:cs="Calibri"/>
          <w:sz w:val="22"/>
          <w:szCs w:val="22"/>
        </w:rPr>
        <w:t xml:space="preserve">refers to both parties’ intentions to enter a legally and binding contract. It means that both parties involved must have the same </w:t>
      </w:r>
      <w:r w:rsidR="008446E2">
        <w:rPr>
          <w:rFonts w:ascii="Calibri" w:hAnsi="Calibri" w:cs="Calibri"/>
          <w:sz w:val="22"/>
          <w:szCs w:val="22"/>
        </w:rPr>
        <w:t>intention and mutual interest to be legally bound to one another</w:t>
      </w:r>
      <w:r w:rsidR="003D7F31">
        <w:rPr>
          <w:rFonts w:ascii="Calibri" w:hAnsi="Calibri" w:cs="Calibri"/>
          <w:sz w:val="22"/>
          <w:szCs w:val="22"/>
        </w:rPr>
        <w:t xml:space="preserve"> by any terms outline</w:t>
      </w:r>
      <w:r w:rsidR="00EF5C75">
        <w:rPr>
          <w:rFonts w:ascii="Calibri" w:hAnsi="Calibri" w:cs="Calibri"/>
          <w:sz w:val="22"/>
          <w:szCs w:val="22"/>
        </w:rPr>
        <w:t>d</w:t>
      </w:r>
      <w:r w:rsidR="008446E2">
        <w:rPr>
          <w:rFonts w:ascii="Calibri" w:hAnsi="Calibri" w:cs="Calibri"/>
          <w:sz w:val="22"/>
          <w:szCs w:val="22"/>
        </w:rPr>
        <w:t xml:space="preserve">, in the hopes to mutually benefit both parties. </w:t>
      </w:r>
      <w:r w:rsidR="003D7F31">
        <w:rPr>
          <w:rFonts w:ascii="Calibri" w:hAnsi="Calibri" w:cs="Calibri"/>
          <w:sz w:val="22"/>
          <w:szCs w:val="22"/>
        </w:rPr>
        <w:t xml:space="preserve">Having a genuine intention with each other is </w:t>
      </w:r>
      <w:r w:rsidR="00EF5C75">
        <w:rPr>
          <w:rFonts w:ascii="Calibri" w:hAnsi="Calibri" w:cs="Calibri"/>
          <w:sz w:val="22"/>
          <w:szCs w:val="22"/>
        </w:rPr>
        <w:t>critically</w:t>
      </w:r>
      <w:r w:rsidR="003D7F31">
        <w:rPr>
          <w:rFonts w:ascii="Calibri" w:hAnsi="Calibri" w:cs="Calibri"/>
          <w:sz w:val="22"/>
          <w:szCs w:val="22"/>
        </w:rPr>
        <w:t xml:space="preserve"> important as certain aspects </w:t>
      </w:r>
      <w:r w:rsidR="00EF5C75">
        <w:rPr>
          <w:rFonts w:ascii="Calibri" w:hAnsi="Calibri" w:cs="Calibri"/>
          <w:sz w:val="22"/>
          <w:szCs w:val="22"/>
        </w:rPr>
        <w:t xml:space="preserve">and agreements are not always enforceable and binding. </w:t>
      </w:r>
      <w:r w:rsidR="00554854">
        <w:rPr>
          <w:rFonts w:ascii="Calibri" w:hAnsi="Calibri" w:cs="Calibri"/>
          <w:sz w:val="22"/>
          <w:szCs w:val="22"/>
        </w:rPr>
        <w:t xml:space="preserve">Many agreements that fall under the domestic category are considered to be non-binding. In </w:t>
      </w:r>
      <w:r w:rsidR="00690E2B">
        <w:rPr>
          <w:rFonts w:ascii="Calibri" w:hAnsi="Calibri" w:cs="Calibri"/>
          <w:sz w:val="22"/>
          <w:szCs w:val="22"/>
        </w:rPr>
        <w:t xml:space="preserve">these situations, the parties involved do not have the intention </w:t>
      </w:r>
      <w:r w:rsidR="002A67F7">
        <w:rPr>
          <w:rFonts w:ascii="Calibri" w:hAnsi="Calibri" w:cs="Calibri"/>
          <w:sz w:val="22"/>
          <w:szCs w:val="22"/>
        </w:rPr>
        <w:t xml:space="preserve">to create legal relations and therefore results in both parties not having any legal obligations to one another. It is assumed by the courts that </w:t>
      </w:r>
      <w:r w:rsidR="00E42EE9">
        <w:rPr>
          <w:rFonts w:ascii="Calibri" w:hAnsi="Calibri" w:cs="Calibri"/>
          <w:sz w:val="22"/>
          <w:szCs w:val="22"/>
        </w:rPr>
        <w:t>cases referring to domestic agreements</w:t>
      </w:r>
      <w:r w:rsidR="00472CFE">
        <w:rPr>
          <w:rFonts w:ascii="Calibri" w:hAnsi="Calibri" w:cs="Calibri"/>
          <w:sz w:val="22"/>
          <w:szCs w:val="22"/>
        </w:rPr>
        <w:t>,</w:t>
      </w:r>
      <w:r w:rsidR="00E42EE9">
        <w:rPr>
          <w:rFonts w:ascii="Calibri" w:hAnsi="Calibri" w:cs="Calibri"/>
          <w:sz w:val="22"/>
          <w:szCs w:val="22"/>
        </w:rPr>
        <w:t xml:space="preserve"> that the intention is not </w:t>
      </w:r>
      <w:r w:rsidR="008C3327">
        <w:rPr>
          <w:rFonts w:ascii="Calibri" w:hAnsi="Calibri" w:cs="Calibri"/>
          <w:sz w:val="22"/>
          <w:szCs w:val="22"/>
        </w:rPr>
        <w:t>present</w:t>
      </w:r>
      <w:r w:rsidR="00D22D29">
        <w:rPr>
          <w:rFonts w:ascii="Calibri" w:hAnsi="Calibri" w:cs="Calibri"/>
          <w:sz w:val="22"/>
          <w:szCs w:val="22"/>
        </w:rPr>
        <w:t xml:space="preserve"> and therefore courts are </w:t>
      </w:r>
      <w:r w:rsidR="0007501E">
        <w:rPr>
          <w:rFonts w:ascii="Calibri" w:hAnsi="Calibri" w:cs="Calibri"/>
          <w:sz w:val="22"/>
          <w:szCs w:val="22"/>
        </w:rPr>
        <w:t>reluctant</w:t>
      </w:r>
      <w:r w:rsidR="00D22D29">
        <w:rPr>
          <w:rFonts w:ascii="Calibri" w:hAnsi="Calibri" w:cs="Calibri"/>
          <w:sz w:val="22"/>
          <w:szCs w:val="22"/>
        </w:rPr>
        <w:t xml:space="preserve"> to enforce them (</w:t>
      </w:r>
      <w:r w:rsidR="00A86982">
        <w:rPr>
          <w:rFonts w:ascii="Calibri" w:hAnsi="Calibri" w:cs="Calibri"/>
          <w:sz w:val="22"/>
          <w:szCs w:val="22"/>
        </w:rPr>
        <w:t xml:space="preserve">Laver, N </w:t>
      </w:r>
      <w:r w:rsidR="00EA2879">
        <w:rPr>
          <w:rFonts w:ascii="Calibri" w:hAnsi="Calibri" w:cs="Calibri"/>
          <w:sz w:val="22"/>
          <w:szCs w:val="22"/>
        </w:rPr>
        <w:t>(</w:t>
      </w:r>
      <w:r w:rsidR="00EA2879">
        <w:rPr>
          <w:rFonts w:ascii="Calibri" w:hAnsi="Calibri" w:cs="Calibri"/>
          <w:i/>
          <w:iCs/>
          <w:sz w:val="22"/>
          <w:szCs w:val="22"/>
        </w:rPr>
        <w:t>A)</w:t>
      </w:r>
      <w:r w:rsidR="00A86982">
        <w:rPr>
          <w:rFonts w:ascii="Calibri" w:hAnsi="Calibri" w:cs="Calibri"/>
          <w:sz w:val="22"/>
          <w:szCs w:val="22"/>
        </w:rPr>
        <w:t xml:space="preserve">2024). </w:t>
      </w:r>
      <w:r w:rsidR="009B67B2">
        <w:rPr>
          <w:rFonts w:ascii="Calibri" w:hAnsi="Calibri" w:cs="Calibri"/>
          <w:sz w:val="22"/>
          <w:szCs w:val="22"/>
        </w:rPr>
        <w:t>On the other hand</w:t>
      </w:r>
      <w:r w:rsidR="00443C03">
        <w:rPr>
          <w:rFonts w:ascii="Calibri" w:hAnsi="Calibri" w:cs="Calibri"/>
          <w:sz w:val="22"/>
          <w:szCs w:val="22"/>
        </w:rPr>
        <w:t>,</w:t>
      </w:r>
      <w:r w:rsidR="0007501E">
        <w:rPr>
          <w:rFonts w:ascii="Calibri" w:hAnsi="Calibri" w:cs="Calibri"/>
          <w:sz w:val="22"/>
          <w:szCs w:val="22"/>
        </w:rPr>
        <w:t xml:space="preserve"> business and commercial agreements</w:t>
      </w:r>
      <w:r w:rsidR="009B67B2">
        <w:rPr>
          <w:rFonts w:ascii="Calibri" w:hAnsi="Calibri" w:cs="Calibri"/>
          <w:sz w:val="22"/>
          <w:szCs w:val="22"/>
        </w:rPr>
        <w:t xml:space="preserve"> are presumed to have an intent to create legal </w:t>
      </w:r>
      <w:r w:rsidR="00ED7BA7">
        <w:rPr>
          <w:rFonts w:ascii="Calibri" w:hAnsi="Calibri" w:cs="Calibri"/>
          <w:sz w:val="22"/>
          <w:szCs w:val="22"/>
        </w:rPr>
        <w:t xml:space="preserve">and binding </w:t>
      </w:r>
      <w:r w:rsidR="009B67B2">
        <w:rPr>
          <w:rFonts w:ascii="Calibri" w:hAnsi="Calibri" w:cs="Calibri"/>
          <w:sz w:val="22"/>
          <w:szCs w:val="22"/>
        </w:rPr>
        <w:t>relations</w:t>
      </w:r>
      <w:r w:rsidR="00ED7BA7">
        <w:rPr>
          <w:rFonts w:ascii="Calibri" w:hAnsi="Calibri" w:cs="Calibri"/>
          <w:sz w:val="22"/>
          <w:szCs w:val="22"/>
        </w:rPr>
        <w:t>. Once a legal agreement is in place, if one party breaches the terms</w:t>
      </w:r>
      <w:r w:rsidR="00A1455B">
        <w:rPr>
          <w:rFonts w:ascii="Calibri" w:hAnsi="Calibri" w:cs="Calibri"/>
          <w:sz w:val="22"/>
          <w:szCs w:val="22"/>
        </w:rPr>
        <w:t>,</w:t>
      </w:r>
      <w:r w:rsidR="000141F6">
        <w:rPr>
          <w:rFonts w:ascii="Calibri" w:hAnsi="Calibri" w:cs="Calibri"/>
          <w:sz w:val="22"/>
          <w:szCs w:val="22"/>
        </w:rPr>
        <w:t xml:space="preserve"> this then </w:t>
      </w:r>
      <w:r w:rsidR="00086261">
        <w:rPr>
          <w:rFonts w:ascii="Calibri" w:hAnsi="Calibri" w:cs="Calibri"/>
          <w:sz w:val="22"/>
          <w:szCs w:val="22"/>
        </w:rPr>
        <w:t xml:space="preserve">opens the first party up to liability, allowing the second party to begin legal remedies </w:t>
      </w:r>
      <w:r w:rsidR="00443C03">
        <w:rPr>
          <w:rFonts w:ascii="Calibri" w:hAnsi="Calibri" w:cs="Calibri"/>
          <w:sz w:val="22"/>
          <w:szCs w:val="22"/>
        </w:rPr>
        <w:t>to enforce or sever the contract and any conditions outlined without any repercussions (</w:t>
      </w:r>
      <w:r w:rsidR="00EA2879">
        <w:rPr>
          <w:rFonts w:ascii="Calibri" w:hAnsi="Calibri" w:cs="Calibri"/>
          <w:sz w:val="22"/>
          <w:szCs w:val="22"/>
        </w:rPr>
        <w:t>Laver, N (</w:t>
      </w:r>
      <w:r w:rsidR="00EA2879">
        <w:rPr>
          <w:rFonts w:ascii="Calibri" w:hAnsi="Calibri" w:cs="Calibri"/>
          <w:i/>
          <w:iCs/>
          <w:sz w:val="22"/>
          <w:szCs w:val="22"/>
        </w:rPr>
        <w:t xml:space="preserve">B) </w:t>
      </w:r>
      <w:r w:rsidR="00EA2879">
        <w:rPr>
          <w:rFonts w:ascii="Calibri" w:hAnsi="Calibri" w:cs="Calibri"/>
          <w:sz w:val="22"/>
          <w:szCs w:val="22"/>
        </w:rPr>
        <w:t>2024)</w:t>
      </w:r>
      <w:r w:rsidR="00443C03">
        <w:rPr>
          <w:rFonts w:ascii="Calibri" w:hAnsi="Calibri" w:cs="Calibri"/>
          <w:sz w:val="22"/>
          <w:szCs w:val="22"/>
        </w:rPr>
        <w:t xml:space="preserve">. </w:t>
      </w:r>
      <w:r w:rsidR="00ED7BA7">
        <w:rPr>
          <w:rFonts w:ascii="Calibri" w:hAnsi="Calibri" w:cs="Calibri"/>
          <w:sz w:val="22"/>
          <w:szCs w:val="22"/>
        </w:rPr>
        <w:t xml:space="preserve"> </w:t>
      </w:r>
    </w:p>
    <w:p w14:paraId="6E210501" w14:textId="77777777" w:rsidR="003F4C74" w:rsidRDefault="003F4C74" w:rsidP="009D4480">
      <w:pPr>
        <w:rPr>
          <w:rFonts w:ascii="Calibri" w:hAnsi="Calibri" w:cs="Calibri"/>
          <w:sz w:val="22"/>
          <w:szCs w:val="22"/>
        </w:rPr>
      </w:pPr>
    </w:p>
    <w:p w14:paraId="73820625" w14:textId="504D40F4" w:rsidR="003F4C74" w:rsidRDefault="003F4C74" w:rsidP="009D4480">
      <w:pPr>
        <w:rPr>
          <w:rFonts w:ascii="Calibri" w:hAnsi="Calibri" w:cs="Calibri"/>
          <w:sz w:val="22"/>
          <w:szCs w:val="22"/>
        </w:rPr>
      </w:pPr>
      <w:r>
        <w:rPr>
          <w:rFonts w:ascii="Calibri" w:hAnsi="Calibri" w:cs="Calibri"/>
          <w:sz w:val="22"/>
          <w:szCs w:val="22"/>
        </w:rPr>
        <w:t xml:space="preserve">To determine whether or not both parties had the clear intention to create legal and binding </w:t>
      </w:r>
      <w:r w:rsidR="00646F0E">
        <w:rPr>
          <w:rFonts w:ascii="Calibri" w:hAnsi="Calibri" w:cs="Calibri"/>
          <w:sz w:val="22"/>
          <w:szCs w:val="22"/>
        </w:rPr>
        <w:t>relations, would be to apply the objective test. This test considers</w:t>
      </w:r>
      <w:r w:rsidR="009B2FDA">
        <w:rPr>
          <w:rFonts w:ascii="Calibri" w:hAnsi="Calibri" w:cs="Calibri"/>
          <w:sz w:val="22"/>
          <w:szCs w:val="22"/>
        </w:rPr>
        <w:t xml:space="preserve"> a reasonable person’s perspective and examines any and all circumstances surrounding </w:t>
      </w:r>
      <w:r w:rsidR="00E516E7">
        <w:rPr>
          <w:rFonts w:ascii="Calibri" w:hAnsi="Calibri" w:cs="Calibri"/>
          <w:sz w:val="22"/>
          <w:szCs w:val="22"/>
        </w:rPr>
        <w:t xml:space="preserve">the agreement. What the nature of the relationship would be and what type of language </w:t>
      </w:r>
      <w:r w:rsidR="004D6A28">
        <w:rPr>
          <w:rFonts w:ascii="Calibri" w:hAnsi="Calibri" w:cs="Calibri"/>
          <w:sz w:val="22"/>
          <w:szCs w:val="22"/>
        </w:rPr>
        <w:t>has been used are the two main contributory factors when determining the intentions</w:t>
      </w:r>
      <w:r w:rsidR="0022630D">
        <w:rPr>
          <w:rFonts w:ascii="Calibri" w:hAnsi="Calibri" w:cs="Calibri"/>
          <w:sz w:val="22"/>
          <w:szCs w:val="22"/>
        </w:rPr>
        <w:t xml:space="preserve">, another factor that would be looked at is </w:t>
      </w:r>
      <w:r w:rsidR="00E4054E">
        <w:rPr>
          <w:rFonts w:ascii="Calibri" w:hAnsi="Calibri" w:cs="Calibri"/>
          <w:sz w:val="22"/>
          <w:szCs w:val="22"/>
        </w:rPr>
        <w:t>the conduct in which both parties have presented themselves, with a clear intention of what they want to achieve (</w:t>
      </w:r>
      <w:r w:rsidR="00926F56">
        <w:rPr>
          <w:rFonts w:ascii="Calibri" w:hAnsi="Calibri" w:cs="Calibri"/>
          <w:sz w:val="22"/>
          <w:szCs w:val="22"/>
        </w:rPr>
        <w:t>Davies, P. 2021)</w:t>
      </w:r>
      <w:r w:rsidR="00872E13">
        <w:rPr>
          <w:rFonts w:ascii="Calibri" w:hAnsi="Calibri" w:cs="Calibri"/>
          <w:sz w:val="22"/>
          <w:szCs w:val="22"/>
        </w:rPr>
        <w:t>.</w:t>
      </w:r>
    </w:p>
    <w:p w14:paraId="287F0DCB" w14:textId="77777777" w:rsidR="00872E13" w:rsidRDefault="00872E13" w:rsidP="009D4480">
      <w:pPr>
        <w:rPr>
          <w:rFonts w:ascii="Calibri" w:hAnsi="Calibri" w:cs="Calibri"/>
          <w:sz w:val="22"/>
          <w:szCs w:val="22"/>
        </w:rPr>
      </w:pPr>
    </w:p>
    <w:p w14:paraId="30EC783E" w14:textId="4C3D4BA8" w:rsidR="00872E13" w:rsidRPr="00892292" w:rsidRDefault="00872E13" w:rsidP="009D4480">
      <w:pPr>
        <w:rPr>
          <w:rFonts w:ascii="Calibri" w:hAnsi="Calibri" w:cs="Calibri"/>
          <w:sz w:val="22"/>
          <w:szCs w:val="22"/>
        </w:rPr>
      </w:pPr>
      <w:r>
        <w:rPr>
          <w:rFonts w:ascii="Calibri" w:hAnsi="Calibri" w:cs="Calibri"/>
          <w:sz w:val="22"/>
          <w:szCs w:val="22"/>
        </w:rPr>
        <w:t xml:space="preserve">Certainty of terms refers to </w:t>
      </w:r>
      <w:r w:rsidR="00E91018">
        <w:rPr>
          <w:rFonts w:ascii="Calibri" w:hAnsi="Calibri" w:cs="Calibri"/>
          <w:sz w:val="22"/>
          <w:szCs w:val="22"/>
        </w:rPr>
        <w:t xml:space="preserve">the clarity and precision of any terms and conditions outlined within a contractual agreement. All parties involved must be able to interpret and </w:t>
      </w:r>
      <w:r w:rsidR="000E47E0">
        <w:rPr>
          <w:rFonts w:ascii="Calibri" w:hAnsi="Calibri" w:cs="Calibri"/>
          <w:sz w:val="22"/>
          <w:szCs w:val="22"/>
        </w:rPr>
        <w:t>understand</w:t>
      </w:r>
      <w:r w:rsidR="00E91018">
        <w:rPr>
          <w:rFonts w:ascii="Calibri" w:hAnsi="Calibri" w:cs="Calibri"/>
          <w:sz w:val="22"/>
          <w:szCs w:val="22"/>
        </w:rPr>
        <w:t xml:space="preserve"> anything </w:t>
      </w:r>
      <w:r w:rsidR="000E47E0">
        <w:rPr>
          <w:rFonts w:ascii="Calibri" w:hAnsi="Calibri" w:cs="Calibri"/>
          <w:sz w:val="22"/>
          <w:szCs w:val="22"/>
        </w:rPr>
        <w:t>that</w:t>
      </w:r>
      <w:r w:rsidR="00E91018">
        <w:rPr>
          <w:rFonts w:ascii="Calibri" w:hAnsi="Calibri" w:cs="Calibri"/>
          <w:sz w:val="22"/>
          <w:szCs w:val="22"/>
        </w:rPr>
        <w:t xml:space="preserve"> is written </w:t>
      </w:r>
      <w:r w:rsidR="000E47E0">
        <w:rPr>
          <w:rFonts w:ascii="Calibri" w:hAnsi="Calibri" w:cs="Calibri"/>
          <w:sz w:val="22"/>
          <w:szCs w:val="22"/>
        </w:rPr>
        <w:t xml:space="preserve">within the terms of the contract. </w:t>
      </w:r>
      <w:r w:rsidR="00953518">
        <w:rPr>
          <w:rFonts w:ascii="Calibri" w:hAnsi="Calibri" w:cs="Calibri"/>
          <w:sz w:val="22"/>
          <w:szCs w:val="22"/>
        </w:rPr>
        <w:t xml:space="preserve">A contract should be </w:t>
      </w:r>
      <w:r w:rsidR="00D56194">
        <w:rPr>
          <w:rFonts w:ascii="Calibri" w:hAnsi="Calibri" w:cs="Calibri"/>
          <w:sz w:val="22"/>
          <w:szCs w:val="22"/>
        </w:rPr>
        <w:t>a complete and final agreement, leaving no room for misinterpretation or ambiguity</w:t>
      </w:r>
      <w:r w:rsidR="003235C5">
        <w:rPr>
          <w:rFonts w:ascii="Calibri" w:hAnsi="Calibri" w:cs="Calibri"/>
          <w:sz w:val="22"/>
          <w:szCs w:val="22"/>
        </w:rPr>
        <w:t xml:space="preserve"> (Halsbury</w:t>
      </w:r>
      <w:r w:rsidR="0016420D">
        <w:rPr>
          <w:rFonts w:ascii="Calibri" w:hAnsi="Calibri" w:cs="Calibri"/>
          <w:sz w:val="22"/>
          <w:szCs w:val="22"/>
        </w:rPr>
        <w:t>, 2019)</w:t>
      </w:r>
      <w:r w:rsidR="00D56194">
        <w:rPr>
          <w:rFonts w:ascii="Calibri" w:hAnsi="Calibri" w:cs="Calibri"/>
          <w:sz w:val="22"/>
          <w:szCs w:val="22"/>
        </w:rPr>
        <w:t>.</w:t>
      </w:r>
      <w:r w:rsidR="0016420D">
        <w:rPr>
          <w:rFonts w:ascii="Calibri" w:hAnsi="Calibri" w:cs="Calibri"/>
          <w:sz w:val="22"/>
          <w:szCs w:val="22"/>
        </w:rPr>
        <w:t xml:space="preserve"> </w:t>
      </w:r>
      <w:r w:rsidR="00D56194">
        <w:rPr>
          <w:rFonts w:ascii="Calibri" w:hAnsi="Calibri" w:cs="Calibri"/>
          <w:sz w:val="22"/>
          <w:szCs w:val="22"/>
        </w:rPr>
        <w:t xml:space="preserve"> </w:t>
      </w:r>
    </w:p>
    <w:p w14:paraId="5FF591EF" w14:textId="77777777" w:rsidR="009D4480" w:rsidRDefault="009D4480" w:rsidP="009D4480">
      <w:pPr>
        <w:rPr>
          <w:rFonts w:ascii="Calibri" w:hAnsi="Calibri" w:cs="Calibri"/>
          <w:sz w:val="22"/>
          <w:szCs w:val="22"/>
        </w:rPr>
      </w:pPr>
    </w:p>
    <w:p w14:paraId="4E07F56B" w14:textId="117F42E1" w:rsidR="00F165EE" w:rsidRPr="00F165EE" w:rsidRDefault="00F165EE" w:rsidP="00F165EE">
      <w:pPr>
        <w:rPr>
          <w:rFonts w:ascii="Calibri" w:hAnsi="Calibri" w:cs="Calibri"/>
          <w:sz w:val="22"/>
          <w:szCs w:val="22"/>
        </w:rPr>
      </w:pPr>
      <w:r w:rsidRPr="00F165EE">
        <w:rPr>
          <w:rFonts w:ascii="Calibri" w:hAnsi="Calibri" w:cs="Calibri"/>
          <w:sz w:val="22"/>
          <w:szCs w:val="22"/>
        </w:rPr>
        <w:t xml:space="preserve">Consideration is a crucial element in creating a legally binding contract. It ensures that both parties have a genuine intention to enter into the agreement, consideration refers to the price given, or the promise made in exchange for good services or actions. For example, offering assets, land or property as ‘gifts’ would not be considered valid consideration (Kati, E. </w:t>
      </w:r>
      <w:r w:rsidRPr="00F165EE">
        <w:rPr>
          <w:rFonts w:ascii="Calibri" w:hAnsi="Calibri" w:cs="Calibri"/>
          <w:i/>
          <w:iCs/>
          <w:sz w:val="22"/>
          <w:szCs w:val="22"/>
        </w:rPr>
        <w:t xml:space="preserve">(A) </w:t>
      </w:r>
      <w:r w:rsidRPr="00F165EE">
        <w:rPr>
          <w:rFonts w:ascii="Calibri" w:hAnsi="Calibri" w:cs="Calibri"/>
          <w:sz w:val="22"/>
          <w:szCs w:val="22"/>
        </w:rPr>
        <w:t xml:space="preserve">2022. Consideration exceeds monetary value and can include practical benefits or detriments. However, it must always be legal and not partake in illegal </w:t>
      </w:r>
      <w:r w:rsidR="00FB7C74" w:rsidRPr="00F165EE">
        <w:rPr>
          <w:rFonts w:ascii="Calibri" w:hAnsi="Calibri" w:cs="Calibri"/>
          <w:sz w:val="22"/>
          <w:szCs w:val="22"/>
        </w:rPr>
        <w:t>activities</w:t>
      </w:r>
      <w:r w:rsidRPr="00F165EE">
        <w:rPr>
          <w:rFonts w:ascii="Calibri" w:hAnsi="Calibri" w:cs="Calibri"/>
          <w:sz w:val="22"/>
          <w:szCs w:val="22"/>
        </w:rPr>
        <w:t>. Determining the validity of consideration includes a range of different factors. Firstly, the consideration must have some value, whether it is a practical benefit or a detriment to one of the parties. Secondly, it must be something that is legally permissible and doesn’t involve illegalities. Thirdly, the consideration should be something that the parties have agreed upon and is deemed mutually beneficial. These factors help ensure that the consideration is valid and meets the requirements outlined (</w:t>
      </w:r>
      <w:proofErr w:type="spellStart"/>
      <w:r w:rsidRPr="00F165EE">
        <w:rPr>
          <w:rFonts w:ascii="Calibri" w:hAnsi="Calibri" w:cs="Calibri"/>
          <w:sz w:val="22"/>
          <w:szCs w:val="22"/>
        </w:rPr>
        <w:t>LawBite</w:t>
      </w:r>
      <w:proofErr w:type="spellEnd"/>
      <w:r w:rsidRPr="00F165EE">
        <w:rPr>
          <w:rFonts w:ascii="Calibri" w:hAnsi="Calibri" w:cs="Calibri"/>
          <w:sz w:val="22"/>
          <w:szCs w:val="22"/>
        </w:rPr>
        <w:t xml:space="preserve">, 2024). The key case that defined consideration in contract law is Currie v Misa [1875] which states that contracts must consist of a right, interest, benefit, detriment, or forbearance. </w:t>
      </w:r>
    </w:p>
    <w:p w14:paraId="026DEC1E" w14:textId="77777777" w:rsidR="00F165EE" w:rsidRPr="006F78BD" w:rsidRDefault="00F165EE" w:rsidP="009D4480">
      <w:pPr>
        <w:rPr>
          <w:rFonts w:ascii="Calibri" w:hAnsi="Calibri" w:cs="Calibri"/>
          <w:sz w:val="22"/>
          <w:szCs w:val="22"/>
        </w:rPr>
      </w:pPr>
    </w:p>
    <w:p w14:paraId="4D845C4D" w14:textId="1A40D28A" w:rsidR="009D4480" w:rsidRPr="009D4480" w:rsidRDefault="009165FC" w:rsidP="009D4480">
      <w:pPr>
        <w:rPr>
          <w:rFonts w:ascii="Calibri" w:hAnsi="Calibri" w:cs="Calibri"/>
          <w:sz w:val="22"/>
          <w:szCs w:val="22"/>
        </w:rPr>
      </w:pPr>
      <w:r>
        <w:rPr>
          <w:rFonts w:ascii="Calibri" w:hAnsi="Calibri" w:cs="Calibri"/>
          <w:sz w:val="22"/>
          <w:szCs w:val="22"/>
        </w:rPr>
        <w:t xml:space="preserve">There are </w:t>
      </w:r>
      <w:r w:rsidR="00170887">
        <w:rPr>
          <w:rFonts w:ascii="Calibri" w:hAnsi="Calibri" w:cs="Calibri"/>
          <w:sz w:val="22"/>
          <w:szCs w:val="22"/>
        </w:rPr>
        <w:t xml:space="preserve">two main types of consideration </w:t>
      </w:r>
      <w:r w:rsidR="007326B1">
        <w:rPr>
          <w:rFonts w:ascii="Calibri" w:hAnsi="Calibri" w:cs="Calibri"/>
          <w:sz w:val="22"/>
          <w:szCs w:val="22"/>
        </w:rPr>
        <w:t>‘Executory and Executed’</w:t>
      </w:r>
      <w:r w:rsidR="003D7F9F">
        <w:rPr>
          <w:rFonts w:ascii="Calibri" w:hAnsi="Calibri" w:cs="Calibri"/>
          <w:sz w:val="22"/>
          <w:szCs w:val="22"/>
        </w:rPr>
        <w:t xml:space="preserve">. Executory consideration </w:t>
      </w:r>
      <w:r w:rsidR="00BF57DC">
        <w:rPr>
          <w:rFonts w:ascii="Calibri" w:hAnsi="Calibri" w:cs="Calibri"/>
          <w:sz w:val="22"/>
          <w:szCs w:val="22"/>
        </w:rPr>
        <w:t xml:space="preserve">consists of a promise </w:t>
      </w:r>
      <w:r w:rsidR="00130DF9">
        <w:rPr>
          <w:rFonts w:ascii="Calibri" w:hAnsi="Calibri" w:cs="Calibri"/>
          <w:sz w:val="22"/>
          <w:szCs w:val="22"/>
        </w:rPr>
        <w:t>made in exchange of another promise</w:t>
      </w:r>
      <w:r w:rsidR="00754B39">
        <w:rPr>
          <w:rFonts w:ascii="Calibri" w:hAnsi="Calibri" w:cs="Calibri"/>
          <w:sz w:val="22"/>
          <w:szCs w:val="22"/>
        </w:rPr>
        <w:t>, where both promises</w:t>
      </w:r>
      <w:r w:rsidR="00BD21E7">
        <w:rPr>
          <w:rFonts w:ascii="Calibri" w:hAnsi="Calibri" w:cs="Calibri"/>
          <w:sz w:val="22"/>
          <w:szCs w:val="22"/>
        </w:rPr>
        <w:t xml:space="preserve"> are still to be performed. An example of this would be a contract between </w:t>
      </w:r>
      <w:r w:rsidR="009A4838">
        <w:rPr>
          <w:rFonts w:ascii="Calibri" w:hAnsi="Calibri" w:cs="Calibri"/>
          <w:sz w:val="22"/>
          <w:szCs w:val="22"/>
        </w:rPr>
        <w:t>a buyer and seller for the future delivery of a car acquired on credit (</w:t>
      </w:r>
      <w:r w:rsidR="00254C25">
        <w:rPr>
          <w:rFonts w:ascii="Calibri" w:hAnsi="Calibri" w:cs="Calibri"/>
          <w:sz w:val="22"/>
          <w:szCs w:val="22"/>
        </w:rPr>
        <w:t xml:space="preserve">CILEx, 2018). Executed consideration is something that occurs when one of two parties </w:t>
      </w:r>
      <w:r w:rsidR="00CC72F4">
        <w:rPr>
          <w:rFonts w:ascii="Calibri" w:hAnsi="Calibri" w:cs="Calibri"/>
          <w:sz w:val="22"/>
          <w:szCs w:val="22"/>
        </w:rPr>
        <w:t xml:space="preserve">has accomplished all that they were required to do. </w:t>
      </w:r>
      <w:r w:rsidR="00453939">
        <w:rPr>
          <w:rFonts w:ascii="Calibri" w:hAnsi="Calibri" w:cs="Calibri"/>
          <w:sz w:val="22"/>
          <w:szCs w:val="22"/>
        </w:rPr>
        <w:t>Thus,</w:t>
      </w:r>
      <w:r w:rsidR="00CC72F4">
        <w:rPr>
          <w:rFonts w:ascii="Calibri" w:hAnsi="Calibri" w:cs="Calibri"/>
          <w:sz w:val="22"/>
          <w:szCs w:val="22"/>
        </w:rPr>
        <w:t xml:space="preserve"> by completing everything they have been required to do they leave any outstanding responsibility and liability to the other party. An example of this </w:t>
      </w:r>
      <w:r w:rsidR="00453939">
        <w:rPr>
          <w:rFonts w:ascii="Calibri" w:hAnsi="Calibri" w:cs="Calibri"/>
          <w:sz w:val="22"/>
          <w:szCs w:val="22"/>
        </w:rPr>
        <w:t xml:space="preserve">is when a promise of a reward is issued for </w:t>
      </w:r>
      <w:r w:rsidR="00ED6FD5">
        <w:rPr>
          <w:rFonts w:ascii="Calibri" w:hAnsi="Calibri" w:cs="Calibri"/>
          <w:sz w:val="22"/>
          <w:szCs w:val="22"/>
        </w:rPr>
        <w:t>things such as ‘lost property’ has been returned then one party have fulfilled their obligations</w:t>
      </w:r>
      <w:r w:rsidR="00C935EE">
        <w:rPr>
          <w:rFonts w:ascii="Calibri" w:hAnsi="Calibri" w:cs="Calibri"/>
          <w:sz w:val="22"/>
          <w:szCs w:val="22"/>
        </w:rPr>
        <w:t xml:space="preserve"> meaning they have executed their consideration</w:t>
      </w:r>
      <w:r w:rsidR="00ED6FD5">
        <w:rPr>
          <w:rFonts w:ascii="Calibri" w:hAnsi="Calibri" w:cs="Calibri"/>
          <w:sz w:val="22"/>
          <w:szCs w:val="22"/>
        </w:rPr>
        <w:t xml:space="preserve">, it is then down to the second party </w:t>
      </w:r>
      <w:r w:rsidR="00C935EE">
        <w:rPr>
          <w:rFonts w:ascii="Calibri" w:hAnsi="Calibri" w:cs="Calibri"/>
          <w:sz w:val="22"/>
          <w:szCs w:val="22"/>
        </w:rPr>
        <w:t xml:space="preserve">to complete their </w:t>
      </w:r>
      <w:r w:rsidR="00DB1F6A">
        <w:rPr>
          <w:rFonts w:ascii="Calibri" w:hAnsi="Calibri" w:cs="Calibri"/>
          <w:sz w:val="22"/>
          <w:szCs w:val="22"/>
        </w:rPr>
        <w:t xml:space="preserve">consideration of a reward. </w:t>
      </w:r>
    </w:p>
    <w:p w14:paraId="29C6D1B4" w14:textId="77777777" w:rsidR="00DB1F6A" w:rsidRDefault="00DB1F6A" w:rsidP="0022377A">
      <w:pPr>
        <w:rPr>
          <w:rFonts w:ascii="Calibri" w:hAnsi="Calibri" w:cs="Calibri"/>
          <w:sz w:val="22"/>
          <w:szCs w:val="22"/>
        </w:rPr>
      </w:pPr>
    </w:p>
    <w:p w14:paraId="6DFB98FC" w14:textId="249126EF" w:rsidR="00DB1F6A" w:rsidRDefault="009D4480" w:rsidP="0022377A">
      <w:pPr>
        <w:rPr>
          <w:rFonts w:ascii="Calibri" w:hAnsi="Calibri" w:cs="Calibri"/>
          <w:sz w:val="22"/>
          <w:szCs w:val="22"/>
        </w:rPr>
      </w:pPr>
      <w:r w:rsidRPr="009D4480">
        <w:rPr>
          <w:rFonts w:ascii="Calibri" w:hAnsi="Calibri" w:cs="Calibri"/>
          <w:sz w:val="22"/>
          <w:szCs w:val="22"/>
        </w:rPr>
        <w:t>Promissory Estoppel is the doctrine that prevents a party from acting a certain way, because the first party promised not to, and the second party relied on that promise and acted upon it. In English Law a promise made without consideration is generally not enforceable</w:t>
      </w:r>
      <w:r w:rsidR="00280890">
        <w:rPr>
          <w:rFonts w:ascii="Calibri" w:hAnsi="Calibri" w:cs="Calibri"/>
          <w:sz w:val="22"/>
          <w:szCs w:val="22"/>
        </w:rPr>
        <w:t xml:space="preserve"> </w:t>
      </w:r>
      <w:r w:rsidR="00324802">
        <w:rPr>
          <w:rFonts w:ascii="Calibri" w:hAnsi="Calibri" w:cs="Calibri"/>
          <w:sz w:val="22"/>
          <w:szCs w:val="22"/>
        </w:rPr>
        <w:t>(</w:t>
      </w:r>
      <w:r w:rsidR="003A41F0">
        <w:rPr>
          <w:rFonts w:ascii="Calibri" w:hAnsi="Calibri" w:cs="Calibri"/>
          <w:sz w:val="22"/>
          <w:szCs w:val="22"/>
        </w:rPr>
        <w:t>Hall Ellis, 2024)</w:t>
      </w:r>
      <w:r w:rsidRPr="009D4480">
        <w:rPr>
          <w:rFonts w:ascii="Calibri" w:hAnsi="Calibri" w:cs="Calibri"/>
          <w:sz w:val="22"/>
          <w:szCs w:val="22"/>
        </w:rPr>
        <w:t xml:space="preserve">. </w:t>
      </w:r>
      <w:r w:rsidR="000B6309">
        <w:rPr>
          <w:rFonts w:ascii="Calibri" w:hAnsi="Calibri" w:cs="Calibri"/>
          <w:sz w:val="22"/>
          <w:szCs w:val="22"/>
        </w:rPr>
        <w:t xml:space="preserve">Looking at the case of </w:t>
      </w:r>
      <w:r w:rsidR="000B6309" w:rsidRPr="000B6309">
        <w:rPr>
          <w:rFonts w:ascii="Calibri" w:hAnsi="Calibri" w:cs="Calibri"/>
          <w:sz w:val="22"/>
          <w:szCs w:val="22"/>
          <w:shd w:val="clear" w:color="auto" w:fill="FFFFFF"/>
        </w:rPr>
        <w:t>Central London Property Trust L</w:t>
      </w:r>
      <w:r w:rsidR="000B6309">
        <w:rPr>
          <w:rFonts w:ascii="Calibri" w:hAnsi="Calibri" w:cs="Calibri"/>
          <w:sz w:val="22"/>
          <w:szCs w:val="22"/>
          <w:shd w:val="clear" w:color="auto" w:fill="FFFFFF"/>
        </w:rPr>
        <w:t>T</w:t>
      </w:r>
      <w:r w:rsidR="000B6309" w:rsidRPr="000B6309">
        <w:rPr>
          <w:rFonts w:ascii="Calibri" w:hAnsi="Calibri" w:cs="Calibri"/>
          <w:sz w:val="22"/>
          <w:szCs w:val="22"/>
          <w:shd w:val="clear" w:color="auto" w:fill="FFFFFF"/>
        </w:rPr>
        <w:t>D v High Trees House L</w:t>
      </w:r>
      <w:r w:rsidR="000B6309">
        <w:rPr>
          <w:rFonts w:ascii="Calibri" w:hAnsi="Calibri" w:cs="Calibri"/>
          <w:sz w:val="22"/>
          <w:szCs w:val="22"/>
          <w:shd w:val="clear" w:color="auto" w:fill="FFFFFF"/>
        </w:rPr>
        <w:t>T</w:t>
      </w:r>
      <w:r w:rsidR="000B6309" w:rsidRPr="000B6309">
        <w:rPr>
          <w:rFonts w:ascii="Calibri" w:hAnsi="Calibri" w:cs="Calibri"/>
          <w:sz w:val="22"/>
          <w:szCs w:val="22"/>
          <w:shd w:val="clear" w:color="auto" w:fill="FFFFFF"/>
        </w:rPr>
        <w:t>D</w:t>
      </w:r>
      <w:r w:rsidR="000B6309">
        <w:rPr>
          <w:rFonts w:ascii="Calibri" w:hAnsi="Calibri" w:cs="Calibri"/>
          <w:sz w:val="22"/>
          <w:szCs w:val="22"/>
          <w:shd w:val="clear" w:color="auto" w:fill="FFFFFF"/>
        </w:rPr>
        <w:t xml:space="preserve"> [1947] </w:t>
      </w:r>
      <w:r w:rsidR="00C055E3">
        <w:rPr>
          <w:rFonts w:ascii="Calibri" w:hAnsi="Calibri" w:cs="Calibri"/>
          <w:sz w:val="22"/>
          <w:szCs w:val="22"/>
          <w:shd w:val="clear" w:color="auto" w:fill="FFFFFF"/>
        </w:rPr>
        <w:t xml:space="preserve">it cements the facts that a party cannot go back on a promise made </w:t>
      </w:r>
      <w:r w:rsidR="006A0B0D">
        <w:rPr>
          <w:rFonts w:ascii="Calibri" w:hAnsi="Calibri" w:cs="Calibri"/>
          <w:sz w:val="22"/>
          <w:szCs w:val="22"/>
          <w:shd w:val="clear" w:color="auto" w:fill="FFFFFF"/>
        </w:rPr>
        <w:t xml:space="preserve">especially if the other party had been reliant on that, by agreeing to rent flats for a reduced rate they were unable to raise the rent once the </w:t>
      </w:r>
      <w:r w:rsidR="0011011A">
        <w:rPr>
          <w:rFonts w:ascii="Calibri" w:hAnsi="Calibri" w:cs="Calibri"/>
          <w:sz w:val="22"/>
          <w:szCs w:val="22"/>
          <w:shd w:val="clear" w:color="auto" w:fill="FFFFFF"/>
        </w:rPr>
        <w:t xml:space="preserve">flats had reached full capacity. </w:t>
      </w:r>
      <w:r w:rsidR="000A248B">
        <w:rPr>
          <w:rFonts w:ascii="Calibri" w:hAnsi="Calibri" w:cs="Calibri"/>
          <w:sz w:val="22"/>
          <w:szCs w:val="22"/>
        </w:rPr>
        <w:t>On the other hand, t</w:t>
      </w:r>
      <w:r w:rsidR="002E2B21">
        <w:rPr>
          <w:rFonts w:ascii="Calibri" w:hAnsi="Calibri" w:cs="Calibri"/>
          <w:sz w:val="22"/>
          <w:szCs w:val="22"/>
        </w:rPr>
        <w:t xml:space="preserve">he case of Combe v Combe [1951] establishes that promissory </w:t>
      </w:r>
      <w:r w:rsidR="004C0553">
        <w:rPr>
          <w:rFonts w:ascii="Calibri" w:hAnsi="Calibri" w:cs="Calibri"/>
          <w:sz w:val="22"/>
          <w:szCs w:val="22"/>
        </w:rPr>
        <w:t>estopple</w:t>
      </w:r>
      <w:r w:rsidR="002E2B21">
        <w:rPr>
          <w:rFonts w:ascii="Calibri" w:hAnsi="Calibri" w:cs="Calibri"/>
          <w:sz w:val="22"/>
          <w:szCs w:val="22"/>
        </w:rPr>
        <w:t xml:space="preserve"> </w:t>
      </w:r>
      <w:r w:rsidR="004C0553">
        <w:rPr>
          <w:rFonts w:ascii="Calibri" w:hAnsi="Calibri" w:cs="Calibri"/>
          <w:sz w:val="22"/>
          <w:szCs w:val="22"/>
        </w:rPr>
        <w:t xml:space="preserve">and consideration must be together in order to bring a claim against the other party. </w:t>
      </w:r>
    </w:p>
    <w:p w14:paraId="1AC40CF7" w14:textId="77777777" w:rsidR="00A6672B" w:rsidRDefault="00A6672B" w:rsidP="0022377A">
      <w:pPr>
        <w:rPr>
          <w:rFonts w:ascii="Calibri" w:hAnsi="Calibri" w:cs="Calibri"/>
          <w:sz w:val="22"/>
          <w:szCs w:val="22"/>
        </w:rPr>
      </w:pPr>
    </w:p>
    <w:p w14:paraId="0D46D637" w14:textId="77777777" w:rsidR="00A6672B" w:rsidRDefault="00A6672B" w:rsidP="00A6672B">
      <w:pPr>
        <w:rPr>
          <w:rFonts w:ascii="Calibri" w:hAnsi="Calibri" w:cs="Calibri"/>
          <w:sz w:val="22"/>
          <w:szCs w:val="22"/>
          <w:lang w:val="en-US"/>
        </w:rPr>
      </w:pPr>
    </w:p>
    <w:p w14:paraId="0F719784" w14:textId="6DB67F84" w:rsidR="00A6672B" w:rsidRDefault="00A6672B" w:rsidP="00A6672B">
      <w:pPr>
        <w:rPr>
          <w:rFonts w:ascii="Calibri" w:hAnsi="Calibri" w:cs="Calibri"/>
          <w:sz w:val="22"/>
          <w:szCs w:val="22"/>
          <w:lang w:val="en-US"/>
        </w:rPr>
      </w:pPr>
      <w:r w:rsidRPr="00A6672B">
        <w:rPr>
          <w:rFonts w:ascii="Calibri" w:hAnsi="Calibri" w:cs="Calibri"/>
          <w:sz w:val="22"/>
          <w:szCs w:val="22"/>
          <w:lang w:val="en-US"/>
        </w:rPr>
        <w:lastRenderedPageBreak/>
        <w:t xml:space="preserve">A legal contract requires that each party must provide consideration, meaning that both parties must bring something of value to the other in order to create a legal and binding contract. </w:t>
      </w:r>
      <w:r w:rsidRPr="00A6672B">
        <w:rPr>
          <w:rFonts w:ascii="Calibri" w:hAnsi="Calibri" w:cs="Calibri"/>
          <w:sz w:val="22"/>
          <w:szCs w:val="22"/>
          <w:shd w:val="clear" w:color="auto" w:fill="FFFFFF"/>
        </w:rPr>
        <w:t xml:space="preserve">In the case of Chappell &amp; Co vs Nestle Co Ltd [1960] states that a ‘peppercorn’ is a metaphor used when a very small cash payment or other nominal consideration is used to satisfy the legal requirements when forming a contract. </w:t>
      </w:r>
      <w:r w:rsidRPr="00A6672B">
        <w:rPr>
          <w:rFonts w:ascii="Calibri" w:hAnsi="Calibri" w:cs="Calibri"/>
          <w:sz w:val="22"/>
          <w:szCs w:val="22"/>
          <w:lang w:val="en-US"/>
        </w:rPr>
        <w:t>Lord Somerville stated ‘</w:t>
      </w:r>
      <w:r w:rsidRPr="00A6672B">
        <w:rPr>
          <w:rFonts w:ascii="Calibri" w:hAnsi="Calibri" w:cs="Calibri"/>
          <w:sz w:val="22"/>
          <w:szCs w:val="22"/>
          <w:shd w:val="clear" w:color="auto" w:fill="FFFFFF"/>
        </w:rPr>
        <w:t xml:space="preserve">A contracting party can stipulate what consideration he chooses. A peppercorn does not cease to be good consideration if it is established that the </w:t>
      </w:r>
      <w:proofErr w:type="spellStart"/>
      <w:r w:rsidRPr="00A6672B">
        <w:rPr>
          <w:rFonts w:ascii="Calibri" w:hAnsi="Calibri" w:cs="Calibri"/>
          <w:sz w:val="22"/>
          <w:szCs w:val="22"/>
          <w:shd w:val="clear" w:color="auto" w:fill="FFFFFF"/>
        </w:rPr>
        <w:t>promisee</w:t>
      </w:r>
      <w:proofErr w:type="spellEnd"/>
      <w:r w:rsidRPr="00A6672B">
        <w:rPr>
          <w:rFonts w:ascii="Calibri" w:hAnsi="Calibri" w:cs="Calibri"/>
          <w:sz w:val="22"/>
          <w:szCs w:val="22"/>
          <w:shd w:val="clear" w:color="auto" w:fill="FFFFFF"/>
        </w:rPr>
        <w:t xml:space="preserve"> does not like pepper and will throw away the corn.’ </w:t>
      </w:r>
      <w:r w:rsidRPr="00A6672B">
        <w:rPr>
          <w:rFonts w:ascii="Calibri" w:hAnsi="Calibri" w:cs="Calibri"/>
          <w:sz w:val="22"/>
          <w:szCs w:val="22"/>
          <w:lang w:val="en-US"/>
        </w:rPr>
        <w:t xml:space="preserve">For there to be consideration there must be detriment to both parties and the exchange of goods must have a value (Encyclopedia, 2024). </w:t>
      </w:r>
    </w:p>
    <w:p w14:paraId="73188AC6" w14:textId="77777777" w:rsidR="00A6672B" w:rsidRPr="00A6672B" w:rsidRDefault="00A6672B" w:rsidP="00A6672B">
      <w:pPr>
        <w:rPr>
          <w:rFonts w:ascii="Calibri" w:hAnsi="Calibri" w:cs="Calibri"/>
          <w:sz w:val="22"/>
          <w:szCs w:val="22"/>
          <w:lang w:val="en-US"/>
        </w:rPr>
      </w:pPr>
    </w:p>
    <w:p w14:paraId="13CE6E09" w14:textId="77777777" w:rsidR="00A6672B" w:rsidRPr="00A6672B" w:rsidRDefault="00A6672B" w:rsidP="00A6672B">
      <w:pPr>
        <w:rPr>
          <w:rFonts w:ascii="Calibri" w:hAnsi="Calibri" w:cs="Calibri"/>
          <w:sz w:val="22"/>
          <w:szCs w:val="22"/>
          <w:lang w:val="en-US"/>
        </w:rPr>
      </w:pPr>
      <w:r w:rsidRPr="00A6672B">
        <w:rPr>
          <w:rFonts w:ascii="Calibri" w:hAnsi="Calibri" w:cs="Calibri"/>
          <w:sz w:val="22"/>
          <w:szCs w:val="22"/>
          <w:lang w:val="en-US"/>
        </w:rPr>
        <w:t>Nominal consideration is a term defined as ‘a small or insignificant amount of money in exchange for something else’, an example of this would be if one party were to sell a vehicle for £1 this is considered nominal consideration and would satisfy the requirements for a binding contract. This method is often used when the exchange is not based on monetary value (</w:t>
      </w:r>
      <w:proofErr w:type="spellStart"/>
      <w:r w:rsidRPr="00A6672B">
        <w:rPr>
          <w:rFonts w:ascii="Calibri" w:hAnsi="Calibri" w:cs="Calibri"/>
          <w:sz w:val="22"/>
          <w:szCs w:val="22"/>
          <w:lang w:val="en-US"/>
        </w:rPr>
        <w:t>Lawbite</w:t>
      </w:r>
      <w:proofErr w:type="spellEnd"/>
      <w:r w:rsidRPr="00A6672B">
        <w:rPr>
          <w:rFonts w:ascii="Calibri" w:hAnsi="Calibri" w:cs="Calibri"/>
          <w:sz w:val="22"/>
          <w:szCs w:val="22"/>
          <w:lang w:val="en-US"/>
        </w:rPr>
        <w:t xml:space="preserve">, 2024). </w:t>
      </w:r>
    </w:p>
    <w:p w14:paraId="3DE266E6" w14:textId="77777777" w:rsidR="00A6672B" w:rsidRDefault="00A6672B" w:rsidP="00A6672B">
      <w:pPr>
        <w:rPr>
          <w:rFonts w:ascii="Calibri" w:hAnsi="Calibri" w:cs="Calibri"/>
          <w:sz w:val="22"/>
          <w:szCs w:val="22"/>
          <w:lang w:val="en-US"/>
        </w:rPr>
      </w:pPr>
    </w:p>
    <w:p w14:paraId="716002E4" w14:textId="0F90B7A8" w:rsidR="00A6672B" w:rsidRPr="00A6672B" w:rsidRDefault="00A6672B" w:rsidP="00A6672B">
      <w:pPr>
        <w:rPr>
          <w:rFonts w:ascii="Calibri" w:hAnsi="Calibri" w:cs="Calibri"/>
          <w:sz w:val="22"/>
          <w:szCs w:val="22"/>
          <w:lang w:val="en-US"/>
        </w:rPr>
      </w:pPr>
      <w:r w:rsidRPr="00A6672B">
        <w:rPr>
          <w:rFonts w:ascii="Calibri" w:hAnsi="Calibri" w:cs="Calibri"/>
          <w:sz w:val="22"/>
          <w:szCs w:val="22"/>
          <w:lang w:val="en-US"/>
        </w:rPr>
        <w:t>This theory is more commonly applied when dealing with properties or those of similar value, also referred to as ‘peppercorn rent’. It refers to the nominal rental sum regarding properties, land or buildings. Where a rental contract is put into place the landlord or owner must charge a small sum know as ‘peppercorn rent’ if they desire to ‘rent’ out the property, in order for consideration to exist between both parties (Clarke, D. 2006).</w:t>
      </w:r>
    </w:p>
    <w:p w14:paraId="53EA3F53" w14:textId="77777777" w:rsidR="00A6672B" w:rsidRDefault="00A6672B" w:rsidP="00A6672B">
      <w:pPr>
        <w:rPr>
          <w:rFonts w:ascii="Calibri" w:hAnsi="Calibri" w:cs="Calibri"/>
          <w:sz w:val="22"/>
          <w:szCs w:val="22"/>
          <w:lang w:val="en-US"/>
        </w:rPr>
      </w:pPr>
    </w:p>
    <w:p w14:paraId="604B8B9E" w14:textId="18919B7E" w:rsidR="00A6672B" w:rsidRPr="00A6672B" w:rsidRDefault="00A6672B" w:rsidP="00A6672B">
      <w:pPr>
        <w:rPr>
          <w:rFonts w:ascii="Calibri" w:hAnsi="Calibri" w:cs="Calibri"/>
          <w:sz w:val="22"/>
          <w:szCs w:val="22"/>
          <w:lang w:val="en-US"/>
        </w:rPr>
      </w:pPr>
      <w:r w:rsidRPr="00A6672B">
        <w:rPr>
          <w:rFonts w:ascii="Calibri" w:hAnsi="Calibri" w:cs="Calibri"/>
          <w:sz w:val="22"/>
          <w:szCs w:val="22"/>
          <w:lang w:val="en-US"/>
        </w:rPr>
        <w:t xml:space="preserve">One of the key positive arguments regarding this method allows for flexibility in contract formation. It allows parties to enter a contract with another regardless of the value they can offer. Thus, allowing a legal and binding contract to take place, even if one party has significantly less to offer than the other. There is no requirement to state exactly what one must bring ‘to the table’. This method allows fairness and equality amongst the parties. Another key aspect is that the rule of consideration must be ‘sufficient but need not be adequate’. This stipulates that the parties must provide something of value that the courts can see. The courts are not generally interested in whether this is full market value, that is to be determined between the parties themselves. The term ‘sufficiency’ describes what the courts can see as ‘value’ which makes the agreement binding. They do not tend to intervene in such matters as long as there is a binding contract between both parties. </w:t>
      </w:r>
    </w:p>
    <w:p w14:paraId="09B231EC" w14:textId="77777777" w:rsidR="00A6672B" w:rsidRDefault="00A6672B" w:rsidP="00A6672B">
      <w:pPr>
        <w:rPr>
          <w:rFonts w:ascii="Calibri" w:hAnsi="Calibri" w:cs="Calibri"/>
          <w:sz w:val="22"/>
          <w:szCs w:val="22"/>
          <w:lang w:val="en-US"/>
        </w:rPr>
      </w:pPr>
    </w:p>
    <w:p w14:paraId="4D3821BC" w14:textId="5C8C33F5" w:rsidR="00A6672B" w:rsidRPr="00A6672B" w:rsidRDefault="00A6672B" w:rsidP="00A6672B">
      <w:pPr>
        <w:rPr>
          <w:rFonts w:ascii="Calibri" w:hAnsi="Calibri" w:cs="Calibri"/>
          <w:sz w:val="22"/>
          <w:szCs w:val="22"/>
          <w:lang w:val="en-US"/>
        </w:rPr>
      </w:pPr>
      <w:r w:rsidRPr="00A6672B">
        <w:rPr>
          <w:rFonts w:ascii="Calibri" w:hAnsi="Calibri" w:cs="Calibri"/>
          <w:sz w:val="22"/>
          <w:szCs w:val="22"/>
          <w:lang w:val="en-US"/>
        </w:rPr>
        <w:t xml:space="preserve">An argument against the ‘peppercorn’ theory is that it can be used to conceal consideration. Most used when dealing with property, where one party wishes to conceal the amount paid for a property, as house sales are deemed public record. There must be some consideration stated in the documents otherwise the contract can be deemed void through lack of consideration. </w:t>
      </w:r>
    </w:p>
    <w:p w14:paraId="11CA0D6C" w14:textId="77777777" w:rsidR="00A6672B" w:rsidRDefault="00A6672B" w:rsidP="0022377A">
      <w:pPr>
        <w:rPr>
          <w:rFonts w:ascii="Calibri" w:hAnsi="Calibri" w:cs="Calibri"/>
          <w:sz w:val="22"/>
          <w:szCs w:val="22"/>
        </w:rPr>
      </w:pPr>
    </w:p>
    <w:p w14:paraId="5D3A0FDF" w14:textId="4DDEA591" w:rsidR="00215C5C" w:rsidRDefault="0035241C">
      <w:pPr>
        <w:rPr>
          <w:rFonts w:ascii="Calibri" w:hAnsi="Calibri" w:cs="Calibri"/>
          <w:sz w:val="22"/>
          <w:szCs w:val="22"/>
        </w:rPr>
      </w:pPr>
      <w:r>
        <w:rPr>
          <w:rFonts w:ascii="Calibri" w:hAnsi="Calibri" w:cs="Calibri"/>
          <w:sz w:val="22"/>
          <w:szCs w:val="22"/>
        </w:rPr>
        <w:t xml:space="preserve">The main criticism </w:t>
      </w:r>
      <w:r w:rsidR="00470048">
        <w:rPr>
          <w:rFonts w:ascii="Calibri" w:hAnsi="Calibri" w:cs="Calibri"/>
          <w:sz w:val="22"/>
          <w:szCs w:val="22"/>
        </w:rPr>
        <w:t xml:space="preserve">surrounding consideration is that the findings of consideration merely </w:t>
      </w:r>
      <w:r w:rsidR="00731243">
        <w:rPr>
          <w:rFonts w:ascii="Calibri" w:hAnsi="Calibri" w:cs="Calibri"/>
          <w:sz w:val="22"/>
          <w:szCs w:val="22"/>
        </w:rPr>
        <w:t>signifies</w:t>
      </w:r>
      <w:r w:rsidR="00470048">
        <w:rPr>
          <w:rFonts w:ascii="Calibri" w:hAnsi="Calibri" w:cs="Calibri"/>
          <w:sz w:val="22"/>
          <w:szCs w:val="22"/>
        </w:rPr>
        <w:t xml:space="preserve"> the </w:t>
      </w:r>
      <w:r w:rsidR="00731243">
        <w:rPr>
          <w:rFonts w:ascii="Calibri" w:hAnsi="Calibri" w:cs="Calibri"/>
          <w:sz w:val="22"/>
          <w:szCs w:val="22"/>
        </w:rPr>
        <w:t>conclusion</w:t>
      </w:r>
      <w:r w:rsidR="00470048">
        <w:rPr>
          <w:rFonts w:ascii="Calibri" w:hAnsi="Calibri" w:cs="Calibri"/>
          <w:sz w:val="22"/>
          <w:szCs w:val="22"/>
        </w:rPr>
        <w:t xml:space="preserve"> </w:t>
      </w:r>
      <w:r w:rsidR="00FC24E8">
        <w:rPr>
          <w:rFonts w:ascii="Calibri" w:hAnsi="Calibri" w:cs="Calibri"/>
          <w:sz w:val="22"/>
          <w:szCs w:val="22"/>
        </w:rPr>
        <w:t xml:space="preserve">rather than explaining why a promise is enforceable. Many believe that the </w:t>
      </w:r>
      <w:r w:rsidR="00731243">
        <w:rPr>
          <w:rFonts w:ascii="Calibri" w:hAnsi="Calibri" w:cs="Calibri"/>
          <w:sz w:val="22"/>
          <w:szCs w:val="22"/>
        </w:rPr>
        <w:t xml:space="preserve">criteria for consideration can be deemed </w:t>
      </w:r>
      <w:r w:rsidR="009558C7">
        <w:rPr>
          <w:rFonts w:ascii="Calibri" w:hAnsi="Calibri" w:cs="Calibri"/>
          <w:sz w:val="22"/>
          <w:szCs w:val="22"/>
        </w:rPr>
        <w:t xml:space="preserve">quite strict and therefore should be more ‘relaxed’ when drafting legal relations. It can be beneficial in cases where the intention is evidently clear </w:t>
      </w:r>
      <w:r w:rsidR="00942D69">
        <w:rPr>
          <w:rFonts w:ascii="Calibri" w:hAnsi="Calibri" w:cs="Calibri"/>
          <w:sz w:val="22"/>
          <w:szCs w:val="22"/>
        </w:rPr>
        <w:t xml:space="preserve">of the mutual intention awaiting to be bound by terms of contract. </w:t>
      </w:r>
      <w:r w:rsidR="008E3386">
        <w:rPr>
          <w:rFonts w:ascii="Calibri" w:hAnsi="Calibri" w:cs="Calibri"/>
          <w:sz w:val="22"/>
          <w:szCs w:val="22"/>
        </w:rPr>
        <w:t xml:space="preserve">There are also suggestions to recognise more </w:t>
      </w:r>
      <w:r w:rsidR="003F2321">
        <w:rPr>
          <w:rFonts w:ascii="Calibri" w:hAnsi="Calibri" w:cs="Calibri"/>
          <w:sz w:val="22"/>
          <w:szCs w:val="22"/>
        </w:rPr>
        <w:t xml:space="preserve">ethical obligations as valid consideration </w:t>
      </w:r>
      <w:r w:rsidR="00FD5A17">
        <w:rPr>
          <w:rFonts w:ascii="Calibri" w:hAnsi="Calibri" w:cs="Calibri"/>
          <w:sz w:val="22"/>
          <w:szCs w:val="22"/>
        </w:rPr>
        <w:t xml:space="preserve">during certain circumstances. By adhering to this new </w:t>
      </w:r>
      <w:r w:rsidR="00705CFA">
        <w:rPr>
          <w:rFonts w:ascii="Calibri" w:hAnsi="Calibri" w:cs="Calibri"/>
          <w:sz w:val="22"/>
          <w:szCs w:val="22"/>
        </w:rPr>
        <w:t>measure,</w:t>
      </w:r>
      <w:r w:rsidR="00FD5A17">
        <w:rPr>
          <w:rFonts w:ascii="Calibri" w:hAnsi="Calibri" w:cs="Calibri"/>
          <w:sz w:val="22"/>
          <w:szCs w:val="22"/>
        </w:rPr>
        <w:t xml:space="preserve"> it would acknowledge that parties may have other obligations </w:t>
      </w:r>
      <w:r w:rsidR="00215C5C">
        <w:rPr>
          <w:rFonts w:ascii="Calibri" w:hAnsi="Calibri" w:cs="Calibri"/>
          <w:sz w:val="22"/>
          <w:szCs w:val="22"/>
        </w:rPr>
        <w:t xml:space="preserve">that aren’t explicitly stated in a contract. Many believe that consideration can be used as a contributory factor in exploitation of those with less </w:t>
      </w:r>
      <w:r w:rsidR="00705CFA">
        <w:rPr>
          <w:rFonts w:ascii="Calibri" w:hAnsi="Calibri" w:cs="Calibri"/>
          <w:sz w:val="22"/>
          <w:szCs w:val="22"/>
        </w:rPr>
        <w:t xml:space="preserve">‘bargaining’ power. </w:t>
      </w:r>
      <w:r w:rsidR="006D3A8E" w:rsidRPr="006D3A8E">
        <w:rPr>
          <w:rFonts w:ascii="Calibri" w:hAnsi="Calibri" w:cs="Calibri"/>
          <w:sz w:val="22"/>
          <w:szCs w:val="22"/>
        </w:rPr>
        <w:t>Stricter standards on contracts involving parties with considerable imbalances of power are proposed as part of the reform proposals to guarantee fair treatment.</w:t>
      </w:r>
      <w:r w:rsidR="006D3A8E">
        <w:rPr>
          <w:rFonts w:ascii="Calibri" w:hAnsi="Calibri" w:cs="Calibri"/>
          <w:sz w:val="22"/>
          <w:szCs w:val="22"/>
        </w:rPr>
        <w:t xml:space="preserve"> Many believe that </w:t>
      </w:r>
      <w:r w:rsidR="00C173C8">
        <w:rPr>
          <w:rFonts w:ascii="Calibri" w:hAnsi="Calibri" w:cs="Calibri"/>
          <w:sz w:val="22"/>
          <w:szCs w:val="22"/>
        </w:rPr>
        <w:t>using promissory estoppel could be deemed a ‘relief’ in situations where one party has relied on a promise to their detriment (</w:t>
      </w:r>
      <w:r w:rsidR="00567EEA">
        <w:rPr>
          <w:rFonts w:ascii="Calibri" w:hAnsi="Calibri" w:cs="Calibri"/>
          <w:sz w:val="22"/>
          <w:szCs w:val="22"/>
        </w:rPr>
        <w:t xml:space="preserve">Beatson, J </w:t>
      </w:r>
      <w:r w:rsidR="00567EEA">
        <w:rPr>
          <w:rFonts w:ascii="Calibri" w:hAnsi="Calibri" w:cs="Calibri"/>
          <w:i/>
          <w:iCs/>
          <w:sz w:val="22"/>
          <w:szCs w:val="22"/>
        </w:rPr>
        <w:t xml:space="preserve">et al. </w:t>
      </w:r>
      <w:r w:rsidR="00DE3804">
        <w:rPr>
          <w:rFonts w:ascii="Calibri" w:hAnsi="Calibri" w:cs="Calibri"/>
          <w:i/>
          <w:iCs/>
          <w:sz w:val="22"/>
          <w:szCs w:val="22"/>
        </w:rPr>
        <w:t>2016)</w:t>
      </w:r>
      <w:r w:rsidR="00C173C8">
        <w:rPr>
          <w:rFonts w:ascii="Calibri" w:hAnsi="Calibri" w:cs="Calibri"/>
          <w:sz w:val="22"/>
          <w:szCs w:val="22"/>
        </w:rPr>
        <w:t xml:space="preserve">. </w:t>
      </w:r>
    </w:p>
    <w:p w14:paraId="349057D4" w14:textId="77777777" w:rsidR="00167779" w:rsidRDefault="00167779">
      <w:pPr>
        <w:rPr>
          <w:rFonts w:ascii="Calibri" w:hAnsi="Calibri" w:cs="Calibri"/>
          <w:sz w:val="22"/>
          <w:szCs w:val="22"/>
        </w:rPr>
      </w:pPr>
    </w:p>
    <w:p w14:paraId="5CDD8AB2" w14:textId="0186DCCF" w:rsidR="00F50289" w:rsidRDefault="002A5D45">
      <w:pPr>
        <w:rPr>
          <w:rFonts w:ascii="Calibri" w:hAnsi="Calibri" w:cs="Calibri"/>
          <w:sz w:val="22"/>
          <w:szCs w:val="22"/>
        </w:rPr>
      </w:pPr>
      <w:r>
        <w:rPr>
          <w:rFonts w:ascii="Calibri" w:hAnsi="Calibri" w:cs="Calibri"/>
          <w:sz w:val="22"/>
          <w:szCs w:val="22"/>
        </w:rPr>
        <w:lastRenderedPageBreak/>
        <w:t xml:space="preserve">In </w:t>
      </w:r>
      <w:r w:rsidR="00E46F5F">
        <w:rPr>
          <w:rFonts w:ascii="Calibri" w:hAnsi="Calibri" w:cs="Calibri"/>
          <w:sz w:val="22"/>
          <w:szCs w:val="22"/>
        </w:rPr>
        <w:t xml:space="preserve">conclusion having assessed and analysed all the elements regarding consideration, it can be deemed as one of the most useful </w:t>
      </w:r>
      <w:r w:rsidR="007211F2">
        <w:rPr>
          <w:rFonts w:ascii="Calibri" w:hAnsi="Calibri" w:cs="Calibri"/>
          <w:sz w:val="22"/>
          <w:szCs w:val="22"/>
        </w:rPr>
        <w:t xml:space="preserve">and vital elements when creating contracts. </w:t>
      </w:r>
      <w:r w:rsidR="00F81747">
        <w:rPr>
          <w:rFonts w:ascii="Calibri" w:hAnsi="Calibri" w:cs="Calibri"/>
          <w:sz w:val="22"/>
          <w:szCs w:val="22"/>
        </w:rPr>
        <w:t>There are issues surrounding the topic but there are issues regarding almost all elements of law. There is room for changes to be made regarding consideration as the constant change</w:t>
      </w:r>
      <w:r w:rsidR="00EA6AB9">
        <w:rPr>
          <w:rFonts w:ascii="Calibri" w:hAnsi="Calibri" w:cs="Calibri"/>
          <w:sz w:val="22"/>
          <w:szCs w:val="22"/>
        </w:rPr>
        <w:t>s</w:t>
      </w:r>
      <w:r w:rsidR="00F81747">
        <w:rPr>
          <w:rFonts w:ascii="Calibri" w:hAnsi="Calibri" w:cs="Calibri"/>
          <w:sz w:val="22"/>
          <w:szCs w:val="22"/>
        </w:rPr>
        <w:t xml:space="preserve"> within society</w:t>
      </w:r>
      <w:r w:rsidR="00EA6AB9">
        <w:rPr>
          <w:rFonts w:ascii="Calibri" w:hAnsi="Calibri" w:cs="Calibri"/>
          <w:sz w:val="22"/>
          <w:szCs w:val="22"/>
        </w:rPr>
        <w:t>, meaning there is always room for improvement</w:t>
      </w:r>
      <w:r w:rsidR="00390001">
        <w:rPr>
          <w:rFonts w:ascii="Calibri" w:hAnsi="Calibri" w:cs="Calibri"/>
          <w:sz w:val="22"/>
          <w:szCs w:val="22"/>
        </w:rPr>
        <w:t xml:space="preserve">. </w:t>
      </w:r>
      <w:r w:rsidR="00EA6AB9">
        <w:rPr>
          <w:rFonts w:ascii="Calibri" w:hAnsi="Calibri" w:cs="Calibri"/>
          <w:sz w:val="22"/>
          <w:szCs w:val="22"/>
        </w:rPr>
        <w:t xml:space="preserve"> </w:t>
      </w:r>
      <w:r w:rsidR="00991E08">
        <w:rPr>
          <w:rFonts w:ascii="Calibri" w:hAnsi="Calibri" w:cs="Calibri"/>
          <w:sz w:val="22"/>
          <w:szCs w:val="22"/>
        </w:rPr>
        <w:t xml:space="preserve">By addressing the issues stated above, with the correct changes made it is believed that consideration can be a more important and functional </w:t>
      </w:r>
      <w:r w:rsidR="006110DA">
        <w:rPr>
          <w:rFonts w:ascii="Calibri" w:hAnsi="Calibri" w:cs="Calibri"/>
          <w:sz w:val="22"/>
          <w:szCs w:val="22"/>
        </w:rPr>
        <w:t xml:space="preserve">key element within consideration. </w:t>
      </w:r>
      <w:r w:rsidR="00C95F9A">
        <w:rPr>
          <w:rFonts w:ascii="Calibri" w:hAnsi="Calibri" w:cs="Calibri"/>
          <w:sz w:val="22"/>
          <w:szCs w:val="22"/>
        </w:rPr>
        <w:t xml:space="preserve">There are a range of disadvantages and advantages to the role as a whole, </w:t>
      </w:r>
      <w:r w:rsidR="00044CEE">
        <w:rPr>
          <w:rFonts w:ascii="Calibri" w:hAnsi="Calibri" w:cs="Calibri"/>
          <w:sz w:val="22"/>
          <w:szCs w:val="22"/>
        </w:rPr>
        <w:t>while many believe and agree that consideration is best left as is</w:t>
      </w:r>
      <w:r w:rsidR="004232A8">
        <w:rPr>
          <w:rFonts w:ascii="Calibri" w:hAnsi="Calibri" w:cs="Calibri"/>
          <w:sz w:val="22"/>
          <w:szCs w:val="22"/>
        </w:rPr>
        <w:t>, as it seems to be ‘working’ when creating and forming legal and binding contracts</w:t>
      </w:r>
      <w:r w:rsidR="00044CEE">
        <w:rPr>
          <w:rFonts w:ascii="Calibri" w:hAnsi="Calibri" w:cs="Calibri"/>
          <w:sz w:val="22"/>
          <w:szCs w:val="22"/>
        </w:rPr>
        <w:t xml:space="preserve">. </w:t>
      </w:r>
      <w:r w:rsidR="00F30087">
        <w:rPr>
          <w:rFonts w:ascii="Calibri" w:hAnsi="Calibri" w:cs="Calibri"/>
          <w:sz w:val="22"/>
          <w:szCs w:val="22"/>
        </w:rPr>
        <w:t xml:space="preserve">Consideration is a vital </w:t>
      </w:r>
      <w:r w:rsidR="00A05031">
        <w:rPr>
          <w:rFonts w:ascii="Calibri" w:hAnsi="Calibri" w:cs="Calibri"/>
          <w:sz w:val="22"/>
          <w:szCs w:val="22"/>
        </w:rPr>
        <w:t xml:space="preserve">as without it, many legal agreements are deemed unenforceable. </w:t>
      </w:r>
      <w:r w:rsidR="00EF2020">
        <w:rPr>
          <w:rFonts w:ascii="Calibri" w:hAnsi="Calibri" w:cs="Calibri"/>
          <w:sz w:val="22"/>
          <w:szCs w:val="22"/>
        </w:rPr>
        <w:t>Due to the lack of evidence regarding reform suggestions, it proves that</w:t>
      </w:r>
      <w:r w:rsidR="003B16EF">
        <w:rPr>
          <w:rFonts w:ascii="Calibri" w:hAnsi="Calibri" w:cs="Calibri"/>
          <w:sz w:val="22"/>
          <w:szCs w:val="22"/>
        </w:rPr>
        <w:t xml:space="preserve"> consideration is working adequately the way it is.</w:t>
      </w:r>
    </w:p>
    <w:p w14:paraId="3546205D" w14:textId="77777777" w:rsidR="00F50289" w:rsidRPr="00F50289" w:rsidRDefault="00F50289" w:rsidP="00F50289">
      <w:pPr>
        <w:rPr>
          <w:rFonts w:ascii="Calibri" w:hAnsi="Calibri" w:cs="Calibri"/>
          <w:b/>
          <w:bCs/>
          <w:sz w:val="22"/>
          <w:szCs w:val="22"/>
          <w:u w:val="single"/>
          <w:lang w:val="en-US"/>
        </w:rPr>
      </w:pPr>
    </w:p>
    <w:p w14:paraId="06A6EA20" w14:textId="77777777" w:rsidR="00F50289" w:rsidRDefault="00F50289" w:rsidP="00F50289">
      <w:pPr>
        <w:rPr>
          <w:rFonts w:ascii="Calibri" w:hAnsi="Calibri" w:cs="Calibri"/>
          <w:b/>
          <w:bCs/>
          <w:sz w:val="22"/>
          <w:szCs w:val="22"/>
          <w:u w:val="single"/>
          <w:lang w:val="en-US"/>
        </w:rPr>
      </w:pPr>
    </w:p>
    <w:p w14:paraId="14744458" w14:textId="77777777" w:rsidR="00F50289" w:rsidRDefault="00F50289" w:rsidP="00F50289">
      <w:pPr>
        <w:rPr>
          <w:rFonts w:ascii="Calibri" w:hAnsi="Calibri" w:cs="Calibri"/>
          <w:b/>
          <w:bCs/>
          <w:sz w:val="22"/>
          <w:szCs w:val="22"/>
          <w:u w:val="single"/>
          <w:lang w:val="en-US"/>
        </w:rPr>
      </w:pPr>
    </w:p>
    <w:p w14:paraId="6C0849D8" w14:textId="77777777" w:rsidR="00F50289" w:rsidRDefault="00F50289" w:rsidP="00F50289">
      <w:pPr>
        <w:rPr>
          <w:rFonts w:ascii="Calibri" w:hAnsi="Calibri" w:cs="Calibri"/>
          <w:b/>
          <w:bCs/>
          <w:sz w:val="22"/>
          <w:szCs w:val="22"/>
          <w:u w:val="single"/>
          <w:lang w:val="en-US"/>
        </w:rPr>
      </w:pPr>
    </w:p>
    <w:p w14:paraId="1ABA74BD" w14:textId="77777777" w:rsidR="00F50289" w:rsidRDefault="00F50289" w:rsidP="00F50289">
      <w:pPr>
        <w:rPr>
          <w:rFonts w:ascii="Calibri" w:hAnsi="Calibri" w:cs="Calibri"/>
          <w:b/>
          <w:bCs/>
          <w:sz w:val="22"/>
          <w:szCs w:val="22"/>
          <w:u w:val="single"/>
          <w:lang w:val="en-US"/>
        </w:rPr>
      </w:pPr>
    </w:p>
    <w:p w14:paraId="41C09D0C" w14:textId="77777777" w:rsidR="00F50289" w:rsidRDefault="00F50289" w:rsidP="00F50289">
      <w:pPr>
        <w:rPr>
          <w:rFonts w:ascii="Calibri" w:hAnsi="Calibri" w:cs="Calibri"/>
          <w:b/>
          <w:bCs/>
          <w:sz w:val="22"/>
          <w:szCs w:val="22"/>
          <w:u w:val="single"/>
          <w:lang w:val="en-US"/>
        </w:rPr>
      </w:pPr>
    </w:p>
    <w:p w14:paraId="14B5F79D" w14:textId="77777777" w:rsidR="00F50289" w:rsidRDefault="00F50289" w:rsidP="00F50289">
      <w:pPr>
        <w:rPr>
          <w:rFonts w:ascii="Calibri" w:hAnsi="Calibri" w:cs="Calibri"/>
          <w:b/>
          <w:bCs/>
          <w:sz w:val="22"/>
          <w:szCs w:val="22"/>
          <w:u w:val="single"/>
          <w:lang w:val="en-US"/>
        </w:rPr>
      </w:pPr>
    </w:p>
    <w:p w14:paraId="3D4D1B2C" w14:textId="77777777" w:rsidR="00F50289" w:rsidRDefault="00F50289" w:rsidP="00F50289">
      <w:pPr>
        <w:rPr>
          <w:rFonts w:ascii="Calibri" w:hAnsi="Calibri" w:cs="Calibri"/>
          <w:b/>
          <w:bCs/>
          <w:sz w:val="22"/>
          <w:szCs w:val="22"/>
          <w:u w:val="single"/>
          <w:lang w:val="en-US"/>
        </w:rPr>
      </w:pPr>
    </w:p>
    <w:p w14:paraId="08562680" w14:textId="77777777" w:rsidR="00F50289" w:rsidRDefault="00F50289" w:rsidP="00F50289">
      <w:pPr>
        <w:rPr>
          <w:rFonts w:ascii="Calibri" w:hAnsi="Calibri" w:cs="Calibri"/>
          <w:b/>
          <w:bCs/>
          <w:sz w:val="22"/>
          <w:szCs w:val="22"/>
          <w:u w:val="single"/>
          <w:lang w:val="en-US"/>
        </w:rPr>
      </w:pPr>
    </w:p>
    <w:p w14:paraId="4A01772F" w14:textId="77777777" w:rsidR="00F50289" w:rsidRDefault="00F50289">
      <w:pPr>
        <w:rPr>
          <w:rFonts w:ascii="Calibri" w:hAnsi="Calibri" w:cs="Calibri"/>
          <w:sz w:val="22"/>
          <w:szCs w:val="22"/>
        </w:rPr>
      </w:pPr>
    </w:p>
    <w:p w14:paraId="4FD1E6C6" w14:textId="77777777" w:rsidR="005D0DEB" w:rsidRDefault="005D0DEB">
      <w:pPr>
        <w:rPr>
          <w:rFonts w:ascii="Calibri" w:hAnsi="Calibri" w:cs="Calibri"/>
          <w:sz w:val="22"/>
          <w:szCs w:val="22"/>
        </w:rPr>
      </w:pPr>
    </w:p>
    <w:p w14:paraId="08ED1C1A" w14:textId="77777777" w:rsidR="005D0DEB" w:rsidRDefault="005D0DEB">
      <w:pPr>
        <w:rPr>
          <w:rFonts w:ascii="Calibri" w:hAnsi="Calibri" w:cs="Calibri"/>
          <w:sz w:val="22"/>
          <w:szCs w:val="22"/>
        </w:rPr>
      </w:pPr>
    </w:p>
    <w:p w14:paraId="587C3BFA" w14:textId="77777777" w:rsidR="005D0DEB" w:rsidRDefault="005D0DEB">
      <w:pPr>
        <w:rPr>
          <w:rFonts w:ascii="Calibri" w:hAnsi="Calibri" w:cs="Calibri"/>
          <w:sz w:val="22"/>
          <w:szCs w:val="22"/>
        </w:rPr>
      </w:pPr>
    </w:p>
    <w:p w14:paraId="2CB0EDAF" w14:textId="77777777" w:rsidR="005D0DEB" w:rsidRDefault="005D0DEB">
      <w:pPr>
        <w:rPr>
          <w:rFonts w:ascii="Calibri" w:hAnsi="Calibri" w:cs="Calibri"/>
          <w:sz w:val="22"/>
          <w:szCs w:val="22"/>
        </w:rPr>
      </w:pPr>
    </w:p>
    <w:p w14:paraId="4E70EB44" w14:textId="77777777" w:rsidR="005D0DEB" w:rsidRDefault="005D0DEB">
      <w:pPr>
        <w:rPr>
          <w:rFonts w:ascii="Calibri" w:hAnsi="Calibri" w:cs="Calibri"/>
          <w:sz w:val="22"/>
          <w:szCs w:val="22"/>
        </w:rPr>
      </w:pPr>
    </w:p>
    <w:p w14:paraId="2699D161" w14:textId="77777777" w:rsidR="005D0DEB" w:rsidRDefault="005D0DEB">
      <w:pPr>
        <w:rPr>
          <w:rFonts w:ascii="Calibri" w:hAnsi="Calibri" w:cs="Calibri"/>
          <w:sz w:val="22"/>
          <w:szCs w:val="22"/>
        </w:rPr>
      </w:pPr>
    </w:p>
    <w:p w14:paraId="4CDBD995" w14:textId="77777777" w:rsidR="005D0DEB" w:rsidRDefault="005D0DEB">
      <w:pPr>
        <w:rPr>
          <w:rFonts w:ascii="Calibri" w:hAnsi="Calibri" w:cs="Calibri"/>
          <w:sz w:val="22"/>
          <w:szCs w:val="22"/>
        </w:rPr>
      </w:pPr>
    </w:p>
    <w:p w14:paraId="3EB3332E" w14:textId="77777777" w:rsidR="005D0DEB" w:rsidRDefault="005D0DEB">
      <w:pPr>
        <w:rPr>
          <w:rFonts w:ascii="Calibri" w:hAnsi="Calibri" w:cs="Calibri"/>
          <w:sz w:val="22"/>
          <w:szCs w:val="22"/>
        </w:rPr>
      </w:pPr>
    </w:p>
    <w:p w14:paraId="72F04E7F" w14:textId="77777777" w:rsidR="005D0DEB" w:rsidRDefault="005D0DEB">
      <w:pPr>
        <w:rPr>
          <w:rFonts w:ascii="Calibri" w:hAnsi="Calibri" w:cs="Calibri"/>
          <w:sz w:val="22"/>
          <w:szCs w:val="22"/>
        </w:rPr>
      </w:pPr>
    </w:p>
    <w:p w14:paraId="10050ECE" w14:textId="77777777" w:rsidR="005D0DEB" w:rsidRDefault="005D0DEB">
      <w:pPr>
        <w:rPr>
          <w:rFonts w:ascii="Calibri" w:hAnsi="Calibri" w:cs="Calibri"/>
          <w:sz w:val="22"/>
          <w:szCs w:val="22"/>
        </w:rPr>
      </w:pPr>
    </w:p>
    <w:p w14:paraId="34DDE01A" w14:textId="77777777" w:rsidR="005D0DEB" w:rsidRDefault="005D0DEB">
      <w:pPr>
        <w:rPr>
          <w:rFonts w:ascii="Calibri" w:hAnsi="Calibri" w:cs="Calibri"/>
          <w:sz w:val="22"/>
          <w:szCs w:val="22"/>
        </w:rPr>
      </w:pPr>
    </w:p>
    <w:p w14:paraId="5E32D8A5" w14:textId="77777777" w:rsidR="005D0DEB" w:rsidRDefault="005D0DEB">
      <w:pPr>
        <w:rPr>
          <w:rFonts w:ascii="Calibri" w:hAnsi="Calibri" w:cs="Calibri"/>
          <w:sz w:val="22"/>
          <w:szCs w:val="22"/>
        </w:rPr>
      </w:pPr>
    </w:p>
    <w:p w14:paraId="364B43B2" w14:textId="77777777" w:rsidR="005D0DEB" w:rsidRDefault="005D0DEB">
      <w:pPr>
        <w:rPr>
          <w:rFonts w:ascii="Calibri" w:hAnsi="Calibri" w:cs="Calibri"/>
          <w:sz w:val="22"/>
          <w:szCs w:val="22"/>
        </w:rPr>
      </w:pPr>
    </w:p>
    <w:p w14:paraId="035EE184" w14:textId="77777777" w:rsidR="005D0DEB" w:rsidRDefault="005D0DEB">
      <w:pPr>
        <w:rPr>
          <w:rFonts w:ascii="Calibri" w:hAnsi="Calibri" w:cs="Calibri"/>
          <w:sz w:val="22"/>
          <w:szCs w:val="22"/>
        </w:rPr>
      </w:pPr>
    </w:p>
    <w:p w14:paraId="5851D66E" w14:textId="77777777" w:rsidR="005D0DEB" w:rsidRDefault="005D0DEB">
      <w:pPr>
        <w:rPr>
          <w:rFonts w:ascii="Calibri" w:hAnsi="Calibri" w:cs="Calibri"/>
          <w:sz w:val="22"/>
          <w:szCs w:val="22"/>
        </w:rPr>
      </w:pPr>
    </w:p>
    <w:p w14:paraId="40006AFE" w14:textId="77777777" w:rsidR="005D0DEB" w:rsidRDefault="005D0DEB">
      <w:pPr>
        <w:rPr>
          <w:rFonts w:ascii="Calibri" w:hAnsi="Calibri" w:cs="Calibri"/>
          <w:sz w:val="22"/>
          <w:szCs w:val="22"/>
        </w:rPr>
      </w:pPr>
    </w:p>
    <w:p w14:paraId="3199326C" w14:textId="77777777" w:rsidR="005D0DEB" w:rsidRDefault="005D0DEB">
      <w:pPr>
        <w:rPr>
          <w:rFonts w:ascii="Calibri" w:hAnsi="Calibri" w:cs="Calibri"/>
          <w:sz w:val="22"/>
          <w:szCs w:val="22"/>
        </w:rPr>
      </w:pPr>
    </w:p>
    <w:p w14:paraId="1A94CF10" w14:textId="77777777" w:rsidR="005D0DEB" w:rsidRDefault="005D0DEB">
      <w:pPr>
        <w:rPr>
          <w:rFonts w:ascii="Calibri" w:hAnsi="Calibri" w:cs="Calibri"/>
          <w:sz w:val="22"/>
          <w:szCs w:val="22"/>
        </w:rPr>
      </w:pPr>
    </w:p>
    <w:p w14:paraId="5CB6A4BD" w14:textId="77777777" w:rsidR="005D0DEB" w:rsidRDefault="005D0DEB">
      <w:pPr>
        <w:rPr>
          <w:rFonts w:ascii="Calibri" w:hAnsi="Calibri" w:cs="Calibri"/>
          <w:sz w:val="22"/>
          <w:szCs w:val="22"/>
        </w:rPr>
      </w:pPr>
    </w:p>
    <w:p w14:paraId="17539AEE" w14:textId="77777777" w:rsidR="005D0DEB" w:rsidRDefault="005D0DEB">
      <w:pPr>
        <w:rPr>
          <w:rFonts w:ascii="Calibri" w:hAnsi="Calibri" w:cs="Calibri"/>
          <w:sz w:val="22"/>
          <w:szCs w:val="22"/>
        </w:rPr>
      </w:pPr>
    </w:p>
    <w:p w14:paraId="19313880" w14:textId="77777777" w:rsidR="005D0DEB" w:rsidRDefault="005D0DEB">
      <w:pPr>
        <w:rPr>
          <w:rFonts w:ascii="Calibri" w:hAnsi="Calibri" w:cs="Calibri"/>
          <w:sz w:val="22"/>
          <w:szCs w:val="22"/>
        </w:rPr>
      </w:pPr>
    </w:p>
    <w:p w14:paraId="18497090" w14:textId="77777777" w:rsidR="005D0DEB" w:rsidRDefault="005D0DEB">
      <w:pPr>
        <w:rPr>
          <w:rFonts w:ascii="Calibri" w:hAnsi="Calibri" w:cs="Calibri"/>
          <w:sz w:val="22"/>
          <w:szCs w:val="22"/>
        </w:rPr>
      </w:pPr>
    </w:p>
    <w:p w14:paraId="67EC01C2" w14:textId="77777777" w:rsidR="005D0DEB" w:rsidRDefault="005D0DEB">
      <w:pPr>
        <w:rPr>
          <w:rFonts w:ascii="Calibri" w:hAnsi="Calibri" w:cs="Calibri"/>
          <w:sz w:val="22"/>
          <w:szCs w:val="22"/>
        </w:rPr>
      </w:pPr>
    </w:p>
    <w:p w14:paraId="49005C18" w14:textId="77777777" w:rsidR="005D0DEB" w:rsidRDefault="005D0DEB">
      <w:pPr>
        <w:rPr>
          <w:rFonts w:ascii="Calibri" w:hAnsi="Calibri" w:cs="Calibri"/>
          <w:sz w:val="22"/>
          <w:szCs w:val="22"/>
        </w:rPr>
      </w:pPr>
    </w:p>
    <w:p w14:paraId="1A9DA13A" w14:textId="77777777" w:rsidR="005D0DEB" w:rsidRDefault="005D0DEB">
      <w:pPr>
        <w:rPr>
          <w:rFonts w:ascii="Calibri" w:hAnsi="Calibri" w:cs="Calibri"/>
          <w:sz w:val="22"/>
          <w:szCs w:val="22"/>
        </w:rPr>
      </w:pPr>
    </w:p>
    <w:p w14:paraId="054DF34B" w14:textId="77777777" w:rsidR="005D0DEB" w:rsidRDefault="005D0DEB">
      <w:pPr>
        <w:rPr>
          <w:rFonts w:ascii="Calibri" w:hAnsi="Calibri" w:cs="Calibri"/>
          <w:sz w:val="22"/>
          <w:szCs w:val="22"/>
        </w:rPr>
      </w:pPr>
    </w:p>
    <w:p w14:paraId="0146E637" w14:textId="77777777" w:rsidR="005D0DEB" w:rsidRDefault="005D0DEB">
      <w:pPr>
        <w:rPr>
          <w:rFonts w:ascii="Calibri" w:hAnsi="Calibri" w:cs="Calibri"/>
          <w:sz w:val="22"/>
          <w:szCs w:val="22"/>
        </w:rPr>
      </w:pPr>
    </w:p>
    <w:p w14:paraId="7F128785" w14:textId="77777777" w:rsidR="005D0DEB" w:rsidRDefault="005D0DEB">
      <w:pPr>
        <w:rPr>
          <w:rFonts w:ascii="Calibri" w:hAnsi="Calibri" w:cs="Calibri"/>
          <w:sz w:val="22"/>
          <w:szCs w:val="22"/>
        </w:rPr>
      </w:pPr>
    </w:p>
    <w:p w14:paraId="04F44CEE" w14:textId="77777777" w:rsidR="005D0DEB" w:rsidRDefault="005D0DEB">
      <w:pPr>
        <w:rPr>
          <w:rFonts w:ascii="Calibri" w:hAnsi="Calibri" w:cs="Calibri"/>
          <w:sz w:val="22"/>
          <w:szCs w:val="22"/>
        </w:rPr>
      </w:pPr>
    </w:p>
    <w:p w14:paraId="1C1AADC5" w14:textId="77777777" w:rsidR="005D0DEB" w:rsidRDefault="005D0DEB">
      <w:pPr>
        <w:rPr>
          <w:rFonts w:ascii="Calibri" w:hAnsi="Calibri" w:cs="Calibri"/>
          <w:sz w:val="22"/>
          <w:szCs w:val="22"/>
        </w:rPr>
      </w:pPr>
    </w:p>
    <w:p w14:paraId="640A255C" w14:textId="77777777" w:rsidR="00D25C4A" w:rsidRDefault="00D25C4A" w:rsidP="00D25C4A">
      <w:pPr>
        <w:rPr>
          <w:rFonts w:ascii="Calibri" w:hAnsi="Calibri" w:cs="Calibri"/>
          <w:b/>
          <w:bCs/>
          <w:sz w:val="22"/>
          <w:szCs w:val="22"/>
          <w:u w:val="single"/>
          <w:lang w:val="en-US"/>
        </w:rPr>
      </w:pPr>
      <w:r>
        <w:rPr>
          <w:rFonts w:ascii="Calibri" w:hAnsi="Calibri" w:cs="Calibri"/>
          <w:b/>
          <w:bCs/>
          <w:sz w:val="22"/>
          <w:szCs w:val="22"/>
          <w:u w:val="single"/>
          <w:lang w:val="en-US"/>
        </w:rPr>
        <w:lastRenderedPageBreak/>
        <w:t xml:space="preserve">References </w:t>
      </w:r>
    </w:p>
    <w:p w14:paraId="7448366D" w14:textId="77777777" w:rsidR="00D25C4A" w:rsidRPr="00C51F51" w:rsidRDefault="00D25C4A" w:rsidP="00D25C4A">
      <w:pPr>
        <w:pStyle w:val="Bibliography"/>
        <w:spacing w:line="240" w:lineRule="auto"/>
        <w:rPr>
          <w:rFonts w:ascii="Calibri" w:hAnsi="Calibri" w:cs="Calibri"/>
          <w:noProof/>
          <w:kern w:val="0"/>
          <w:sz w:val="24"/>
          <w:szCs w:val="24"/>
          <w14:ligatures w14:val="none"/>
        </w:rPr>
      </w:pPr>
      <w:r w:rsidRPr="00C51F51">
        <w:rPr>
          <w:rFonts w:ascii="Calibri" w:hAnsi="Calibri" w:cs="Calibri"/>
          <w:noProof/>
        </w:rPr>
        <w:t xml:space="preserve">Beatson, J. B. A. C. J., 2016. </w:t>
      </w:r>
      <w:r w:rsidRPr="00C51F51">
        <w:rPr>
          <w:rFonts w:ascii="Calibri" w:hAnsi="Calibri" w:cs="Calibri"/>
          <w:i/>
          <w:iCs/>
          <w:noProof/>
        </w:rPr>
        <w:t xml:space="preserve">Anson's Law of Contract. </w:t>
      </w:r>
      <w:r w:rsidRPr="00C51F51">
        <w:rPr>
          <w:rFonts w:ascii="Calibri" w:hAnsi="Calibri" w:cs="Calibri"/>
          <w:noProof/>
        </w:rPr>
        <w:t>30th Edition ed. Oxford: Oxford University Press.</w:t>
      </w:r>
    </w:p>
    <w:p w14:paraId="115CE50B" w14:textId="77777777" w:rsidR="00D25C4A" w:rsidRPr="00C51F51" w:rsidRDefault="00D25C4A" w:rsidP="00D25C4A">
      <w:pPr>
        <w:pStyle w:val="Bibliography"/>
        <w:spacing w:line="240" w:lineRule="auto"/>
        <w:rPr>
          <w:rFonts w:ascii="Calibri" w:hAnsi="Calibri" w:cs="Calibri"/>
          <w:noProof/>
        </w:rPr>
      </w:pPr>
      <w:r w:rsidRPr="00C51F51">
        <w:rPr>
          <w:rFonts w:ascii="Calibri" w:hAnsi="Calibri" w:cs="Calibri"/>
          <w:noProof/>
        </w:rPr>
        <w:t xml:space="preserve">CILEx Law School, 2024. </w:t>
      </w:r>
      <w:r w:rsidRPr="00C51F51">
        <w:rPr>
          <w:rFonts w:ascii="Calibri" w:hAnsi="Calibri" w:cs="Calibri"/>
          <w:i/>
          <w:iCs/>
          <w:noProof/>
        </w:rPr>
        <w:t xml:space="preserve">Law of Contract. </w:t>
      </w:r>
      <w:r w:rsidRPr="00C51F51">
        <w:rPr>
          <w:rFonts w:ascii="Calibri" w:hAnsi="Calibri" w:cs="Calibri"/>
          <w:noProof/>
        </w:rPr>
        <w:t xml:space="preserve">[Online] </w:t>
      </w:r>
      <w:r w:rsidRPr="00C51F51">
        <w:rPr>
          <w:rFonts w:ascii="Calibri" w:hAnsi="Calibri" w:cs="Calibri"/>
          <w:noProof/>
        </w:rPr>
        <w:br/>
        <w:t xml:space="preserve">Available at: </w:t>
      </w:r>
      <w:r w:rsidRPr="00C51F51">
        <w:rPr>
          <w:rFonts w:ascii="Calibri" w:hAnsi="Calibri" w:cs="Calibri"/>
          <w:noProof/>
          <w:u w:val="single"/>
        </w:rPr>
        <w:t>https://cilexlawschool.ac.uk/wp-content/uploads/2018/10/HQ02-Law-of-Contract-Sample-2018.pdf</w:t>
      </w:r>
      <w:r w:rsidRPr="00C51F51">
        <w:rPr>
          <w:rFonts w:ascii="Calibri" w:hAnsi="Calibri" w:cs="Calibri"/>
          <w:noProof/>
        </w:rPr>
        <w:br/>
        <w:t>[Accessed 9 March 2024].</w:t>
      </w:r>
    </w:p>
    <w:p w14:paraId="33CB8AC6" w14:textId="77777777" w:rsidR="00D25C4A" w:rsidRPr="00C51F51" w:rsidRDefault="00D25C4A" w:rsidP="00D25C4A">
      <w:pPr>
        <w:pStyle w:val="Bibliography"/>
        <w:spacing w:line="240" w:lineRule="auto"/>
        <w:rPr>
          <w:rFonts w:ascii="Calibri" w:hAnsi="Calibri" w:cs="Calibri"/>
          <w:noProof/>
        </w:rPr>
      </w:pPr>
      <w:r w:rsidRPr="00C51F51">
        <w:rPr>
          <w:rFonts w:ascii="Calibri" w:hAnsi="Calibri" w:cs="Calibri"/>
          <w:noProof/>
        </w:rPr>
        <w:t xml:space="preserve">Davies, P. S., 2021. </w:t>
      </w:r>
      <w:r w:rsidRPr="00C51F51">
        <w:rPr>
          <w:rFonts w:ascii="Calibri" w:hAnsi="Calibri" w:cs="Calibri"/>
          <w:i/>
          <w:iCs/>
          <w:noProof/>
        </w:rPr>
        <w:t xml:space="preserve">Objectivity in Contract Law. </w:t>
      </w:r>
      <w:r w:rsidRPr="00C51F51">
        <w:rPr>
          <w:rFonts w:ascii="Calibri" w:hAnsi="Calibri" w:cs="Calibri"/>
          <w:noProof/>
        </w:rPr>
        <w:t xml:space="preserve">[Online] </w:t>
      </w:r>
      <w:r w:rsidRPr="00C51F51">
        <w:rPr>
          <w:rFonts w:ascii="Calibri" w:hAnsi="Calibri" w:cs="Calibri"/>
          <w:noProof/>
        </w:rPr>
        <w:br/>
        <w:t xml:space="preserve">Available at: </w:t>
      </w:r>
      <w:r w:rsidRPr="00C51F51">
        <w:rPr>
          <w:rFonts w:ascii="Calibri" w:hAnsi="Calibri" w:cs="Calibri"/>
          <w:noProof/>
          <w:u w:val="single"/>
        </w:rPr>
        <w:t>https://www.oxfordlawtrove.com/display/10.1093/he/9780198853503.001.0001/he-9780198853503-chapter-2#:~:text=In%20contract%20law%2C%20the%20intentions,a%20contract%20are%20determined%20objectively.</w:t>
      </w:r>
      <w:r w:rsidRPr="00C51F51">
        <w:rPr>
          <w:rFonts w:ascii="Calibri" w:hAnsi="Calibri" w:cs="Calibri"/>
          <w:noProof/>
        </w:rPr>
        <w:br/>
        <w:t>[Accessed 9 March 2024].</w:t>
      </w:r>
    </w:p>
    <w:p w14:paraId="2297951D" w14:textId="77777777" w:rsidR="00D25C4A" w:rsidRPr="00C51F51" w:rsidRDefault="00D25C4A" w:rsidP="00D25C4A">
      <w:pPr>
        <w:pStyle w:val="Bibliography"/>
        <w:spacing w:line="240" w:lineRule="auto"/>
        <w:rPr>
          <w:rFonts w:ascii="Calibri" w:hAnsi="Calibri" w:cs="Calibri"/>
          <w:noProof/>
        </w:rPr>
      </w:pPr>
      <w:r w:rsidRPr="00C51F51">
        <w:rPr>
          <w:rFonts w:ascii="Calibri" w:hAnsi="Calibri" w:cs="Calibri"/>
          <w:noProof/>
        </w:rPr>
        <w:t xml:space="preserve">England, H. L. o., 2024. </w:t>
      </w:r>
      <w:r w:rsidRPr="00C51F51">
        <w:rPr>
          <w:rFonts w:ascii="Calibri" w:hAnsi="Calibri" w:cs="Calibri"/>
          <w:i/>
          <w:iCs/>
          <w:noProof/>
        </w:rPr>
        <w:t xml:space="preserve">The Requirement of Certainty. </w:t>
      </w:r>
      <w:r w:rsidRPr="00C51F51">
        <w:rPr>
          <w:rFonts w:ascii="Calibri" w:hAnsi="Calibri" w:cs="Calibri"/>
          <w:noProof/>
        </w:rPr>
        <w:t xml:space="preserve">[Online] </w:t>
      </w:r>
      <w:r w:rsidRPr="00C51F51">
        <w:rPr>
          <w:rFonts w:ascii="Calibri" w:hAnsi="Calibri" w:cs="Calibri"/>
          <w:noProof/>
        </w:rPr>
        <w:br/>
        <w:t xml:space="preserve">Available at: </w:t>
      </w:r>
      <w:r w:rsidRPr="00C51F51">
        <w:rPr>
          <w:rFonts w:ascii="Calibri" w:hAnsi="Calibri" w:cs="Calibri"/>
          <w:noProof/>
          <w:u w:val="single"/>
        </w:rPr>
        <w:t>https://plus-lexis-com.ezproxy.uwtsd.ac.uk/uk/analytical-materials-uk/73-the-requirement-of-certainty?crid=1033e6e0-f3fb-46c8-8ab5-0079e7912cc7</w:t>
      </w:r>
      <w:r w:rsidRPr="00C51F51">
        <w:rPr>
          <w:rFonts w:ascii="Calibri" w:hAnsi="Calibri" w:cs="Calibri"/>
          <w:noProof/>
        </w:rPr>
        <w:br/>
        <w:t>[Accessed 9 March 2024].</w:t>
      </w:r>
    </w:p>
    <w:p w14:paraId="2C404271" w14:textId="77777777" w:rsidR="00D25C4A" w:rsidRPr="00C51F51" w:rsidRDefault="00D25C4A" w:rsidP="00D25C4A">
      <w:pPr>
        <w:pStyle w:val="Bibliography"/>
        <w:spacing w:line="240" w:lineRule="auto"/>
        <w:rPr>
          <w:rFonts w:ascii="Calibri" w:hAnsi="Calibri" w:cs="Calibri"/>
          <w:noProof/>
        </w:rPr>
      </w:pPr>
      <w:r w:rsidRPr="00C51F51">
        <w:rPr>
          <w:rFonts w:ascii="Calibri" w:hAnsi="Calibri" w:cs="Calibri"/>
          <w:noProof/>
        </w:rPr>
        <w:t xml:space="preserve">Kati, E., 2022. </w:t>
      </w:r>
      <w:r w:rsidRPr="00C51F51">
        <w:rPr>
          <w:rFonts w:ascii="Calibri" w:hAnsi="Calibri" w:cs="Calibri"/>
          <w:i/>
          <w:iCs/>
          <w:noProof/>
        </w:rPr>
        <w:t xml:space="preserve">What is Consideration in Contract Law in the UK?. </w:t>
      </w:r>
      <w:r w:rsidRPr="00C51F51">
        <w:rPr>
          <w:rFonts w:ascii="Calibri" w:hAnsi="Calibri" w:cs="Calibri"/>
          <w:noProof/>
        </w:rPr>
        <w:t xml:space="preserve">[Online] </w:t>
      </w:r>
      <w:r w:rsidRPr="00C51F51">
        <w:rPr>
          <w:rFonts w:ascii="Calibri" w:hAnsi="Calibri" w:cs="Calibri"/>
          <w:noProof/>
        </w:rPr>
        <w:br/>
        <w:t xml:space="preserve">Available at: </w:t>
      </w:r>
      <w:r w:rsidRPr="00C51F51">
        <w:rPr>
          <w:rFonts w:ascii="Calibri" w:hAnsi="Calibri" w:cs="Calibri"/>
          <w:noProof/>
          <w:u w:val="single"/>
        </w:rPr>
        <w:t xml:space="preserve">https://legalvision.co.uk/commercial-contracts/consideration-contracts/#:~:text=Put%20simply%2C%20consideration%20is%20something,for%20a%20legally%20binding%20contract. </w:t>
      </w:r>
      <w:r w:rsidRPr="00C51F51">
        <w:rPr>
          <w:rFonts w:ascii="Calibri" w:hAnsi="Calibri" w:cs="Calibri"/>
          <w:noProof/>
        </w:rPr>
        <w:br/>
        <w:t>[Accessed 9 March 2024].</w:t>
      </w:r>
    </w:p>
    <w:p w14:paraId="3841B8C6" w14:textId="77777777" w:rsidR="00D25C4A" w:rsidRPr="00C51F51" w:rsidRDefault="00D25C4A" w:rsidP="00D25C4A">
      <w:pPr>
        <w:pStyle w:val="Bibliography"/>
        <w:spacing w:line="240" w:lineRule="auto"/>
        <w:rPr>
          <w:rFonts w:ascii="Calibri" w:hAnsi="Calibri" w:cs="Calibri"/>
          <w:noProof/>
        </w:rPr>
      </w:pPr>
      <w:r w:rsidRPr="00C51F51">
        <w:rPr>
          <w:rFonts w:ascii="Calibri" w:hAnsi="Calibri" w:cs="Calibri"/>
          <w:noProof/>
        </w:rPr>
        <w:t xml:space="preserve">Kati, E., 2023. </w:t>
      </w:r>
      <w:r w:rsidRPr="00C51F51">
        <w:rPr>
          <w:rFonts w:ascii="Calibri" w:hAnsi="Calibri" w:cs="Calibri"/>
          <w:i/>
          <w:iCs/>
          <w:noProof/>
        </w:rPr>
        <w:t xml:space="preserve">What constitutes a valid consideration?. </w:t>
      </w:r>
      <w:r w:rsidRPr="00C51F51">
        <w:rPr>
          <w:rFonts w:ascii="Calibri" w:hAnsi="Calibri" w:cs="Calibri"/>
          <w:noProof/>
        </w:rPr>
        <w:t xml:space="preserve">[Online] </w:t>
      </w:r>
      <w:r w:rsidRPr="00C51F51">
        <w:rPr>
          <w:rFonts w:ascii="Calibri" w:hAnsi="Calibri" w:cs="Calibri"/>
          <w:noProof/>
        </w:rPr>
        <w:br/>
        <w:t xml:space="preserve">Available at: </w:t>
      </w:r>
      <w:r w:rsidRPr="00C51F51">
        <w:rPr>
          <w:rFonts w:ascii="Calibri" w:hAnsi="Calibri" w:cs="Calibri"/>
          <w:noProof/>
          <w:u w:val="single"/>
        </w:rPr>
        <w:t>https://legalvision.co.uk/commercial-contracts/consideration-contracts/#content-next</w:t>
      </w:r>
      <w:r w:rsidRPr="00C51F51">
        <w:rPr>
          <w:rFonts w:ascii="Calibri" w:hAnsi="Calibri" w:cs="Calibri"/>
          <w:noProof/>
        </w:rPr>
        <w:br/>
        <w:t>[Accessed 9 March 2024].</w:t>
      </w:r>
    </w:p>
    <w:p w14:paraId="4C5A67F5" w14:textId="77777777" w:rsidR="00D25C4A" w:rsidRPr="00C51F51" w:rsidRDefault="00D25C4A" w:rsidP="00D25C4A">
      <w:pPr>
        <w:pStyle w:val="Bibliography"/>
        <w:spacing w:line="240" w:lineRule="auto"/>
        <w:rPr>
          <w:rFonts w:ascii="Calibri" w:hAnsi="Calibri" w:cs="Calibri"/>
          <w:noProof/>
        </w:rPr>
      </w:pPr>
      <w:r w:rsidRPr="00C51F51">
        <w:rPr>
          <w:rFonts w:ascii="Calibri" w:hAnsi="Calibri" w:cs="Calibri"/>
          <w:noProof/>
        </w:rPr>
        <w:t xml:space="preserve">Laver, N., 2024. </w:t>
      </w:r>
      <w:r w:rsidRPr="00C51F51">
        <w:rPr>
          <w:rFonts w:ascii="Calibri" w:hAnsi="Calibri" w:cs="Calibri"/>
          <w:i/>
          <w:iCs/>
          <w:noProof/>
        </w:rPr>
        <w:t xml:space="preserve">Consideration in Contract Law. </w:t>
      </w:r>
      <w:r w:rsidRPr="00C51F51">
        <w:rPr>
          <w:rFonts w:ascii="Calibri" w:hAnsi="Calibri" w:cs="Calibri"/>
          <w:noProof/>
        </w:rPr>
        <w:t xml:space="preserve">[Online] </w:t>
      </w:r>
      <w:r w:rsidRPr="00C51F51">
        <w:rPr>
          <w:rFonts w:ascii="Calibri" w:hAnsi="Calibri" w:cs="Calibri"/>
          <w:noProof/>
        </w:rPr>
        <w:br/>
        <w:t xml:space="preserve">Available at: </w:t>
      </w:r>
      <w:r w:rsidRPr="00C51F51">
        <w:rPr>
          <w:rFonts w:ascii="Calibri" w:hAnsi="Calibri" w:cs="Calibri"/>
          <w:noProof/>
          <w:u w:val="single"/>
        </w:rPr>
        <w:t>https://www.claims.co.uk/knowledge-base/contract-law/consideration-in-contract#:~:text=in%20contract%20law-,What%20is%20consideration%20in%20contract%20law%3F,be%20anything%20that%20has%20value</w:t>
      </w:r>
      <w:r w:rsidRPr="00C51F51">
        <w:rPr>
          <w:rFonts w:ascii="Calibri" w:hAnsi="Calibri" w:cs="Calibri"/>
          <w:noProof/>
        </w:rPr>
        <w:br/>
        <w:t>[Accessed 9 March 2024].</w:t>
      </w:r>
    </w:p>
    <w:p w14:paraId="43530EA6" w14:textId="77777777" w:rsidR="00D25C4A" w:rsidRPr="00C51F51" w:rsidRDefault="00D25C4A" w:rsidP="00D25C4A">
      <w:pPr>
        <w:pStyle w:val="Bibliography"/>
        <w:spacing w:line="240" w:lineRule="auto"/>
        <w:rPr>
          <w:rFonts w:ascii="Calibri" w:hAnsi="Calibri" w:cs="Calibri"/>
          <w:noProof/>
        </w:rPr>
      </w:pPr>
      <w:r w:rsidRPr="00C51F51">
        <w:rPr>
          <w:rFonts w:ascii="Calibri" w:hAnsi="Calibri" w:cs="Calibri"/>
          <w:noProof/>
        </w:rPr>
        <w:t xml:space="preserve">Laver, N., 2024. </w:t>
      </w:r>
      <w:r w:rsidRPr="00C51F51">
        <w:rPr>
          <w:rFonts w:ascii="Calibri" w:hAnsi="Calibri" w:cs="Calibri"/>
          <w:i/>
          <w:iCs/>
          <w:noProof/>
        </w:rPr>
        <w:t xml:space="preserve">Domestic Agreements. </w:t>
      </w:r>
      <w:r w:rsidRPr="00C51F51">
        <w:rPr>
          <w:rFonts w:ascii="Calibri" w:hAnsi="Calibri" w:cs="Calibri"/>
          <w:noProof/>
        </w:rPr>
        <w:t xml:space="preserve">[Online] </w:t>
      </w:r>
      <w:r w:rsidRPr="00C51F51">
        <w:rPr>
          <w:rFonts w:ascii="Calibri" w:hAnsi="Calibri" w:cs="Calibri"/>
          <w:noProof/>
        </w:rPr>
        <w:br/>
        <w:t xml:space="preserve">Available at: </w:t>
      </w:r>
      <w:r w:rsidRPr="00C51F51">
        <w:rPr>
          <w:rFonts w:ascii="Calibri" w:hAnsi="Calibri" w:cs="Calibri"/>
          <w:noProof/>
          <w:u w:val="single"/>
        </w:rPr>
        <w:t>https://www.claims.co.uk/knowledge-base/marriage-law/domestic-agreements#:~:text=Unlike%20normal%20contractual%20relationships%2C%20however,often%20reluctant%20to%20enforce%20them.</w:t>
      </w:r>
      <w:r w:rsidRPr="00C51F51">
        <w:rPr>
          <w:rFonts w:ascii="Calibri" w:hAnsi="Calibri" w:cs="Calibri"/>
          <w:noProof/>
        </w:rPr>
        <w:br/>
        <w:t>[Accessed 9 March 2024].</w:t>
      </w:r>
    </w:p>
    <w:p w14:paraId="6465DEAE" w14:textId="77777777" w:rsidR="00D25C4A" w:rsidRPr="00C51F51" w:rsidRDefault="00D25C4A" w:rsidP="00D25C4A">
      <w:pPr>
        <w:pStyle w:val="Bibliography"/>
        <w:spacing w:line="240" w:lineRule="auto"/>
        <w:rPr>
          <w:rFonts w:ascii="Calibri" w:hAnsi="Calibri" w:cs="Calibri"/>
          <w:noProof/>
        </w:rPr>
      </w:pPr>
      <w:r w:rsidRPr="00C51F51">
        <w:rPr>
          <w:rFonts w:ascii="Calibri" w:hAnsi="Calibri" w:cs="Calibri"/>
          <w:noProof/>
        </w:rPr>
        <w:t xml:space="preserve">Laver, N., 2024. </w:t>
      </w:r>
      <w:r w:rsidRPr="00C51F51">
        <w:rPr>
          <w:rFonts w:ascii="Calibri" w:hAnsi="Calibri" w:cs="Calibri"/>
          <w:i/>
          <w:iCs/>
          <w:noProof/>
        </w:rPr>
        <w:t xml:space="preserve">Legal Intent in Contract Law. </w:t>
      </w:r>
      <w:r w:rsidRPr="00C51F51">
        <w:rPr>
          <w:rFonts w:ascii="Calibri" w:hAnsi="Calibri" w:cs="Calibri"/>
          <w:noProof/>
        </w:rPr>
        <w:t xml:space="preserve">[Online] </w:t>
      </w:r>
      <w:r w:rsidRPr="00C51F51">
        <w:rPr>
          <w:rFonts w:ascii="Calibri" w:hAnsi="Calibri" w:cs="Calibri"/>
          <w:noProof/>
        </w:rPr>
        <w:br/>
        <w:t xml:space="preserve">Available at: </w:t>
      </w:r>
      <w:r w:rsidRPr="00C51F51">
        <w:rPr>
          <w:rFonts w:ascii="Calibri" w:hAnsi="Calibri" w:cs="Calibri"/>
          <w:noProof/>
          <w:u w:val="single"/>
        </w:rPr>
        <w:t>https://www.claims.co.uk/knowledge-base/contract-law/legal-intent-in-contract</w:t>
      </w:r>
      <w:r w:rsidRPr="00C51F51">
        <w:rPr>
          <w:rFonts w:ascii="Calibri" w:hAnsi="Calibri" w:cs="Calibri"/>
          <w:noProof/>
        </w:rPr>
        <w:br/>
        <w:t>[Accessed 9 March 2024].</w:t>
      </w:r>
    </w:p>
    <w:p w14:paraId="331C9406" w14:textId="77777777" w:rsidR="00D25C4A" w:rsidRDefault="00D25C4A" w:rsidP="00D25C4A">
      <w:pPr>
        <w:pStyle w:val="Bibliography"/>
        <w:spacing w:line="240" w:lineRule="auto"/>
        <w:rPr>
          <w:rFonts w:ascii="Calibri" w:hAnsi="Calibri" w:cs="Calibri"/>
          <w:noProof/>
        </w:rPr>
      </w:pPr>
      <w:r w:rsidRPr="00C51F51">
        <w:rPr>
          <w:rFonts w:ascii="Calibri" w:hAnsi="Calibri" w:cs="Calibri"/>
          <w:noProof/>
        </w:rPr>
        <w:t xml:space="preserve">LawBite, 2024. </w:t>
      </w:r>
      <w:r w:rsidRPr="00C51F51">
        <w:rPr>
          <w:rFonts w:ascii="Calibri" w:hAnsi="Calibri" w:cs="Calibri"/>
          <w:i/>
          <w:iCs/>
          <w:noProof/>
        </w:rPr>
        <w:t xml:space="preserve">What is Consideration. </w:t>
      </w:r>
      <w:r w:rsidRPr="00C51F51">
        <w:rPr>
          <w:rFonts w:ascii="Calibri" w:hAnsi="Calibri" w:cs="Calibri"/>
          <w:noProof/>
        </w:rPr>
        <w:t xml:space="preserve">[Online] </w:t>
      </w:r>
      <w:r w:rsidRPr="00C51F51">
        <w:rPr>
          <w:rFonts w:ascii="Calibri" w:hAnsi="Calibri" w:cs="Calibri"/>
          <w:noProof/>
        </w:rPr>
        <w:br/>
        <w:t xml:space="preserve">Available at: </w:t>
      </w:r>
      <w:r w:rsidRPr="00C51F51">
        <w:rPr>
          <w:rFonts w:ascii="Calibri" w:hAnsi="Calibri" w:cs="Calibri"/>
          <w:noProof/>
          <w:u w:val="single"/>
        </w:rPr>
        <w:t>https://www.lawbite.co.uk/resources/blog/contracts-what-is-consideration</w:t>
      </w:r>
      <w:r w:rsidRPr="00C51F51">
        <w:rPr>
          <w:rFonts w:ascii="Calibri" w:hAnsi="Calibri" w:cs="Calibri"/>
          <w:noProof/>
        </w:rPr>
        <w:br/>
        <w:t>[Accessed 9 March 2024].</w:t>
      </w:r>
    </w:p>
    <w:p w14:paraId="6A6789B6" w14:textId="77777777" w:rsidR="00D25C4A" w:rsidRPr="00661051" w:rsidRDefault="00D25C4A" w:rsidP="00D25C4A">
      <w:pPr>
        <w:rPr>
          <w:rFonts w:ascii="Calibri" w:hAnsi="Calibri" w:cs="Calibri"/>
          <w:sz w:val="22"/>
          <w:szCs w:val="22"/>
          <w:lang w:eastAsia="en-US"/>
        </w:rPr>
      </w:pPr>
      <w:proofErr w:type="spellStart"/>
      <w:r w:rsidRPr="00661051">
        <w:rPr>
          <w:rFonts w:ascii="Calibri" w:hAnsi="Calibri" w:cs="Calibri"/>
          <w:sz w:val="22"/>
          <w:szCs w:val="22"/>
          <w:lang w:eastAsia="en-US"/>
        </w:rPr>
        <w:t>LawBite</w:t>
      </w:r>
      <w:proofErr w:type="spellEnd"/>
      <w:r w:rsidRPr="00661051">
        <w:rPr>
          <w:rFonts w:ascii="Calibri" w:hAnsi="Calibri" w:cs="Calibri"/>
          <w:sz w:val="22"/>
          <w:szCs w:val="22"/>
          <w:lang w:eastAsia="en-US"/>
        </w:rPr>
        <w:t xml:space="preserve">, 2024. </w:t>
      </w:r>
      <w:r w:rsidRPr="00661051">
        <w:rPr>
          <w:rFonts w:ascii="Calibri" w:hAnsi="Calibri" w:cs="Calibri"/>
          <w:i/>
          <w:iCs/>
          <w:sz w:val="22"/>
          <w:szCs w:val="22"/>
          <w:lang w:eastAsia="en-US"/>
        </w:rPr>
        <w:t xml:space="preserve">Contracts – What is nominal consideration? </w:t>
      </w:r>
      <w:r w:rsidRPr="00661051">
        <w:rPr>
          <w:rFonts w:ascii="Calibri" w:hAnsi="Calibri" w:cs="Calibri"/>
          <w:sz w:val="22"/>
          <w:szCs w:val="22"/>
          <w:lang w:eastAsia="en-US"/>
        </w:rPr>
        <w:t xml:space="preserve">[Online] Available at: </w:t>
      </w:r>
      <w:hyperlink r:id="rId8" w:history="1">
        <w:r w:rsidRPr="00661051">
          <w:rPr>
            <w:rStyle w:val="Hyperlink"/>
            <w:rFonts w:ascii="Calibri" w:hAnsi="Calibri" w:cs="Calibri"/>
            <w:sz w:val="22"/>
            <w:szCs w:val="22"/>
            <w:lang w:eastAsia="en-US"/>
          </w:rPr>
          <w:t>https://www.lawbite.co.uk/resources/blog/contracts-what-is-consideration</w:t>
        </w:r>
      </w:hyperlink>
      <w:r w:rsidRPr="00661051">
        <w:rPr>
          <w:rFonts w:ascii="Calibri" w:hAnsi="Calibri" w:cs="Calibri"/>
          <w:sz w:val="22"/>
          <w:szCs w:val="22"/>
          <w:lang w:eastAsia="en-US"/>
        </w:rPr>
        <w:t xml:space="preserve"> </w:t>
      </w:r>
    </w:p>
    <w:p w14:paraId="211AFBA9" w14:textId="77777777" w:rsidR="00D25C4A" w:rsidRPr="00661051" w:rsidRDefault="00D25C4A" w:rsidP="00D25C4A">
      <w:pPr>
        <w:rPr>
          <w:rFonts w:ascii="Calibri" w:hAnsi="Calibri" w:cs="Calibri"/>
          <w:sz w:val="22"/>
          <w:szCs w:val="22"/>
          <w:lang w:eastAsia="en-US"/>
        </w:rPr>
      </w:pPr>
      <w:r w:rsidRPr="00661051">
        <w:rPr>
          <w:rFonts w:ascii="Calibri" w:hAnsi="Calibri" w:cs="Calibri"/>
          <w:sz w:val="22"/>
          <w:szCs w:val="22"/>
          <w:lang w:eastAsia="en-US"/>
        </w:rPr>
        <w:t>[Accessed 9 March 2024]</w:t>
      </w:r>
    </w:p>
    <w:p w14:paraId="2335557E" w14:textId="77777777" w:rsidR="00D25C4A" w:rsidRPr="00C51F51" w:rsidRDefault="00D25C4A" w:rsidP="00D25C4A">
      <w:pPr>
        <w:pStyle w:val="Bibliography"/>
        <w:spacing w:line="240" w:lineRule="auto"/>
        <w:rPr>
          <w:rFonts w:ascii="Calibri" w:hAnsi="Calibri" w:cs="Calibri"/>
          <w:noProof/>
        </w:rPr>
      </w:pPr>
      <w:r w:rsidRPr="00C51F51">
        <w:rPr>
          <w:rFonts w:ascii="Calibri" w:hAnsi="Calibri" w:cs="Calibri"/>
          <w:noProof/>
        </w:rPr>
        <w:lastRenderedPageBreak/>
        <w:t xml:space="preserve">LexisNexis, 2024. </w:t>
      </w:r>
      <w:r w:rsidRPr="00C51F51">
        <w:rPr>
          <w:rFonts w:ascii="Calibri" w:hAnsi="Calibri" w:cs="Calibri"/>
          <w:i/>
          <w:iCs/>
          <w:noProof/>
        </w:rPr>
        <w:t xml:space="preserve">Promissory Estoppel. </w:t>
      </w:r>
      <w:r w:rsidRPr="00C51F51">
        <w:rPr>
          <w:rFonts w:ascii="Calibri" w:hAnsi="Calibri" w:cs="Calibri"/>
          <w:noProof/>
        </w:rPr>
        <w:t xml:space="preserve">[Online] </w:t>
      </w:r>
      <w:r w:rsidRPr="00C51F51">
        <w:rPr>
          <w:rFonts w:ascii="Calibri" w:hAnsi="Calibri" w:cs="Calibri"/>
          <w:noProof/>
        </w:rPr>
        <w:br/>
        <w:t xml:space="preserve">Available at: </w:t>
      </w:r>
      <w:r w:rsidRPr="00C51F51">
        <w:rPr>
          <w:rFonts w:ascii="Calibri" w:hAnsi="Calibri" w:cs="Calibri"/>
          <w:noProof/>
          <w:u w:val="single"/>
        </w:rPr>
        <w:t>https://www.lexisnexis.co.uk/legal/guidance/promissory-estoppel</w:t>
      </w:r>
      <w:r w:rsidRPr="00C51F51">
        <w:rPr>
          <w:rFonts w:ascii="Calibri" w:hAnsi="Calibri" w:cs="Calibri"/>
          <w:noProof/>
        </w:rPr>
        <w:br/>
        <w:t>[Accessed 9 March 2024].</w:t>
      </w:r>
    </w:p>
    <w:p w14:paraId="501D871B" w14:textId="77777777" w:rsidR="00D25C4A" w:rsidRPr="00C51F51" w:rsidRDefault="00D25C4A" w:rsidP="00D25C4A">
      <w:pPr>
        <w:pStyle w:val="Bibliography"/>
        <w:spacing w:line="240" w:lineRule="auto"/>
        <w:rPr>
          <w:rFonts w:ascii="Calibri" w:hAnsi="Calibri" w:cs="Calibri"/>
          <w:noProof/>
        </w:rPr>
      </w:pPr>
      <w:r w:rsidRPr="00C51F51">
        <w:rPr>
          <w:rFonts w:ascii="Calibri" w:hAnsi="Calibri" w:cs="Calibri"/>
          <w:noProof/>
        </w:rPr>
        <w:t xml:space="preserve">LLP, L. a. W., 2024. </w:t>
      </w:r>
      <w:r w:rsidRPr="00C51F51">
        <w:rPr>
          <w:rFonts w:ascii="Calibri" w:hAnsi="Calibri" w:cs="Calibri"/>
          <w:i/>
          <w:iCs/>
          <w:noProof/>
        </w:rPr>
        <w:t xml:space="preserve">Contract Formation in the UK. </w:t>
      </w:r>
      <w:r w:rsidRPr="00C51F51">
        <w:rPr>
          <w:rFonts w:ascii="Calibri" w:hAnsi="Calibri" w:cs="Calibri"/>
          <w:noProof/>
        </w:rPr>
        <w:t xml:space="preserve">[Online] </w:t>
      </w:r>
      <w:r w:rsidRPr="00C51F51">
        <w:rPr>
          <w:rFonts w:ascii="Calibri" w:hAnsi="Calibri" w:cs="Calibri"/>
          <w:noProof/>
        </w:rPr>
        <w:br/>
        <w:t xml:space="preserve">Available at: </w:t>
      </w:r>
      <w:r w:rsidRPr="00C51F51">
        <w:rPr>
          <w:rFonts w:ascii="Calibri" w:hAnsi="Calibri" w:cs="Calibri"/>
          <w:noProof/>
          <w:u w:val="single"/>
        </w:rPr>
        <w:t>https://www.lexology.com/library/detail.aspx?g=c6962fd6-5059-455f-b14e-863311ca8396</w:t>
      </w:r>
      <w:r w:rsidRPr="00C51F51">
        <w:rPr>
          <w:rFonts w:ascii="Calibri" w:hAnsi="Calibri" w:cs="Calibri"/>
          <w:noProof/>
        </w:rPr>
        <w:br/>
        <w:t>[Accessed 9 March 2024].</w:t>
      </w:r>
    </w:p>
    <w:p w14:paraId="17D509D4" w14:textId="77777777" w:rsidR="00D25C4A" w:rsidRPr="00C51F51" w:rsidRDefault="00D25C4A" w:rsidP="00D25C4A">
      <w:pPr>
        <w:pStyle w:val="Bibliography"/>
        <w:spacing w:line="240" w:lineRule="auto"/>
        <w:rPr>
          <w:rFonts w:ascii="Calibri" w:hAnsi="Calibri" w:cs="Calibri"/>
          <w:noProof/>
        </w:rPr>
      </w:pPr>
      <w:r w:rsidRPr="00C51F51">
        <w:rPr>
          <w:rFonts w:ascii="Calibri" w:hAnsi="Calibri" w:cs="Calibri"/>
          <w:noProof/>
        </w:rPr>
        <w:t xml:space="preserve">Winder, M. a. C. G., 2023. </w:t>
      </w:r>
      <w:r w:rsidRPr="00C51F51">
        <w:rPr>
          <w:rFonts w:ascii="Calibri" w:hAnsi="Calibri" w:cs="Calibri"/>
          <w:i/>
          <w:iCs/>
          <w:noProof/>
        </w:rPr>
        <w:t xml:space="preserve">Contract Formation: What Constitutes Offer and Acceptance. </w:t>
      </w:r>
      <w:r w:rsidRPr="00C51F51">
        <w:rPr>
          <w:rFonts w:ascii="Calibri" w:hAnsi="Calibri" w:cs="Calibri"/>
          <w:noProof/>
        </w:rPr>
        <w:t xml:space="preserve">[Online] </w:t>
      </w:r>
      <w:r w:rsidRPr="00C51F51">
        <w:rPr>
          <w:rFonts w:ascii="Calibri" w:hAnsi="Calibri" w:cs="Calibri"/>
          <w:noProof/>
        </w:rPr>
        <w:br/>
        <w:t xml:space="preserve">Available at: </w:t>
      </w:r>
      <w:r w:rsidRPr="00C51F51">
        <w:rPr>
          <w:rFonts w:ascii="Calibri" w:hAnsi="Calibri" w:cs="Calibri"/>
          <w:noProof/>
          <w:u w:val="single"/>
        </w:rPr>
        <w:t>https://www.brabners.com/blogs/contract-formation-what-constitutes-offer-and-acceptance</w:t>
      </w:r>
      <w:r w:rsidRPr="00C51F51">
        <w:rPr>
          <w:rFonts w:ascii="Calibri" w:hAnsi="Calibri" w:cs="Calibri"/>
          <w:noProof/>
        </w:rPr>
        <w:br/>
        <w:t>[Accessed 9 March 2024].</w:t>
      </w:r>
    </w:p>
    <w:p w14:paraId="62E6B685" w14:textId="77777777" w:rsidR="00D25C4A" w:rsidRPr="00C51F51" w:rsidRDefault="00D25C4A" w:rsidP="00D25C4A">
      <w:pPr>
        <w:rPr>
          <w:rFonts w:ascii="Calibri" w:hAnsi="Calibri" w:cs="Calibri"/>
          <w:sz w:val="22"/>
          <w:szCs w:val="22"/>
          <w:shd w:val="clear" w:color="auto" w:fill="FFFFFF"/>
        </w:rPr>
      </w:pPr>
      <w:r w:rsidRPr="00C51F51">
        <w:rPr>
          <w:rFonts w:ascii="Calibri" w:hAnsi="Calibri" w:cs="Calibri"/>
          <w:sz w:val="22"/>
          <w:szCs w:val="22"/>
          <w:shd w:val="clear" w:color="auto" w:fill="FFFFFF"/>
        </w:rPr>
        <w:t>Clarke, David (2006). </w:t>
      </w:r>
      <w:hyperlink r:id="rId9" w:history="1">
        <w:r w:rsidRPr="00C51F51">
          <w:rPr>
            <w:rStyle w:val="Hyperlink"/>
            <w:rFonts w:ascii="Calibri" w:eastAsiaTheme="majorEastAsia" w:hAnsi="Calibri" w:cs="Calibri"/>
            <w:color w:val="auto"/>
            <w:sz w:val="22"/>
            <w:szCs w:val="22"/>
            <w:u w:val="none"/>
          </w:rPr>
          <w:t>"Long Residential Leases: Future Directions"</w:t>
        </w:r>
      </w:hyperlink>
      <w:r w:rsidRPr="00C51F51">
        <w:rPr>
          <w:rFonts w:ascii="Calibri" w:hAnsi="Calibri" w:cs="Calibri"/>
          <w:sz w:val="22"/>
          <w:szCs w:val="22"/>
          <w:shd w:val="clear" w:color="auto" w:fill="FFFFFF"/>
        </w:rPr>
        <w:t>. In Bright, Susan (ed.). </w:t>
      </w:r>
      <w:r w:rsidRPr="00C51F51">
        <w:rPr>
          <w:rFonts w:ascii="Calibri" w:hAnsi="Calibri" w:cs="Calibri"/>
          <w:i/>
          <w:iCs/>
          <w:sz w:val="22"/>
          <w:szCs w:val="22"/>
          <w:shd w:val="clear" w:color="auto" w:fill="FFFFFF"/>
        </w:rPr>
        <w:t>Landlord and Tenant Law: Past, Present and Future</w:t>
      </w:r>
      <w:r w:rsidRPr="00C51F51">
        <w:rPr>
          <w:rFonts w:ascii="Calibri" w:hAnsi="Calibri" w:cs="Calibri"/>
          <w:sz w:val="22"/>
          <w:szCs w:val="22"/>
          <w:shd w:val="clear" w:color="auto" w:fill="FFFFFF"/>
        </w:rPr>
        <w:t>. </w:t>
      </w:r>
      <w:hyperlink r:id="rId10" w:tooltip="Bloomsbury Publishing" w:history="1">
        <w:r w:rsidRPr="00C51F51">
          <w:rPr>
            <w:rStyle w:val="Hyperlink"/>
            <w:rFonts w:ascii="Calibri" w:eastAsiaTheme="majorEastAsia" w:hAnsi="Calibri" w:cs="Calibri"/>
            <w:color w:val="auto"/>
            <w:sz w:val="22"/>
            <w:szCs w:val="22"/>
            <w:u w:val="none"/>
            <w:shd w:val="clear" w:color="auto" w:fill="FFFFFF"/>
          </w:rPr>
          <w:t>Bloomsbury Publishing</w:t>
        </w:r>
      </w:hyperlink>
      <w:r w:rsidRPr="00C51F51">
        <w:rPr>
          <w:rFonts w:ascii="Calibri" w:hAnsi="Calibri" w:cs="Calibri"/>
          <w:sz w:val="22"/>
          <w:szCs w:val="22"/>
          <w:shd w:val="clear" w:color="auto" w:fill="FFFFFF"/>
        </w:rPr>
        <w:t xml:space="preserve">. pp. 171–190. </w:t>
      </w:r>
    </w:p>
    <w:p w14:paraId="47F50879" w14:textId="77777777" w:rsidR="00D25C4A" w:rsidRPr="00C51F51" w:rsidRDefault="00D25C4A" w:rsidP="00D25C4A">
      <w:pPr>
        <w:rPr>
          <w:rFonts w:ascii="Calibri" w:hAnsi="Calibri" w:cs="Calibri"/>
          <w:sz w:val="22"/>
          <w:szCs w:val="22"/>
          <w:shd w:val="clear" w:color="auto" w:fill="FFFFFF"/>
        </w:rPr>
      </w:pPr>
    </w:p>
    <w:p w14:paraId="1E52E2F9" w14:textId="77777777" w:rsidR="00D25C4A" w:rsidRPr="00C51F51" w:rsidRDefault="00D25C4A" w:rsidP="00D25C4A">
      <w:pPr>
        <w:rPr>
          <w:rFonts w:ascii="Calibri" w:hAnsi="Calibri" w:cs="Calibri"/>
          <w:sz w:val="22"/>
          <w:szCs w:val="22"/>
          <w:shd w:val="clear" w:color="auto" w:fill="FFFFFF"/>
        </w:rPr>
      </w:pPr>
      <w:r w:rsidRPr="00C51F51">
        <w:rPr>
          <w:rFonts w:ascii="Calibri" w:hAnsi="Calibri" w:cs="Calibri"/>
          <w:sz w:val="22"/>
          <w:szCs w:val="22"/>
          <w:shd w:val="clear" w:color="auto" w:fill="FFFFFF"/>
        </w:rPr>
        <w:t xml:space="preserve">Scholarly Community Encyclopaedia, 2024. </w:t>
      </w:r>
      <w:r w:rsidRPr="00C51F51">
        <w:rPr>
          <w:rFonts w:ascii="Calibri" w:hAnsi="Calibri" w:cs="Calibri"/>
          <w:i/>
          <w:iCs/>
          <w:sz w:val="22"/>
          <w:szCs w:val="22"/>
          <w:shd w:val="clear" w:color="auto" w:fill="FFFFFF"/>
        </w:rPr>
        <w:t xml:space="preserve">Peppercorn (Legal). </w:t>
      </w:r>
      <w:r w:rsidRPr="00C51F51">
        <w:rPr>
          <w:rFonts w:ascii="Calibri" w:hAnsi="Calibri" w:cs="Calibri"/>
          <w:sz w:val="22"/>
          <w:szCs w:val="22"/>
          <w:shd w:val="clear" w:color="auto" w:fill="FFFFFF"/>
        </w:rPr>
        <w:t xml:space="preserve">[Online] Available at: </w:t>
      </w:r>
      <w:hyperlink r:id="rId11" w:history="1">
        <w:r w:rsidRPr="00C51F51">
          <w:rPr>
            <w:rStyle w:val="Hyperlink"/>
            <w:rFonts w:ascii="Calibri" w:hAnsi="Calibri" w:cs="Calibri"/>
            <w:sz w:val="22"/>
            <w:szCs w:val="22"/>
            <w:shd w:val="clear" w:color="auto" w:fill="FFFFFF"/>
          </w:rPr>
          <w:t>https://encyclopedia.pub/entry/32254</w:t>
        </w:r>
      </w:hyperlink>
      <w:r w:rsidRPr="00C51F51">
        <w:rPr>
          <w:rFonts w:ascii="Calibri" w:hAnsi="Calibri" w:cs="Calibri"/>
          <w:sz w:val="22"/>
          <w:szCs w:val="22"/>
          <w:shd w:val="clear" w:color="auto" w:fill="FFFFFF"/>
        </w:rPr>
        <w:t xml:space="preserve"> </w:t>
      </w:r>
    </w:p>
    <w:p w14:paraId="6CDA3C34" w14:textId="77777777" w:rsidR="00D25C4A" w:rsidRDefault="00D25C4A" w:rsidP="00D25C4A">
      <w:pPr>
        <w:rPr>
          <w:rFonts w:ascii="Calibri" w:hAnsi="Calibri" w:cs="Calibri"/>
          <w:sz w:val="22"/>
          <w:szCs w:val="22"/>
          <w:lang w:eastAsia="en-US"/>
        </w:rPr>
      </w:pPr>
      <w:r w:rsidRPr="00C51F51">
        <w:rPr>
          <w:rFonts w:ascii="Calibri" w:hAnsi="Calibri" w:cs="Calibri"/>
          <w:sz w:val="22"/>
          <w:szCs w:val="22"/>
          <w:lang w:eastAsia="en-US"/>
        </w:rPr>
        <w:t>[Accessed 9 March 2024]</w:t>
      </w:r>
    </w:p>
    <w:p w14:paraId="0B447741" w14:textId="77777777" w:rsidR="00D25C4A" w:rsidRDefault="00D25C4A" w:rsidP="00D25C4A">
      <w:pPr>
        <w:rPr>
          <w:rFonts w:ascii="Calibri" w:hAnsi="Calibri" w:cs="Calibri"/>
          <w:sz w:val="22"/>
          <w:szCs w:val="22"/>
          <w:lang w:eastAsia="en-US"/>
        </w:rPr>
      </w:pPr>
    </w:p>
    <w:p w14:paraId="5C9F9C81" w14:textId="77777777" w:rsidR="00D25C4A" w:rsidRDefault="00D25C4A" w:rsidP="00D25C4A">
      <w:pPr>
        <w:rPr>
          <w:rFonts w:ascii="Calibri" w:hAnsi="Calibri" w:cs="Calibri"/>
          <w:sz w:val="22"/>
          <w:szCs w:val="22"/>
          <w:lang w:eastAsia="en-US"/>
        </w:rPr>
      </w:pPr>
      <w:r>
        <w:rPr>
          <w:rFonts w:ascii="Calibri" w:hAnsi="Calibri" w:cs="Calibri"/>
          <w:sz w:val="22"/>
          <w:szCs w:val="22"/>
          <w:lang w:eastAsia="en-US"/>
        </w:rPr>
        <w:t xml:space="preserve">Hall Ellis (2024). </w:t>
      </w:r>
      <w:r>
        <w:rPr>
          <w:rFonts w:ascii="Calibri" w:hAnsi="Calibri" w:cs="Calibri"/>
          <w:i/>
          <w:iCs/>
          <w:sz w:val="22"/>
          <w:szCs w:val="22"/>
          <w:lang w:eastAsia="en-US"/>
        </w:rPr>
        <w:t xml:space="preserve">Consideration: Contract Law (meaning, types &amp; purpose). </w:t>
      </w:r>
      <w:r>
        <w:rPr>
          <w:rFonts w:ascii="Calibri" w:hAnsi="Calibri" w:cs="Calibri"/>
          <w:sz w:val="22"/>
          <w:szCs w:val="22"/>
          <w:lang w:eastAsia="en-US"/>
        </w:rPr>
        <w:t xml:space="preserve">[Online] Available at: </w:t>
      </w:r>
      <w:hyperlink r:id="rId12" w:history="1">
        <w:r w:rsidRPr="00D93035">
          <w:rPr>
            <w:rStyle w:val="Hyperlink"/>
            <w:rFonts w:ascii="Calibri" w:hAnsi="Calibri" w:cs="Calibri"/>
            <w:sz w:val="22"/>
            <w:szCs w:val="22"/>
            <w:lang w:eastAsia="en-US"/>
          </w:rPr>
          <w:t>https://hallellis.co.uk/contractual-consideration/</w:t>
        </w:r>
      </w:hyperlink>
      <w:r>
        <w:rPr>
          <w:rFonts w:ascii="Calibri" w:hAnsi="Calibri" w:cs="Calibri"/>
          <w:sz w:val="22"/>
          <w:szCs w:val="22"/>
          <w:lang w:eastAsia="en-US"/>
        </w:rPr>
        <w:t xml:space="preserve"> </w:t>
      </w:r>
    </w:p>
    <w:p w14:paraId="7243DAED" w14:textId="77777777" w:rsidR="00D25C4A" w:rsidRPr="00EC037D" w:rsidRDefault="00D25C4A" w:rsidP="00D25C4A">
      <w:pPr>
        <w:rPr>
          <w:rFonts w:ascii="Calibri" w:hAnsi="Calibri" w:cs="Calibri"/>
          <w:sz w:val="22"/>
          <w:szCs w:val="22"/>
          <w:lang w:eastAsia="en-US"/>
        </w:rPr>
      </w:pPr>
      <w:r>
        <w:rPr>
          <w:rFonts w:ascii="Calibri" w:hAnsi="Calibri" w:cs="Calibri"/>
          <w:sz w:val="22"/>
          <w:szCs w:val="22"/>
          <w:lang w:eastAsia="en-US"/>
        </w:rPr>
        <w:t xml:space="preserve">[Accessed 9 March 2024] </w:t>
      </w:r>
    </w:p>
    <w:p w14:paraId="30329CAD" w14:textId="77777777" w:rsidR="00D25C4A" w:rsidRPr="00EC037D" w:rsidRDefault="00D25C4A" w:rsidP="00D25C4A">
      <w:pPr>
        <w:rPr>
          <w:rFonts w:ascii="Calibri" w:hAnsi="Calibri" w:cs="Calibri"/>
          <w:i/>
          <w:iCs/>
          <w:sz w:val="22"/>
          <w:szCs w:val="22"/>
          <w:lang w:val="en-US"/>
        </w:rPr>
      </w:pPr>
    </w:p>
    <w:p w14:paraId="20B165F3" w14:textId="77777777" w:rsidR="00D25C4A" w:rsidRPr="00C51F51" w:rsidRDefault="00D25C4A" w:rsidP="00D25C4A">
      <w:pPr>
        <w:rPr>
          <w:rFonts w:ascii="Calibri" w:hAnsi="Calibri" w:cs="Calibri"/>
          <w:b/>
          <w:bCs/>
          <w:sz w:val="22"/>
          <w:szCs w:val="22"/>
          <w:u w:val="single"/>
          <w:lang w:val="en-US"/>
        </w:rPr>
      </w:pPr>
    </w:p>
    <w:p w14:paraId="50A0F198" w14:textId="77777777" w:rsidR="00D25C4A" w:rsidRPr="00C51F51" w:rsidRDefault="00D25C4A" w:rsidP="00D25C4A">
      <w:pPr>
        <w:rPr>
          <w:rFonts w:ascii="Calibri" w:hAnsi="Calibri" w:cs="Calibri"/>
          <w:b/>
          <w:bCs/>
          <w:sz w:val="22"/>
          <w:szCs w:val="22"/>
          <w:u w:val="single"/>
          <w:lang w:val="en-US"/>
        </w:rPr>
      </w:pPr>
      <w:r w:rsidRPr="00C51F51">
        <w:rPr>
          <w:rFonts w:ascii="Calibri" w:hAnsi="Calibri" w:cs="Calibri"/>
          <w:b/>
          <w:bCs/>
          <w:sz w:val="22"/>
          <w:szCs w:val="22"/>
          <w:u w:val="single"/>
          <w:lang w:val="en-US"/>
        </w:rPr>
        <w:t>Case Law</w:t>
      </w:r>
    </w:p>
    <w:p w14:paraId="496137A6" w14:textId="77777777" w:rsidR="00D25C4A" w:rsidRPr="00C51F51" w:rsidRDefault="00D25C4A" w:rsidP="00D25C4A">
      <w:pPr>
        <w:rPr>
          <w:rFonts w:ascii="Calibri" w:hAnsi="Calibri" w:cs="Calibri"/>
          <w:sz w:val="22"/>
          <w:szCs w:val="22"/>
          <w:lang w:val="en-US"/>
        </w:rPr>
      </w:pPr>
      <w:r w:rsidRPr="00C51F51">
        <w:rPr>
          <w:rFonts w:ascii="Calibri" w:hAnsi="Calibri" w:cs="Calibri"/>
          <w:sz w:val="22"/>
          <w:szCs w:val="22"/>
          <w:lang w:val="en-US"/>
        </w:rPr>
        <w:t xml:space="preserve">Storer v Manchester City Council [1974] 1 WLR 1403 </w:t>
      </w:r>
    </w:p>
    <w:p w14:paraId="31A0B692" w14:textId="77777777" w:rsidR="00D25C4A" w:rsidRPr="00C51F51" w:rsidRDefault="00D25C4A" w:rsidP="00D25C4A">
      <w:pPr>
        <w:rPr>
          <w:rFonts w:ascii="Calibri" w:hAnsi="Calibri" w:cs="Calibri"/>
          <w:sz w:val="22"/>
          <w:szCs w:val="22"/>
          <w:lang w:val="en-US"/>
        </w:rPr>
      </w:pPr>
      <w:r w:rsidRPr="00C51F51">
        <w:rPr>
          <w:rFonts w:ascii="Calibri" w:hAnsi="Calibri" w:cs="Calibri"/>
          <w:sz w:val="22"/>
          <w:szCs w:val="22"/>
          <w:lang w:val="en-US"/>
        </w:rPr>
        <w:t xml:space="preserve">Currie v Misa [1875] </w:t>
      </w:r>
    </w:p>
    <w:p w14:paraId="7D88BBA7" w14:textId="77777777" w:rsidR="00D25C4A" w:rsidRPr="00C51F51" w:rsidRDefault="00D25C4A" w:rsidP="00D25C4A">
      <w:pPr>
        <w:rPr>
          <w:rFonts w:ascii="Calibri" w:hAnsi="Calibri" w:cs="Calibri"/>
          <w:sz w:val="22"/>
          <w:szCs w:val="22"/>
          <w:lang w:val="en-US"/>
        </w:rPr>
      </w:pPr>
      <w:r w:rsidRPr="00C51F51">
        <w:rPr>
          <w:rFonts w:ascii="Calibri" w:hAnsi="Calibri" w:cs="Calibri"/>
          <w:sz w:val="22"/>
          <w:szCs w:val="22"/>
          <w:lang w:val="en-US"/>
        </w:rPr>
        <w:t>Combe v Combe [1951] 2 KB 215 at 220</w:t>
      </w:r>
    </w:p>
    <w:p w14:paraId="14AE145A" w14:textId="0193F3DA" w:rsidR="005D0DEB" w:rsidRDefault="00D25C4A" w:rsidP="00D25C4A">
      <w:pPr>
        <w:rPr>
          <w:rFonts w:ascii="Calibri" w:hAnsi="Calibri" w:cs="Calibri"/>
          <w:sz w:val="22"/>
          <w:szCs w:val="22"/>
        </w:rPr>
      </w:pPr>
      <w:r w:rsidRPr="00C51F51">
        <w:rPr>
          <w:rFonts w:ascii="Calibri" w:hAnsi="Calibri" w:cs="Calibri"/>
          <w:sz w:val="22"/>
          <w:szCs w:val="22"/>
          <w:lang w:val="en-US"/>
        </w:rPr>
        <w:t>Chappell &amp; Co vs Nestle Co Ltd [1960] AC 87</w:t>
      </w:r>
    </w:p>
    <w:p w14:paraId="03B872B4" w14:textId="77777777" w:rsidR="005D0DEB" w:rsidRPr="00F50289" w:rsidRDefault="005D0DEB">
      <w:pPr>
        <w:rPr>
          <w:rFonts w:ascii="Calibri" w:hAnsi="Calibri" w:cs="Calibri"/>
          <w:sz w:val="22"/>
          <w:szCs w:val="22"/>
        </w:rPr>
      </w:pPr>
    </w:p>
    <w:sectPr w:rsidR="005D0DEB" w:rsidRPr="00F50289">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A3108A" w14:textId="77777777" w:rsidR="00636F57" w:rsidRDefault="00636F57" w:rsidP="003B25B8">
      <w:r>
        <w:separator/>
      </w:r>
    </w:p>
  </w:endnote>
  <w:endnote w:type="continuationSeparator" w:id="0">
    <w:p w14:paraId="19845CB0" w14:textId="77777777" w:rsidR="00636F57" w:rsidRDefault="00636F57" w:rsidP="003B25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F3F4C" w14:textId="77777777" w:rsidR="00636F57" w:rsidRDefault="00636F57" w:rsidP="003B25B8">
      <w:r>
        <w:separator/>
      </w:r>
    </w:p>
  </w:footnote>
  <w:footnote w:type="continuationSeparator" w:id="0">
    <w:p w14:paraId="30A4C53F" w14:textId="77777777" w:rsidR="00636F57" w:rsidRDefault="00636F57" w:rsidP="003B25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380D0" w14:textId="293A671E" w:rsidR="003B25B8" w:rsidRDefault="003B25B8">
    <w:pPr>
      <w:pStyle w:val="Header"/>
      <w:rPr>
        <w:lang w:val="en-US"/>
      </w:rPr>
    </w:pPr>
    <w:r>
      <w:rPr>
        <w:lang w:val="en-US"/>
      </w:rPr>
      <w:t>Shannon Clark</w:t>
    </w:r>
  </w:p>
  <w:p w14:paraId="56699DFE" w14:textId="2F061DBD" w:rsidR="003B25B8" w:rsidRDefault="003B25B8">
    <w:pPr>
      <w:pStyle w:val="Header"/>
      <w:rPr>
        <w:lang w:val="en-US"/>
      </w:rPr>
    </w:pPr>
    <w:r>
      <w:rPr>
        <w:lang w:val="en-US"/>
      </w:rPr>
      <w:t>2205377</w:t>
    </w:r>
    <w:r>
      <w:rPr>
        <w:lang w:val="en-US"/>
      </w:rPr>
      <w:tab/>
    </w:r>
    <w:r>
      <w:rPr>
        <w:lang w:val="en-US"/>
      </w:rPr>
      <w:tab/>
    </w:r>
  </w:p>
  <w:p w14:paraId="25321F70" w14:textId="6E23902D" w:rsidR="003B25B8" w:rsidRPr="003B25B8" w:rsidRDefault="003B25B8">
    <w:pPr>
      <w:pStyle w:val="Header"/>
      <w:rPr>
        <w:lang w:val="en-US"/>
      </w:rPr>
    </w:pPr>
    <w:r>
      <w:rPr>
        <w:lang w:val="en-US"/>
      </w:rPr>
      <w:t xml:space="preserve">Contract Law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D0544"/>
    <w:multiLevelType w:val="hybridMultilevel"/>
    <w:tmpl w:val="9046537E"/>
    <w:lvl w:ilvl="0" w:tplc="CDDC0EF0">
      <w:numFmt w:val="bullet"/>
      <w:lvlText w:val="-"/>
      <w:lvlJc w:val="left"/>
      <w:pPr>
        <w:ind w:left="1080" w:hanging="360"/>
      </w:pPr>
      <w:rPr>
        <w:rFonts w:ascii="Times New Roman" w:eastAsia="Times New Roman" w:hAnsi="Times New Roman" w:cs="Times New Roman" w:hint="default"/>
        <w:sz w:val="28"/>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 w15:restartNumberingAfterBreak="0">
    <w:nsid w:val="23A1152A"/>
    <w:multiLevelType w:val="hybridMultilevel"/>
    <w:tmpl w:val="68BC5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9508566">
    <w:abstractNumId w:val="0"/>
  </w:num>
  <w:num w:numId="2" w16cid:durableId="854617718">
    <w:abstractNumId w:val="0"/>
  </w:num>
  <w:num w:numId="3" w16cid:durableId="3390421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5B8"/>
    <w:rsid w:val="000141F6"/>
    <w:rsid w:val="000409F6"/>
    <w:rsid w:val="00044CEE"/>
    <w:rsid w:val="00073B49"/>
    <w:rsid w:val="0007501E"/>
    <w:rsid w:val="00086261"/>
    <w:rsid w:val="00095843"/>
    <w:rsid w:val="000A248B"/>
    <w:rsid w:val="000B6309"/>
    <w:rsid w:val="000E2609"/>
    <w:rsid w:val="000E47E0"/>
    <w:rsid w:val="00103E45"/>
    <w:rsid w:val="0011011A"/>
    <w:rsid w:val="00113443"/>
    <w:rsid w:val="00130DF9"/>
    <w:rsid w:val="00142FBD"/>
    <w:rsid w:val="0014367B"/>
    <w:rsid w:val="0016420D"/>
    <w:rsid w:val="00167779"/>
    <w:rsid w:val="00170887"/>
    <w:rsid w:val="00170A1F"/>
    <w:rsid w:val="001A3C0C"/>
    <w:rsid w:val="001D7D48"/>
    <w:rsid w:val="00215C5C"/>
    <w:rsid w:val="0022377A"/>
    <w:rsid w:val="00225125"/>
    <w:rsid w:val="0022630D"/>
    <w:rsid w:val="00247314"/>
    <w:rsid w:val="00254C25"/>
    <w:rsid w:val="00275E31"/>
    <w:rsid w:val="00280890"/>
    <w:rsid w:val="00285209"/>
    <w:rsid w:val="002A5D45"/>
    <w:rsid w:val="002A67F7"/>
    <w:rsid w:val="002E2B21"/>
    <w:rsid w:val="002E5511"/>
    <w:rsid w:val="002E7AC7"/>
    <w:rsid w:val="003235C5"/>
    <w:rsid w:val="00324802"/>
    <w:rsid w:val="00335EDA"/>
    <w:rsid w:val="00346EAD"/>
    <w:rsid w:val="0035241C"/>
    <w:rsid w:val="0036086A"/>
    <w:rsid w:val="00364FDB"/>
    <w:rsid w:val="00390001"/>
    <w:rsid w:val="003A41F0"/>
    <w:rsid w:val="003B16EF"/>
    <w:rsid w:val="003B25B8"/>
    <w:rsid w:val="003D5AE1"/>
    <w:rsid w:val="003D6F8F"/>
    <w:rsid w:val="003D7F31"/>
    <w:rsid w:val="003D7F9F"/>
    <w:rsid w:val="003F2321"/>
    <w:rsid w:val="003F4C74"/>
    <w:rsid w:val="00416480"/>
    <w:rsid w:val="004170AF"/>
    <w:rsid w:val="004232A8"/>
    <w:rsid w:val="00425216"/>
    <w:rsid w:val="00435AA8"/>
    <w:rsid w:val="00440D63"/>
    <w:rsid w:val="00443C03"/>
    <w:rsid w:val="00444F78"/>
    <w:rsid w:val="00453939"/>
    <w:rsid w:val="00470048"/>
    <w:rsid w:val="00472CFE"/>
    <w:rsid w:val="004A5710"/>
    <w:rsid w:val="004C0553"/>
    <w:rsid w:val="004D6A28"/>
    <w:rsid w:val="004E321D"/>
    <w:rsid w:val="004F6791"/>
    <w:rsid w:val="0053333D"/>
    <w:rsid w:val="00554854"/>
    <w:rsid w:val="00567EEA"/>
    <w:rsid w:val="005D0DEB"/>
    <w:rsid w:val="005F51E4"/>
    <w:rsid w:val="00603BAD"/>
    <w:rsid w:val="006110DA"/>
    <w:rsid w:val="00636F57"/>
    <w:rsid w:val="00646F0E"/>
    <w:rsid w:val="00650ABC"/>
    <w:rsid w:val="0065625B"/>
    <w:rsid w:val="00661051"/>
    <w:rsid w:val="00674BA8"/>
    <w:rsid w:val="00690E2B"/>
    <w:rsid w:val="0069750C"/>
    <w:rsid w:val="006A0B0D"/>
    <w:rsid w:val="006B1D50"/>
    <w:rsid w:val="006D3A8E"/>
    <w:rsid w:val="006F78BD"/>
    <w:rsid w:val="00705CFA"/>
    <w:rsid w:val="0071227C"/>
    <w:rsid w:val="007211F2"/>
    <w:rsid w:val="00731243"/>
    <w:rsid w:val="007326B1"/>
    <w:rsid w:val="00754B39"/>
    <w:rsid w:val="007829A8"/>
    <w:rsid w:val="007D158D"/>
    <w:rsid w:val="007D2C4C"/>
    <w:rsid w:val="007D6371"/>
    <w:rsid w:val="00810D23"/>
    <w:rsid w:val="008235B1"/>
    <w:rsid w:val="008446E2"/>
    <w:rsid w:val="00872E13"/>
    <w:rsid w:val="00892292"/>
    <w:rsid w:val="008A4744"/>
    <w:rsid w:val="008C3327"/>
    <w:rsid w:val="008E3386"/>
    <w:rsid w:val="008E530D"/>
    <w:rsid w:val="009165FC"/>
    <w:rsid w:val="00926F56"/>
    <w:rsid w:val="00931673"/>
    <w:rsid w:val="00942D69"/>
    <w:rsid w:val="00953518"/>
    <w:rsid w:val="009558C7"/>
    <w:rsid w:val="0096208F"/>
    <w:rsid w:val="00965981"/>
    <w:rsid w:val="00991E08"/>
    <w:rsid w:val="009A1ABD"/>
    <w:rsid w:val="009A4838"/>
    <w:rsid w:val="009A50D7"/>
    <w:rsid w:val="009B2FDA"/>
    <w:rsid w:val="009B67B2"/>
    <w:rsid w:val="009C6C30"/>
    <w:rsid w:val="009D4480"/>
    <w:rsid w:val="00A05031"/>
    <w:rsid w:val="00A05049"/>
    <w:rsid w:val="00A05C47"/>
    <w:rsid w:val="00A10510"/>
    <w:rsid w:val="00A1455B"/>
    <w:rsid w:val="00A62B67"/>
    <w:rsid w:val="00A6672B"/>
    <w:rsid w:val="00A7215C"/>
    <w:rsid w:val="00A86982"/>
    <w:rsid w:val="00AC2FCB"/>
    <w:rsid w:val="00AE183F"/>
    <w:rsid w:val="00B054FB"/>
    <w:rsid w:val="00B12EC5"/>
    <w:rsid w:val="00B575C4"/>
    <w:rsid w:val="00B91401"/>
    <w:rsid w:val="00B9582C"/>
    <w:rsid w:val="00BB2BEF"/>
    <w:rsid w:val="00BB6460"/>
    <w:rsid w:val="00BC32FE"/>
    <w:rsid w:val="00BD21E7"/>
    <w:rsid w:val="00BF57DC"/>
    <w:rsid w:val="00C019EB"/>
    <w:rsid w:val="00C055E3"/>
    <w:rsid w:val="00C173C8"/>
    <w:rsid w:val="00C275C7"/>
    <w:rsid w:val="00C34743"/>
    <w:rsid w:val="00C45671"/>
    <w:rsid w:val="00C51F51"/>
    <w:rsid w:val="00C54721"/>
    <w:rsid w:val="00C7184E"/>
    <w:rsid w:val="00C84C9C"/>
    <w:rsid w:val="00C85FAF"/>
    <w:rsid w:val="00C935EE"/>
    <w:rsid w:val="00C95F9A"/>
    <w:rsid w:val="00CA01BF"/>
    <w:rsid w:val="00CC3735"/>
    <w:rsid w:val="00CC72F4"/>
    <w:rsid w:val="00CD20F3"/>
    <w:rsid w:val="00CF42F6"/>
    <w:rsid w:val="00CF472E"/>
    <w:rsid w:val="00D12845"/>
    <w:rsid w:val="00D22D29"/>
    <w:rsid w:val="00D25C4A"/>
    <w:rsid w:val="00D43908"/>
    <w:rsid w:val="00D50E6B"/>
    <w:rsid w:val="00D56194"/>
    <w:rsid w:val="00DB059E"/>
    <w:rsid w:val="00DB1F6A"/>
    <w:rsid w:val="00DE3804"/>
    <w:rsid w:val="00E20225"/>
    <w:rsid w:val="00E37D30"/>
    <w:rsid w:val="00E4054E"/>
    <w:rsid w:val="00E42EE9"/>
    <w:rsid w:val="00E45F8D"/>
    <w:rsid w:val="00E46F5F"/>
    <w:rsid w:val="00E516E7"/>
    <w:rsid w:val="00E533D9"/>
    <w:rsid w:val="00E91018"/>
    <w:rsid w:val="00EA2879"/>
    <w:rsid w:val="00EA2D9A"/>
    <w:rsid w:val="00EA6AB9"/>
    <w:rsid w:val="00EC5916"/>
    <w:rsid w:val="00ED6FD5"/>
    <w:rsid w:val="00ED7BA7"/>
    <w:rsid w:val="00EE3BF7"/>
    <w:rsid w:val="00EF2020"/>
    <w:rsid w:val="00EF5C75"/>
    <w:rsid w:val="00F113F7"/>
    <w:rsid w:val="00F15835"/>
    <w:rsid w:val="00F165EE"/>
    <w:rsid w:val="00F30087"/>
    <w:rsid w:val="00F45356"/>
    <w:rsid w:val="00F50289"/>
    <w:rsid w:val="00F7334D"/>
    <w:rsid w:val="00F81747"/>
    <w:rsid w:val="00F81970"/>
    <w:rsid w:val="00F95478"/>
    <w:rsid w:val="00F96CD4"/>
    <w:rsid w:val="00FB7C74"/>
    <w:rsid w:val="00FC24E8"/>
    <w:rsid w:val="00FD5A17"/>
    <w:rsid w:val="00FF0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CD2D7"/>
  <w15:chartTrackingRefBased/>
  <w15:docId w15:val="{A56F6C9B-A5EF-427D-ABD4-F390B4D58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5B8"/>
    <w:pPr>
      <w:spacing w:after="0" w:line="240" w:lineRule="auto"/>
    </w:pPr>
    <w:rPr>
      <w:rFonts w:ascii="Times New Roman" w:eastAsia="Times New Roman" w:hAnsi="Times New Roman" w:cs="Times New Roman"/>
      <w:kern w:val="0"/>
      <w:sz w:val="20"/>
      <w:szCs w:val="20"/>
      <w:lang w:eastAsia="en-GB"/>
    </w:rPr>
  </w:style>
  <w:style w:type="paragraph" w:styleId="Heading1">
    <w:name w:val="heading 1"/>
    <w:basedOn w:val="Normal"/>
    <w:next w:val="Normal"/>
    <w:link w:val="Heading1Char"/>
    <w:uiPriority w:val="9"/>
    <w:qFormat/>
    <w:rsid w:val="003B25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25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25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25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25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25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25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25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25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5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25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25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25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25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25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25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25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25B8"/>
    <w:rPr>
      <w:rFonts w:eastAsiaTheme="majorEastAsia" w:cstheme="majorBidi"/>
      <w:color w:val="272727" w:themeColor="text1" w:themeTint="D8"/>
    </w:rPr>
  </w:style>
  <w:style w:type="paragraph" w:styleId="Title">
    <w:name w:val="Title"/>
    <w:basedOn w:val="Normal"/>
    <w:next w:val="Normal"/>
    <w:link w:val="TitleChar"/>
    <w:uiPriority w:val="10"/>
    <w:qFormat/>
    <w:rsid w:val="003B25B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25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25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25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25B8"/>
    <w:pPr>
      <w:spacing w:before="160"/>
      <w:jc w:val="center"/>
    </w:pPr>
    <w:rPr>
      <w:i/>
      <w:iCs/>
      <w:color w:val="404040" w:themeColor="text1" w:themeTint="BF"/>
    </w:rPr>
  </w:style>
  <w:style w:type="character" w:customStyle="1" w:styleId="QuoteChar">
    <w:name w:val="Quote Char"/>
    <w:basedOn w:val="DefaultParagraphFont"/>
    <w:link w:val="Quote"/>
    <w:uiPriority w:val="29"/>
    <w:rsid w:val="003B25B8"/>
    <w:rPr>
      <w:i/>
      <w:iCs/>
      <w:color w:val="404040" w:themeColor="text1" w:themeTint="BF"/>
    </w:rPr>
  </w:style>
  <w:style w:type="paragraph" w:styleId="ListParagraph">
    <w:name w:val="List Paragraph"/>
    <w:basedOn w:val="Normal"/>
    <w:uiPriority w:val="34"/>
    <w:qFormat/>
    <w:rsid w:val="003B25B8"/>
    <w:pPr>
      <w:ind w:left="720"/>
      <w:contextualSpacing/>
    </w:pPr>
  </w:style>
  <w:style w:type="character" w:styleId="IntenseEmphasis">
    <w:name w:val="Intense Emphasis"/>
    <w:basedOn w:val="DefaultParagraphFont"/>
    <w:uiPriority w:val="21"/>
    <w:qFormat/>
    <w:rsid w:val="003B25B8"/>
    <w:rPr>
      <w:i/>
      <w:iCs/>
      <w:color w:val="0F4761" w:themeColor="accent1" w:themeShade="BF"/>
    </w:rPr>
  </w:style>
  <w:style w:type="paragraph" w:styleId="IntenseQuote">
    <w:name w:val="Intense Quote"/>
    <w:basedOn w:val="Normal"/>
    <w:next w:val="Normal"/>
    <w:link w:val="IntenseQuoteChar"/>
    <w:uiPriority w:val="30"/>
    <w:qFormat/>
    <w:rsid w:val="003B25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25B8"/>
    <w:rPr>
      <w:i/>
      <w:iCs/>
      <w:color w:val="0F4761" w:themeColor="accent1" w:themeShade="BF"/>
    </w:rPr>
  </w:style>
  <w:style w:type="character" w:styleId="IntenseReference">
    <w:name w:val="Intense Reference"/>
    <w:basedOn w:val="DefaultParagraphFont"/>
    <w:uiPriority w:val="32"/>
    <w:qFormat/>
    <w:rsid w:val="003B25B8"/>
    <w:rPr>
      <w:b/>
      <w:bCs/>
      <w:smallCaps/>
      <w:color w:val="0F4761" w:themeColor="accent1" w:themeShade="BF"/>
      <w:spacing w:val="5"/>
    </w:rPr>
  </w:style>
  <w:style w:type="paragraph" w:styleId="Header">
    <w:name w:val="header"/>
    <w:basedOn w:val="Normal"/>
    <w:link w:val="HeaderChar"/>
    <w:uiPriority w:val="99"/>
    <w:unhideWhenUsed/>
    <w:rsid w:val="003B25B8"/>
    <w:pPr>
      <w:tabs>
        <w:tab w:val="center" w:pos="4513"/>
        <w:tab w:val="right" w:pos="9026"/>
      </w:tabs>
    </w:pPr>
  </w:style>
  <w:style w:type="character" w:customStyle="1" w:styleId="HeaderChar">
    <w:name w:val="Header Char"/>
    <w:basedOn w:val="DefaultParagraphFont"/>
    <w:link w:val="Header"/>
    <w:uiPriority w:val="99"/>
    <w:rsid w:val="003B25B8"/>
  </w:style>
  <w:style w:type="paragraph" w:styleId="Footer">
    <w:name w:val="footer"/>
    <w:basedOn w:val="Normal"/>
    <w:link w:val="FooterChar"/>
    <w:uiPriority w:val="99"/>
    <w:unhideWhenUsed/>
    <w:rsid w:val="003B25B8"/>
    <w:pPr>
      <w:tabs>
        <w:tab w:val="center" w:pos="4513"/>
        <w:tab w:val="right" w:pos="9026"/>
      </w:tabs>
    </w:pPr>
  </w:style>
  <w:style w:type="character" w:customStyle="1" w:styleId="FooterChar">
    <w:name w:val="Footer Char"/>
    <w:basedOn w:val="DefaultParagraphFont"/>
    <w:link w:val="Footer"/>
    <w:uiPriority w:val="99"/>
    <w:rsid w:val="003B25B8"/>
  </w:style>
  <w:style w:type="character" w:customStyle="1" w:styleId="cf01">
    <w:name w:val="cf01"/>
    <w:basedOn w:val="DefaultParagraphFont"/>
    <w:rsid w:val="003B25B8"/>
    <w:rPr>
      <w:rFonts w:ascii="Segoe UI" w:hAnsi="Segoe UI" w:cs="Segoe UI" w:hint="default"/>
      <w:sz w:val="18"/>
      <w:szCs w:val="18"/>
    </w:rPr>
  </w:style>
  <w:style w:type="paragraph" w:styleId="Bibliography">
    <w:name w:val="Bibliography"/>
    <w:basedOn w:val="Normal"/>
    <w:next w:val="Normal"/>
    <w:uiPriority w:val="37"/>
    <w:unhideWhenUsed/>
    <w:rsid w:val="00113443"/>
    <w:pPr>
      <w:spacing w:after="160" w:line="259" w:lineRule="auto"/>
    </w:pPr>
    <w:rPr>
      <w:rFonts w:asciiTheme="minorHAnsi" w:eastAsiaTheme="minorHAnsi" w:hAnsiTheme="minorHAnsi" w:cstheme="minorBidi"/>
      <w:kern w:val="2"/>
      <w:sz w:val="22"/>
      <w:szCs w:val="22"/>
      <w:lang w:eastAsia="en-US"/>
    </w:rPr>
  </w:style>
  <w:style w:type="character" w:styleId="Hyperlink">
    <w:name w:val="Hyperlink"/>
    <w:basedOn w:val="DefaultParagraphFont"/>
    <w:uiPriority w:val="99"/>
    <w:unhideWhenUsed/>
    <w:rsid w:val="00EA2D9A"/>
    <w:rPr>
      <w:color w:val="0000FF"/>
      <w:u w:val="single"/>
    </w:rPr>
  </w:style>
  <w:style w:type="character" w:styleId="UnresolvedMention">
    <w:name w:val="Unresolved Mention"/>
    <w:basedOn w:val="DefaultParagraphFont"/>
    <w:uiPriority w:val="99"/>
    <w:semiHidden/>
    <w:unhideWhenUsed/>
    <w:rsid w:val="004A57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936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bite.co.uk/resources/blog/contracts-what-is-consideration"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allellis.co.uk/contractual-considera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cyclopedia.pub/entry/32254"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n.wikipedia.org/wiki/Bloomsbury_Publishing" TargetMode="External"/><Relationship Id="rId4" Type="http://schemas.openxmlformats.org/officeDocument/2006/relationships/settings" Target="settings.xml"/><Relationship Id="rId9" Type="http://schemas.openxmlformats.org/officeDocument/2006/relationships/hyperlink" Target="https://books.google.com/books?id=Z9PbBAAAQBAJ&amp;q=peppercorn+payment+virtual+freehold&amp;pg=PA18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2377E84-56E1-4CB2-9E49-9089391F37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6</Pages>
  <Words>2611</Words>
  <Characters>14888</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Louise</dc:creator>
  <cp:keywords/>
  <dc:description/>
  <cp:lastModifiedBy>Shannon Louise</cp:lastModifiedBy>
  <cp:revision>200</cp:revision>
  <dcterms:created xsi:type="dcterms:W3CDTF">2024-03-05T09:05:00Z</dcterms:created>
  <dcterms:modified xsi:type="dcterms:W3CDTF">2024-03-13T21:17:00Z</dcterms:modified>
</cp:coreProperties>
</file>