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DE5F6A" w14:textId="3666E09E" w:rsidR="00771DAB" w:rsidRDefault="00771DAB">
      <w:pPr>
        <w:rPr>
          <w:rFonts w:cstheme="minorHAnsi"/>
          <w:sz w:val="28"/>
        </w:rPr>
      </w:pPr>
      <w:r w:rsidRPr="00E64B53">
        <w:rPr>
          <w:rFonts w:cstheme="minorHAnsi"/>
          <w:sz w:val="28"/>
        </w:rPr>
        <w:t>How important is the concept of authenticity in the presentation of heritage?</w:t>
      </w:r>
    </w:p>
    <w:p w14:paraId="23C3DD59" w14:textId="2C0F71E8" w:rsidR="00771DAB" w:rsidRDefault="00771DAB"/>
    <w:p w14:paraId="67918B33" w14:textId="16D8BB95" w:rsidR="00771DAB" w:rsidRDefault="0018302B">
      <w:r>
        <w:t>Heritage in general plays a significant part of both societal and individual history and it is stated that it is somewhat defined to be “about cultural traditions, places and values.”</w:t>
      </w:r>
      <w:r>
        <w:rPr>
          <w:rStyle w:val="FootnoteReference"/>
        </w:rPr>
        <w:footnoteReference w:id="1"/>
      </w:r>
      <w:r w:rsidR="006802B1">
        <w:t xml:space="preserve"> </w:t>
      </w:r>
      <w:r w:rsidR="00A951CC">
        <w:t xml:space="preserve">This means that the heritage sector has </w:t>
      </w:r>
      <w:r w:rsidR="00C45627">
        <w:t xml:space="preserve">a responsibility to represent the culture of the place to a good extent so as to preserve the memory of the place for the community itself and the visiting public. </w:t>
      </w:r>
      <w:r w:rsidR="00D8620E">
        <w:t xml:space="preserve">The concept of authenticity is linked to this </w:t>
      </w:r>
      <w:r w:rsidR="00D50D0A">
        <w:t>through art</w:t>
      </w:r>
      <w:r w:rsidR="00695934">
        <w:t>e</w:t>
      </w:r>
      <w:r w:rsidR="00D50D0A">
        <w:t xml:space="preserve">facts and heritage locations as well as historical scholarship. What needs to be decided is the </w:t>
      </w:r>
      <w:r w:rsidR="00695934">
        <w:t>importance of it when it comes to present</w:t>
      </w:r>
      <w:r w:rsidR="00B1517D">
        <w:t>ing heritage to the public along with other factors that would make the presentation successful.</w:t>
      </w:r>
    </w:p>
    <w:p w14:paraId="2CE50318" w14:textId="55F613B1" w:rsidR="006E6D8C" w:rsidRDefault="002B174D">
      <w:r>
        <w:t xml:space="preserve">Firstly, it is essential to explore what makes an object ‘authentic’ in the terms of heritage or otherwise. Museums </w:t>
      </w:r>
      <w:r w:rsidR="009E2999">
        <w:t>in general are assumed to be authentic to a significant degree because they are known by all to hold objects that are seen as primary resources and heritage sites are primary resources in themselves.</w:t>
      </w:r>
      <w:r w:rsidR="009E2999">
        <w:rPr>
          <w:rStyle w:val="FootnoteReference"/>
        </w:rPr>
        <w:footnoteReference w:id="2"/>
      </w:r>
      <w:r w:rsidR="00AB2CBC">
        <w:t xml:space="preserve"> This indicates that the term authentic can be interchangeable with that of original and therefore unique compared to all other objects</w:t>
      </w:r>
      <w:r w:rsidR="00F44906">
        <w:t xml:space="preserve"> as well as contemporary to the time period.</w:t>
      </w:r>
      <w:r w:rsidR="00F44906">
        <w:rPr>
          <w:rStyle w:val="FootnoteReference"/>
        </w:rPr>
        <w:footnoteReference w:id="3"/>
      </w:r>
      <w:r w:rsidR="00F44906">
        <w:t xml:space="preserve"> This means that when a person is presented with these pieces of heritage, they will be able to have the feeling of being connected to a piece of the past and the people who lived there. </w:t>
      </w:r>
      <w:r w:rsidR="00C97877">
        <w:t>But</w:t>
      </w:r>
      <w:r w:rsidR="00F44906">
        <w:t xml:space="preserve"> it has to be </w:t>
      </w:r>
      <w:r w:rsidR="00980A9B">
        <w:t>questioned why a person will feel that way because of being in the presence of such an object.</w:t>
      </w:r>
      <w:r w:rsidR="001307F7">
        <w:t xml:space="preserve"> </w:t>
      </w:r>
      <w:r w:rsidR="00DA0A90">
        <w:t>It can be argued that authenticity is “a cultural construct of the modern western world”</w:t>
      </w:r>
      <w:r w:rsidR="00DA0A90">
        <w:rPr>
          <w:rStyle w:val="FootnoteReference"/>
        </w:rPr>
        <w:footnoteReference w:id="4"/>
      </w:r>
      <w:r w:rsidR="00C97877">
        <w:t xml:space="preserve"> which means that the west orchestrates authenticity a certain way rather than an object or place actually being authentic on its own. This in itself </w:t>
      </w:r>
      <w:r w:rsidR="00B76F9C">
        <w:t xml:space="preserve">shows that the authenticity and the importance of objects and places can change due to political and social motivations. An example of this is the exhibition of royal women in the fashion museum, Bath. This museum holds </w:t>
      </w:r>
      <w:r w:rsidR="006705FD">
        <w:t>multiple dresses that were owned and worn by members of the British royal family from the time of princess Alexandra in the 1800’s to the contemporary pieces worn by Elizabeth II.</w:t>
      </w:r>
      <w:r w:rsidR="006705FD">
        <w:rPr>
          <w:rStyle w:val="FootnoteReference"/>
        </w:rPr>
        <w:footnoteReference w:id="5"/>
      </w:r>
      <w:r w:rsidR="006705FD">
        <w:t xml:space="preserve"> </w:t>
      </w:r>
      <w:r w:rsidR="004828F1">
        <w:t xml:space="preserve"> Within this exhibition </w:t>
      </w:r>
      <w:r w:rsidR="005074AF">
        <w:t>the dresses are structured in a chronological manner and have brief explanations as to who wore them, why they are significant and who designed them.</w:t>
      </w:r>
      <w:r w:rsidR="00292F45">
        <w:t xml:space="preserve"> One of the dresses that is probably quite well-known is </w:t>
      </w:r>
      <w:r w:rsidR="00E5354A">
        <w:t>an evening dress worn by the late Princess Margaret in 1953</w:t>
      </w:r>
      <w:r w:rsidR="008F1B38">
        <w:t xml:space="preserve"> (see figure 1)</w:t>
      </w:r>
      <w:r w:rsidR="00E5354A">
        <w:t xml:space="preserve">, the reason for this being that it is linked to </w:t>
      </w:r>
      <w:r w:rsidR="00230409">
        <w:t>the news of her very controversial relationship with Group Captain Peter Townsend.</w:t>
      </w:r>
      <w:r w:rsidR="00230409">
        <w:rPr>
          <w:rStyle w:val="FootnoteReference"/>
        </w:rPr>
        <w:footnoteReference w:id="6"/>
      </w:r>
      <w:r w:rsidR="00230409">
        <w:t xml:space="preserve"> The dress is authentic in the sense that it</w:t>
      </w:r>
      <w:r w:rsidR="00EE21C2">
        <w:t xml:space="preserve"> was a dress worn by the princess rather than a replica, and therefore </w:t>
      </w:r>
      <w:r w:rsidR="002D6B8F">
        <w:t>it is a tangible part of the history of an individual.</w:t>
      </w:r>
      <w:r w:rsidR="00A41577">
        <w:t xml:space="preserve"> Culturally speaking, the royal family in general represent a major part of the British culture and as a result, they bring in a lot of tourism. </w:t>
      </w:r>
      <w:r w:rsidR="00E630D0">
        <w:t xml:space="preserve">This means that objects and places </w:t>
      </w:r>
      <w:r w:rsidR="00687F10">
        <w:t xml:space="preserve">that are linked to </w:t>
      </w:r>
      <w:r w:rsidR="00362188">
        <w:t>them are seen as much more significant compared to that are not. The permanent display pieces at the fashion museum in Bath, although showing clothing from the same time period would not, in theory, attract as much attention despite it being just as authentic as a piece of heritage.</w:t>
      </w:r>
      <w:r w:rsidR="002C790D">
        <w:t xml:space="preserve"> </w:t>
      </w:r>
      <w:r w:rsidR="000B6821">
        <w:t>This links into the idea t</w:t>
      </w:r>
      <w:r w:rsidR="005332B5">
        <w:t>hat authenticity is attached to the western ‘consumer culture’</w:t>
      </w:r>
      <w:r w:rsidR="005332B5">
        <w:rPr>
          <w:rStyle w:val="FootnoteReference"/>
        </w:rPr>
        <w:footnoteReference w:id="7"/>
      </w:r>
      <w:r w:rsidR="00E57717">
        <w:t xml:space="preserve"> which means that items can only be deemed as authentic if there is financial gain to be had</w:t>
      </w:r>
      <w:r w:rsidR="002F5524">
        <w:t>.</w:t>
      </w:r>
      <w:r w:rsidR="00B930C0">
        <w:t xml:space="preserve"> As well as this, </w:t>
      </w:r>
      <w:r w:rsidR="00355048">
        <w:t xml:space="preserve">heritage chosen to be presented is subject to preference in a societal sense and that “the value fluctuates with each </w:t>
      </w:r>
      <w:r w:rsidR="00355048">
        <w:lastRenderedPageBreak/>
        <w:t>transaction”</w:t>
      </w:r>
      <w:r w:rsidR="00355048">
        <w:rPr>
          <w:rStyle w:val="FootnoteReference"/>
        </w:rPr>
        <w:footnoteReference w:id="8"/>
      </w:r>
      <w:r w:rsidR="00355048">
        <w:t xml:space="preserve">.  Using this idea in the context of clothing like that displayed at the </w:t>
      </w:r>
      <w:r w:rsidR="00A2454A">
        <w:t xml:space="preserve">museum in Bath, </w:t>
      </w:r>
      <w:r w:rsidR="00880302">
        <w:t>it can be concluded that the clothing there would have been in ‘fashionable’ in the stereotypical in the time period it Is contemporary to because clothing that was not in favour at that time would not have been preserved despite being an authen</w:t>
      </w:r>
      <w:r w:rsidR="001303DE">
        <w:t>tic item of that time.</w:t>
      </w:r>
      <w:r w:rsidR="00751CB1">
        <w:t xml:space="preserve"> </w:t>
      </w:r>
      <w:r w:rsidR="00F87420">
        <w:t>Following on from this, the objects chosen for display will reflect the main interests of the visitor. Again</w:t>
      </w:r>
      <w:r w:rsidR="008E7295">
        <w:t>,</w:t>
      </w:r>
      <w:r w:rsidR="00F87420">
        <w:t xml:space="preserve"> using the example of the Fashion museum in Bath, the majority of the clothing displayed are dresses while there are fewer examples of men’s clothing and undergarments</w:t>
      </w:r>
      <w:r w:rsidR="00BC056E">
        <w:t xml:space="preserve"> despite them being as authentic</w:t>
      </w:r>
      <w:r w:rsidR="00F87420">
        <w:t>.</w:t>
      </w:r>
      <w:r w:rsidR="00631332">
        <w:rPr>
          <w:rStyle w:val="FootnoteReference"/>
        </w:rPr>
        <w:footnoteReference w:id="9"/>
      </w:r>
    </w:p>
    <w:p w14:paraId="0280F169" w14:textId="60E45968" w:rsidR="00CE4F05" w:rsidRDefault="00730362" w:rsidP="00CE4F05">
      <w:r>
        <w:t>In contrast to the general definition</w:t>
      </w:r>
      <w:r w:rsidR="008C555B">
        <w:t xml:space="preserve">, it is not always </w:t>
      </w:r>
      <w:r w:rsidR="0085336F">
        <w:t>heritage being a primary resource that makes it authentic and therefore, important.</w:t>
      </w:r>
      <w:r>
        <w:t xml:space="preserve"> When it comes to areas of history that have little to no remaining evidence to see, or where the sites or artefacts have been damaged</w:t>
      </w:r>
      <w:r w:rsidR="001204DE">
        <w:t xml:space="preserve"> or can be easily damaged</w:t>
      </w:r>
      <w:r>
        <w:t>. The construction and reconstruction of such sites and objects could</w:t>
      </w:r>
      <w:r w:rsidR="009E4687">
        <w:t xml:space="preserve"> be considered authentic in some way. </w:t>
      </w:r>
      <w:r w:rsidR="001F487C">
        <w:t xml:space="preserve">An example of this is the Bryn Eryr Iron age round house </w:t>
      </w:r>
      <w:r w:rsidR="00D516C8">
        <w:t>replica at S</w:t>
      </w:r>
      <w:r w:rsidR="00621ACF">
        <w:t>aint Fagan</w:t>
      </w:r>
      <w:r w:rsidR="004743E3">
        <w:t>s national museum of history</w:t>
      </w:r>
      <w:r w:rsidR="00FA29E8">
        <w:t xml:space="preserve"> (see figure 2)</w:t>
      </w:r>
      <w:r w:rsidR="00D516C8">
        <w:t xml:space="preserve"> which </w:t>
      </w:r>
      <w:r w:rsidR="00016885">
        <w:t>finished construction in 2016</w:t>
      </w:r>
      <w:r w:rsidR="00631332">
        <w:t xml:space="preserve"> and are based on roundhouses </w:t>
      </w:r>
      <w:r w:rsidR="00D5012C">
        <w:t>that were excavated between 1985-87</w:t>
      </w:r>
      <w:r w:rsidR="00631332">
        <w:t>.</w:t>
      </w:r>
      <w:r w:rsidR="00631332">
        <w:rPr>
          <w:rStyle w:val="FootnoteReference"/>
        </w:rPr>
        <w:footnoteReference w:id="10"/>
      </w:r>
      <w:r w:rsidR="00D5012C">
        <w:t xml:space="preserve">  </w:t>
      </w:r>
      <w:r w:rsidR="001204DE">
        <w:t xml:space="preserve">Building of buildings like this would be part of experimental archaeology which means that </w:t>
      </w:r>
      <w:r w:rsidR="00E65B4C">
        <w:t xml:space="preserve">it would have been built using methods and materials close to what they would have in </w:t>
      </w:r>
      <w:r w:rsidR="009512FE">
        <w:t xml:space="preserve">that time. It can be stated that experimental archaeology is a method to bring intangible heritage into sites along with the physical buildings and objects. </w:t>
      </w:r>
      <w:r w:rsidR="009B59D6">
        <w:t xml:space="preserve"> Because the </w:t>
      </w:r>
      <w:r w:rsidR="007A3086">
        <w:t>building of the roundhouses would have likely have been built by volunteers, it shows that “there is a desire for people to purchase and engage with traditional crafts”</w:t>
      </w:r>
      <w:r w:rsidR="007A3086">
        <w:rPr>
          <w:rStyle w:val="FootnoteReference"/>
        </w:rPr>
        <w:footnoteReference w:id="11"/>
      </w:r>
      <w:r w:rsidR="00AB4609">
        <w:t>. This means that the intangible heritage memory of the place would be passed on to the people building the houses and therefore preserving it. Which is one of the main purposes of the museum a</w:t>
      </w:r>
      <w:r w:rsidR="003823EC">
        <w:t xml:space="preserve">nd heritage sites as a whole. </w:t>
      </w:r>
      <w:r w:rsidR="000951D9">
        <w:t xml:space="preserve">The use of experimental archaeology </w:t>
      </w:r>
      <w:r w:rsidR="00DB353B">
        <w:t xml:space="preserve">brings forth a different way of educating the public </w:t>
      </w:r>
      <w:r w:rsidR="00393041">
        <w:t xml:space="preserve">because it </w:t>
      </w:r>
      <w:r w:rsidR="00E05EE2">
        <w:t xml:space="preserve">doesn’t use the authenticity of the object </w:t>
      </w:r>
      <w:r w:rsidR="0002531E">
        <w:t>itself but instead</w:t>
      </w:r>
      <w:r w:rsidR="002C03E0">
        <w:t xml:space="preserve"> the ways in which a person would have lived, people would be </w:t>
      </w:r>
      <w:r w:rsidR="006D0F76">
        <w:t xml:space="preserve">amercing </w:t>
      </w:r>
      <w:r w:rsidR="002C03E0">
        <w:t>themselves in the history itself and therefore have a more in-depth understanding of it rather than viewing an object from a different time period.</w:t>
      </w:r>
      <w:r w:rsidR="00776731">
        <w:t xml:space="preserve"> </w:t>
      </w:r>
      <w:r w:rsidR="006D0F76">
        <w:t xml:space="preserve">In the terms of </w:t>
      </w:r>
      <w:r w:rsidR="0037720C">
        <w:t>authenticity,</w:t>
      </w:r>
      <w:r w:rsidR="006D0F76">
        <w:t xml:space="preserve"> it would be the experience of the history through means of ‘traditional methods’ would mean that the people themselves could produce their own authentic object which makes it significant to the individual rather than the wider public.</w:t>
      </w:r>
      <w:r w:rsidR="0037720C">
        <w:t xml:space="preserve"> </w:t>
      </w:r>
    </w:p>
    <w:p w14:paraId="6F6714FC" w14:textId="5725826A" w:rsidR="0060044B" w:rsidRDefault="0037720C" w:rsidP="00CE4F05">
      <w:r>
        <w:t xml:space="preserve">In the twenty-first century, </w:t>
      </w:r>
      <w:r w:rsidR="00C80880">
        <w:t>museums have developed into what is now seen as a performing museum where there is a lot more audience involvement compared to the past legislating and interpretive models. Within the performing model, museums and heritage sites make a point of using theatrical means to enhance the themes presented by the displays.</w:t>
      </w:r>
      <w:r w:rsidR="00392D13">
        <w:t xml:space="preserve"> This could be by </w:t>
      </w:r>
      <w:r w:rsidR="00444BF5">
        <w:t>individual character story telling and larger scale productions.</w:t>
      </w:r>
      <w:r w:rsidR="00444BF5">
        <w:rPr>
          <w:rStyle w:val="FootnoteReference"/>
        </w:rPr>
        <w:footnoteReference w:id="12"/>
      </w:r>
      <w:r w:rsidR="00C80880">
        <w:t xml:space="preserve"> </w:t>
      </w:r>
      <w:r w:rsidR="002D2ABF">
        <w:t xml:space="preserve"> </w:t>
      </w:r>
      <w:r w:rsidR="00AE77D2">
        <w:t xml:space="preserve">For example, Warwick castle is known to have multiple shows to demonstrate </w:t>
      </w:r>
      <w:r w:rsidR="00807DA7">
        <w:t xml:space="preserve">some specific events or activities in history. One of these is </w:t>
      </w:r>
      <w:r w:rsidR="000A0525">
        <w:t>the ‘castle dungeon tour’ which is where a “cast of historic characters, immersive sets and surprising special effects”</w:t>
      </w:r>
      <w:r w:rsidR="000A0525">
        <w:rPr>
          <w:rStyle w:val="FootnoteReference"/>
        </w:rPr>
        <w:footnoteReference w:id="13"/>
      </w:r>
      <w:r w:rsidR="000A0525">
        <w:t xml:space="preserve"> present narratives where the treatment of prisoners and executions within the castle and others like it over the course of the middle ages. </w:t>
      </w:r>
      <w:r w:rsidR="00306C9F">
        <w:t>Shows such as this primarily focus on audience experience rather than the heritage site as the subject. The</w:t>
      </w:r>
      <w:r w:rsidR="00C007A0">
        <w:t xml:space="preserve"> castle as a heritage site </w:t>
      </w:r>
      <w:r w:rsidR="00306C9F">
        <w:t>holdi</w:t>
      </w:r>
      <w:r w:rsidR="000B6E5F">
        <w:t xml:space="preserve">ng such a show </w:t>
      </w:r>
      <w:r w:rsidR="00C007A0">
        <w:t>can be seen as more of a tool to emphasise the stories being told rather than the stories performed being an addition to the castle as a piece of ‘authentic’ history.</w:t>
      </w:r>
      <w:r w:rsidR="007055D5">
        <w:t xml:space="preserve"> This means that the </w:t>
      </w:r>
      <w:r w:rsidR="007055D5">
        <w:lastRenderedPageBreak/>
        <w:t>performance is getting more focus from the audienc</w:t>
      </w:r>
      <w:r w:rsidR="00F83A80">
        <w:t xml:space="preserve">e compared to </w:t>
      </w:r>
      <w:r w:rsidR="007055D5">
        <w:t>the object or site.</w:t>
      </w:r>
      <w:r w:rsidR="006514CF">
        <w:t xml:space="preserve"> </w:t>
      </w:r>
      <w:r w:rsidR="007055D5">
        <w:t>It is thought by multiple historians such as Valerie Casey that performance not only shows an interpretation of an object but becomes the object in its own right.</w:t>
      </w:r>
      <w:r w:rsidR="007055D5">
        <w:rPr>
          <w:rStyle w:val="FootnoteReference"/>
        </w:rPr>
        <w:footnoteReference w:id="14"/>
      </w:r>
      <w:r w:rsidR="00B96881">
        <w:t xml:space="preserve"> This means that the immersion of the museum experience is of increased importance compared to the primary object that inspired the heritage experience. From this, it can be said that “museum practice is more reliant on consumer economy cues”</w:t>
      </w:r>
      <w:r w:rsidR="00F83A80">
        <w:rPr>
          <w:rStyle w:val="FootnoteReference"/>
        </w:rPr>
        <w:footnoteReference w:id="15"/>
      </w:r>
      <w:r w:rsidR="00F83A80">
        <w:t xml:space="preserve"> which means that in order to keep up the visitor count, museums need to make the experience an entertainment piece rather than relying on the authenticity of the heritage because seeing something that is from a specific time or event is not enough to hold the attention of an audience in this modern era</w:t>
      </w:r>
      <w:r w:rsidR="00A5392A">
        <w:t xml:space="preserve">. Possibly because of the development of </w:t>
      </w:r>
      <w:r w:rsidR="00F07421">
        <w:t>television and other media outlets.</w:t>
      </w:r>
      <w:r w:rsidR="00E744B1">
        <w:t xml:space="preserve"> Studies such as one analysed by Leahy and Jackson did show that children had a positive reaction to </w:t>
      </w:r>
      <w:r w:rsidR="00432764">
        <w:t>performance-based</w:t>
      </w:r>
      <w:r w:rsidR="00E744B1">
        <w:t xml:space="preserve"> history in museum settings and “had vivid recall of events, struggles and dilemmas presented to them in a narrative form”</w:t>
      </w:r>
      <w:r w:rsidR="00E744B1">
        <w:rPr>
          <w:rStyle w:val="FootnoteReference"/>
        </w:rPr>
        <w:footnoteReference w:id="16"/>
      </w:r>
      <w:r w:rsidR="00432764">
        <w:t xml:space="preserve">. </w:t>
      </w:r>
      <w:r w:rsidR="00581B19">
        <w:t xml:space="preserve">It can be said </w:t>
      </w:r>
      <w:r w:rsidR="00432764">
        <w:t>that</w:t>
      </w:r>
      <w:r w:rsidR="00581B19">
        <w:t xml:space="preserve"> using performance</w:t>
      </w:r>
      <w:r w:rsidR="004B4AA1">
        <w:t xml:space="preserve"> alongside the heritage objects gives </w:t>
      </w:r>
      <w:r w:rsidR="003417EE">
        <w:t>a</w:t>
      </w:r>
      <w:r w:rsidR="00EB0EEE">
        <w:t xml:space="preserve">n impression of real life to </w:t>
      </w:r>
      <w:r w:rsidR="003417EE">
        <w:t xml:space="preserve">the history because it is </w:t>
      </w:r>
      <w:r w:rsidR="00581B19">
        <w:t xml:space="preserve">physically </w:t>
      </w:r>
      <w:r w:rsidR="003417EE">
        <w:t>putting a</w:t>
      </w:r>
      <w:r w:rsidR="00EB0EEE">
        <w:t>n</w:t>
      </w:r>
      <w:r w:rsidR="00581B19">
        <w:t xml:space="preserve"> individual or group story behind the object.</w:t>
      </w:r>
      <w:r w:rsidR="00EB0EEE">
        <w:t xml:space="preserve"> It seems that</w:t>
      </w:r>
      <w:r w:rsidR="00581B19">
        <w:t xml:space="preserve"> </w:t>
      </w:r>
      <w:r w:rsidR="00EB0EEE">
        <w:t xml:space="preserve">Audience members, young members especially, find it easier to recall the history of something when the context </w:t>
      </w:r>
      <w:r w:rsidR="00B778BA">
        <w:t xml:space="preserve">is shown to them in an active manner. </w:t>
      </w:r>
      <w:r w:rsidR="007D3A0F">
        <w:t>This is also shown in the St Fagans museum by some of the historical</w:t>
      </w:r>
      <w:r w:rsidR="0060044B">
        <w:t xml:space="preserve"> </w:t>
      </w:r>
      <w:r w:rsidR="007D3A0F">
        <w:t>buildings</w:t>
      </w:r>
      <w:r w:rsidR="0060044B">
        <w:t xml:space="preserve"> having the appearance that they are being used for the purpose that they were originally built for, like the </w:t>
      </w:r>
      <w:r w:rsidR="00C473C8">
        <w:t xml:space="preserve">Gwalia stores </w:t>
      </w:r>
      <w:r w:rsidR="008921A6">
        <w:t>wh</w:t>
      </w:r>
      <w:r w:rsidR="00B061B9">
        <w:t xml:space="preserve">ere there </w:t>
      </w:r>
      <w:r w:rsidR="00FE3590">
        <w:t xml:space="preserve">appears to be items being sold </w:t>
      </w:r>
      <w:r w:rsidR="00B061B9">
        <w:t>from within the historic building</w:t>
      </w:r>
      <w:r w:rsidR="008921A6">
        <w:t>.</w:t>
      </w:r>
      <w:r w:rsidR="008921A6">
        <w:rPr>
          <w:rStyle w:val="FootnoteReference"/>
        </w:rPr>
        <w:footnoteReference w:id="17"/>
      </w:r>
      <w:r w:rsidR="00160BDA">
        <w:t xml:space="preserve"> This means that </w:t>
      </w:r>
      <w:r w:rsidR="0015503D">
        <w:t xml:space="preserve">people themselves can experience </w:t>
      </w:r>
      <w:r w:rsidR="005F4028">
        <w:t>to an extent what the people of the 1900’s did when it came to shopping experience. While if it was just the store front being presented, it would not gain as much attention from the public.</w:t>
      </w:r>
    </w:p>
    <w:p w14:paraId="62AEE451" w14:textId="68D2F236" w:rsidR="0037720C" w:rsidRDefault="00683432" w:rsidP="00CE4F05">
      <w:r>
        <w:t xml:space="preserve">Other examples of immersive </w:t>
      </w:r>
      <w:r w:rsidR="005F4028">
        <w:t xml:space="preserve">experiences in museums </w:t>
      </w:r>
      <w:r w:rsidR="00596EE3">
        <w:t xml:space="preserve">is that of the volcanoes and earthquakes exhibition at the Natural History Museum in London where there are features such as videos, sounds and </w:t>
      </w:r>
      <w:r w:rsidR="00B061B9">
        <w:t xml:space="preserve">a </w:t>
      </w:r>
      <w:r w:rsidR="00596EE3">
        <w:t>moving floor</w:t>
      </w:r>
      <w:r w:rsidR="00B061B9">
        <w:t xml:space="preserve"> simulator</w:t>
      </w:r>
      <w:r w:rsidR="00596EE3">
        <w:t xml:space="preserve"> to exhibit </w:t>
      </w:r>
      <w:r w:rsidR="00B061B9">
        <w:t>the experience of an earthquake within the museum environment.</w:t>
      </w:r>
      <w:r w:rsidR="00B061B9">
        <w:rPr>
          <w:rStyle w:val="FootnoteReference"/>
        </w:rPr>
        <w:footnoteReference w:id="18"/>
      </w:r>
      <w:r w:rsidR="00B061B9">
        <w:t xml:space="preserve"> While this does not have any performance in the physical sense, electronics do the </w:t>
      </w:r>
      <w:r w:rsidR="00C90871">
        <w:t>‘</w:t>
      </w:r>
      <w:r w:rsidR="00B061B9">
        <w:t>performing</w:t>
      </w:r>
      <w:r w:rsidR="00C90871">
        <w:t xml:space="preserve">’. In the case of the volcanoes and earthquakes </w:t>
      </w:r>
      <w:r w:rsidR="000E0A57">
        <w:t>exhibition</w:t>
      </w:r>
      <w:r w:rsidR="00C90871">
        <w:t xml:space="preserve">, the use of video and simulators is recreating </w:t>
      </w:r>
      <w:r w:rsidR="000E0A57">
        <w:t xml:space="preserve">real life experiences from around the world rather than a specific time period or place. This means that the event being presented is not necessarily </w:t>
      </w:r>
      <w:r w:rsidR="00251337">
        <w:t xml:space="preserve">authentic in a traditional sense but is authentic in the sense that that sort of thing does happen in the world. Another example like this is that of the Alexander McQueen: Savage Beauty exhibition which was held at the </w:t>
      </w:r>
      <w:r w:rsidR="00C62606">
        <w:t>Metropolitan</w:t>
      </w:r>
      <w:r w:rsidR="00251337">
        <w:t xml:space="preserve"> Museum of Art in New York</w:t>
      </w:r>
      <w:r w:rsidR="004031AE">
        <w:t>; this exhibition included many articles of the late designers clothing displayed along in a specific fashion along with lighting and music to show the narratives of his design process.</w:t>
      </w:r>
      <w:r w:rsidR="004031AE">
        <w:rPr>
          <w:rStyle w:val="FootnoteReference"/>
        </w:rPr>
        <w:footnoteReference w:id="19"/>
      </w:r>
      <w:r w:rsidR="004031AE">
        <w:t xml:space="preserve"> This kind of display was made to make the articles themselves the performers in the place of acting to show the interpretation of the objects clear to the audience and </w:t>
      </w:r>
      <w:r w:rsidR="00C0764E">
        <w:t xml:space="preserve">to somewhat make a spectacle in order to be memorable to the public. Although the objects being displayed are authentic in the sense that </w:t>
      </w:r>
      <w:r w:rsidR="003225B4">
        <w:t xml:space="preserve">the clothing are the genuine designs of McQueen, it can be said that the it is the spectacle that is remembered rather than the history of what is attempted to be presented. The same can be said about </w:t>
      </w:r>
      <w:r w:rsidR="001859AC">
        <w:t xml:space="preserve">the earthquake simulator and other forms of performance heritage as well, because people may not be noticing the fact or idea being presented, </w:t>
      </w:r>
      <w:r w:rsidR="001859AC">
        <w:lastRenderedPageBreak/>
        <w:t xml:space="preserve">they may be viewing it in a ‘shallow’ fashion </w:t>
      </w:r>
      <w:r w:rsidR="002060C5">
        <w:t>in that they are seeing it as just an entertainment piece rather than genuine information being presented and therefore will not remember it.</w:t>
      </w:r>
    </w:p>
    <w:p w14:paraId="7B7BADB9" w14:textId="50BCDD32" w:rsidR="0037720C" w:rsidRDefault="00F1430F" w:rsidP="00CE4F05">
      <w:r>
        <w:t>Another way in which</w:t>
      </w:r>
      <w:r w:rsidR="00275462">
        <w:t xml:space="preserve"> it can be viewed that</w:t>
      </w:r>
      <w:r>
        <w:t xml:space="preserve"> people may be viewing history in a ‘shallow’ </w:t>
      </w:r>
      <w:r w:rsidR="00D1127F">
        <w:t xml:space="preserve">is people using the internet to digitise records </w:t>
      </w:r>
      <w:r w:rsidR="00275462">
        <w:t xml:space="preserve">of the artefacts and displays within the museum. </w:t>
      </w:r>
      <w:r w:rsidR="008E6FC8">
        <w:t>This means that the heritage being introduced to a much wider audience and the awareness of the history is increased easier and quicker than what it would have been in the time before the internet being widely used.</w:t>
      </w:r>
      <w:r w:rsidR="008E6FC8">
        <w:rPr>
          <w:rStyle w:val="FootnoteReference"/>
        </w:rPr>
        <w:footnoteReference w:id="20"/>
      </w:r>
      <w:r w:rsidR="008E6FC8">
        <w:t xml:space="preserve"> </w:t>
      </w:r>
      <w:r w:rsidR="00662531">
        <w:t xml:space="preserve">This means that heritage from one place is getting a lot more attention from around the world rather than </w:t>
      </w:r>
      <w:r w:rsidR="007C0041">
        <w:t xml:space="preserve">just the local area. </w:t>
      </w:r>
      <w:r w:rsidR="00A4234E">
        <w:t>T</w:t>
      </w:r>
      <w:r w:rsidR="008F1B38">
        <w:t>his</w:t>
      </w:r>
      <w:r w:rsidR="00A4234E">
        <w:t xml:space="preserve"> could</w:t>
      </w:r>
      <w:r w:rsidR="008F1B38">
        <w:t xml:space="preserve"> mean that </w:t>
      </w:r>
      <w:r w:rsidR="00FE3590">
        <w:t xml:space="preserve">while the use of websites can take away somewhat from the objects and displays in general, because </w:t>
      </w:r>
      <w:r w:rsidR="00A4234E">
        <w:t>instead of actually going to see the artefacts in person, they would be viewed only through the website and apps because of the ease for which it would take to do so. From this, it can be said that the use of things such as websites can take away from the objects themselves, because “objects should be more than illustrations…. more than standardized edifying images”</w:t>
      </w:r>
      <w:r w:rsidR="00A4234E">
        <w:rPr>
          <w:rStyle w:val="FootnoteReference"/>
        </w:rPr>
        <w:footnoteReference w:id="21"/>
      </w:r>
      <w:r w:rsidR="00A4234E">
        <w:t>.  The use of websites, can be said to be a good thing overall because,</w:t>
      </w:r>
      <w:r w:rsidR="00B52326">
        <w:t xml:space="preserve"> with the amount of people viewing such heritage online, there would be a high number of people who would then make the effort to visit them in person if they had interest in the subject.</w:t>
      </w:r>
    </w:p>
    <w:p w14:paraId="06C5098B" w14:textId="4C90E5AE" w:rsidR="00114EB7" w:rsidRDefault="00114EB7" w:rsidP="00CE4F05">
      <w:r>
        <w:t>In conclusion, Authenticity as a definition when it comes to heritage can be very flexible in the terms being that sometimes it does not take the original object itself alone to be termed ‘authentic’. It can be said that in some contexts, reconstructions through experimental archaeology can be viewed as authentic as the original construction. When it comes to significance, authenticity has significance only when the views of the community call for it because authority is “shared between museum scholars and their audiences”</w:t>
      </w:r>
      <w:r>
        <w:rPr>
          <w:rStyle w:val="FootnoteReference"/>
        </w:rPr>
        <w:footnoteReference w:id="22"/>
      </w:r>
      <w:r>
        <w:t xml:space="preserve">. This means that it is the decision of the community in a political and moral way which decides which objects are significant enough and therefore authentic enough to </w:t>
      </w:r>
      <w:r w:rsidR="00E47D14">
        <w:t xml:space="preserve">bring in the visitors to view them. This is shown by the royal women exhibition at the Bath fashion museum and to an extent the McQueen exhibition, as those clothes in particular are viewed as more important than all others; despite there being other clothes from the same time of a similar style that are not treated in the same way. Along with this, the emergence of the performance museum model over the previous interpretive means that more importance is placed on </w:t>
      </w:r>
      <w:r w:rsidR="00815D96">
        <w:t xml:space="preserve">the experience which means that the displays are placed in such a way that it </w:t>
      </w:r>
      <w:r w:rsidR="00A03866">
        <w:t>reflects the views of the world</w:t>
      </w:r>
      <w:r w:rsidR="00A03866">
        <w:rPr>
          <w:rStyle w:val="FootnoteReference"/>
        </w:rPr>
        <w:footnoteReference w:id="23"/>
      </w:r>
      <w:r w:rsidR="00484133">
        <w:t xml:space="preserve">. This means that </w:t>
      </w:r>
      <w:r w:rsidR="00F14658">
        <w:t>more emphasis is now put on entertaining the visitors while attempting to educate them at the same time, like the events at places like Warwick castle. Though to what extent this is achieved, is not very clear.</w:t>
      </w:r>
      <w:r w:rsidR="00F032C3">
        <w:t xml:space="preserve"> This can be done with or without the objects or site being authentic, authenticity in heritage can now be viewed as more of a benefit rather than a necessity if you take this standpoint.</w:t>
      </w:r>
    </w:p>
    <w:p w14:paraId="22800C8F" w14:textId="77777777" w:rsidR="00773CD2" w:rsidRDefault="00773CD2" w:rsidP="00556D97">
      <w:pPr>
        <w:pStyle w:val="ListParagraph"/>
      </w:pPr>
    </w:p>
    <w:p w14:paraId="29AA54D1" w14:textId="3F9ADB7A" w:rsidR="00770A74" w:rsidRDefault="00770A74" w:rsidP="00E47D14">
      <w:pPr>
        <w:pStyle w:val="ListParagraph"/>
      </w:pPr>
    </w:p>
    <w:p w14:paraId="11FE7C62" w14:textId="77777777" w:rsidR="00BC056E" w:rsidRDefault="00BC056E"/>
    <w:p w14:paraId="1DCD8DA6" w14:textId="77777777" w:rsidR="008E7295" w:rsidRDefault="008E7295"/>
    <w:p w14:paraId="1E0749A8" w14:textId="77777777" w:rsidR="008E7295" w:rsidRDefault="008E7295" w:rsidP="008E7295">
      <w:pPr>
        <w:ind w:left="405"/>
      </w:pPr>
    </w:p>
    <w:p w14:paraId="13A110FC" w14:textId="7415289E" w:rsidR="00B1517D" w:rsidRDefault="008F1B38" w:rsidP="008E7295">
      <w:pPr>
        <w:ind w:left="405"/>
      </w:pPr>
      <w:r>
        <w:rPr>
          <w:noProof/>
        </w:rPr>
        <w:lastRenderedPageBreak/>
        <w:drawing>
          <wp:inline distT="0" distB="0" distL="0" distR="0" wp14:anchorId="66083331" wp14:editId="4BD89768">
            <wp:extent cx="4194500" cy="3146107"/>
            <wp:effectExtent l="0" t="9207" r="6667" b="666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4195639" cy="3146961"/>
                    </a:xfrm>
                    <a:prstGeom prst="rect">
                      <a:avLst/>
                    </a:prstGeom>
                    <a:noFill/>
                    <a:ln>
                      <a:noFill/>
                    </a:ln>
                  </pic:spPr>
                </pic:pic>
              </a:graphicData>
            </a:graphic>
          </wp:inline>
        </w:drawing>
      </w:r>
      <w:r>
        <w:t xml:space="preserve"> </w:t>
      </w:r>
      <w:r w:rsidR="00FA29E8">
        <w:t>(figure 1)</w:t>
      </w:r>
    </w:p>
    <w:p w14:paraId="6AC42EDB" w14:textId="03467256" w:rsidR="00FA29E8" w:rsidRDefault="00FA29E8" w:rsidP="008E7295">
      <w:pPr>
        <w:ind w:left="405"/>
      </w:pPr>
    </w:p>
    <w:p w14:paraId="409CFA93" w14:textId="1DF05BD3" w:rsidR="00FA29E8" w:rsidRDefault="00FA29E8" w:rsidP="008E7295">
      <w:pPr>
        <w:ind w:left="405"/>
      </w:pPr>
      <w:r>
        <w:rPr>
          <w:noProof/>
        </w:rPr>
        <w:drawing>
          <wp:inline distT="0" distB="0" distL="0" distR="0" wp14:anchorId="5DB7ED17" wp14:editId="535D26E4">
            <wp:extent cx="3562350" cy="2671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66182" cy="2674835"/>
                    </a:xfrm>
                    <a:prstGeom prst="rect">
                      <a:avLst/>
                    </a:prstGeom>
                    <a:noFill/>
                    <a:ln>
                      <a:noFill/>
                    </a:ln>
                  </pic:spPr>
                </pic:pic>
              </a:graphicData>
            </a:graphic>
          </wp:inline>
        </w:drawing>
      </w:r>
      <w:r>
        <w:t xml:space="preserve"> (figure 2)</w:t>
      </w:r>
    </w:p>
    <w:p w14:paraId="28FF6E78" w14:textId="27444AC3" w:rsidR="00FE3590" w:rsidRDefault="00FE3590" w:rsidP="008E7295">
      <w:pPr>
        <w:ind w:left="405"/>
      </w:pPr>
      <w:r>
        <w:rPr>
          <w:noProof/>
        </w:rPr>
        <w:lastRenderedPageBreak/>
        <w:drawing>
          <wp:inline distT="0" distB="0" distL="0" distR="0" wp14:anchorId="415CA152" wp14:editId="54815285">
            <wp:extent cx="3936709" cy="295275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39373" cy="2954748"/>
                    </a:xfrm>
                    <a:prstGeom prst="rect">
                      <a:avLst/>
                    </a:prstGeom>
                    <a:noFill/>
                    <a:ln>
                      <a:noFill/>
                    </a:ln>
                  </pic:spPr>
                </pic:pic>
              </a:graphicData>
            </a:graphic>
          </wp:inline>
        </w:drawing>
      </w:r>
      <w:r>
        <w:t xml:space="preserve"> (figure 3)</w:t>
      </w:r>
    </w:p>
    <w:p w14:paraId="01F4DCB5" w14:textId="29C3B245" w:rsidR="00E47D14" w:rsidRDefault="00E47D14" w:rsidP="008E7295">
      <w:pPr>
        <w:ind w:left="405"/>
      </w:pPr>
    </w:p>
    <w:p w14:paraId="539AC27B" w14:textId="7323C91D" w:rsidR="00E47D14" w:rsidRDefault="00E47D14" w:rsidP="008E7295">
      <w:pPr>
        <w:ind w:left="405"/>
      </w:pPr>
    </w:p>
    <w:p w14:paraId="3EE754F9" w14:textId="4BB39C9D" w:rsidR="00E47D14" w:rsidRDefault="00E47D14" w:rsidP="008E7295">
      <w:pPr>
        <w:ind w:left="405"/>
      </w:pPr>
    </w:p>
    <w:p w14:paraId="448C09CD" w14:textId="4B60E459" w:rsidR="00E47D14" w:rsidRDefault="00E47D14" w:rsidP="008E7295">
      <w:pPr>
        <w:ind w:left="405"/>
      </w:pPr>
    </w:p>
    <w:p w14:paraId="5F25133B" w14:textId="2C5FA3AA" w:rsidR="00E47D14" w:rsidRDefault="00E47D14" w:rsidP="008E7295">
      <w:pPr>
        <w:ind w:left="405"/>
      </w:pPr>
    </w:p>
    <w:p w14:paraId="6C167371" w14:textId="3457A937" w:rsidR="00E47D14" w:rsidRDefault="00E47D14" w:rsidP="008E7295">
      <w:pPr>
        <w:ind w:left="405"/>
      </w:pPr>
    </w:p>
    <w:p w14:paraId="220383DD" w14:textId="7BE689CD" w:rsidR="00E47D14" w:rsidRDefault="00E47D14" w:rsidP="008E7295">
      <w:pPr>
        <w:ind w:left="405"/>
      </w:pPr>
    </w:p>
    <w:p w14:paraId="5641797A" w14:textId="28DE2ED7" w:rsidR="00E47D14" w:rsidRDefault="00E47D14" w:rsidP="008E7295">
      <w:pPr>
        <w:ind w:left="405"/>
      </w:pPr>
    </w:p>
    <w:p w14:paraId="6EB7A8B2" w14:textId="16CFB685" w:rsidR="00E47D14" w:rsidRDefault="00E47D14" w:rsidP="008E7295">
      <w:pPr>
        <w:ind w:left="405"/>
      </w:pPr>
    </w:p>
    <w:p w14:paraId="3999B78D" w14:textId="59236EA4" w:rsidR="00E47D14" w:rsidRDefault="00E47D14" w:rsidP="008E7295">
      <w:pPr>
        <w:ind w:left="405"/>
      </w:pPr>
    </w:p>
    <w:p w14:paraId="3F58824A" w14:textId="418B1C43" w:rsidR="00E47D14" w:rsidRDefault="00E47D14" w:rsidP="008E7295">
      <w:pPr>
        <w:ind w:left="405"/>
      </w:pPr>
    </w:p>
    <w:p w14:paraId="10C805D8" w14:textId="6494D83A" w:rsidR="00E47D14" w:rsidRDefault="00E47D14" w:rsidP="008E7295">
      <w:pPr>
        <w:ind w:left="405"/>
      </w:pPr>
    </w:p>
    <w:p w14:paraId="3D382214" w14:textId="2D804085" w:rsidR="00E47D14" w:rsidRDefault="00E47D14" w:rsidP="008E7295">
      <w:pPr>
        <w:ind w:left="405"/>
      </w:pPr>
    </w:p>
    <w:p w14:paraId="2C37ED55" w14:textId="7898A680" w:rsidR="00E47D14" w:rsidRDefault="00E47D14" w:rsidP="008E7295">
      <w:pPr>
        <w:ind w:left="405"/>
      </w:pPr>
    </w:p>
    <w:p w14:paraId="1338676D" w14:textId="75E47BDD" w:rsidR="00E47D14" w:rsidRDefault="00E47D14" w:rsidP="008E7295">
      <w:pPr>
        <w:ind w:left="405"/>
      </w:pPr>
    </w:p>
    <w:p w14:paraId="5970C120" w14:textId="55ADBB92" w:rsidR="00E47D14" w:rsidRDefault="00E47D14" w:rsidP="008E7295">
      <w:pPr>
        <w:ind w:left="405"/>
      </w:pPr>
    </w:p>
    <w:p w14:paraId="0501ACCE" w14:textId="2C4F095E" w:rsidR="00E47D14" w:rsidRDefault="00E47D14" w:rsidP="008E7295">
      <w:pPr>
        <w:ind w:left="405"/>
      </w:pPr>
    </w:p>
    <w:p w14:paraId="6F272D44" w14:textId="4D008CE7" w:rsidR="00E47D14" w:rsidRDefault="00E47D14" w:rsidP="008E7295">
      <w:pPr>
        <w:ind w:left="405"/>
      </w:pPr>
    </w:p>
    <w:p w14:paraId="292A55DB" w14:textId="582C8787" w:rsidR="00E47D14" w:rsidRDefault="00E47D14" w:rsidP="008E7295">
      <w:pPr>
        <w:ind w:left="405"/>
      </w:pPr>
    </w:p>
    <w:p w14:paraId="3F581F22" w14:textId="32AF3411" w:rsidR="00E47D14" w:rsidRDefault="00E47D14" w:rsidP="008E7295">
      <w:pPr>
        <w:ind w:left="405"/>
      </w:pPr>
    </w:p>
    <w:p w14:paraId="6C91ADEF" w14:textId="77777777" w:rsidR="00E47D14" w:rsidRDefault="00E47D14" w:rsidP="00E47D14">
      <w:pPr>
        <w:rPr>
          <w:sz w:val="28"/>
          <w:u w:val="single"/>
        </w:rPr>
      </w:pPr>
      <w:r>
        <w:rPr>
          <w:sz w:val="28"/>
          <w:u w:val="single"/>
        </w:rPr>
        <w:lastRenderedPageBreak/>
        <w:t>Bibliography:</w:t>
      </w:r>
    </w:p>
    <w:p w14:paraId="2BCA8BB8" w14:textId="77777777" w:rsidR="00E47D14" w:rsidRDefault="00E47D14" w:rsidP="00E47D14">
      <w:pPr>
        <w:rPr>
          <w:sz w:val="24"/>
          <w:u w:val="single"/>
        </w:rPr>
      </w:pPr>
    </w:p>
    <w:p w14:paraId="145EE4A4" w14:textId="77777777" w:rsidR="00E47D14" w:rsidRDefault="00E47D14" w:rsidP="00E47D14">
      <w:pPr>
        <w:rPr>
          <w:sz w:val="24"/>
          <w:u w:val="single"/>
        </w:rPr>
      </w:pPr>
      <w:r>
        <w:rPr>
          <w:sz w:val="24"/>
          <w:u w:val="single"/>
        </w:rPr>
        <w:t>Textbooks:</w:t>
      </w:r>
    </w:p>
    <w:p w14:paraId="17763668" w14:textId="77777777" w:rsidR="00E47D14" w:rsidRDefault="00E47D14" w:rsidP="00E47D14">
      <w:r>
        <w:t xml:space="preserve">Bennett, T. (1995). </w:t>
      </w:r>
      <w:r>
        <w:rPr>
          <w:i/>
        </w:rPr>
        <w:t xml:space="preserve">The Birth of the Museum: History, Theory, Politics. </w:t>
      </w:r>
      <w:r>
        <w:t>London; New York: Routledge.</w:t>
      </w:r>
    </w:p>
    <w:p w14:paraId="2D11EA8E" w14:textId="77777777" w:rsidR="00E47D14" w:rsidRDefault="00E47D14" w:rsidP="00E47D14">
      <w:r>
        <w:t xml:space="preserve">Kirshenblatt-Gimblett, B. (1998). </w:t>
      </w:r>
      <w:r>
        <w:rPr>
          <w:i/>
        </w:rPr>
        <w:t>Destination Culture: Tourism, Museums, and Heritage</w:t>
      </w:r>
      <w:r>
        <w:t>. Berkeley and Los Angeles, California: University of California Press.</w:t>
      </w:r>
    </w:p>
    <w:p w14:paraId="23601AF6" w14:textId="77777777" w:rsidR="00E47D14" w:rsidRDefault="00E47D14" w:rsidP="00E47D14">
      <w:r>
        <w:t xml:space="preserve">Drummond, S. and Yeoman I. (2000). </w:t>
      </w:r>
      <w:r>
        <w:rPr>
          <w:i/>
        </w:rPr>
        <w:t xml:space="preserve">Quality Issues in Heritage Visitor Attractions. </w:t>
      </w:r>
      <w:r>
        <w:t xml:space="preserve">New </w:t>
      </w:r>
      <w:proofErr w:type="spellStart"/>
      <w:proofErr w:type="gramStart"/>
      <w:r>
        <w:t>Zealand:Routledge</w:t>
      </w:r>
      <w:proofErr w:type="spellEnd"/>
      <w:proofErr w:type="gramEnd"/>
      <w:r>
        <w:t>.</w:t>
      </w:r>
    </w:p>
    <w:p w14:paraId="38F70CE2" w14:textId="77777777" w:rsidR="00E47D14" w:rsidRDefault="00E47D14" w:rsidP="00E47D14">
      <w:pPr>
        <w:rPr>
          <w:sz w:val="24"/>
          <w:u w:val="single"/>
        </w:rPr>
      </w:pPr>
    </w:p>
    <w:p w14:paraId="78B618CF" w14:textId="77777777" w:rsidR="00E47D14" w:rsidRDefault="00E47D14" w:rsidP="00E47D14">
      <w:pPr>
        <w:rPr>
          <w:sz w:val="24"/>
          <w:u w:val="single"/>
        </w:rPr>
      </w:pPr>
      <w:r>
        <w:rPr>
          <w:sz w:val="24"/>
          <w:u w:val="single"/>
        </w:rPr>
        <w:t>Journals:</w:t>
      </w:r>
    </w:p>
    <w:p w14:paraId="7CE2ADD0" w14:textId="77777777" w:rsidR="00E47D14" w:rsidRPr="00E47D14" w:rsidRDefault="00E47D14" w:rsidP="00E47D14">
      <w:pPr>
        <w:rPr>
          <w:rStyle w:val="Hyperlink"/>
          <w:rFonts w:cstheme="minorHAnsi"/>
          <w:color w:val="auto"/>
          <w:u w:val="none"/>
        </w:rPr>
      </w:pPr>
      <w:bookmarkStart w:id="2" w:name="_Hlk533127997"/>
      <w:r w:rsidRPr="00E47D14">
        <w:rPr>
          <w:rStyle w:val="Hyperlink"/>
          <w:rFonts w:cstheme="minorHAnsi"/>
          <w:color w:val="auto"/>
          <w:u w:val="none"/>
        </w:rPr>
        <w:t>Casey, V</w:t>
      </w:r>
      <w:bookmarkEnd w:id="2"/>
      <w:r w:rsidRPr="00E47D14">
        <w:rPr>
          <w:rStyle w:val="Hyperlink"/>
          <w:rFonts w:cstheme="minorHAnsi"/>
          <w:color w:val="auto"/>
          <w:u w:val="none"/>
        </w:rPr>
        <w:t xml:space="preserve">. (2005). ‘Staging Meaning; Performance in the Modern Museum’, </w:t>
      </w:r>
      <w:r w:rsidRPr="00E47D14">
        <w:rPr>
          <w:rStyle w:val="Hyperlink"/>
          <w:rFonts w:cstheme="minorHAnsi"/>
          <w:i/>
          <w:color w:val="auto"/>
          <w:u w:val="none"/>
        </w:rPr>
        <w:t>The MIT Press,</w:t>
      </w:r>
      <w:r w:rsidRPr="00E47D14">
        <w:rPr>
          <w:rStyle w:val="Hyperlink"/>
          <w:rFonts w:cstheme="minorHAnsi"/>
          <w:color w:val="auto"/>
          <w:u w:val="none"/>
        </w:rPr>
        <w:t xml:space="preserve"> Vol. 49(3), pp. 78-95. URL: </w:t>
      </w:r>
      <w:hyperlink r:id="rId11" w:history="1">
        <w:r w:rsidRPr="00E47D14">
          <w:rPr>
            <w:rStyle w:val="Hyperlink"/>
            <w:rFonts w:cstheme="minorHAnsi"/>
            <w:color w:val="auto"/>
            <w:u w:val="none"/>
          </w:rPr>
          <w:t>https://www-jstor-org.ezproxy.uwtsd.ac.uk/stable/4488658</w:t>
        </w:r>
      </w:hyperlink>
      <w:r w:rsidRPr="00E47D14">
        <w:rPr>
          <w:rStyle w:val="Hyperlink"/>
          <w:rFonts w:cstheme="minorHAnsi"/>
          <w:color w:val="auto"/>
          <w:u w:val="none"/>
        </w:rPr>
        <w:t>.</w:t>
      </w:r>
    </w:p>
    <w:p w14:paraId="1F330511" w14:textId="77777777" w:rsidR="00E47D14" w:rsidRDefault="00E47D14" w:rsidP="00E47D14">
      <w:r>
        <w:t xml:space="preserve">Crew, S R. (1996). ‘Who Owns </w:t>
      </w:r>
      <w:proofErr w:type="gramStart"/>
      <w:r>
        <w:t>History?:</w:t>
      </w:r>
      <w:proofErr w:type="gramEnd"/>
      <w:r>
        <w:t xml:space="preserve"> History in Museum’, </w:t>
      </w:r>
      <w:r>
        <w:rPr>
          <w:i/>
        </w:rPr>
        <w:t xml:space="preserve">The History Teacher, </w:t>
      </w:r>
      <w:r>
        <w:t xml:space="preserve">Vol. 30(1), pp.83-88. </w:t>
      </w:r>
      <w:r>
        <w:rPr>
          <w:rFonts w:cstheme="minorHAnsi"/>
        </w:rPr>
        <w:t>DOI: 10.2307/494222.</w:t>
      </w:r>
    </w:p>
    <w:p w14:paraId="03562470" w14:textId="77777777" w:rsidR="00E47D14" w:rsidRDefault="00E47D14" w:rsidP="00E47D14">
      <w:pPr>
        <w:rPr>
          <w:rFonts w:cstheme="minorHAnsi"/>
        </w:rPr>
      </w:pPr>
      <w:r>
        <w:rPr>
          <w:rFonts w:cstheme="minorHAnsi"/>
        </w:rPr>
        <w:t xml:space="preserve">Crew, S R. (2000). ‘A Museum Perspective on the Presence of the Past’, </w:t>
      </w:r>
      <w:r>
        <w:rPr>
          <w:rFonts w:cstheme="minorHAnsi"/>
          <w:i/>
        </w:rPr>
        <w:t xml:space="preserve">The Public Historian, </w:t>
      </w:r>
      <w:r>
        <w:rPr>
          <w:rFonts w:cstheme="minorHAnsi"/>
        </w:rPr>
        <w:t>Vol.22(1), pp.23-26. DOI: 10.2307/3379327.</w:t>
      </w:r>
    </w:p>
    <w:p w14:paraId="1AC08633" w14:textId="77777777" w:rsidR="00E47D14" w:rsidRDefault="00E47D14" w:rsidP="00E47D14">
      <w:pPr>
        <w:spacing w:line="315" w:lineRule="atLeast"/>
        <w:rPr>
          <w:rFonts w:cstheme="minorHAnsi"/>
          <w:color w:val="000000" w:themeColor="text1"/>
        </w:rPr>
      </w:pPr>
      <w:r>
        <w:rPr>
          <w:rFonts w:cstheme="minorHAnsi"/>
          <w:color w:val="000000" w:themeColor="text1"/>
        </w:rPr>
        <w:t xml:space="preserve">Handler, R. (1986). ‘Authenticity’, </w:t>
      </w:r>
      <w:r>
        <w:rPr>
          <w:rFonts w:cstheme="minorHAnsi"/>
          <w:i/>
          <w:color w:val="000000" w:themeColor="text1"/>
        </w:rPr>
        <w:t>Anthropology Today</w:t>
      </w:r>
      <w:r>
        <w:rPr>
          <w:rFonts w:cstheme="minorHAnsi"/>
          <w:color w:val="000000" w:themeColor="text1"/>
        </w:rPr>
        <w:t xml:space="preserve">, Vol.2(1), pp.2-4. URL: </w:t>
      </w:r>
      <w:hyperlink r:id="rId12" w:history="1">
        <w:r>
          <w:rPr>
            <w:rStyle w:val="Hyperlink"/>
            <w:rFonts w:cstheme="minorHAnsi"/>
          </w:rPr>
          <w:t>https://www.jstor.org/stable/3032899</w:t>
        </w:r>
      </w:hyperlink>
    </w:p>
    <w:p w14:paraId="66E91E21" w14:textId="77777777" w:rsidR="00E47D14" w:rsidRDefault="00E47D14" w:rsidP="00E47D14">
      <w:pPr>
        <w:rPr>
          <w:rStyle w:val="Hyperlink"/>
          <w:u w:val="none"/>
        </w:rPr>
      </w:pPr>
      <w:bookmarkStart w:id="3" w:name="_Hlk533128020"/>
      <w:r>
        <w:rPr>
          <w:rFonts w:cstheme="minorHAnsi"/>
        </w:rPr>
        <w:t>Jackson, A and Leahy H R.</w:t>
      </w:r>
      <w:bookmarkEnd w:id="3"/>
      <w:r>
        <w:rPr>
          <w:rFonts w:cstheme="minorHAnsi"/>
        </w:rPr>
        <w:t xml:space="preserve"> (2005). ‘‘Seeing it for </w:t>
      </w:r>
      <w:proofErr w:type="gramStart"/>
      <w:r>
        <w:rPr>
          <w:rFonts w:cstheme="minorHAnsi"/>
        </w:rPr>
        <w:t>Real?...</w:t>
      </w:r>
      <w:proofErr w:type="gramEnd"/>
      <w:r>
        <w:rPr>
          <w:rFonts w:cstheme="minorHAnsi"/>
        </w:rPr>
        <w:t xml:space="preserve">’ Authenticity, Theatre, and Learning in Museums’, </w:t>
      </w:r>
      <w:r>
        <w:rPr>
          <w:rFonts w:cstheme="minorHAnsi"/>
          <w:i/>
        </w:rPr>
        <w:t xml:space="preserve">Research in Drama Education: The Journal of Applied Theatre and Performance, </w:t>
      </w:r>
      <w:r>
        <w:rPr>
          <w:rFonts w:cstheme="minorHAnsi"/>
        </w:rPr>
        <w:t xml:space="preserve">Vol.10(3), pp.303-325. </w:t>
      </w:r>
      <w:r>
        <w:rPr>
          <w:rStyle w:val="doilink"/>
          <w:rFonts w:cstheme="minorHAnsi"/>
        </w:rPr>
        <w:t xml:space="preserve">DOI: </w:t>
      </w:r>
      <w:hyperlink r:id="rId13" w:history="1">
        <w:r>
          <w:rPr>
            <w:rStyle w:val="Hyperlink"/>
            <w:rFonts w:cstheme="minorHAnsi"/>
          </w:rPr>
          <w:t>10.1080/13569780500275956</w:t>
        </w:r>
      </w:hyperlink>
      <w:r>
        <w:rPr>
          <w:rStyle w:val="Hyperlink"/>
          <w:rFonts w:cstheme="minorHAnsi"/>
        </w:rPr>
        <w:t>.</w:t>
      </w:r>
    </w:p>
    <w:p w14:paraId="1835BC65" w14:textId="77777777" w:rsidR="00E47D14" w:rsidRPr="0061182C" w:rsidRDefault="00E47D14" w:rsidP="00E47D14">
      <w:pPr>
        <w:textAlignment w:val="baseline"/>
        <w:rPr>
          <w:rFonts w:ascii="Helvetica" w:eastAsia="Times New Roman" w:hAnsi="Helvetica" w:cs="Times New Roman"/>
          <w:sz w:val="20"/>
          <w:szCs w:val="20"/>
          <w:lang w:eastAsia="en-GB"/>
        </w:rPr>
      </w:pPr>
      <w:bookmarkStart w:id="4" w:name="_Hlk533801872"/>
      <w:r w:rsidRPr="0061182C">
        <w:rPr>
          <w:rStyle w:val="Hyperlink"/>
          <w:rFonts w:cstheme="minorHAnsi"/>
          <w:color w:val="auto"/>
          <w:u w:val="none"/>
        </w:rPr>
        <w:t>Ramesh, S et al. (2009</w:t>
      </w:r>
      <w:bookmarkEnd w:id="4"/>
      <w:r w:rsidRPr="0061182C">
        <w:rPr>
          <w:rStyle w:val="Hyperlink"/>
          <w:rFonts w:cstheme="minorHAnsi"/>
          <w:color w:val="auto"/>
          <w:u w:val="none"/>
        </w:rPr>
        <w:t>). ‘</w:t>
      </w:r>
      <w:hyperlink r:id="rId14" w:history="1">
        <w:r w:rsidRPr="0061182C">
          <w:rPr>
            <w:rStyle w:val="Hyperlink"/>
            <w:rFonts w:cstheme="minorHAnsi"/>
            <w:color w:val="auto"/>
            <w:u w:val="none"/>
          </w:rPr>
          <w:t xml:space="preserve">Digital Museums and Diverse Cultural Knowledges: Moving Past the Traditional </w:t>
        </w:r>
        <w:proofErr w:type="spellStart"/>
        <w:r w:rsidRPr="0061182C">
          <w:rPr>
            <w:rStyle w:val="Hyperlink"/>
            <w:rFonts w:cstheme="minorHAnsi"/>
            <w:color w:val="auto"/>
            <w:u w:val="none"/>
          </w:rPr>
          <w:t>Catalog</w:t>
        </w:r>
        <w:proofErr w:type="spellEnd"/>
        <w:r w:rsidRPr="0061182C">
          <w:rPr>
            <w:rStyle w:val="Hyperlink"/>
            <w:rFonts w:cstheme="minorHAnsi"/>
            <w:color w:val="auto"/>
            <w:u w:val="none"/>
          </w:rPr>
          <w:t>.</w:t>
        </w:r>
      </w:hyperlink>
      <w:r w:rsidRPr="0061182C">
        <w:rPr>
          <w:rStyle w:val="Hyperlink"/>
          <w:rFonts w:cstheme="minorHAnsi"/>
          <w:b/>
          <w:color w:val="auto"/>
          <w:u w:val="none"/>
        </w:rPr>
        <w:t xml:space="preserve">’ </w:t>
      </w:r>
      <w:r w:rsidRPr="0061182C">
        <w:rPr>
          <w:rStyle w:val="Hyperlink"/>
          <w:rFonts w:cstheme="minorHAnsi"/>
          <w:color w:val="auto"/>
          <w:u w:val="none"/>
        </w:rPr>
        <w:t>Information Society, Vol.25 (4), pp.265-279. DOI:</w:t>
      </w:r>
      <w:r w:rsidRPr="0061182C">
        <w:rPr>
          <w:rFonts w:cstheme="minorHAnsi"/>
        </w:rPr>
        <w:t xml:space="preserve"> </w:t>
      </w:r>
      <w:r w:rsidRPr="0061182C">
        <w:rPr>
          <w:rFonts w:eastAsia="Times New Roman" w:cstheme="minorHAnsi"/>
          <w:lang w:eastAsia="en-GB"/>
        </w:rPr>
        <w:t>10.1080/01972240903028714</w:t>
      </w:r>
    </w:p>
    <w:p w14:paraId="60893173" w14:textId="77777777" w:rsidR="00E47D14" w:rsidRDefault="00E47D14" w:rsidP="00E47D14">
      <w:pPr>
        <w:pStyle w:val="Heading3"/>
        <w:spacing w:before="0" w:beforeAutospacing="0" w:after="0" w:afterAutospacing="0"/>
        <w:rPr>
          <w:rFonts w:asciiTheme="minorHAnsi" w:hAnsiTheme="minorHAnsi" w:cstheme="minorHAnsi"/>
          <w:b w:val="0"/>
          <w:color w:val="000000" w:themeColor="text1"/>
          <w:sz w:val="22"/>
          <w:szCs w:val="22"/>
        </w:rPr>
      </w:pPr>
    </w:p>
    <w:p w14:paraId="0A3B02EA" w14:textId="77777777" w:rsidR="00E47D14" w:rsidRPr="00744518" w:rsidRDefault="00E47D14" w:rsidP="00E47D14">
      <w:pPr>
        <w:rPr>
          <w:rStyle w:val="Hyperlink"/>
          <w:color w:val="auto"/>
          <w:sz w:val="24"/>
        </w:rPr>
      </w:pPr>
      <w:r w:rsidRPr="00744518">
        <w:rPr>
          <w:rStyle w:val="Hyperlink"/>
          <w:rFonts w:cstheme="minorHAnsi"/>
          <w:color w:val="auto"/>
          <w:sz w:val="24"/>
        </w:rPr>
        <w:t>Videos:</w:t>
      </w:r>
    </w:p>
    <w:p w14:paraId="14EB8155" w14:textId="77777777" w:rsidR="00E47D14" w:rsidRPr="00744518" w:rsidRDefault="00E47D14" w:rsidP="00E47D14">
      <w:pPr>
        <w:rPr>
          <w:rStyle w:val="Hyperlink"/>
          <w:rFonts w:cstheme="minorHAnsi"/>
          <w:color w:val="auto"/>
          <w:u w:val="none"/>
        </w:rPr>
      </w:pPr>
      <w:r w:rsidRPr="00744518">
        <w:rPr>
          <w:rStyle w:val="Hyperlink"/>
          <w:rFonts w:cstheme="minorHAnsi"/>
          <w:color w:val="auto"/>
          <w:u w:val="none"/>
        </w:rPr>
        <w:t xml:space="preserve">Campbell, T.P. (2012) </w:t>
      </w:r>
      <w:r w:rsidRPr="00744518">
        <w:rPr>
          <w:rStyle w:val="Hyperlink"/>
          <w:rFonts w:cstheme="minorHAnsi"/>
          <w:i/>
          <w:color w:val="auto"/>
          <w:u w:val="none"/>
        </w:rPr>
        <w:t xml:space="preserve">Weaving Narratives in Museum Galleries </w:t>
      </w:r>
      <w:r w:rsidRPr="00744518">
        <w:rPr>
          <w:rStyle w:val="Hyperlink"/>
          <w:rFonts w:cstheme="minorHAnsi"/>
          <w:color w:val="auto"/>
          <w:u w:val="none"/>
        </w:rPr>
        <w:t xml:space="preserve">[video].                                                                                    Available at: </w:t>
      </w:r>
      <w:hyperlink r:id="rId15" w:history="1">
        <w:r w:rsidRPr="00744518">
          <w:rPr>
            <w:rStyle w:val="Hyperlink"/>
            <w:rFonts w:cstheme="minorHAnsi"/>
            <w:color w:val="auto"/>
            <w:u w:val="none"/>
          </w:rPr>
          <w:t>https://www.youtube.com/watch?v=zuYzOn0U2PY</w:t>
        </w:r>
      </w:hyperlink>
    </w:p>
    <w:p w14:paraId="29CD67CE" w14:textId="77777777" w:rsidR="00E47D14" w:rsidRPr="00744518" w:rsidRDefault="00E47D14" w:rsidP="00E47D14">
      <w:proofErr w:type="spellStart"/>
      <w:r w:rsidRPr="00744518">
        <w:rPr>
          <w:rStyle w:val="Hyperlink"/>
          <w:rFonts w:cstheme="minorHAnsi"/>
          <w:color w:val="auto"/>
          <w:u w:val="none"/>
        </w:rPr>
        <w:t>Craith</w:t>
      </w:r>
      <w:proofErr w:type="spellEnd"/>
      <w:r w:rsidRPr="00744518">
        <w:rPr>
          <w:rStyle w:val="Hyperlink"/>
          <w:rFonts w:cstheme="minorHAnsi"/>
          <w:color w:val="auto"/>
          <w:u w:val="none"/>
        </w:rPr>
        <w:t xml:space="preserve">, M.N. (2015) </w:t>
      </w:r>
      <w:r w:rsidRPr="00744518">
        <w:rPr>
          <w:rFonts w:cstheme="minorHAnsi"/>
          <w:i/>
        </w:rPr>
        <w:t>Intangible Heritage - Why should we care?</w:t>
      </w:r>
      <w:r w:rsidRPr="00744518">
        <w:rPr>
          <w:rFonts w:cstheme="minorHAnsi"/>
        </w:rPr>
        <w:t xml:space="preserve"> [video].                                                                                           Available at: </w:t>
      </w:r>
      <w:hyperlink r:id="rId16" w:history="1">
        <w:r w:rsidRPr="00744518">
          <w:rPr>
            <w:rStyle w:val="Hyperlink"/>
            <w:rFonts w:cstheme="minorHAnsi"/>
            <w:color w:val="auto"/>
            <w:u w:val="none"/>
          </w:rPr>
          <w:t>https://www.youtube.com/watch?v=d9ZHj4ihTog</w:t>
        </w:r>
      </w:hyperlink>
    </w:p>
    <w:p w14:paraId="48142014" w14:textId="77777777" w:rsidR="00E47D14" w:rsidRDefault="00E47D14" w:rsidP="00E47D14">
      <w:pPr>
        <w:rPr>
          <w:rStyle w:val="Hyperlink"/>
        </w:rPr>
      </w:pPr>
    </w:p>
    <w:p w14:paraId="471F7BBA" w14:textId="77777777" w:rsidR="00E47D14" w:rsidRPr="007F2AAD" w:rsidRDefault="00E47D14" w:rsidP="00E47D14">
      <w:pPr>
        <w:rPr>
          <w:rStyle w:val="Hyperlink"/>
          <w:rFonts w:cstheme="minorHAnsi"/>
          <w:color w:val="auto"/>
          <w:u w:val="none"/>
        </w:rPr>
      </w:pPr>
    </w:p>
    <w:p w14:paraId="1DDA6DF5" w14:textId="77777777" w:rsidR="00E47D14" w:rsidRPr="007F2AAD" w:rsidRDefault="00E47D14" w:rsidP="00E47D14">
      <w:pPr>
        <w:rPr>
          <w:rStyle w:val="Hyperlink"/>
          <w:rFonts w:cstheme="minorHAnsi"/>
          <w:color w:val="auto"/>
          <w:u w:val="none"/>
        </w:rPr>
      </w:pPr>
      <w:r w:rsidRPr="007F2AAD">
        <w:rPr>
          <w:rStyle w:val="Hyperlink"/>
          <w:rFonts w:cstheme="minorHAnsi"/>
          <w:color w:val="auto"/>
          <w:u w:val="none"/>
        </w:rPr>
        <w:t>Exhibitions:</w:t>
      </w:r>
    </w:p>
    <w:p w14:paraId="5FB90C3F" w14:textId="77777777" w:rsidR="00E47D14" w:rsidRPr="007F2AAD" w:rsidRDefault="00E47D14" w:rsidP="00E47D14">
      <w:pPr>
        <w:rPr>
          <w:rStyle w:val="Hyperlink"/>
          <w:rFonts w:cstheme="minorHAnsi"/>
          <w:color w:val="auto"/>
          <w:u w:val="none"/>
        </w:rPr>
      </w:pPr>
      <w:r w:rsidRPr="007F2AAD">
        <w:rPr>
          <w:rStyle w:val="Hyperlink"/>
          <w:rFonts w:cstheme="minorHAnsi"/>
          <w:color w:val="auto"/>
          <w:u w:val="none"/>
        </w:rPr>
        <w:t>Royal women (2018) [Exhibition]. The Fashion Museum, Bath. 3</w:t>
      </w:r>
      <w:r w:rsidRPr="007F2AAD">
        <w:rPr>
          <w:rStyle w:val="Hyperlink"/>
          <w:rFonts w:cstheme="minorHAnsi"/>
          <w:color w:val="auto"/>
          <w:u w:val="none"/>
          <w:vertAlign w:val="superscript"/>
        </w:rPr>
        <w:t xml:space="preserve"> </w:t>
      </w:r>
      <w:r w:rsidRPr="007F2AAD">
        <w:rPr>
          <w:rStyle w:val="Hyperlink"/>
          <w:rFonts w:cstheme="minorHAnsi"/>
          <w:color w:val="auto"/>
          <w:u w:val="none"/>
        </w:rPr>
        <w:t>February 2018- 28 April 2019.</w:t>
      </w:r>
    </w:p>
    <w:p w14:paraId="5917A839" w14:textId="77777777" w:rsidR="00E47D14" w:rsidRPr="007F2AAD" w:rsidRDefault="00E47D14" w:rsidP="00E47D14">
      <w:pPr>
        <w:rPr>
          <w:rStyle w:val="Hyperlink"/>
          <w:rFonts w:cstheme="minorHAnsi"/>
          <w:color w:val="auto"/>
          <w:u w:val="none"/>
        </w:rPr>
      </w:pPr>
      <w:r w:rsidRPr="007F2AAD">
        <w:rPr>
          <w:rStyle w:val="Hyperlink"/>
          <w:rFonts w:cstheme="minorHAnsi"/>
          <w:color w:val="auto"/>
          <w:u w:val="none"/>
        </w:rPr>
        <w:t>Alexander McQueen: Savage Beauty (2011) [Exhibition]. The Metropolitan Museum of Art, New York. 4 May- 7 August 2011</w:t>
      </w:r>
    </w:p>
    <w:p w14:paraId="7B9D7CA7" w14:textId="77777777" w:rsidR="00E47D14" w:rsidRPr="007F2AAD" w:rsidRDefault="00E47D14" w:rsidP="00E47D14">
      <w:pPr>
        <w:rPr>
          <w:rStyle w:val="Hyperlink"/>
          <w:rFonts w:cstheme="minorHAnsi"/>
          <w:color w:val="auto"/>
          <w:u w:val="none"/>
        </w:rPr>
      </w:pPr>
      <w:r w:rsidRPr="007F2AAD">
        <w:rPr>
          <w:rStyle w:val="Hyperlink"/>
          <w:rFonts w:cstheme="minorHAnsi"/>
          <w:color w:val="auto"/>
          <w:u w:val="none"/>
        </w:rPr>
        <w:lastRenderedPageBreak/>
        <w:t>Volcanoes and Earthquakes (present) [Exhibition]. The Natural History Museum, London. Present.</w:t>
      </w:r>
    </w:p>
    <w:p w14:paraId="63C40CB9" w14:textId="77777777" w:rsidR="00E47D14" w:rsidRPr="007F2AAD" w:rsidRDefault="00E47D14" w:rsidP="00E47D14">
      <w:pPr>
        <w:rPr>
          <w:rStyle w:val="Hyperlink"/>
          <w:rFonts w:cstheme="minorHAnsi"/>
          <w:color w:val="auto"/>
          <w:u w:val="none"/>
        </w:rPr>
      </w:pPr>
    </w:p>
    <w:p w14:paraId="7329115C" w14:textId="77777777" w:rsidR="00E47D14" w:rsidRPr="007F2AAD" w:rsidRDefault="00E47D14" w:rsidP="00E47D14">
      <w:pPr>
        <w:rPr>
          <w:rStyle w:val="Hyperlink"/>
          <w:rFonts w:cstheme="minorHAnsi"/>
          <w:color w:val="auto"/>
          <w:u w:val="none"/>
        </w:rPr>
      </w:pPr>
    </w:p>
    <w:p w14:paraId="098BF5CE" w14:textId="77777777" w:rsidR="00E47D14" w:rsidRPr="007F2AAD" w:rsidRDefault="00E47D14" w:rsidP="00E47D14">
      <w:pPr>
        <w:rPr>
          <w:rStyle w:val="Hyperlink"/>
          <w:rFonts w:cstheme="minorHAnsi"/>
          <w:color w:val="auto"/>
          <w:u w:val="none"/>
        </w:rPr>
      </w:pPr>
      <w:r w:rsidRPr="007F2AAD">
        <w:rPr>
          <w:rStyle w:val="Hyperlink"/>
          <w:rFonts w:cstheme="minorHAnsi"/>
          <w:color w:val="auto"/>
          <w:u w:val="none"/>
        </w:rPr>
        <w:t>Websites:</w:t>
      </w:r>
    </w:p>
    <w:p w14:paraId="59618B38" w14:textId="37DBB995" w:rsidR="00E47D14" w:rsidRPr="007F2AAD" w:rsidRDefault="00D737A8" w:rsidP="00E47D14">
      <w:pPr>
        <w:rPr>
          <w:rStyle w:val="Hyperlink"/>
          <w:rFonts w:cstheme="minorHAnsi"/>
          <w:color w:val="auto"/>
          <w:u w:val="none"/>
        </w:rPr>
      </w:pPr>
      <w:r>
        <w:rPr>
          <w:rStyle w:val="Hyperlink"/>
          <w:rFonts w:cstheme="minorHAnsi"/>
          <w:color w:val="auto"/>
          <w:u w:val="none"/>
        </w:rPr>
        <w:t xml:space="preserve">The National Museum of Wales. Available at: </w:t>
      </w:r>
      <w:hyperlink r:id="rId17" w:history="1">
        <w:r w:rsidRPr="00692628">
          <w:rPr>
            <w:rStyle w:val="Hyperlink"/>
            <w:rFonts w:cstheme="minorHAnsi"/>
          </w:rPr>
          <w:t>https://museum.wales/stfagans/buildings/bryneryr/</w:t>
        </w:r>
      </w:hyperlink>
    </w:p>
    <w:p w14:paraId="0E26C3B4" w14:textId="00C1BB81" w:rsidR="00E47D14" w:rsidRPr="007F2AAD" w:rsidRDefault="00D737A8" w:rsidP="00E47D14">
      <w:pPr>
        <w:rPr>
          <w:rStyle w:val="Hyperlink"/>
          <w:rFonts w:cstheme="minorHAnsi"/>
          <w:color w:val="auto"/>
          <w:u w:val="none"/>
        </w:rPr>
      </w:pPr>
      <w:r>
        <w:rPr>
          <w:rStyle w:val="Hyperlink"/>
          <w:rFonts w:cstheme="minorHAnsi"/>
          <w:color w:val="auto"/>
          <w:u w:val="none"/>
        </w:rPr>
        <w:t xml:space="preserve">Warwick Castle. Available at: </w:t>
      </w:r>
      <w:hyperlink r:id="rId18" w:history="1">
        <w:r w:rsidRPr="00692628">
          <w:rPr>
            <w:rStyle w:val="Hyperlink"/>
            <w:rFonts w:cstheme="minorHAnsi"/>
          </w:rPr>
          <w:t>https://www.warwick-castle.com/explore/the-castle-dungeon.aspx</w:t>
        </w:r>
      </w:hyperlink>
    </w:p>
    <w:p w14:paraId="002E9A80" w14:textId="2996F522" w:rsidR="00E47D14" w:rsidRPr="007F2AAD" w:rsidRDefault="00D737A8" w:rsidP="00E47D14">
      <w:pPr>
        <w:rPr>
          <w:rStyle w:val="Hyperlink"/>
          <w:rFonts w:cstheme="minorHAnsi"/>
          <w:color w:val="auto"/>
          <w:u w:val="none"/>
        </w:rPr>
      </w:pPr>
      <w:r>
        <w:rPr>
          <w:rStyle w:val="Hyperlink"/>
          <w:rFonts w:cstheme="minorHAnsi"/>
          <w:color w:val="auto"/>
          <w:u w:val="none"/>
        </w:rPr>
        <w:t xml:space="preserve">The Natural History Museum. Available at: </w:t>
      </w:r>
      <w:hyperlink r:id="rId19" w:history="1">
        <w:r w:rsidRPr="00692628">
          <w:rPr>
            <w:rStyle w:val="Hyperlink"/>
            <w:rFonts w:cstheme="minorHAnsi"/>
          </w:rPr>
          <w:t>http://www.nhm.ac.uk/visit/galleries-and-museum-map/volcanoes-and-earthquakes.html</w:t>
        </w:r>
      </w:hyperlink>
    </w:p>
    <w:p w14:paraId="16E9C644" w14:textId="5562F3A0" w:rsidR="00E47D14" w:rsidRPr="007F2AAD" w:rsidRDefault="00D737A8" w:rsidP="00E47D14">
      <w:r>
        <w:t xml:space="preserve"> The Metropolitan Museum of Art Available at: </w:t>
      </w:r>
      <w:hyperlink r:id="rId20" w:history="1">
        <w:r w:rsidRPr="00692628">
          <w:rPr>
            <w:rStyle w:val="Hyperlink"/>
          </w:rPr>
          <w:t>https://www.metmuseum.org/exhibitions/listings/2011/alexander-mcqueen</w:t>
        </w:r>
      </w:hyperlink>
      <w:r w:rsidR="00E47D14" w:rsidRPr="007F2AAD">
        <w:t>,</w:t>
      </w:r>
    </w:p>
    <w:p w14:paraId="2167E72A" w14:textId="77777777" w:rsidR="00E47D14" w:rsidRDefault="00E47D14" w:rsidP="00E47D14">
      <w:pPr>
        <w:rPr>
          <w:rStyle w:val="Hyperlink"/>
          <w:rFonts w:cstheme="minorHAnsi"/>
        </w:rPr>
      </w:pPr>
    </w:p>
    <w:p w14:paraId="066D4C6B" w14:textId="17601DE6" w:rsidR="00E47D14" w:rsidRDefault="00E47D14" w:rsidP="00D737A8">
      <w:pPr>
        <w:rPr>
          <w:rStyle w:val="Hyperlink"/>
          <w:rFonts w:cstheme="minorHAnsi"/>
          <w:color w:val="auto"/>
          <w:sz w:val="24"/>
        </w:rPr>
      </w:pPr>
      <w:r w:rsidRPr="00E47D14">
        <w:rPr>
          <w:rStyle w:val="Hyperlink"/>
          <w:rFonts w:cstheme="minorHAnsi"/>
          <w:color w:val="auto"/>
          <w:sz w:val="24"/>
        </w:rPr>
        <w:t>Images:</w:t>
      </w:r>
    </w:p>
    <w:p w14:paraId="5D67C0C4" w14:textId="2FF5A100" w:rsidR="00D737A8" w:rsidRPr="00D737A8" w:rsidRDefault="00D737A8" w:rsidP="00D737A8">
      <w:pPr>
        <w:rPr>
          <w:rFonts w:cstheme="minorHAnsi"/>
          <w:sz w:val="24"/>
        </w:rPr>
      </w:pPr>
      <w:r>
        <w:rPr>
          <w:rFonts w:cstheme="minorHAnsi"/>
          <w:sz w:val="24"/>
        </w:rPr>
        <w:t>All the photos are original and taken by me in 2018.</w:t>
      </w:r>
    </w:p>
    <w:sectPr w:rsidR="00D737A8" w:rsidRPr="00D737A8">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63BD9" w14:textId="77777777" w:rsidR="00AA7A59" w:rsidRDefault="00AA7A59" w:rsidP="00771DAB">
      <w:pPr>
        <w:spacing w:after="0" w:line="240" w:lineRule="auto"/>
      </w:pPr>
      <w:r>
        <w:separator/>
      </w:r>
    </w:p>
  </w:endnote>
  <w:endnote w:type="continuationSeparator" w:id="0">
    <w:p w14:paraId="19FEC23F" w14:textId="77777777" w:rsidR="00AA7A59" w:rsidRDefault="00AA7A59" w:rsidP="00771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6030834"/>
      <w:docPartObj>
        <w:docPartGallery w:val="Page Numbers (Bottom of Page)"/>
        <w:docPartUnique/>
      </w:docPartObj>
    </w:sdtPr>
    <w:sdtEndPr>
      <w:rPr>
        <w:noProof/>
      </w:rPr>
    </w:sdtEndPr>
    <w:sdtContent>
      <w:p w14:paraId="1BC79C94" w14:textId="3632B384" w:rsidR="00D737A8" w:rsidRDefault="00D737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0F72F6" w14:textId="77777777" w:rsidR="00D737A8" w:rsidRDefault="00D73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7F9C3F" w14:textId="77777777" w:rsidR="00AA7A59" w:rsidRDefault="00AA7A59" w:rsidP="00771DAB">
      <w:pPr>
        <w:spacing w:after="0" w:line="240" w:lineRule="auto"/>
      </w:pPr>
      <w:r>
        <w:separator/>
      </w:r>
    </w:p>
  </w:footnote>
  <w:footnote w:type="continuationSeparator" w:id="0">
    <w:p w14:paraId="32866DB2" w14:textId="77777777" w:rsidR="00AA7A59" w:rsidRDefault="00AA7A59" w:rsidP="00771DAB">
      <w:pPr>
        <w:spacing w:after="0" w:line="240" w:lineRule="auto"/>
      </w:pPr>
      <w:r>
        <w:continuationSeparator/>
      </w:r>
    </w:p>
  </w:footnote>
  <w:footnote w:id="1">
    <w:p w14:paraId="536E605F" w14:textId="47D48EEC" w:rsidR="00D737A8" w:rsidRDefault="00D737A8">
      <w:pPr>
        <w:pStyle w:val="FootnoteText"/>
      </w:pPr>
      <w:r>
        <w:rPr>
          <w:rStyle w:val="FootnoteReference"/>
        </w:rPr>
        <w:footnoteRef/>
      </w:r>
      <w:r>
        <w:t xml:space="preserve"> Drummond and Yeoman. 2000</w:t>
      </w:r>
    </w:p>
  </w:footnote>
  <w:footnote w:id="2">
    <w:p w14:paraId="02026011" w14:textId="11E0EA12" w:rsidR="00D737A8" w:rsidRDefault="00D737A8">
      <w:pPr>
        <w:pStyle w:val="FootnoteText"/>
      </w:pPr>
      <w:r>
        <w:rPr>
          <w:rStyle w:val="FootnoteReference"/>
        </w:rPr>
        <w:footnoteRef/>
      </w:r>
      <w:r>
        <w:t xml:space="preserve"> Crew, S R. 2000</w:t>
      </w:r>
    </w:p>
  </w:footnote>
  <w:footnote w:id="3">
    <w:p w14:paraId="2B284053" w14:textId="69AC72D4" w:rsidR="00D737A8" w:rsidRDefault="00D737A8">
      <w:pPr>
        <w:pStyle w:val="FootnoteText"/>
      </w:pPr>
      <w:r>
        <w:rPr>
          <w:rStyle w:val="FootnoteReference"/>
        </w:rPr>
        <w:footnoteRef/>
      </w:r>
      <w:r>
        <w:t xml:space="preserve"> Campbell T P</w:t>
      </w:r>
    </w:p>
  </w:footnote>
  <w:footnote w:id="4">
    <w:p w14:paraId="52A5E15E" w14:textId="535E7CDE" w:rsidR="00D737A8" w:rsidRDefault="00D737A8">
      <w:pPr>
        <w:pStyle w:val="FootnoteText"/>
      </w:pPr>
      <w:r>
        <w:rPr>
          <w:rStyle w:val="FootnoteReference"/>
        </w:rPr>
        <w:footnoteRef/>
      </w:r>
      <w:r>
        <w:t xml:space="preserve"> Handler R p2</w:t>
      </w:r>
    </w:p>
  </w:footnote>
  <w:footnote w:id="5">
    <w:p w14:paraId="58BF44DA" w14:textId="51E8FB9C" w:rsidR="00D737A8" w:rsidRDefault="00D737A8">
      <w:pPr>
        <w:pStyle w:val="FootnoteText"/>
      </w:pPr>
      <w:r>
        <w:rPr>
          <w:rStyle w:val="FootnoteReference"/>
        </w:rPr>
        <w:footnoteRef/>
      </w:r>
      <w:r>
        <w:t xml:space="preserve"> Royal Women exhibition</w:t>
      </w:r>
    </w:p>
  </w:footnote>
  <w:footnote w:id="6">
    <w:p w14:paraId="372273A1" w14:textId="109FF471" w:rsidR="00D737A8" w:rsidRDefault="00D737A8">
      <w:pPr>
        <w:pStyle w:val="FootnoteText"/>
      </w:pPr>
      <w:r>
        <w:rPr>
          <w:rStyle w:val="FootnoteReference"/>
        </w:rPr>
        <w:footnoteRef/>
      </w:r>
      <w:r>
        <w:t xml:space="preserve"> Fashion Museum Bath 2017</w:t>
      </w:r>
    </w:p>
  </w:footnote>
  <w:footnote w:id="7">
    <w:p w14:paraId="782C3E95" w14:textId="071F78BB" w:rsidR="00D737A8" w:rsidRDefault="00D737A8">
      <w:pPr>
        <w:pStyle w:val="FootnoteText"/>
      </w:pPr>
      <w:r>
        <w:rPr>
          <w:rStyle w:val="FootnoteReference"/>
        </w:rPr>
        <w:footnoteRef/>
      </w:r>
      <w:r>
        <w:t xml:space="preserve"> Handler R p 2</w:t>
      </w:r>
    </w:p>
  </w:footnote>
  <w:footnote w:id="8">
    <w:p w14:paraId="0D374B8B" w14:textId="77777777" w:rsidR="00D737A8" w:rsidRDefault="00D737A8" w:rsidP="00355048">
      <w:pPr>
        <w:pStyle w:val="FootnoteText"/>
      </w:pPr>
      <w:r>
        <w:rPr>
          <w:rStyle w:val="FootnoteReference"/>
        </w:rPr>
        <w:footnoteRef/>
      </w:r>
      <w:r>
        <w:t xml:space="preserve"> Kirshenblatt-Gimblett, B. (1998).</w:t>
      </w:r>
    </w:p>
    <w:p w14:paraId="750D7998" w14:textId="645931F7" w:rsidR="00D737A8" w:rsidRDefault="00D737A8">
      <w:pPr>
        <w:pStyle w:val="FootnoteText"/>
      </w:pPr>
    </w:p>
  </w:footnote>
  <w:footnote w:id="9">
    <w:p w14:paraId="7D550D55" w14:textId="42D7100C" w:rsidR="00D737A8" w:rsidRDefault="00D737A8">
      <w:pPr>
        <w:pStyle w:val="FootnoteText"/>
      </w:pPr>
      <w:r>
        <w:rPr>
          <w:rStyle w:val="FootnoteReference"/>
        </w:rPr>
        <w:footnoteRef/>
      </w:r>
      <w:r>
        <w:t xml:space="preserve"> Fashion Museum Bath</w:t>
      </w:r>
      <w:r w:rsidR="00BE2F5D">
        <w:t xml:space="preserve"> (2017) and the Royal women Exhibition </w:t>
      </w:r>
      <w:r w:rsidR="00BE2F5D">
        <w:t>(2018-2019)</w:t>
      </w:r>
      <w:bookmarkStart w:id="0" w:name="_GoBack"/>
      <w:bookmarkEnd w:id="0"/>
    </w:p>
  </w:footnote>
  <w:footnote w:id="10">
    <w:p w14:paraId="03EF4C6F" w14:textId="25C7B60B" w:rsidR="00D737A8" w:rsidRDefault="00D737A8">
      <w:pPr>
        <w:pStyle w:val="FootnoteText"/>
      </w:pPr>
      <w:r>
        <w:rPr>
          <w:rStyle w:val="FootnoteReference"/>
        </w:rPr>
        <w:footnoteRef/>
      </w:r>
      <w:r>
        <w:t xml:space="preserve"> St Fagans National Museum of History- </w:t>
      </w:r>
      <w:r w:rsidRPr="00D5012C">
        <w:t>https://museum.wales/stfagans/buildings/bryneryr/</w:t>
      </w:r>
    </w:p>
  </w:footnote>
  <w:footnote w:id="11">
    <w:p w14:paraId="2F204C36" w14:textId="32C0DDD2" w:rsidR="00D737A8" w:rsidRDefault="00D737A8">
      <w:pPr>
        <w:pStyle w:val="FootnoteText"/>
      </w:pPr>
      <w:r>
        <w:rPr>
          <w:rStyle w:val="FootnoteReference"/>
        </w:rPr>
        <w:footnoteRef/>
      </w:r>
      <w:r>
        <w:t xml:space="preserve"> </w:t>
      </w:r>
      <w:proofErr w:type="spellStart"/>
      <w:r>
        <w:t>Craith</w:t>
      </w:r>
      <w:proofErr w:type="spellEnd"/>
      <w:r>
        <w:t xml:space="preserve"> M N 2015</w:t>
      </w:r>
    </w:p>
  </w:footnote>
  <w:footnote w:id="12">
    <w:p w14:paraId="492A7C1D" w14:textId="340CDB05" w:rsidR="00D737A8" w:rsidRDefault="00D737A8">
      <w:pPr>
        <w:pStyle w:val="FootnoteText"/>
      </w:pPr>
      <w:r>
        <w:rPr>
          <w:rStyle w:val="FootnoteReference"/>
        </w:rPr>
        <w:footnoteRef/>
      </w:r>
      <w:r>
        <w:t xml:space="preserve"> Jackson A and Leahy H R 2005.</w:t>
      </w:r>
    </w:p>
  </w:footnote>
  <w:footnote w:id="13">
    <w:p w14:paraId="4156798D" w14:textId="0979F042" w:rsidR="00D737A8" w:rsidRDefault="00D737A8">
      <w:pPr>
        <w:pStyle w:val="FootnoteText"/>
      </w:pPr>
      <w:r>
        <w:rPr>
          <w:rStyle w:val="FootnoteReference"/>
        </w:rPr>
        <w:footnoteRef/>
      </w:r>
      <w:r>
        <w:t xml:space="preserve"> Warwick castle website</w:t>
      </w:r>
    </w:p>
  </w:footnote>
  <w:footnote w:id="14">
    <w:p w14:paraId="29CB200B" w14:textId="710A6CD8" w:rsidR="00D737A8" w:rsidRDefault="00D737A8">
      <w:pPr>
        <w:pStyle w:val="FootnoteText"/>
      </w:pPr>
      <w:r>
        <w:rPr>
          <w:rStyle w:val="FootnoteReference"/>
        </w:rPr>
        <w:footnoteRef/>
      </w:r>
      <w:r>
        <w:t xml:space="preserve"> Casey, V. </w:t>
      </w:r>
      <w:r w:rsidR="00BA5059">
        <w:t>(</w:t>
      </w:r>
      <w:r>
        <w:t>2005</w:t>
      </w:r>
      <w:r w:rsidR="00BA5059">
        <w:t>)</w:t>
      </w:r>
    </w:p>
  </w:footnote>
  <w:footnote w:id="15">
    <w:p w14:paraId="1EAE8A6A" w14:textId="6D9F3678" w:rsidR="00D737A8" w:rsidRDefault="00D737A8">
      <w:pPr>
        <w:pStyle w:val="FootnoteText"/>
      </w:pPr>
      <w:r>
        <w:rPr>
          <w:rStyle w:val="FootnoteReference"/>
        </w:rPr>
        <w:footnoteRef/>
      </w:r>
      <w:r>
        <w:t xml:space="preserve"> Casey, V</w:t>
      </w:r>
      <w:r w:rsidR="00BA5059">
        <w:t>.</w:t>
      </w:r>
      <w:r>
        <w:t xml:space="preserve"> </w:t>
      </w:r>
      <w:r w:rsidR="00BA5059">
        <w:t>(</w:t>
      </w:r>
      <w:r>
        <w:t>2005</w:t>
      </w:r>
      <w:r w:rsidR="00BA5059">
        <w:t>)</w:t>
      </w:r>
    </w:p>
  </w:footnote>
  <w:footnote w:id="16">
    <w:p w14:paraId="032603F9" w14:textId="4E26E595" w:rsidR="00D737A8" w:rsidRDefault="00D737A8">
      <w:pPr>
        <w:pStyle w:val="FootnoteText"/>
      </w:pPr>
      <w:r>
        <w:rPr>
          <w:rStyle w:val="FootnoteReference"/>
        </w:rPr>
        <w:footnoteRef/>
      </w:r>
      <w:r>
        <w:t xml:space="preserve"> Jackson A and Leahy H R </w:t>
      </w:r>
      <w:r w:rsidR="00BA5059">
        <w:t>(</w:t>
      </w:r>
      <w:r>
        <w:t>2005</w:t>
      </w:r>
      <w:r w:rsidR="00BA5059">
        <w:t>)</w:t>
      </w:r>
    </w:p>
  </w:footnote>
  <w:footnote w:id="17">
    <w:p w14:paraId="4878B889" w14:textId="31CA621C" w:rsidR="00D737A8" w:rsidRDefault="00D737A8">
      <w:pPr>
        <w:pStyle w:val="FootnoteText"/>
      </w:pPr>
      <w:r>
        <w:rPr>
          <w:rStyle w:val="FootnoteReference"/>
        </w:rPr>
        <w:footnoteRef/>
      </w:r>
      <w:r>
        <w:t xml:space="preserve"> </w:t>
      </w:r>
      <w:r w:rsidR="00BA5059">
        <w:t>St Fagans National Museum of Wales (2018)</w:t>
      </w:r>
    </w:p>
  </w:footnote>
  <w:footnote w:id="18">
    <w:p w14:paraId="39EEB788" w14:textId="3CC99587" w:rsidR="00D737A8" w:rsidRDefault="00D737A8">
      <w:pPr>
        <w:pStyle w:val="FootnoteText"/>
      </w:pPr>
      <w:r>
        <w:rPr>
          <w:rStyle w:val="FootnoteReference"/>
        </w:rPr>
        <w:footnoteRef/>
      </w:r>
      <w:r>
        <w:t xml:space="preserve"> </w:t>
      </w:r>
      <w:r w:rsidRPr="00B061B9">
        <w:t>http://www.nhm.ac.uk/visit/galleries-and-museum-map/volcanoes-and-earthquakes.html</w:t>
      </w:r>
    </w:p>
  </w:footnote>
  <w:footnote w:id="19">
    <w:p w14:paraId="2B91793C" w14:textId="0A945D27" w:rsidR="00D737A8" w:rsidRDefault="00D737A8">
      <w:pPr>
        <w:pStyle w:val="FootnoteText"/>
      </w:pPr>
      <w:r>
        <w:rPr>
          <w:rStyle w:val="FootnoteReference"/>
        </w:rPr>
        <w:footnoteRef/>
      </w:r>
      <w:r>
        <w:t xml:space="preserve"> </w:t>
      </w:r>
      <w:bookmarkStart w:id="1" w:name="_Hlk533800844"/>
      <w:r>
        <w:t>Alexander McQueen: Savage Beauty [may-August 2011] also described by Campbell T P (2012)</w:t>
      </w:r>
      <w:r w:rsidR="00BA5059">
        <w:t xml:space="preserve"> and</w:t>
      </w:r>
      <w:r>
        <w:t xml:space="preserve"> </w:t>
      </w:r>
      <w:bookmarkEnd w:id="1"/>
      <w:r w:rsidR="00BA5059">
        <w:t>The Met museum (2011)</w:t>
      </w:r>
    </w:p>
  </w:footnote>
  <w:footnote w:id="20">
    <w:p w14:paraId="02262E28" w14:textId="50EBC141" w:rsidR="00D737A8" w:rsidRDefault="00D737A8">
      <w:pPr>
        <w:pStyle w:val="FootnoteText"/>
      </w:pPr>
      <w:r>
        <w:rPr>
          <w:rStyle w:val="FootnoteReference"/>
        </w:rPr>
        <w:footnoteRef/>
      </w:r>
      <w:r>
        <w:t xml:space="preserve"> Campbell, T P. (2012)</w:t>
      </w:r>
    </w:p>
  </w:footnote>
  <w:footnote w:id="21">
    <w:p w14:paraId="23E886E7" w14:textId="77777777" w:rsidR="00D737A8" w:rsidRDefault="00D737A8" w:rsidP="00A4234E">
      <w:pPr>
        <w:pStyle w:val="FootnoteText"/>
      </w:pPr>
      <w:r>
        <w:rPr>
          <w:rStyle w:val="FootnoteReference"/>
        </w:rPr>
        <w:footnoteRef/>
      </w:r>
      <w:r>
        <w:t xml:space="preserve"> Ramesh, S et al. (2009)</w:t>
      </w:r>
    </w:p>
  </w:footnote>
  <w:footnote w:id="22">
    <w:p w14:paraId="691D61B1" w14:textId="517EED7B" w:rsidR="00D737A8" w:rsidRDefault="00D737A8">
      <w:pPr>
        <w:pStyle w:val="FootnoteText"/>
      </w:pPr>
      <w:r>
        <w:rPr>
          <w:rStyle w:val="FootnoteReference"/>
        </w:rPr>
        <w:footnoteRef/>
      </w:r>
      <w:r>
        <w:t xml:space="preserve"> Crew, S. (1996)</w:t>
      </w:r>
    </w:p>
  </w:footnote>
  <w:footnote w:id="23">
    <w:p w14:paraId="43948ED5" w14:textId="7D1CD8EA" w:rsidR="00D737A8" w:rsidRDefault="00D737A8">
      <w:pPr>
        <w:pStyle w:val="FootnoteText"/>
      </w:pPr>
      <w:r>
        <w:rPr>
          <w:rStyle w:val="FootnoteReference"/>
        </w:rPr>
        <w:footnoteRef/>
      </w:r>
      <w:r>
        <w:t xml:space="preserve"> Bennett, T. (1995)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3FC97D" w14:textId="6FD0C01C" w:rsidR="00D737A8" w:rsidRDefault="00D737A8">
    <w:pPr>
      <w:pStyle w:val="Header"/>
    </w:pPr>
    <w:r>
      <w:ptab w:relativeTo="margin" w:alignment="right" w:leader="none"/>
    </w:r>
    <w:r>
      <w:t>Sofie Keddie 1600754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D78BF"/>
    <w:multiLevelType w:val="hybridMultilevel"/>
    <w:tmpl w:val="F0209D2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7B92290"/>
    <w:multiLevelType w:val="hybridMultilevel"/>
    <w:tmpl w:val="471C5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F637CA"/>
    <w:multiLevelType w:val="hybridMultilevel"/>
    <w:tmpl w:val="E65AA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051E98"/>
    <w:multiLevelType w:val="hybridMultilevel"/>
    <w:tmpl w:val="B2A05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DAB"/>
    <w:rsid w:val="000167B6"/>
    <w:rsid w:val="00016885"/>
    <w:rsid w:val="000251E9"/>
    <w:rsid w:val="0002531E"/>
    <w:rsid w:val="00065B02"/>
    <w:rsid w:val="000951D9"/>
    <w:rsid w:val="000A0525"/>
    <w:rsid w:val="000B6821"/>
    <w:rsid w:val="000B6E5F"/>
    <w:rsid w:val="000D05C9"/>
    <w:rsid w:val="000D1735"/>
    <w:rsid w:val="000E0A57"/>
    <w:rsid w:val="000E2886"/>
    <w:rsid w:val="00114EB7"/>
    <w:rsid w:val="001204DE"/>
    <w:rsid w:val="001303DE"/>
    <w:rsid w:val="001307F7"/>
    <w:rsid w:val="0015503D"/>
    <w:rsid w:val="00160BDA"/>
    <w:rsid w:val="0018302B"/>
    <w:rsid w:val="001859AC"/>
    <w:rsid w:val="001941CD"/>
    <w:rsid w:val="001F487C"/>
    <w:rsid w:val="002060C5"/>
    <w:rsid w:val="00222230"/>
    <w:rsid w:val="00230409"/>
    <w:rsid w:val="00251337"/>
    <w:rsid w:val="00275462"/>
    <w:rsid w:val="00292F45"/>
    <w:rsid w:val="002B02F8"/>
    <w:rsid w:val="002B174D"/>
    <w:rsid w:val="002C03E0"/>
    <w:rsid w:val="002C556C"/>
    <w:rsid w:val="002C790D"/>
    <w:rsid w:val="002D2ABF"/>
    <w:rsid w:val="002D6B8F"/>
    <w:rsid w:val="002F5524"/>
    <w:rsid w:val="0030446F"/>
    <w:rsid w:val="00306C9F"/>
    <w:rsid w:val="003225B4"/>
    <w:rsid w:val="00331B96"/>
    <w:rsid w:val="00334808"/>
    <w:rsid w:val="003417EE"/>
    <w:rsid w:val="00355048"/>
    <w:rsid w:val="00362188"/>
    <w:rsid w:val="0037720C"/>
    <w:rsid w:val="003823EC"/>
    <w:rsid w:val="00392D13"/>
    <w:rsid w:val="00393041"/>
    <w:rsid w:val="004031AE"/>
    <w:rsid w:val="00432764"/>
    <w:rsid w:val="00444BF5"/>
    <w:rsid w:val="004743E3"/>
    <w:rsid w:val="004828F1"/>
    <w:rsid w:val="00484133"/>
    <w:rsid w:val="004B4AA1"/>
    <w:rsid w:val="004F0492"/>
    <w:rsid w:val="005074AF"/>
    <w:rsid w:val="005332B5"/>
    <w:rsid w:val="00556D97"/>
    <w:rsid w:val="00581B19"/>
    <w:rsid w:val="00587FEF"/>
    <w:rsid w:val="00596EE3"/>
    <w:rsid w:val="005F4028"/>
    <w:rsid w:val="0060044B"/>
    <w:rsid w:val="0061182C"/>
    <w:rsid w:val="00621ACF"/>
    <w:rsid w:val="00631332"/>
    <w:rsid w:val="00646792"/>
    <w:rsid w:val="006514CF"/>
    <w:rsid w:val="00662531"/>
    <w:rsid w:val="006705FD"/>
    <w:rsid w:val="006802B1"/>
    <w:rsid w:val="00683432"/>
    <w:rsid w:val="00687F10"/>
    <w:rsid w:val="00695934"/>
    <w:rsid w:val="006D0F76"/>
    <w:rsid w:val="006E407E"/>
    <w:rsid w:val="006E6D8C"/>
    <w:rsid w:val="007055D5"/>
    <w:rsid w:val="00720397"/>
    <w:rsid w:val="00730362"/>
    <w:rsid w:val="00744518"/>
    <w:rsid w:val="00751CB1"/>
    <w:rsid w:val="00770A74"/>
    <w:rsid w:val="00771DAB"/>
    <w:rsid w:val="00773CD2"/>
    <w:rsid w:val="00776731"/>
    <w:rsid w:val="007A3086"/>
    <w:rsid w:val="007C0041"/>
    <w:rsid w:val="007D3A0F"/>
    <w:rsid w:val="007F2AAD"/>
    <w:rsid w:val="00807DA7"/>
    <w:rsid w:val="00815D96"/>
    <w:rsid w:val="0085336F"/>
    <w:rsid w:val="00880302"/>
    <w:rsid w:val="008921A6"/>
    <w:rsid w:val="008C555B"/>
    <w:rsid w:val="008E6FC8"/>
    <w:rsid w:val="008E7295"/>
    <w:rsid w:val="008F1B38"/>
    <w:rsid w:val="008F2297"/>
    <w:rsid w:val="00944AC9"/>
    <w:rsid w:val="009512FE"/>
    <w:rsid w:val="00980A9B"/>
    <w:rsid w:val="009A7C34"/>
    <w:rsid w:val="009B59D6"/>
    <w:rsid w:val="009E2999"/>
    <w:rsid w:val="009E3B5B"/>
    <w:rsid w:val="009E4687"/>
    <w:rsid w:val="00A03866"/>
    <w:rsid w:val="00A21299"/>
    <w:rsid w:val="00A2454A"/>
    <w:rsid w:val="00A41577"/>
    <w:rsid w:val="00A4234E"/>
    <w:rsid w:val="00A5392A"/>
    <w:rsid w:val="00A85052"/>
    <w:rsid w:val="00A951CC"/>
    <w:rsid w:val="00AA7A59"/>
    <w:rsid w:val="00AB2CBC"/>
    <w:rsid w:val="00AB4609"/>
    <w:rsid w:val="00AE77D2"/>
    <w:rsid w:val="00B061B9"/>
    <w:rsid w:val="00B1517D"/>
    <w:rsid w:val="00B52326"/>
    <w:rsid w:val="00B66FC0"/>
    <w:rsid w:val="00B73D7B"/>
    <w:rsid w:val="00B76F9C"/>
    <w:rsid w:val="00B778BA"/>
    <w:rsid w:val="00B930C0"/>
    <w:rsid w:val="00B96881"/>
    <w:rsid w:val="00BA5059"/>
    <w:rsid w:val="00BC056E"/>
    <w:rsid w:val="00BE2F5D"/>
    <w:rsid w:val="00C007A0"/>
    <w:rsid w:val="00C0764E"/>
    <w:rsid w:val="00C45627"/>
    <w:rsid w:val="00C473C8"/>
    <w:rsid w:val="00C62606"/>
    <w:rsid w:val="00C80880"/>
    <w:rsid w:val="00C90871"/>
    <w:rsid w:val="00C97877"/>
    <w:rsid w:val="00CE4F05"/>
    <w:rsid w:val="00D1127F"/>
    <w:rsid w:val="00D5012C"/>
    <w:rsid w:val="00D50D0A"/>
    <w:rsid w:val="00D516C8"/>
    <w:rsid w:val="00D737A8"/>
    <w:rsid w:val="00D8620E"/>
    <w:rsid w:val="00DA0A90"/>
    <w:rsid w:val="00DB353B"/>
    <w:rsid w:val="00E05EE2"/>
    <w:rsid w:val="00E47D14"/>
    <w:rsid w:val="00E5354A"/>
    <w:rsid w:val="00E57717"/>
    <w:rsid w:val="00E630D0"/>
    <w:rsid w:val="00E65B4C"/>
    <w:rsid w:val="00E744B1"/>
    <w:rsid w:val="00EB02F3"/>
    <w:rsid w:val="00EB0EEE"/>
    <w:rsid w:val="00EB3B0E"/>
    <w:rsid w:val="00EE21C2"/>
    <w:rsid w:val="00F032C3"/>
    <w:rsid w:val="00F07421"/>
    <w:rsid w:val="00F1430F"/>
    <w:rsid w:val="00F14658"/>
    <w:rsid w:val="00F44906"/>
    <w:rsid w:val="00F83A80"/>
    <w:rsid w:val="00F87420"/>
    <w:rsid w:val="00FA29E8"/>
    <w:rsid w:val="00FA43B1"/>
    <w:rsid w:val="00FB256F"/>
    <w:rsid w:val="00FE3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BB1EB"/>
  <w15:chartTrackingRefBased/>
  <w15:docId w15:val="{5490DAF8-1D52-4473-95A8-1437D58D0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semiHidden/>
    <w:unhideWhenUsed/>
    <w:qFormat/>
    <w:rsid w:val="00E47D1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1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DAB"/>
  </w:style>
  <w:style w:type="paragraph" w:styleId="Footer">
    <w:name w:val="footer"/>
    <w:basedOn w:val="Normal"/>
    <w:link w:val="FooterChar"/>
    <w:uiPriority w:val="99"/>
    <w:unhideWhenUsed/>
    <w:rsid w:val="00771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DAB"/>
  </w:style>
  <w:style w:type="paragraph" w:styleId="FootnoteText">
    <w:name w:val="footnote text"/>
    <w:basedOn w:val="Normal"/>
    <w:link w:val="FootnoteTextChar"/>
    <w:uiPriority w:val="99"/>
    <w:semiHidden/>
    <w:unhideWhenUsed/>
    <w:rsid w:val="001830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302B"/>
    <w:rPr>
      <w:sz w:val="20"/>
      <w:szCs w:val="20"/>
    </w:rPr>
  </w:style>
  <w:style w:type="character" w:styleId="FootnoteReference">
    <w:name w:val="footnote reference"/>
    <w:basedOn w:val="DefaultParagraphFont"/>
    <w:uiPriority w:val="99"/>
    <w:semiHidden/>
    <w:unhideWhenUsed/>
    <w:rsid w:val="0018302B"/>
    <w:rPr>
      <w:vertAlign w:val="superscript"/>
    </w:rPr>
  </w:style>
  <w:style w:type="paragraph" w:styleId="ListParagraph">
    <w:name w:val="List Paragraph"/>
    <w:basedOn w:val="Normal"/>
    <w:uiPriority w:val="34"/>
    <w:qFormat/>
    <w:rsid w:val="00720397"/>
    <w:pPr>
      <w:ind w:left="720"/>
      <w:contextualSpacing/>
    </w:pPr>
  </w:style>
  <w:style w:type="character" w:styleId="Hyperlink">
    <w:name w:val="Hyperlink"/>
    <w:basedOn w:val="DefaultParagraphFont"/>
    <w:uiPriority w:val="99"/>
    <w:unhideWhenUsed/>
    <w:rsid w:val="009E3B5B"/>
    <w:rPr>
      <w:color w:val="0563C1" w:themeColor="hyperlink"/>
      <w:u w:val="single"/>
    </w:rPr>
  </w:style>
  <w:style w:type="character" w:styleId="UnresolvedMention">
    <w:name w:val="Unresolved Mention"/>
    <w:basedOn w:val="DefaultParagraphFont"/>
    <w:uiPriority w:val="99"/>
    <w:semiHidden/>
    <w:unhideWhenUsed/>
    <w:rsid w:val="004031AE"/>
    <w:rPr>
      <w:color w:val="605E5C"/>
      <w:shd w:val="clear" w:color="auto" w:fill="E1DFDD"/>
    </w:rPr>
  </w:style>
  <w:style w:type="character" w:customStyle="1" w:styleId="Heading3Char">
    <w:name w:val="Heading 3 Char"/>
    <w:basedOn w:val="DefaultParagraphFont"/>
    <w:link w:val="Heading3"/>
    <w:uiPriority w:val="9"/>
    <w:semiHidden/>
    <w:rsid w:val="00E47D14"/>
    <w:rPr>
      <w:rFonts w:ascii="Times New Roman" w:eastAsia="Times New Roman" w:hAnsi="Times New Roman" w:cs="Times New Roman"/>
      <w:b/>
      <w:bCs/>
      <w:sz w:val="27"/>
      <w:szCs w:val="27"/>
      <w:lang w:eastAsia="en-GB"/>
    </w:rPr>
  </w:style>
  <w:style w:type="character" w:customStyle="1" w:styleId="doilink">
    <w:name w:val="doi_link"/>
    <w:basedOn w:val="DefaultParagraphFont"/>
    <w:rsid w:val="00E47D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8810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ezproxy.uwtsd.ac.uk/10.1080/13569780500275956" TargetMode="External"/><Relationship Id="rId18" Type="http://schemas.openxmlformats.org/officeDocument/2006/relationships/hyperlink" Target="https://www.warwick-castle.com/explore/the-castle-dungeon.aspx"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jstor.org/stable/3032899" TargetMode="External"/><Relationship Id="rId17" Type="http://schemas.openxmlformats.org/officeDocument/2006/relationships/hyperlink" Target="https://museum.wales/stfagans/buildings/bryneryr/" TargetMode="External"/><Relationship Id="rId2" Type="http://schemas.openxmlformats.org/officeDocument/2006/relationships/numbering" Target="numbering.xml"/><Relationship Id="rId16" Type="http://schemas.openxmlformats.org/officeDocument/2006/relationships/hyperlink" Target="https://www.youtube.com/watch?v=d9ZHj4ihTog" TargetMode="External"/><Relationship Id="rId20" Type="http://schemas.openxmlformats.org/officeDocument/2006/relationships/hyperlink" Target="https://www.metmuseum.org/exhibitions/listings/2011/alexander-mcque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ezproxy.uwtsd.ac.uk/stable/448865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tube.com/watch?v=zuYzOn0U2PY"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www.nhm.ac.uk/visit/galleries-and-museum-map/volcanoes-and-earthquakes.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hel-primo.hosted.exlibrisgroup.com/primo-explore/fulldisplay?docid=TN_bth_43050922&amp;context=Ebsco&amp;vid=44WHELF_UWTSD_VU1&amp;lang=en_US&amp;search_scope=CSCOP_EVERYTHING&amp;adaptor=44WHELF_UWTSD_Ebsco&amp;tab=tab1&amp;query=any,contains,digital%20museums%20and%20diverse%20cultural%20knowledges&amp;sortby=rank&amp;offset=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9BA3C-FBA4-4A96-ABC4-0DF6A8E50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983</TotalTime>
  <Pages>8</Pages>
  <Words>2692</Words>
  <Characters>15347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Sofie</dc:creator>
  <cp:keywords/>
  <dc:description/>
  <cp:lastModifiedBy>Sofie</cp:lastModifiedBy>
  <cp:revision>120</cp:revision>
  <dcterms:created xsi:type="dcterms:W3CDTF">2018-12-20T19:08:00Z</dcterms:created>
  <dcterms:modified xsi:type="dcterms:W3CDTF">2018-12-28T23:58:00Z</dcterms:modified>
</cp:coreProperties>
</file>