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0CC" w:rsidRPr="001E50CC" w:rsidRDefault="001E50CC" w:rsidP="001E50CC">
      <w:pPr>
        <w:spacing w:line="360" w:lineRule="auto"/>
        <w:jc w:val="center"/>
        <w:rPr>
          <w:b/>
          <w:sz w:val="40"/>
          <w:szCs w:val="40"/>
          <w:u w:val="single"/>
          <w:lang w:val="en-GB"/>
        </w:rPr>
      </w:pPr>
    </w:p>
    <w:p w:rsidR="001E50CC" w:rsidRPr="001E50CC" w:rsidRDefault="001E50CC" w:rsidP="001E50CC">
      <w:pPr>
        <w:spacing w:line="360" w:lineRule="auto"/>
        <w:jc w:val="center"/>
        <w:rPr>
          <w:b/>
          <w:sz w:val="40"/>
          <w:szCs w:val="40"/>
          <w:u w:val="single"/>
          <w:lang w:val="en-GB"/>
        </w:rPr>
      </w:pPr>
    </w:p>
    <w:p w:rsidR="001E50CC" w:rsidRPr="001E50CC" w:rsidRDefault="001E50CC" w:rsidP="001E50CC">
      <w:pPr>
        <w:spacing w:line="360" w:lineRule="auto"/>
        <w:jc w:val="center"/>
        <w:rPr>
          <w:b/>
          <w:sz w:val="40"/>
          <w:szCs w:val="40"/>
          <w:u w:val="single"/>
          <w:lang w:val="en-GB"/>
        </w:rPr>
      </w:pPr>
    </w:p>
    <w:p w:rsidR="00DA6071" w:rsidRDefault="00DA6071" w:rsidP="00DA6071">
      <w:pPr>
        <w:spacing w:before="240"/>
        <w:rPr>
          <w:rFonts w:cs="Times New Roman"/>
          <w:b/>
          <w:sz w:val="32"/>
          <w:szCs w:val="32"/>
          <w:highlight w:val="white"/>
        </w:rPr>
      </w:pPr>
      <w:r>
        <w:rPr>
          <w:rFonts w:cs="Times New Roman"/>
          <w:b/>
          <w:sz w:val="32"/>
          <w:szCs w:val="32"/>
          <w:highlight w:val="white"/>
        </w:rPr>
        <w:t>Assignment Title : Strategic Management</w:t>
      </w:r>
      <w:r>
        <w:rPr>
          <w:rFonts w:cs="Times New Roman"/>
          <w:b/>
          <w:sz w:val="32"/>
          <w:szCs w:val="32"/>
          <w:highlight w:val="white"/>
        </w:rPr>
        <w:t>-LCMB7003</w:t>
      </w:r>
    </w:p>
    <w:p w:rsidR="00DA6071" w:rsidRDefault="00DA6071" w:rsidP="00DA6071">
      <w:pPr>
        <w:spacing w:before="240"/>
        <w:rPr>
          <w:rFonts w:cs="Times New Roman"/>
          <w:b/>
          <w:sz w:val="32"/>
          <w:szCs w:val="32"/>
          <w:highlight w:val="white"/>
        </w:rPr>
      </w:pPr>
      <w:bookmarkStart w:id="0" w:name="_GoBack"/>
      <w:bookmarkEnd w:id="0"/>
      <w:r>
        <w:rPr>
          <w:rFonts w:cs="Times New Roman"/>
          <w:b/>
          <w:sz w:val="32"/>
          <w:szCs w:val="32"/>
          <w:highlight w:val="white"/>
        </w:rPr>
        <w:t>Programme : MBA</w:t>
      </w:r>
    </w:p>
    <w:p w:rsidR="00DA6071" w:rsidRDefault="00DA6071" w:rsidP="00DA6071">
      <w:pPr>
        <w:spacing w:line="360" w:lineRule="auto"/>
        <w:jc w:val="left"/>
        <w:rPr>
          <w:b/>
          <w:sz w:val="32"/>
          <w:szCs w:val="32"/>
          <w:lang w:val="en-GB"/>
        </w:rPr>
      </w:pPr>
      <w:r w:rsidRPr="00E0584C">
        <w:rPr>
          <w:b/>
          <w:sz w:val="32"/>
          <w:szCs w:val="32"/>
          <w:lang w:val="en-GB"/>
        </w:rPr>
        <w:t>Student Name :</w:t>
      </w:r>
      <w:r>
        <w:rPr>
          <w:b/>
          <w:sz w:val="32"/>
          <w:szCs w:val="32"/>
          <w:lang w:val="en-GB"/>
        </w:rPr>
        <w:t xml:space="preserve">  Emil Milanov </w:t>
      </w:r>
    </w:p>
    <w:p w:rsidR="00DA6071" w:rsidRPr="00E0584C" w:rsidRDefault="00DA6071" w:rsidP="00DA6071">
      <w:pPr>
        <w:spacing w:line="360" w:lineRule="auto"/>
        <w:jc w:val="left"/>
        <w:rPr>
          <w:b/>
          <w:sz w:val="32"/>
          <w:szCs w:val="32"/>
          <w:lang w:val="en-GB"/>
        </w:rPr>
      </w:pPr>
      <w:r>
        <w:rPr>
          <w:b/>
          <w:sz w:val="32"/>
          <w:szCs w:val="32"/>
          <w:lang w:val="en-GB"/>
        </w:rPr>
        <w:t>Student Number :  2011247</w:t>
      </w:r>
    </w:p>
    <w:p w:rsidR="00DA6071" w:rsidRDefault="00DA6071" w:rsidP="00DA6071">
      <w:pPr>
        <w:spacing w:before="240"/>
        <w:rPr>
          <w:rFonts w:cs="Times New Roman"/>
          <w:b/>
          <w:sz w:val="32"/>
          <w:szCs w:val="32"/>
          <w:highlight w:val="white"/>
        </w:rPr>
      </w:pPr>
      <w:r>
        <w:rPr>
          <w:b/>
          <w:sz w:val="32"/>
          <w:szCs w:val="32"/>
          <w:lang w:val="en-GB"/>
        </w:rPr>
        <w:t xml:space="preserve">Module Tutor Name : </w:t>
      </w:r>
      <w:r>
        <w:rPr>
          <w:rFonts w:cs="Times New Roman"/>
          <w:b/>
          <w:sz w:val="32"/>
          <w:szCs w:val="32"/>
          <w:highlight w:val="white"/>
        </w:rPr>
        <w:t>Gladius Kulothungan</w:t>
      </w:r>
    </w:p>
    <w:p w:rsidR="001E50CC" w:rsidRPr="001E50CC" w:rsidRDefault="001E50CC" w:rsidP="001E50CC">
      <w:pPr>
        <w:spacing w:line="360" w:lineRule="auto"/>
        <w:jc w:val="center"/>
        <w:rPr>
          <w:b/>
          <w:sz w:val="40"/>
          <w:szCs w:val="40"/>
          <w:u w:val="single"/>
          <w:lang w:val="en-GB"/>
        </w:rPr>
      </w:pPr>
    </w:p>
    <w:p w:rsidR="001E50CC" w:rsidRPr="00E0584C" w:rsidRDefault="001E50CC" w:rsidP="001E50CC">
      <w:pPr>
        <w:spacing w:line="360" w:lineRule="auto"/>
        <w:jc w:val="center"/>
        <w:rPr>
          <w:b/>
          <w:sz w:val="40"/>
          <w:szCs w:val="40"/>
          <w:lang w:val="en-GB"/>
        </w:rPr>
      </w:pPr>
      <w:r w:rsidRPr="00E0584C">
        <w:rPr>
          <w:b/>
          <w:sz w:val="40"/>
          <w:szCs w:val="40"/>
          <w:lang w:val="en-GB"/>
        </w:rPr>
        <w:t>Selected Case Study: ‘Resource strategy at GSK: organising capabilities for innovation and new business’</w:t>
      </w:r>
    </w:p>
    <w:p w:rsidR="001E50CC" w:rsidRDefault="001E50CC" w:rsidP="001E50CC">
      <w:pPr>
        <w:spacing w:line="360" w:lineRule="auto"/>
        <w:jc w:val="left"/>
        <w:rPr>
          <w:lang w:val="en-GB"/>
        </w:rPr>
      </w:pPr>
    </w:p>
    <w:p w:rsidR="001E50CC" w:rsidRPr="00E0584C" w:rsidRDefault="001E50CC" w:rsidP="001E50CC">
      <w:pPr>
        <w:spacing w:line="360" w:lineRule="auto"/>
        <w:jc w:val="left"/>
        <w:rPr>
          <w:b/>
          <w:sz w:val="32"/>
          <w:szCs w:val="32"/>
          <w:lang w:val="en-GB"/>
        </w:rPr>
      </w:pPr>
    </w:p>
    <w:p w:rsidR="001859CC" w:rsidRPr="001E50CC" w:rsidRDefault="001E50CC" w:rsidP="001E50CC">
      <w:pPr>
        <w:spacing w:line="360" w:lineRule="auto"/>
        <w:jc w:val="left"/>
        <w:rPr>
          <w:lang w:val="en-GB"/>
        </w:rPr>
      </w:pPr>
      <w:r w:rsidRPr="001E50CC">
        <w:rPr>
          <w:lang w:val="en-GB"/>
        </w:rPr>
        <w:br w:type="page"/>
      </w:r>
    </w:p>
    <w:sdt>
      <w:sdtPr>
        <w:rPr>
          <w:rFonts w:ascii="Times New Roman" w:eastAsiaTheme="minorHAnsi" w:hAnsi="Times New Roman" w:cstheme="minorBidi"/>
          <w:b w:val="0"/>
          <w:bCs w:val="0"/>
          <w:color w:val="auto"/>
          <w:sz w:val="24"/>
          <w:szCs w:val="22"/>
          <w:lang w:val="en-GB"/>
        </w:rPr>
        <w:id w:val="1369922720"/>
        <w:docPartObj>
          <w:docPartGallery w:val="Table of Contents"/>
          <w:docPartUnique/>
        </w:docPartObj>
      </w:sdtPr>
      <w:sdtEndPr/>
      <w:sdtContent>
        <w:p w:rsidR="001859CC" w:rsidRPr="001E50CC" w:rsidRDefault="001859CC" w:rsidP="001E50CC">
          <w:pPr>
            <w:pStyle w:val="TBal"/>
            <w:spacing w:line="360" w:lineRule="auto"/>
            <w:jc w:val="center"/>
            <w:rPr>
              <w:lang w:val="en-GB"/>
            </w:rPr>
          </w:pPr>
          <w:r w:rsidRPr="001E50CC">
            <w:rPr>
              <w:rFonts w:ascii="Times New Roman" w:hAnsi="Times New Roman" w:cs="Times New Roman"/>
              <w:color w:val="auto"/>
              <w:lang w:val="en-GB"/>
            </w:rPr>
            <w:t>Table of Contents</w:t>
          </w:r>
        </w:p>
        <w:p w:rsidR="001859CC" w:rsidRPr="001E50CC" w:rsidRDefault="001859CC" w:rsidP="001E50CC">
          <w:pPr>
            <w:pStyle w:val="T1"/>
            <w:tabs>
              <w:tab w:val="right" w:leader="dot" w:pos="9350"/>
            </w:tabs>
            <w:spacing w:line="360" w:lineRule="auto"/>
            <w:rPr>
              <w:noProof/>
              <w:lang w:val="en-GB"/>
            </w:rPr>
          </w:pPr>
          <w:r w:rsidRPr="001E50CC">
            <w:rPr>
              <w:lang w:val="en-GB"/>
            </w:rPr>
            <w:fldChar w:fldCharType="begin"/>
          </w:r>
          <w:r w:rsidRPr="001E50CC">
            <w:rPr>
              <w:lang w:val="en-GB"/>
            </w:rPr>
            <w:instrText xml:space="preserve"> TOC \o "1-3" \h \z \u </w:instrText>
          </w:r>
          <w:r w:rsidRPr="001E50CC">
            <w:rPr>
              <w:lang w:val="en-GB"/>
            </w:rPr>
            <w:fldChar w:fldCharType="separate"/>
          </w:r>
          <w:hyperlink w:anchor="_Toc68368466" w:history="1">
            <w:r w:rsidRPr="001E50CC">
              <w:rPr>
                <w:rStyle w:val="Kpr"/>
                <w:noProof/>
                <w:lang w:val="en-GB"/>
              </w:rPr>
              <w:t>Introduction</w:t>
            </w:r>
            <w:r w:rsidRPr="001E50CC">
              <w:rPr>
                <w:noProof/>
                <w:webHidden/>
                <w:lang w:val="en-GB"/>
              </w:rPr>
              <w:tab/>
            </w:r>
            <w:r w:rsidRPr="001E50CC">
              <w:rPr>
                <w:noProof/>
                <w:webHidden/>
                <w:lang w:val="en-GB"/>
              </w:rPr>
              <w:fldChar w:fldCharType="begin"/>
            </w:r>
            <w:r w:rsidRPr="001E50CC">
              <w:rPr>
                <w:noProof/>
                <w:webHidden/>
                <w:lang w:val="en-GB"/>
              </w:rPr>
              <w:instrText xml:space="preserve"> PAGEREF _Toc68368466 \h </w:instrText>
            </w:r>
            <w:r w:rsidRPr="001E50CC">
              <w:rPr>
                <w:noProof/>
                <w:webHidden/>
                <w:lang w:val="en-GB"/>
              </w:rPr>
            </w:r>
            <w:r w:rsidRPr="001E50CC">
              <w:rPr>
                <w:noProof/>
                <w:webHidden/>
                <w:lang w:val="en-GB"/>
              </w:rPr>
              <w:fldChar w:fldCharType="separate"/>
            </w:r>
            <w:r w:rsidR="001E50CC">
              <w:rPr>
                <w:noProof/>
                <w:webHidden/>
                <w:lang w:val="en-GB"/>
              </w:rPr>
              <w:t>3</w:t>
            </w:r>
            <w:r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67" w:history="1">
            <w:r w:rsidR="001859CC" w:rsidRPr="001E50CC">
              <w:rPr>
                <w:rStyle w:val="Kpr"/>
                <w:noProof/>
                <w:lang w:val="en-GB"/>
              </w:rPr>
              <w:t>Background of the Pharmaceutical Sector</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_Toc68368467 \h </w:instrText>
            </w:r>
            <w:r w:rsidR="001859CC" w:rsidRPr="001E50CC">
              <w:rPr>
                <w:noProof/>
                <w:webHidden/>
                <w:lang w:val="en-GB"/>
              </w:rPr>
            </w:r>
            <w:r w:rsidR="001859CC" w:rsidRPr="001E50CC">
              <w:rPr>
                <w:noProof/>
                <w:webHidden/>
                <w:lang w:val="en-GB"/>
              </w:rPr>
              <w:fldChar w:fldCharType="separate"/>
            </w:r>
            <w:r w:rsidR="001E50CC">
              <w:rPr>
                <w:noProof/>
                <w:webHidden/>
                <w:lang w:val="en-GB"/>
              </w:rPr>
              <w:t>3</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68" w:history="1">
            <w:r w:rsidR="001859CC" w:rsidRPr="001E50CC">
              <w:rPr>
                <w:rStyle w:val="Kpr"/>
                <w:noProof/>
                <w:lang w:val="en-GB"/>
              </w:rPr>
              <w:t>Overview of GlaxoSmithKline (GSK)</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_Toc68368468 \h </w:instrText>
            </w:r>
            <w:r w:rsidR="001859CC" w:rsidRPr="001E50CC">
              <w:rPr>
                <w:noProof/>
                <w:webHidden/>
                <w:lang w:val="en-GB"/>
              </w:rPr>
            </w:r>
            <w:r w:rsidR="001859CC" w:rsidRPr="001E50CC">
              <w:rPr>
                <w:noProof/>
                <w:webHidden/>
                <w:lang w:val="en-GB"/>
              </w:rPr>
              <w:fldChar w:fldCharType="separate"/>
            </w:r>
            <w:r w:rsidR="001E50CC">
              <w:rPr>
                <w:noProof/>
                <w:webHidden/>
                <w:lang w:val="en-GB"/>
              </w:rPr>
              <w:t>5</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69" w:history="1">
            <w:r w:rsidR="001859CC" w:rsidRPr="001E50CC">
              <w:rPr>
                <w:rStyle w:val="Kpr"/>
                <w:noProof/>
                <w:lang w:val="en-GB"/>
              </w:rPr>
              <w:t>External Factors of Business in adherence to the Organization</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_Toc68368469 \h </w:instrText>
            </w:r>
            <w:r w:rsidR="001859CC" w:rsidRPr="001E50CC">
              <w:rPr>
                <w:noProof/>
                <w:webHidden/>
                <w:lang w:val="en-GB"/>
              </w:rPr>
            </w:r>
            <w:r w:rsidR="001859CC" w:rsidRPr="001E50CC">
              <w:rPr>
                <w:noProof/>
                <w:webHidden/>
                <w:lang w:val="en-GB"/>
              </w:rPr>
              <w:fldChar w:fldCharType="separate"/>
            </w:r>
            <w:r w:rsidR="001E50CC">
              <w:rPr>
                <w:noProof/>
                <w:webHidden/>
                <w:lang w:val="en-GB"/>
              </w:rPr>
              <w:t>7</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0" w:history="1">
            <w:r w:rsidR="001859CC" w:rsidRPr="001E50CC">
              <w:rPr>
                <w:rStyle w:val="Kpr"/>
                <w:noProof/>
                <w:lang w:val="en-GB"/>
              </w:rPr>
              <w:t>Internal Factors of Business in adherence to the Organization</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_Toc68368470 \h </w:instrText>
            </w:r>
            <w:r w:rsidR="001859CC" w:rsidRPr="001E50CC">
              <w:rPr>
                <w:noProof/>
                <w:webHidden/>
                <w:lang w:val="en-GB"/>
              </w:rPr>
            </w:r>
            <w:r w:rsidR="001859CC" w:rsidRPr="001E50CC">
              <w:rPr>
                <w:noProof/>
                <w:webHidden/>
                <w:lang w:val="en-GB"/>
              </w:rPr>
              <w:fldChar w:fldCharType="separate"/>
            </w:r>
            <w:r w:rsidR="001E50CC">
              <w:rPr>
                <w:noProof/>
                <w:webHidden/>
                <w:lang w:val="en-GB"/>
              </w:rPr>
              <w:t>9</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1" w:history="1">
            <w:r w:rsidR="001859CC" w:rsidRPr="001E50CC">
              <w:rPr>
                <w:rStyle w:val="Kpr"/>
                <w:noProof/>
                <w:lang w:val="en-GB"/>
              </w:rPr>
              <w:t>Relationship between the External and Internal factors and their Impact upon the Organization</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_Toc68368471 \h </w:instrText>
            </w:r>
            <w:r w:rsidR="001859CC" w:rsidRPr="001E50CC">
              <w:rPr>
                <w:noProof/>
                <w:webHidden/>
                <w:lang w:val="en-GB"/>
              </w:rPr>
            </w:r>
            <w:r w:rsidR="001859CC" w:rsidRPr="001E50CC">
              <w:rPr>
                <w:noProof/>
                <w:webHidden/>
                <w:lang w:val="en-GB"/>
              </w:rPr>
              <w:fldChar w:fldCharType="separate"/>
            </w:r>
            <w:r w:rsidR="001E50CC">
              <w:rPr>
                <w:noProof/>
                <w:webHidden/>
                <w:lang w:val="en-GB"/>
              </w:rPr>
              <w:t>10</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2" w:history="1">
            <w:r w:rsidR="001859CC" w:rsidRPr="001E50CC">
              <w:rPr>
                <w:rStyle w:val="Kpr"/>
                <w:noProof/>
                <w:lang w:val="en-GB"/>
              </w:rPr>
              <w:t>Strategies used to Combat the Impact of these Changes</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_Toc68368472 \h </w:instrText>
            </w:r>
            <w:r w:rsidR="001859CC" w:rsidRPr="001E50CC">
              <w:rPr>
                <w:noProof/>
                <w:webHidden/>
                <w:lang w:val="en-GB"/>
              </w:rPr>
            </w:r>
            <w:r w:rsidR="001859CC" w:rsidRPr="001E50CC">
              <w:rPr>
                <w:noProof/>
                <w:webHidden/>
                <w:lang w:val="en-GB"/>
              </w:rPr>
              <w:fldChar w:fldCharType="separate"/>
            </w:r>
            <w:r w:rsidR="001E50CC">
              <w:rPr>
                <w:noProof/>
                <w:webHidden/>
                <w:lang w:val="en-GB"/>
              </w:rPr>
              <w:t>11</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3" w:history="1">
            <w:r w:rsidR="001859CC" w:rsidRPr="001E50CC">
              <w:rPr>
                <w:rStyle w:val="Kpr"/>
                <w:noProof/>
                <w:lang w:val="en-GB"/>
              </w:rPr>
              <w:t>Models and Theories deployed in the Emergent Strategies</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_Toc68368473 \h </w:instrText>
            </w:r>
            <w:r w:rsidR="001859CC" w:rsidRPr="001E50CC">
              <w:rPr>
                <w:noProof/>
                <w:webHidden/>
                <w:lang w:val="en-GB"/>
              </w:rPr>
            </w:r>
            <w:r w:rsidR="001859CC" w:rsidRPr="001E50CC">
              <w:rPr>
                <w:noProof/>
                <w:webHidden/>
                <w:lang w:val="en-GB"/>
              </w:rPr>
              <w:fldChar w:fldCharType="separate"/>
            </w:r>
            <w:r w:rsidR="001E50CC">
              <w:rPr>
                <w:noProof/>
                <w:webHidden/>
                <w:lang w:val="en-GB"/>
              </w:rPr>
              <w:t>13</w:t>
            </w:r>
            <w:r w:rsidR="001859CC" w:rsidRPr="001E50CC">
              <w:rPr>
                <w:noProof/>
                <w:webHidden/>
                <w:lang w:val="en-GB"/>
              </w:rPr>
              <w:fldChar w:fldCharType="end"/>
            </w:r>
          </w:hyperlink>
        </w:p>
        <w:p w:rsidR="001859CC" w:rsidRPr="001E50CC" w:rsidRDefault="00F64A3C" w:rsidP="001E50CC">
          <w:pPr>
            <w:pStyle w:val="T2"/>
            <w:tabs>
              <w:tab w:val="right" w:leader="dot" w:pos="9350"/>
            </w:tabs>
            <w:spacing w:line="360" w:lineRule="auto"/>
            <w:rPr>
              <w:noProof/>
              <w:lang w:val="en-GB"/>
            </w:rPr>
          </w:pPr>
          <w:hyperlink w:anchor="_Toc68368474" w:history="1">
            <w:r w:rsidR="001859CC" w:rsidRPr="001E50CC">
              <w:rPr>
                <w:rStyle w:val="Kpr"/>
                <w:noProof/>
                <w:lang w:val="en-GB"/>
              </w:rPr>
              <w:t>Ansoff’s growth Matrix</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_Toc68368474 \h </w:instrText>
            </w:r>
            <w:r w:rsidR="001859CC" w:rsidRPr="001E50CC">
              <w:rPr>
                <w:noProof/>
                <w:webHidden/>
                <w:lang w:val="en-GB"/>
              </w:rPr>
            </w:r>
            <w:r w:rsidR="001859CC" w:rsidRPr="001E50CC">
              <w:rPr>
                <w:noProof/>
                <w:webHidden/>
                <w:lang w:val="en-GB"/>
              </w:rPr>
              <w:fldChar w:fldCharType="separate"/>
            </w:r>
            <w:r w:rsidR="001E50CC">
              <w:rPr>
                <w:noProof/>
                <w:webHidden/>
                <w:lang w:val="en-GB"/>
              </w:rPr>
              <w:t>13</w:t>
            </w:r>
            <w:r w:rsidR="001859CC" w:rsidRPr="001E50CC">
              <w:rPr>
                <w:noProof/>
                <w:webHidden/>
                <w:lang w:val="en-GB"/>
              </w:rPr>
              <w:fldChar w:fldCharType="end"/>
            </w:r>
          </w:hyperlink>
        </w:p>
        <w:p w:rsidR="001859CC" w:rsidRPr="001E50CC" w:rsidRDefault="00F64A3C" w:rsidP="001E50CC">
          <w:pPr>
            <w:pStyle w:val="T2"/>
            <w:tabs>
              <w:tab w:val="right" w:leader="dot" w:pos="9350"/>
            </w:tabs>
            <w:spacing w:line="360" w:lineRule="auto"/>
            <w:rPr>
              <w:noProof/>
              <w:lang w:val="en-GB"/>
            </w:rPr>
          </w:pPr>
          <w:hyperlink w:anchor="_Toc68368475" w:history="1">
            <w:r w:rsidR="001859CC" w:rsidRPr="001E50CC">
              <w:rPr>
                <w:rStyle w:val="Kpr"/>
                <w:noProof/>
                <w:lang w:val="en-GB"/>
              </w:rPr>
              <w:t>BCG Matrix</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_Toc68368475 \h </w:instrText>
            </w:r>
            <w:r w:rsidR="001859CC" w:rsidRPr="001E50CC">
              <w:rPr>
                <w:noProof/>
                <w:webHidden/>
                <w:lang w:val="en-GB"/>
              </w:rPr>
            </w:r>
            <w:r w:rsidR="001859CC" w:rsidRPr="001E50CC">
              <w:rPr>
                <w:noProof/>
                <w:webHidden/>
                <w:lang w:val="en-GB"/>
              </w:rPr>
              <w:fldChar w:fldCharType="separate"/>
            </w:r>
            <w:r w:rsidR="001E50CC">
              <w:rPr>
                <w:noProof/>
                <w:webHidden/>
                <w:lang w:val="en-GB"/>
              </w:rPr>
              <w:t>16</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6" w:history="1">
            <w:r w:rsidR="001859CC" w:rsidRPr="001E50CC">
              <w:rPr>
                <w:rStyle w:val="Kpr"/>
                <w:noProof/>
                <w:shd w:val="clear" w:color="auto" w:fill="FFFFFF"/>
                <w:lang w:val="en-GB"/>
              </w:rPr>
              <w:t>Competitor Analysis of GlaxoSmithKline</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_Toc68368476 \h </w:instrText>
            </w:r>
            <w:r w:rsidR="001859CC" w:rsidRPr="001E50CC">
              <w:rPr>
                <w:noProof/>
                <w:webHidden/>
                <w:lang w:val="en-GB"/>
              </w:rPr>
            </w:r>
            <w:r w:rsidR="001859CC" w:rsidRPr="001E50CC">
              <w:rPr>
                <w:noProof/>
                <w:webHidden/>
                <w:lang w:val="en-GB"/>
              </w:rPr>
              <w:fldChar w:fldCharType="separate"/>
            </w:r>
            <w:r w:rsidR="001E50CC">
              <w:rPr>
                <w:noProof/>
                <w:webHidden/>
                <w:lang w:val="en-GB"/>
              </w:rPr>
              <w:t>19</w:t>
            </w:r>
            <w:r w:rsidR="001859CC" w:rsidRPr="001E50CC">
              <w:rPr>
                <w:noProof/>
                <w:webHidden/>
                <w:lang w:val="en-GB"/>
              </w:rPr>
              <w:fldChar w:fldCharType="end"/>
            </w:r>
          </w:hyperlink>
        </w:p>
        <w:p w:rsidR="001859CC" w:rsidRPr="001E50CC" w:rsidRDefault="00F64A3C" w:rsidP="001E50CC">
          <w:pPr>
            <w:pStyle w:val="T2"/>
            <w:tabs>
              <w:tab w:val="right" w:leader="dot" w:pos="9350"/>
            </w:tabs>
            <w:spacing w:line="360" w:lineRule="auto"/>
            <w:rPr>
              <w:noProof/>
              <w:lang w:val="en-GB"/>
            </w:rPr>
          </w:pPr>
          <w:hyperlink w:anchor="_Toc68368477" w:history="1">
            <w:r w:rsidR="001859CC" w:rsidRPr="001E50CC">
              <w:rPr>
                <w:rStyle w:val="Kpr"/>
                <w:noProof/>
                <w:lang w:val="en-GB"/>
              </w:rPr>
              <w:t>Porter’s Five Forces</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_Toc68368477 \h </w:instrText>
            </w:r>
            <w:r w:rsidR="001859CC" w:rsidRPr="001E50CC">
              <w:rPr>
                <w:noProof/>
                <w:webHidden/>
                <w:lang w:val="en-GB"/>
              </w:rPr>
            </w:r>
            <w:r w:rsidR="001859CC" w:rsidRPr="001E50CC">
              <w:rPr>
                <w:noProof/>
                <w:webHidden/>
                <w:lang w:val="en-GB"/>
              </w:rPr>
              <w:fldChar w:fldCharType="separate"/>
            </w:r>
            <w:r w:rsidR="001E50CC">
              <w:rPr>
                <w:noProof/>
                <w:webHidden/>
                <w:lang w:val="en-GB"/>
              </w:rPr>
              <w:t>19</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8" w:history="1">
            <w:r w:rsidR="001859CC" w:rsidRPr="001E50CC">
              <w:rPr>
                <w:rStyle w:val="Kpr"/>
                <w:noProof/>
                <w:lang w:val="en-GB"/>
              </w:rPr>
              <w:t>Achievement of Competitive Advantage through Strategic Management</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_Toc68368478 \h </w:instrText>
            </w:r>
            <w:r w:rsidR="001859CC" w:rsidRPr="001E50CC">
              <w:rPr>
                <w:noProof/>
                <w:webHidden/>
                <w:lang w:val="en-GB"/>
              </w:rPr>
            </w:r>
            <w:r w:rsidR="001859CC" w:rsidRPr="001E50CC">
              <w:rPr>
                <w:noProof/>
                <w:webHidden/>
                <w:lang w:val="en-GB"/>
              </w:rPr>
              <w:fldChar w:fldCharType="separate"/>
            </w:r>
            <w:r w:rsidR="001E50CC">
              <w:rPr>
                <w:noProof/>
                <w:webHidden/>
                <w:lang w:val="en-GB"/>
              </w:rPr>
              <w:t>22</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79" w:history="1">
            <w:r w:rsidR="001859CC" w:rsidRPr="001E50CC">
              <w:rPr>
                <w:rStyle w:val="Kpr"/>
                <w:noProof/>
                <w:lang w:val="en-GB"/>
              </w:rPr>
              <w:t>Conclusion</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_Toc68368479 \h </w:instrText>
            </w:r>
            <w:r w:rsidR="001859CC" w:rsidRPr="001E50CC">
              <w:rPr>
                <w:noProof/>
                <w:webHidden/>
                <w:lang w:val="en-GB"/>
              </w:rPr>
            </w:r>
            <w:r w:rsidR="001859CC" w:rsidRPr="001E50CC">
              <w:rPr>
                <w:noProof/>
                <w:webHidden/>
                <w:lang w:val="en-GB"/>
              </w:rPr>
              <w:fldChar w:fldCharType="separate"/>
            </w:r>
            <w:r w:rsidR="001E50CC">
              <w:rPr>
                <w:noProof/>
                <w:webHidden/>
                <w:lang w:val="en-GB"/>
              </w:rPr>
              <w:t>24</w:t>
            </w:r>
            <w:r w:rsidR="001859CC" w:rsidRPr="001E50CC">
              <w:rPr>
                <w:noProof/>
                <w:webHidden/>
                <w:lang w:val="en-GB"/>
              </w:rPr>
              <w:fldChar w:fldCharType="end"/>
            </w:r>
          </w:hyperlink>
        </w:p>
        <w:p w:rsidR="001859CC" w:rsidRPr="001E50CC" w:rsidRDefault="00F64A3C" w:rsidP="001E50CC">
          <w:pPr>
            <w:pStyle w:val="T1"/>
            <w:tabs>
              <w:tab w:val="right" w:leader="dot" w:pos="9350"/>
            </w:tabs>
            <w:spacing w:line="360" w:lineRule="auto"/>
            <w:rPr>
              <w:noProof/>
              <w:lang w:val="en-GB"/>
            </w:rPr>
          </w:pPr>
          <w:hyperlink w:anchor="_Toc68368480" w:history="1">
            <w:r w:rsidR="001859CC" w:rsidRPr="001E50CC">
              <w:rPr>
                <w:rStyle w:val="Kpr"/>
                <w:noProof/>
                <w:lang w:val="en-GB"/>
              </w:rPr>
              <w:t>Reference Links</w:t>
            </w:r>
            <w:r w:rsidR="001859CC" w:rsidRPr="001E50CC">
              <w:rPr>
                <w:noProof/>
                <w:webHidden/>
                <w:lang w:val="en-GB"/>
              </w:rPr>
              <w:tab/>
            </w:r>
            <w:r w:rsidR="001859CC" w:rsidRPr="001E50CC">
              <w:rPr>
                <w:noProof/>
                <w:webHidden/>
                <w:lang w:val="en-GB"/>
              </w:rPr>
              <w:fldChar w:fldCharType="begin"/>
            </w:r>
            <w:r w:rsidR="001859CC" w:rsidRPr="001E50CC">
              <w:rPr>
                <w:noProof/>
                <w:webHidden/>
                <w:lang w:val="en-GB"/>
              </w:rPr>
              <w:instrText xml:space="preserve"> PAGEREF _Toc68368480 \h </w:instrText>
            </w:r>
            <w:r w:rsidR="001859CC" w:rsidRPr="001E50CC">
              <w:rPr>
                <w:noProof/>
                <w:webHidden/>
                <w:lang w:val="en-GB"/>
              </w:rPr>
            </w:r>
            <w:r w:rsidR="001859CC" w:rsidRPr="001E50CC">
              <w:rPr>
                <w:noProof/>
                <w:webHidden/>
                <w:lang w:val="en-GB"/>
              </w:rPr>
              <w:fldChar w:fldCharType="separate"/>
            </w:r>
            <w:r w:rsidR="001E50CC">
              <w:rPr>
                <w:noProof/>
                <w:webHidden/>
                <w:lang w:val="en-GB"/>
              </w:rPr>
              <w:t>25</w:t>
            </w:r>
            <w:r w:rsidR="001859CC" w:rsidRPr="001E50CC">
              <w:rPr>
                <w:noProof/>
                <w:webHidden/>
                <w:lang w:val="en-GB"/>
              </w:rPr>
              <w:fldChar w:fldCharType="end"/>
            </w:r>
          </w:hyperlink>
        </w:p>
        <w:p w:rsidR="001859CC" w:rsidRPr="001E50CC" w:rsidRDefault="001859CC" w:rsidP="001E50CC">
          <w:pPr>
            <w:spacing w:line="360" w:lineRule="auto"/>
            <w:rPr>
              <w:lang w:val="en-GB"/>
            </w:rPr>
          </w:pPr>
          <w:r w:rsidRPr="001E50CC">
            <w:rPr>
              <w:lang w:val="en-GB"/>
            </w:rPr>
            <w:fldChar w:fldCharType="end"/>
          </w:r>
        </w:p>
      </w:sdtContent>
    </w:sdt>
    <w:p w:rsidR="001859CC" w:rsidRPr="001E50CC" w:rsidRDefault="001859CC" w:rsidP="001E50CC">
      <w:pPr>
        <w:spacing w:line="360" w:lineRule="auto"/>
        <w:jc w:val="left"/>
        <w:rPr>
          <w:rFonts w:eastAsiaTheme="majorEastAsia" w:cstheme="majorBidi"/>
          <w:b/>
          <w:bCs/>
          <w:sz w:val="32"/>
          <w:szCs w:val="28"/>
          <w:lang w:val="en-GB"/>
        </w:rPr>
      </w:pPr>
      <w:r w:rsidRPr="001E50CC">
        <w:rPr>
          <w:rFonts w:eastAsiaTheme="majorEastAsia" w:cstheme="majorBidi"/>
          <w:b/>
          <w:bCs/>
          <w:sz w:val="32"/>
          <w:szCs w:val="28"/>
          <w:lang w:val="en-GB"/>
        </w:rPr>
        <w:br w:type="page"/>
      </w:r>
    </w:p>
    <w:p w:rsidR="00E93559" w:rsidRPr="001E50CC" w:rsidRDefault="00372C3E" w:rsidP="001E50CC">
      <w:pPr>
        <w:pStyle w:val="Balk1"/>
        <w:spacing w:line="360" w:lineRule="auto"/>
        <w:rPr>
          <w:lang w:val="en-GB"/>
        </w:rPr>
      </w:pPr>
      <w:bookmarkStart w:id="1" w:name="_Toc68368466"/>
      <w:r w:rsidRPr="001E50CC">
        <w:rPr>
          <w:lang w:val="en-GB"/>
        </w:rPr>
        <w:lastRenderedPageBreak/>
        <w:t>Introduction</w:t>
      </w:r>
      <w:bookmarkEnd w:id="1"/>
    </w:p>
    <w:p w:rsidR="004B021A" w:rsidRPr="001E50CC" w:rsidRDefault="009C55B3" w:rsidP="001E50CC">
      <w:pPr>
        <w:spacing w:line="360" w:lineRule="auto"/>
        <w:rPr>
          <w:lang w:val="en-GB"/>
        </w:rPr>
      </w:pPr>
      <w:r w:rsidRPr="001E50CC">
        <w:rPr>
          <w:lang w:val="en-GB"/>
        </w:rPr>
        <w:t>The success of a company is enhanced by the notion of effective strategic management of several of its operational factors</w:t>
      </w:r>
      <w:r w:rsidR="001E50CC" w:rsidRPr="001E50CC">
        <w:rPr>
          <w:lang w:val="en-GB"/>
        </w:rPr>
        <w:t xml:space="preserve"> (Bindra </w:t>
      </w:r>
      <w:r w:rsidR="001E50CC" w:rsidRPr="001E50CC">
        <w:rPr>
          <w:i/>
          <w:lang w:val="en-GB"/>
        </w:rPr>
        <w:t>et al.,</w:t>
      </w:r>
      <w:r w:rsidR="001E50CC" w:rsidRPr="001E50CC">
        <w:rPr>
          <w:lang w:val="en-GB"/>
        </w:rPr>
        <w:t xml:space="preserve"> 2019)</w:t>
      </w:r>
      <w:r w:rsidRPr="001E50CC">
        <w:rPr>
          <w:lang w:val="en-GB"/>
        </w:rPr>
        <w:t>. The report would try to reflect upon the same from the perspective of the UK pharmaceutical giant GlaxoSmithKline. It would provide an overview of the external and internal context of business of the organization and the various ways in which the organization has been able to handle certain challenges that they have faced over the years of existence. Several models and theories would be referred to in adherence to the strategies to drive home the points more clearly.</w:t>
      </w:r>
    </w:p>
    <w:p w:rsidR="00372C3E" w:rsidRPr="001E50CC" w:rsidRDefault="00372C3E" w:rsidP="001E50CC">
      <w:pPr>
        <w:pStyle w:val="Balk1"/>
        <w:spacing w:line="360" w:lineRule="auto"/>
        <w:rPr>
          <w:lang w:val="en-GB"/>
        </w:rPr>
      </w:pPr>
      <w:bookmarkStart w:id="2" w:name="_Toc68368467"/>
      <w:r w:rsidRPr="001E50CC">
        <w:rPr>
          <w:lang w:val="en-GB"/>
        </w:rPr>
        <w:t>Background</w:t>
      </w:r>
      <w:r w:rsidR="004B021A" w:rsidRPr="001E50CC">
        <w:rPr>
          <w:lang w:val="en-GB"/>
        </w:rPr>
        <w:t xml:space="preserve"> of the Pharmaceutical Sector</w:t>
      </w:r>
      <w:bookmarkEnd w:id="2"/>
    </w:p>
    <w:p w:rsidR="00B52C43" w:rsidRPr="001E50CC" w:rsidRDefault="00B52C43" w:rsidP="001E50CC">
      <w:pPr>
        <w:spacing w:line="360" w:lineRule="auto"/>
        <w:rPr>
          <w:lang w:val="en-GB"/>
        </w:rPr>
      </w:pPr>
      <w:r w:rsidRPr="001E50CC">
        <w:rPr>
          <w:noProof/>
          <w:lang w:val="tr-TR" w:eastAsia="tr-TR"/>
        </w:rPr>
        <w:drawing>
          <wp:inline distT="0" distB="0" distL="0" distR="0">
            <wp:extent cx="5943600" cy="4626610"/>
            <wp:effectExtent l="19050" t="0" r="0" b="0"/>
            <wp:docPr id="1" name="Picture 0" descr="uk leading pharmaceutical compan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leading pharmaceutical companies.PNG"/>
                    <pic:cNvPicPr/>
                  </pic:nvPicPr>
                  <pic:blipFill>
                    <a:blip r:embed="rId7"/>
                    <a:stretch>
                      <a:fillRect/>
                    </a:stretch>
                  </pic:blipFill>
                  <pic:spPr>
                    <a:xfrm>
                      <a:off x="0" y="0"/>
                      <a:ext cx="5943600" cy="4626610"/>
                    </a:xfrm>
                    <a:prstGeom prst="rect">
                      <a:avLst/>
                    </a:prstGeom>
                  </pic:spPr>
                </pic:pic>
              </a:graphicData>
            </a:graphic>
          </wp:inline>
        </w:drawing>
      </w:r>
    </w:p>
    <w:p w:rsidR="00B52C43" w:rsidRPr="001E50CC" w:rsidRDefault="00B52C43" w:rsidP="001E50CC">
      <w:pPr>
        <w:spacing w:line="360" w:lineRule="auto"/>
        <w:jc w:val="center"/>
        <w:rPr>
          <w:b/>
          <w:lang w:val="en-GB"/>
        </w:rPr>
      </w:pPr>
      <w:r w:rsidRPr="001E50CC">
        <w:rPr>
          <w:b/>
          <w:lang w:val="en-GB"/>
        </w:rPr>
        <w:t>Figure 1: Leading Pharmaceutical Companies in the UK</w:t>
      </w:r>
    </w:p>
    <w:p w:rsidR="00B52C43" w:rsidRPr="001E50CC" w:rsidRDefault="00B52C43" w:rsidP="001E50CC">
      <w:pPr>
        <w:spacing w:line="360" w:lineRule="auto"/>
        <w:jc w:val="center"/>
        <w:rPr>
          <w:lang w:val="en-GB"/>
        </w:rPr>
      </w:pPr>
      <w:r w:rsidRPr="001E50CC">
        <w:rPr>
          <w:lang w:val="en-GB"/>
        </w:rPr>
        <w:lastRenderedPageBreak/>
        <w:t>(Source: Mikulic, 2020)</w:t>
      </w:r>
    </w:p>
    <w:p w:rsidR="007244B5" w:rsidRPr="001E50CC" w:rsidRDefault="007244B5" w:rsidP="001E50CC">
      <w:pPr>
        <w:spacing w:line="360" w:lineRule="auto"/>
        <w:rPr>
          <w:lang w:val="en-GB"/>
        </w:rPr>
      </w:pPr>
      <w:r w:rsidRPr="001E50CC">
        <w:rPr>
          <w:lang w:val="en-GB"/>
        </w:rPr>
        <w:t>The pharmaceutical industry is one of the most significant generators of revenue on a worldwide basis. There have been many significant pharmaceutical companies in the UK which have generated a significant amount of economic revenue and have been a driving factor behind the economic growth of the country</w:t>
      </w:r>
      <w:r w:rsidR="00B52C43" w:rsidRPr="001E50CC">
        <w:rPr>
          <w:lang w:val="en-GB"/>
        </w:rPr>
        <w:t xml:space="preserve"> (Mikulic, 2020)</w:t>
      </w:r>
      <w:r w:rsidRPr="001E50CC">
        <w:rPr>
          <w:lang w:val="en-GB"/>
        </w:rPr>
        <w:t>.</w:t>
      </w:r>
    </w:p>
    <w:p w:rsidR="007244B5" w:rsidRPr="001E50CC" w:rsidRDefault="007244B5" w:rsidP="001E50CC">
      <w:pPr>
        <w:spacing w:line="360" w:lineRule="auto"/>
        <w:rPr>
          <w:lang w:val="en-GB"/>
        </w:rPr>
      </w:pPr>
      <w:r w:rsidRPr="001E50CC">
        <w:rPr>
          <w:lang w:val="en-GB"/>
        </w:rPr>
        <w:t>The sector is one of the most resource consuming sectors as it needs a lot of investments for the purpose of the production of new drugs. The process is quite a long drawn one as it involves the conducting of effective research to gain an informed idea of the disease that would help in the generation of a new drug in the most effective manner. A lot of scientists and doctors along with medical personnels would need to be involved in the process. The final drug would have to undergo animal testing procedures to see the final light of the day. Finally a government sanction has to be obtained for selling the drug in the open market</w:t>
      </w:r>
      <w:r w:rsidR="00D8532B" w:rsidRPr="001E50CC">
        <w:rPr>
          <w:lang w:val="en-GB"/>
        </w:rPr>
        <w:t xml:space="preserve"> (Lakdawalla, 2018)</w:t>
      </w:r>
      <w:r w:rsidRPr="001E50CC">
        <w:rPr>
          <w:lang w:val="en-GB"/>
        </w:rPr>
        <w:t>.</w:t>
      </w:r>
    </w:p>
    <w:p w:rsidR="00B52C43" w:rsidRPr="001E50CC" w:rsidRDefault="00B52C43" w:rsidP="001E50CC">
      <w:pPr>
        <w:spacing w:line="360" w:lineRule="auto"/>
        <w:rPr>
          <w:lang w:val="en-GB"/>
        </w:rPr>
      </w:pPr>
      <w:r w:rsidRPr="001E50CC">
        <w:rPr>
          <w:noProof/>
          <w:lang w:val="tr-TR" w:eastAsia="tr-TR"/>
        </w:rPr>
        <w:drawing>
          <wp:inline distT="0" distB="0" distL="0" distR="0">
            <wp:extent cx="5943600" cy="3862070"/>
            <wp:effectExtent l="19050" t="0" r="0" b="0"/>
            <wp:docPr id="2" name="Picture 1" descr="leading pharmaceutical compan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ding pharmaceutical companies.PNG"/>
                    <pic:cNvPicPr/>
                  </pic:nvPicPr>
                  <pic:blipFill>
                    <a:blip r:embed="rId8"/>
                    <a:stretch>
                      <a:fillRect/>
                    </a:stretch>
                  </pic:blipFill>
                  <pic:spPr>
                    <a:xfrm>
                      <a:off x="0" y="0"/>
                      <a:ext cx="5943600" cy="3862070"/>
                    </a:xfrm>
                    <a:prstGeom prst="rect">
                      <a:avLst/>
                    </a:prstGeom>
                  </pic:spPr>
                </pic:pic>
              </a:graphicData>
            </a:graphic>
          </wp:inline>
        </w:drawing>
      </w:r>
    </w:p>
    <w:p w:rsidR="00B52C43" w:rsidRPr="001E50CC" w:rsidRDefault="00B52C43" w:rsidP="001E50CC">
      <w:pPr>
        <w:spacing w:line="360" w:lineRule="auto"/>
        <w:jc w:val="center"/>
        <w:rPr>
          <w:b/>
          <w:lang w:val="en-GB"/>
        </w:rPr>
      </w:pPr>
      <w:r w:rsidRPr="001E50CC">
        <w:rPr>
          <w:b/>
          <w:lang w:val="en-GB"/>
        </w:rPr>
        <w:t>Figure 2: Leading Pharmaceutical Companies Globally</w:t>
      </w:r>
    </w:p>
    <w:p w:rsidR="00B52C43" w:rsidRPr="001E50CC" w:rsidRDefault="00B52C43" w:rsidP="001E50CC">
      <w:pPr>
        <w:spacing w:line="360" w:lineRule="auto"/>
        <w:jc w:val="center"/>
        <w:rPr>
          <w:lang w:val="en-GB"/>
        </w:rPr>
      </w:pPr>
      <w:r w:rsidRPr="001E50CC">
        <w:rPr>
          <w:lang w:val="en-GB"/>
        </w:rPr>
        <w:t>(Source: Mikulic, 2021)</w:t>
      </w:r>
    </w:p>
    <w:p w:rsidR="007244B5" w:rsidRPr="001E50CC" w:rsidRDefault="007244B5" w:rsidP="001E50CC">
      <w:pPr>
        <w:spacing w:line="360" w:lineRule="auto"/>
        <w:rPr>
          <w:lang w:val="en-GB"/>
        </w:rPr>
      </w:pPr>
      <w:r w:rsidRPr="001E50CC">
        <w:rPr>
          <w:lang w:val="en-GB"/>
        </w:rPr>
        <w:lastRenderedPageBreak/>
        <w:t>It can be thus said that the process within the pharmaceutical sector is very demanding and the growing number of pharmaceutical companies around the world has increased the competition in this sector too and many of the premium organizations are in a constant zeal to remain ahead of their competitors</w:t>
      </w:r>
      <w:r w:rsidR="00B52C43" w:rsidRPr="001E50CC">
        <w:rPr>
          <w:lang w:val="en-GB"/>
        </w:rPr>
        <w:t xml:space="preserve"> (Mikulic, 2021)</w:t>
      </w:r>
      <w:r w:rsidRPr="001E50CC">
        <w:rPr>
          <w:lang w:val="en-GB"/>
        </w:rPr>
        <w:t xml:space="preserve">. This would have to be accentuated through measures like improvements within the research and development sectors, along with increasing the product portfolio and paying emphasis upon the notion of geographical expansion. All these steps would help in fostering healthy competitions between the numerous pharmaceutical companies and also prove to be helpful </w:t>
      </w:r>
      <w:r w:rsidR="0064586C" w:rsidRPr="001E50CC">
        <w:rPr>
          <w:lang w:val="en-GB"/>
        </w:rPr>
        <w:t>for the generation as it would help them in affording cheaper drugs</w:t>
      </w:r>
      <w:r w:rsidR="00D8532B" w:rsidRPr="001E50CC">
        <w:rPr>
          <w:lang w:val="en-GB"/>
        </w:rPr>
        <w:t xml:space="preserve"> (Rosenthal and Lutz, 2018)</w:t>
      </w:r>
      <w:r w:rsidR="0064586C" w:rsidRPr="001E50CC">
        <w:rPr>
          <w:lang w:val="en-GB"/>
        </w:rPr>
        <w:t>.</w:t>
      </w:r>
    </w:p>
    <w:p w:rsidR="00372C3E" w:rsidRPr="001E50CC" w:rsidRDefault="004B021A" w:rsidP="001E50CC">
      <w:pPr>
        <w:pStyle w:val="Balk1"/>
        <w:spacing w:line="360" w:lineRule="auto"/>
        <w:rPr>
          <w:lang w:val="en-GB"/>
        </w:rPr>
      </w:pPr>
      <w:bookmarkStart w:id="3" w:name="_Toc68368468"/>
      <w:r w:rsidRPr="001E50CC">
        <w:rPr>
          <w:lang w:val="en-GB"/>
        </w:rPr>
        <w:t>Overview of GlaxoSmithKline (GSK)</w:t>
      </w:r>
      <w:bookmarkEnd w:id="3"/>
    </w:p>
    <w:p w:rsidR="00B52C43" w:rsidRPr="001E50CC" w:rsidRDefault="00B52C43" w:rsidP="001E50CC">
      <w:pPr>
        <w:spacing w:line="360" w:lineRule="auto"/>
        <w:rPr>
          <w:lang w:val="en-GB"/>
        </w:rPr>
      </w:pPr>
      <w:r w:rsidRPr="001E50CC">
        <w:rPr>
          <w:noProof/>
          <w:lang w:val="tr-TR" w:eastAsia="tr-TR"/>
        </w:rPr>
        <w:drawing>
          <wp:inline distT="0" distB="0" distL="0" distR="0">
            <wp:extent cx="5943600" cy="3858895"/>
            <wp:effectExtent l="19050" t="0" r="0" b="0"/>
            <wp:docPr id="3" name="Picture 2" descr="glaxosmithkline 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axosmithkline revenue.PNG"/>
                    <pic:cNvPicPr/>
                  </pic:nvPicPr>
                  <pic:blipFill>
                    <a:blip r:embed="rId9"/>
                    <a:stretch>
                      <a:fillRect/>
                    </a:stretch>
                  </pic:blipFill>
                  <pic:spPr>
                    <a:xfrm>
                      <a:off x="0" y="0"/>
                      <a:ext cx="5943600" cy="3858895"/>
                    </a:xfrm>
                    <a:prstGeom prst="rect">
                      <a:avLst/>
                    </a:prstGeom>
                  </pic:spPr>
                </pic:pic>
              </a:graphicData>
            </a:graphic>
          </wp:inline>
        </w:drawing>
      </w:r>
    </w:p>
    <w:p w:rsidR="00B52C43" w:rsidRPr="001E50CC" w:rsidRDefault="00B52C43" w:rsidP="001E50CC">
      <w:pPr>
        <w:spacing w:line="360" w:lineRule="auto"/>
        <w:jc w:val="center"/>
        <w:rPr>
          <w:b/>
          <w:lang w:val="en-GB"/>
        </w:rPr>
      </w:pPr>
      <w:r w:rsidRPr="001E50CC">
        <w:rPr>
          <w:b/>
          <w:lang w:val="en-GB"/>
        </w:rPr>
        <w:t>Figure 3: Revenue Generation of GlaxoSmithKline over the Years</w:t>
      </w:r>
    </w:p>
    <w:p w:rsidR="00B52C43" w:rsidRPr="001E50CC" w:rsidRDefault="00B52C43" w:rsidP="001E50CC">
      <w:pPr>
        <w:spacing w:line="360" w:lineRule="auto"/>
        <w:jc w:val="center"/>
        <w:rPr>
          <w:lang w:val="en-GB"/>
        </w:rPr>
      </w:pPr>
      <w:r w:rsidRPr="001E50CC">
        <w:rPr>
          <w:lang w:val="en-GB"/>
        </w:rPr>
        <w:t>(Source: Mikulic, 2021)</w:t>
      </w:r>
    </w:p>
    <w:p w:rsidR="004B021A" w:rsidRPr="001E50CC" w:rsidRDefault="00A53232" w:rsidP="001E50CC">
      <w:pPr>
        <w:spacing w:line="360" w:lineRule="auto"/>
        <w:rPr>
          <w:lang w:val="en-GB"/>
        </w:rPr>
      </w:pPr>
      <w:r w:rsidRPr="001E50CC">
        <w:rPr>
          <w:lang w:val="en-GB"/>
        </w:rPr>
        <w:lastRenderedPageBreak/>
        <w:t>GlaxoSmithKline (GSK) is one of the leading pharmaceutical companies in the UK headquartered at London, England.</w:t>
      </w:r>
      <w:r w:rsidR="00D8532B" w:rsidRPr="001E50CC">
        <w:rPr>
          <w:lang w:val="en-GB"/>
        </w:rPr>
        <w:t xml:space="preserve"> The company also has global presence as it has its operations in areas like Japan, Asia, Africa, the USA and so on.</w:t>
      </w:r>
      <w:r w:rsidRPr="001E50CC">
        <w:rPr>
          <w:lang w:val="en-GB"/>
        </w:rPr>
        <w:t xml:space="preserve"> </w:t>
      </w:r>
      <w:r w:rsidR="004B021A" w:rsidRPr="001E50CC">
        <w:rPr>
          <w:lang w:val="en-GB"/>
        </w:rPr>
        <w:t xml:space="preserve">The company records a revenue of 30 billion British pounds on an average on a yearly basis and regularly features in the top five pharmaceutical companies list in the UK (Mikulic, 2021). </w:t>
      </w:r>
    </w:p>
    <w:p w:rsidR="004B021A" w:rsidRPr="001E50CC" w:rsidRDefault="004B021A" w:rsidP="001E50CC">
      <w:pPr>
        <w:spacing w:line="360" w:lineRule="auto"/>
        <w:rPr>
          <w:lang w:val="en-GB"/>
        </w:rPr>
      </w:pPr>
      <w:r w:rsidRPr="001E50CC">
        <w:rPr>
          <w:noProof/>
          <w:lang w:val="tr-TR" w:eastAsia="tr-TR"/>
        </w:rPr>
        <w:drawing>
          <wp:inline distT="0" distB="0" distL="0" distR="0">
            <wp:extent cx="5943600" cy="3903345"/>
            <wp:effectExtent l="19050" t="0" r="0" b="0"/>
            <wp:docPr id="5" name="Picture 3" descr="glaxosmithkline revenue divi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axosmithkline revenue division.PNG"/>
                    <pic:cNvPicPr/>
                  </pic:nvPicPr>
                  <pic:blipFill>
                    <a:blip r:embed="rId10"/>
                    <a:stretch>
                      <a:fillRect/>
                    </a:stretch>
                  </pic:blipFill>
                  <pic:spPr>
                    <a:xfrm>
                      <a:off x="0" y="0"/>
                      <a:ext cx="5943600" cy="3903345"/>
                    </a:xfrm>
                    <a:prstGeom prst="rect">
                      <a:avLst/>
                    </a:prstGeom>
                  </pic:spPr>
                </pic:pic>
              </a:graphicData>
            </a:graphic>
          </wp:inline>
        </w:drawing>
      </w:r>
    </w:p>
    <w:p w:rsidR="004B021A" w:rsidRPr="001E50CC" w:rsidRDefault="004B021A" w:rsidP="001E50CC">
      <w:pPr>
        <w:spacing w:line="360" w:lineRule="auto"/>
        <w:jc w:val="center"/>
        <w:rPr>
          <w:b/>
          <w:lang w:val="en-GB"/>
        </w:rPr>
      </w:pPr>
      <w:r w:rsidRPr="001E50CC">
        <w:rPr>
          <w:b/>
          <w:lang w:val="en-GB"/>
        </w:rPr>
        <w:t>Figure 4: Division-Wise Revenue Generation of GlaxoSmithKline</w:t>
      </w:r>
    </w:p>
    <w:p w:rsidR="004B021A" w:rsidRPr="001E50CC" w:rsidRDefault="004B021A" w:rsidP="001E50CC">
      <w:pPr>
        <w:spacing w:line="360" w:lineRule="auto"/>
        <w:jc w:val="center"/>
        <w:rPr>
          <w:lang w:val="en-GB"/>
        </w:rPr>
      </w:pPr>
      <w:r w:rsidRPr="001E50CC">
        <w:rPr>
          <w:lang w:val="en-GB"/>
        </w:rPr>
        <w:t>(Source: Mikulic, 2021)</w:t>
      </w:r>
    </w:p>
    <w:p w:rsidR="004B021A" w:rsidRPr="001E50CC" w:rsidRDefault="00A53232" w:rsidP="001E50CC">
      <w:pPr>
        <w:spacing w:line="360" w:lineRule="auto"/>
        <w:rPr>
          <w:lang w:val="en-GB"/>
        </w:rPr>
      </w:pPr>
      <w:r w:rsidRPr="001E50CC">
        <w:rPr>
          <w:lang w:val="en-GB"/>
        </w:rPr>
        <w:t>The company mainly deals in pharmaceutical products and also has their own share of the consumer health products such as toothpastes and health drinks which have their own share of customers and help the company to record 20% of their revenue from this division alone</w:t>
      </w:r>
      <w:r w:rsidR="004B021A" w:rsidRPr="001E50CC">
        <w:rPr>
          <w:lang w:val="en-GB"/>
        </w:rPr>
        <w:t xml:space="preserve"> (Milkulic, 2021)</w:t>
      </w:r>
      <w:r w:rsidRPr="001E50CC">
        <w:rPr>
          <w:lang w:val="en-GB"/>
        </w:rPr>
        <w:t>. The company was founded in 2000 as a merger between SmithKline Beecham and Glaxo Wellcome</w:t>
      </w:r>
      <w:r w:rsidR="00D8532B" w:rsidRPr="001E50CC">
        <w:rPr>
          <w:lang w:val="en-GB"/>
        </w:rPr>
        <w:t xml:space="preserve"> (gsk, 2020)</w:t>
      </w:r>
      <w:r w:rsidRPr="001E50CC">
        <w:rPr>
          <w:lang w:val="en-GB"/>
        </w:rPr>
        <w:t xml:space="preserve">. Since then, it has developed quite a name for itself. </w:t>
      </w:r>
    </w:p>
    <w:p w:rsidR="00A53232" w:rsidRPr="001E50CC" w:rsidRDefault="00A53232" w:rsidP="001E50CC">
      <w:pPr>
        <w:spacing w:line="360" w:lineRule="auto"/>
        <w:rPr>
          <w:lang w:val="en-GB"/>
        </w:rPr>
      </w:pPr>
      <w:r w:rsidRPr="001E50CC">
        <w:rPr>
          <w:lang w:val="en-GB"/>
        </w:rPr>
        <w:t xml:space="preserve">The company has passed though many challenging times and has been able to tackle the same in an effective manner which has helped them to enjoy the viable market position that they enjoy </w:t>
      </w:r>
      <w:r w:rsidRPr="001E50CC">
        <w:rPr>
          <w:lang w:val="en-GB"/>
        </w:rPr>
        <w:lastRenderedPageBreak/>
        <w:t>today. This has been mainly in the forms of certain administrative and managerial changes which the company has been subjected too over the years of its existence leading them to form a business model that has proved to be quite worthy. They have taken into account certain internal and external contexts of business which have helped them to adhere to their current model of business in a sufficient manner. The success of the company over the years has resulted in its featuring in prominent lists like the FTSE 100 Index and the London Stock Exchange</w:t>
      </w:r>
      <w:r w:rsidR="00A84DF9" w:rsidRPr="001E50CC">
        <w:rPr>
          <w:lang w:val="en-GB"/>
        </w:rPr>
        <w:t xml:space="preserve"> (gsk, 2020)</w:t>
      </w:r>
      <w:r w:rsidRPr="001E50CC">
        <w:rPr>
          <w:lang w:val="en-GB"/>
        </w:rPr>
        <w:t>.</w:t>
      </w:r>
    </w:p>
    <w:p w:rsidR="00372C3E" w:rsidRPr="001E50CC" w:rsidRDefault="004B021A" w:rsidP="001E50CC">
      <w:pPr>
        <w:pStyle w:val="Balk1"/>
        <w:spacing w:line="360" w:lineRule="auto"/>
        <w:rPr>
          <w:lang w:val="en-GB"/>
        </w:rPr>
      </w:pPr>
      <w:bookmarkStart w:id="4" w:name="_Toc68368469"/>
      <w:r w:rsidRPr="001E50CC">
        <w:rPr>
          <w:lang w:val="en-GB"/>
        </w:rPr>
        <w:t>External Factors of Business in adherence to the Organization</w:t>
      </w:r>
      <w:bookmarkEnd w:id="4"/>
    </w:p>
    <w:p w:rsidR="00690AA7" w:rsidRPr="001E50CC" w:rsidRDefault="00690AA7" w:rsidP="001E50CC">
      <w:pPr>
        <w:spacing w:line="360" w:lineRule="auto"/>
        <w:rPr>
          <w:lang w:val="en-GB"/>
        </w:rPr>
      </w:pPr>
      <w:r w:rsidRPr="001E50CC">
        <w:rPr>
          <w:lang w:val="en-GB"/>
        </w:rPr>
        <w:t xml:space="preserve">The political climate of the UK is quite stable. </w:t>
      </w:r>
      <w:r w:rsidR="00A624D1" w:rsidRPr="001E50CC">
        <w:rPr>
          <w:lang w:val="en-GB"/>
        </w:rPr>
        <w:t>It is a large attractor of foreign investment funds and also offers significant cost benefits to various business sectors. The pharmaceutical industry also receives indomitable support in adherence to the same as they are provided with tax benefits, tax holidays and so on</w:t>
      </w:r>
      <w:r w:rsidR="00A84DF9" w:rsidRPr="001E50CC">
        <w:rPr>
          <w:lang w:val="en-GB"/>
        </w:rPr>
        <w:t xml:space="preserve"> (Karnon </w:t>
      </w:r>
      <w:r w:rsidR="00A84DF9" w:rsidRPr="001E50CC">
        <w:rPr>
          <w:i/>
          <w:lang w:val="en-GB"/>
        </w:rPr>
        <w:t>et al</w:t>
      </w:r>
      <w:r w:rsidR="00A84DF9" w:rsidRPr="001E50CC">
        <w:rPr>
          <w:lang w:val="en-GB"/>
        </w:rPr>
        <w:t>., 2018)</w:t>
      </w:r>
      <w:r w:rsidR="00A624D1" w:rsidRPr="001E50CC">
        <w:rPr>
          <w:lang w:val="en-GB"/>
        </w:rPr>
        <w:t>. This would mean that a company like GSK would find it quite viable to continue business within this context as they would be able to expand their business owing to the positive tax norms and government regulations.</w:t>
      </w:r>
    </w:p>
    <w:p w:rsidR="00A624D1" w:rsidRPr="001E50CC" w:rsidRDefault="00A624D1" w:rsidP="001E50CC">
      <w:pPr>
        <w:spacing w:line="360" w:lineRule="auto"/>
        <w:rPr>
          <w:lang w:val="en-GB"/>
        </w:rPr>
      </w:pPr>
      <w:r w:rsidRPr="001E50CC">
        <w:rPr>
          <w:lang w:val="en-GB"/>
        </w:rPr>
        <w:t>The inflation rate has been quite viable in the UK over the last few years as it has been generally revolving around the 2% mark with minor altercations. The average GDP of the UK also has been quite viable over the years moving around 40000 US dollars. This ensures the fact that the UK would prove to be quite a profitable hub of business for the pharmaceutical industry as they would be able to cash in on the positive economic factors</w:t>
      </w:r>
      <w:r w:rsidR="00A84DF9" w:rsidRPr="001E50CC">
        <w:rPr>
          <w:lang w:val="en-GB"/>
        </w:rPr>
        <w:t xml:space="preserve"> (O’Neill, 2021)</w:t>
      </w:r>
      <w:r w:rsidRPr="001E50CC">
        <w:rPr>
          <w:lang w:val="en-GB"/>
        </w:rPr>
        <w:t xml:space="preserve">. Although the nation had faced some challenging times owing to the </w:t>
      </w:r>
      <w:r w:rsidR="00332D25" w:rsidRPr="001E50CC">
        <w:rPr>
          <w:lang w:val="en-GB"/>
        </w:rPr>
        <w:t>great de</w:t>
      </w:r>
      <w:r w:rsidR="00A84DF9" w:rsidRPr="001E50CC">
        <w:rPr>
          <w:lang w:val="en-GB"/>
        </w:rPr>
        <w:t>pression that took place in 2008</w:t>
      </w:r>
      <w:r w:rsidR="00332D25" w:rsidRPr="001E50CC">
        <w:rPr>
          <w:lang w:val="en-GB"/>
        </w:rPr>
        <w:t>, sending the inflation and GDP rates at tenterhooks, things have slowly changed for the better, clearing a path for viable business opportunities</w:t>
      </w:r>
      <w:r w:rsidR="00A84DF9" w:rsidRPr="001E50CC">
        <w:rPr>
          <w:lang w:val="en-GB"/>
        </w:rPr>
        <w:t xml:space="preserve"> (Dincer </w:t>
      </w:r>
      <w:r w:rsidR="00A84DF9" w:rsidRPr="001E50CC">
        <w:rPr>
          <w:i/>
          <w:lang w:val="en-GB"/>
        </w:rPr>
        <w:t>et al</w:t>
      </w:r>
      <w:r w:rsidR="00A84DF9" w:rsidRPr="001E50CC">
        <w:rPr>
          <w:lang w:val="en-GB"/>
        </w:rPr>
        <w:t>., 2018)</w:t>
      </w:r>
      <w:r w:rsidR="00332D25" w:rsidRPr="001E50CC">
        <w:rPr>
          <w:lang w:val="en-GB"/>
        </w:rPr>
        <w:t>.</w:t>
      </w:r>
    </w:p>
    <w:p w:rsidR="004B021A" w:rsidRPr="001E50CC" w:rsidRDefault="004B021A" w:rsidP="001E50CC">
      <w:pPr>
        <w:spacing w:line="360" w:lineRule="auto"/>
        <w:rPr>
          <w:lang w:val="en-GB"/>
        </w:rPr>
      </w:pPr>
      <w:r w:rsidRPr="001E50CC">
        <w:rPr>
          <w:noProof/>
          <w:lang w:val="tr-TR" w:eastAsia="tr-TR"/>
        </w:rPr>
        <w:lastRenderedPageBreak/>
        <w:drawing>
          <wp:inline distT="0" distB="0" distL="0" distR="0">
            <wp:extent cx="5943600" cy="3226435"/>
            <wp:effectExtent l="19050" t="0" r="0" b="0"/>
            <wp:docPr id="6" name="Picture 5" descr="UK birth and death rat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birth and death rates.PNG"/>
                    <pic:cNvPicPr/>
                  </pic:nvPicPr>
                  <pic:blipFill>
                    <a:blip r:embed="rId11"/>
                    <a:stretch>
                      <a:fillRect/>
                    </a:stretch>
                  </pic:blipFill>
                  <pic:spPr>
                    <a:xfrm>
                      <a:off x="0" y="0"/>
                      <a:ext cx="5943600" cy="3226435"/>
                    </a:xfrm>
                    <a:prstGeom prst="rect">
                      <a:avLst/>
                    </a:prstGeom>
                  </pic:spPr>
                </pic:pic>
              </a:graphicData>
            </a:graphic>
          </wp:inline>
        </w:drawing>
      </w:r>
    </w:p>
    <w:p w:rsidR="004B021A" w:rsidRPr="001E50CC" w:rsidRDefault="004B021A" w:rsidP="001E50CC">
      <w:pPr>
        <w:spacing w:line="360" w:lineRule="auto"/>
        <w:jc w:val="center"/>
        <w:rPr>
          <w:b/>
          <w:lang w:val="en-GB"/>
        </w:rPr>
      </w:pPr>
      <w:r w:rsidRPr="001E50CC">
        <w:rPr>
          <w:b/>
          <w:lang w:val="en-GB"/>
        </w:rPr>
        <w:t>Figure 5: Birth and Death Rates in the UK over the Years</w:t>
      </w:r>
    </w:p>
    <w:p w:rsidR="004B021A" w:rsidRPr="001E50CC" w:rsidRDefault="004B021A" w:rsidP="001E50CC">
      <w:pPr>
        <w:spacing w:line="360" w:lineRule="auto"/>
        <w:jc w:val="center"/>
        <w:rPr>
          <w:lang w:val="en-GB"/>
        </w:rPr>
      </w:pPr>
      <w:r w:rsidRPr="001E50CC">
        <w:rPr>
          <w:lang w:val="en-GB"/>
        </w:rPr>
        <w:t>(Source: Office for National Statistics, 2017)</w:t>
      </w:r>
    </w:p>
    <w:p w:rsidR="00332D25" w:rsidRPr="001E50CC" w:rsidRDefault="00332D25" w:rsidP="001E50CC">
      <w:pPr>
        <w:spacing w:line="360" w:lineRule="auto"/>
        <w:rPr>
          <w:lang w:val="en-GB"/>
        </w:rPr>
      </w:pPr>
      <w:r w:rsidRPr="001E50CC">
        <w:rPr>
          <w:lang w:val="en-GB"/>
        </w:rPr>
        <w:t>The UK has an average population of 65.6 billion among which 18% belongs to the age group above 65 years and about 2% belongs to the age group of above 85 years</w:t>
      </w:r>
      <w:r w:rsidR="00A84DF9" w:rsidRPr="001E50CC">
        <w:rPr>
          <w:lang w:val="en-GB"/>
        </w:rPr>
        <w:t xml:space="preserve"> (Office for National Statistics, 2017)</w:t>
      </w:r>
      <w:r w:rsidRPr="001E50CC">
        <w:rPr>
          <w:lang w:val="en-GB"/>
        </w:rPr>
        <w:t>. This proves that there is a significant market for the pharmaceutical sector in the nation as they have to address the needs of such a vast population. The positive inflation and GDP rates would also mean that the population would not be faced with any sort of cash crunch while availing the offerings of a big company like GSK and they would largely profit from this. The presence of bodies in the UK like the NHS would also further their business.</w:t>
      </w:r>
    </w:p>
    <w:p w:rsidR="00332D25" w:rsidRPr="001E50CC" w:rsidRDefault="00332D25" w:rsidP="001E50CC">
      <w:pPr>
        <w:spacing w:line="360" w:lineRule="auto"/>
        <w:rPr>
          <w:lang w:val="en-GB"/>
        </w:rPr>
      </w:pPr>
      <w:r w:rsidRPr="001E50CC">
        <w:rPr>
          <w:lang w:val="en-GB"/>
        </w:rPr>
        <w:t>The UK has some of the best research and development institutes in the world. This puts it on a viable position in the world map. The several business sectors in the UK openly embrace technology across various modes such as marketing and promotion</w:t>
      </w:r>
      <w:r w:rsidR="00A84DF9" w:rsidRPr="001E50CC">
        <w:rPr>
          <w:lang w:val="en-GB"/>
        </w:rPr>
        <w:t xml:space="preserve"> (Stojcic </w:t>
      </w:r>
      <w:r w:rsidR="00A84DF9" w:rsidRPr="001E50CC">
        <w:rPr>
          <w:i/>
          <w:lang w:val="en-GB"/>
        </w:rPr>
        <w:t>et al</w:t>
      </w:r>
      <w:r w:rsidR="00A84DF9" w:rsidRPr="001E50CC">
        <w:rPr>
          <w:lang w:val="en-GB"/>
        </w:rPr>
        <w:t>., 2018)</w:t>
      </w:r>
      <w:r w:rsidRPr="001E50CC">
        <w:rPr>
          <w:lang w:val="en-GB"/>
        </w:rPr>
        <w:t xml:space="preserve">. This would prove to be beneficial for the pharmaceutical sector and would affect GSK in a positive manner. They would be able to improve their own research and development sector so that they are able to enhance their research process that is considered one of the backbones of the pharmaceutical sector. The implementation of updated technology would mean that they would be able to gather information on specific diseases and ailments in a much more informed manner </w:t>
      </w:r>
      <w:r w:rsidRPr="001E50CC">
        <w:rPr>
          <w:lang w:val="en-GB"/>
        </w:rPr>
        <w:lastRenderedPageBreak/>
        <w:t>and the development of updated laboratories and research centers would further enhance the process of discovering of new drugs and medicines</w:t>
      </w:r>
      <w:r w:rsidR="00A84DF9" w:rsidRPr="001E50CC">
        <w:rPr>
          <w:lang w:val="en-GB"/>
        </w:rPr>
        <w:t xml:space="preserve"> (DiMasi, 2018)</w:t>
      </w:r>
      <w:r w:rsidRPr="001E50CC">
        <w:rPr>
          <w:lang w:val="en-GB"/>
        </w:rPr>
        <w:t>.</w:t>
      </w:r>
    </w:p>
    <w:p w:rsidR="00197E99" w:rsidRPr="001E50CC" w:rsidRDefault="00197E99" w:rsidP="001E50CC">
      <w:pPr>
        <w:spacing w:line="360" w:lineRule="auto"/>
        <w:rPr>
          <w:lang w:val="en-GB"/>
        </w:rPr>
      </w:pPr>
      <w:r w:rsidRPr="001E50CC">
        <w:rPr>
          <w:lang w:val="en-GB"/>
        </w:rPr>
        <w:t>The government of the UK is a staunch supporter to the upholding of environmental quality. It abides by certain laws and policies for the same. For example, the government partners with the Kyoto Protocol to reduce the negative consequences of environmental degradation by taking up certain preventive measures. It has many provisions in place to see to it that business organizations abide closely to certain rules and regulations while conducting business in a way that does not pose adverse effects to the environment</w:t>
      </w:r>
      <w:r w:rsidR="00F01A02" w:rsidRPr="001E50CC">
        <w:rPr>
          <w:lang w:val="en-GB"/>
        </w:rPr>
        <w:t xml:space="preserve"> (Sloan </w:t>
      </w:r>
      <w:r w:rsidR="00F01A02" w:rsidRPr="001E50CC">
        <w:rPr>
          <w:i/>
          <w:lang w:val="en-GB"/>
        </w:rPr>
        <w:t>et al</w:t>
      </w:r>
      <w:r w:rsidR="00F01A02" w:rsidRPr="001E50CC">
        <w:rPr>
          <w:lang w:val="en-GB"/>
        </w:rPr>
        <w:t>., 2018)</w:t>
      </w:r>
      <w:r w:rsidRPr="001E50CC">
        <w:rPr>
          <w:lang w:val="en-GB"/>
        </w:rPr>
        <w:t>. Pharmaceutical organizations like GSK must pay heed to these factors and take certain steps such as the reducing of carbon footprints while conducting business to ensure that they are in line with the government principles.</w:t>
      </w:r>
    </w:p>
    <w:p w:rsidR="00197E99" w:rsidRPr="001E50CC" w:rsidRDefault="00197E99" w:rsidP="001E50CC">
      <w:pPr>
        <w:spacing w:line="360" w:lineRule="auto"/>
        <w:rPr>
          <w:lang w:val="en-GB"/>
        </w:rPr>
      </w:pPr>
      <w:r w:rsidRPr="001E50CC">
        <w:rPr>
          <w:lang w:val="en-GB"/>
        </w:rPr>
        <w:t xml:space="preserve">There </w:t>
      </w:r>
      <w:r w:rsidR="00326D45" w:rsidRPr="001E50CC">
        <w:rPr>
          <w:lang w:val="en-GB"/>
        </w:rPr>
        <w:t>are various laws in the UK that guarantees workplace equality and also sees to it that equal opportunities are provided to all such as the Employment Act 2002 and the Equality Act 2010. A company like GSK must need to adhere to the same so that they remain free from any sort of government tribulations that might hamper their business</w:t>
      </w:r>
      <w:r w:rsidR="00607F03" w:rsidRPr="001E50CC">
        <w:rPr>
          <w:lang w:val="en-GB"/>
        </w:rPr>
        <w:t xml:space="preserve"> (Minford, 2019)</w:t>
      </w:r>
      <w:r w:rsidR="00326D45" w:rsidRPr="001E50CC">
        <w:rPr>
          <w:lang w:val="en-GB"/>
        </w:rPr>
        <w:t>. In addition to this, there are some special laws in adherence to drug control too. For example, the drug policy in the UK adheres to the fact that a prominent organization would not be able to copy the patent of a drug produced by another company for the initial ten years. This rule however does not apply for some of the organizations producing generic drugs</w:t>
      </w:r>
      <w:r w:rsidR="00607F03" w:rsidRPr="001E50CC">
        <w:rPr>
          <w:lang w:val="en-GB"/>
        </w:rPr>
        <w:t xml:space="preserve"> (Vondeling </w:t>
      </w:r>
      <w:r w:rsidR="00607F03" w:rsidRPr="001E50CC">
        <w:rPr>
          <w:i/>
          <w:lang w:val="en-GB"/>
        </w:rPr>
        <w:t>et al</w:t>
      </w:r>
      <w:r w:rsidR="00607F03" w:rsidRPr="001E50CC">
        <w:rPr>
          <w:lang w:val="en-GB"/>
        </w:rPr>
        <w:t>., 2018)</w:t>
      </w:r>
      <w:r w:rsidR="00326D45" w:rsidRPr="001E50CC">
        <w:rPr>
          <w:lang w:val="en-GB"/>
        </w:rPr>
        <w:t>. GSK has to take into account all such factors to come up with a business model that would guarantee significant returns for them while remaining within the boundaries of certain legal norms.</w:t>
      </w:r>
    </w:p>
    <w:p w:rsidR="00372C3E" w:rsidRPr="001E50CC" w:rsidRDefault="004B021A" w:rsidP="001E50CC">
      <w:pPr>
        <w:pStyle w:val="Balk1"/>
        <w:spacing w:line="360" w:lineRule="auto"/>
        <w:rPr>
          <w:lang w:val="en-GB"/>
        </w:rPr>
      </w:pPr>
      <w:bookmarkStart w:id="5" w:name="_Toc68368470"/>
      <w:r w:rsidRPr="001E50CC">
        <w:rPr>
          <w:lang w:val="en-GB"/>
        </w:rPr>
        <w:t>Internal Factors of Busi</w:t>
      </w:r>
      <w:r w:rsidR="00793051" w:rsidRPr="001E50CC">
        <w:rPr>
          <w:lang w:val="en-GB"/>
        </w:rPr>
        <w:t>ness in adherence to the Organiz</w:t>
      </w:r>
      <w:r w:rsidRPr="001E50CC">
        <w:rPr>
          <w:lang w:val="en-GB"/>
        </w:rPr>
        <w:t>ation</w:t>
      </w:r>
      <w:bookmarkEnd w:id="5"/>
    </w:p>
    <w:p w:rsidR="00326D45" w:rsidRPr="001E50CC" w:rsidRDefault="00326D45" w:rsidP="001E50CC">
      <w:pPr>
        <w:spacing w:line="360" w:lineRule="auto"/>
        <w:rPr>
          <w:lang w:val="en-GB"/>
        </w:rPr>
      </w:pPr>
      <w:r w:rsidRPr="001E50CC">
        <w:rPr>
          <w:lang w:val="en-GB"/>
        </w:rPr>
        <w:t>GSK has been one of the most premium pharmaceutical organizations in the UK and has been enjoying its position among the top five pharmaceutical companies in the UK. It has also been able to enjoy this feat in the global scale too owing to its expanded operations across markets like the USA, Asia, Africa and so on. They have been able to generate viable profits on an average of £3</w:t>
      </w:r>
      <w:r w:rsidR="00E31814" w:rsidRPr="001E50CC">
        <w:rPr>
          <w:lang w:val="en-GB"/>
        </w:rPr>
        <w:t xml:space="preserve">0 </w:t>
      </w:r>
      <w:r w:rsidRPr="001E50CC">
        <w:rPr>
          <w:lang w:val="en-GB"/>
        </w:rPr>
        <w:t>billion</w:t>
      </w:r>
      <w:r w:rsidR="008458C4" w:rsidRPr="001E50CC">
        <w:rPr>
          <w:lang w:val="en-GB"/>
        </w:rPr>
        <w:t xml:space="preserve"> (Lynch, 2015)</w:t>
      </w:r>
      <w:r w:rsidR="00E31814" w:rsidRPr="001E50CC">
        <w:rPr>
          <w:lang w:val="en-GB"/>
        </w:rPr>
        <w:t xml:space="preserve">. It spends quite a good amount upon its research and development sector and also enjoys a good base of customers in relation to its consumer health products which ranges from toothpastes to health drinks and many others. The efficient staff </w:t>
      </w:r>
      <w:r w:rsidR="00E31814" w:rsidRPr="001E50CC">
        <w:rPr>
          <w:lang w:val="en-GB"/>
        </w:rPr>
        <w:lastRenderedPageBreak/>
        <w:t>members within the organizations enable them to achieve the organizational goals and objectives efficiently</w:t>
      </w:r>
      <w:r w:rsidR="008458C4" w:rsidRPr="001E50CC">
        <w:rPr>
          <w:lang w:val="en-GB"/>
        </w:rPr>
        <w:t xml:space="preserve"> (gsk, 2020)</w:t>
      </w:r>
      <w:r w:rsidR="00E31814" w:rsidRPr="001E50CC">
        <w:rPr>
          <w:lang w:val="en-GB"/>
        </w:rPr>
        <w:t>.</w:t>
      </w:r>
    </w:p>
    <w:p w:rsidR="00E31814" w:rsidRPr="001E50CC" w:rsidRDefault="00E31814" w:rsidP="001E50CC">
      <w:pPr>
        <w:spacing w:line="360" w:lineRule="auto"/>
        <w:rPr>
          <w:lang w:val="en-GB"/>
        </w:rPr>
      </w:pPr>
      <w:r w:rsidRPr="001E50CC">
        <w:rPr>
          <w:lang w:val="en-GB"/>
        </w:rPr>
        <w:t>One of the most significant problems being faced by GSK has been the limited amount of time provided before another company is able to copy the patents originally provided by GSK. This means that they would be able to enjoy the exclusive rights to their patents only for the initial ten years. This places them in a spot as they have to consider investing more on the research and development sector which would lead to the formation of new patents based upon the generation of new drugs. They also face problems in the supply chain which has been another significant problem areas in the pharmaceutical sector of the UK</w:t>
      </w:r>
      <w:r w:rsidR="008458C4" w:rsidRPr="001E50CC">
        <w:rPr>
          <w:lang w:val="en-GB"/>
        </w:rPr>
        <w:t xml:space="preserve"> (gsk, 2020_</w:t>
      </w:r>
      <w:r w:rsidRPr="001E50CC">
        <w:rPr>
          <w:lang w:val="en-GB"/>
        </w:rPr>
        <w:t>.</w:t>
      </w:r>
    </w:p>
    <w:p w:rsidR="00E31814" w:rsidRPr="001E50CC" w:rsidRDefault="00E31814" w:rsidP="001E50CC">
      <w:pPr>
        <w:spacing w:line="360" w:lineRule="auto"/>
        <w:rPr>
          <w:lang w:val="en-GB"/>
        </w:rPr>
      </w:pPr>
      <w:r w:rsidRPr="001E50CC">
        <w:rPr>
          <w:lang w:val="en-GB"/>
        </w:rPr>
        <w:t xml:space="preserve">GSK could cash in upon the notion of entering partnership with some of the other prominent organizations. </w:t>
      </w:r>
      <w:r w:rsidR="0077384F" w:rsidRPr="001E50CC">
        <w:rPr>
          <w:lang w:val="en-GB"/>
        </w:rPr>
        <w:t xml:space="preserve">They could also go for acquiring some of the smaller ones. </w:t>
      </w:r>
      <w:r w:rsidRPr="001E50CC">
        <w:rPr>
          <w:lang w:val="en-GB"/>
        </w:rPr>
        <w:t>This would hel</w:t>
      </w:r>
      <w:r w:rsidR="0077384F" w:rsidRPr="001E50CC">
        <w:rPr>
          <w:lang w:val="en-GB"/>
        </w:rPr>
        <w:t>p them to fall in line with organizations like Pfizer and Marck &amp; Co. It would help them to done down on their operational costs as they would be able to divide the same and also help them in attaining synergy that could help the company enjoy greater benefits in terms of the partnership</w:t>
      </w:r>
      <w:r w:rsidR="008458C4" w:rsidRPr="001E50CC">
        <w:rPr>
          <w:lang w:val="en-GB"/>
        </w:rPr>
        <w:t xml:space="preserve"> (Lynch, 2015)</w:t>
      </w:r>
      <w:r w:rsidR="0077384F" w:rsidRPr="001E50CC">
        <w:rPr>
          <w:lang w:val="en-GB"/>
        </w:rPr>
        <w:t>. It would also open up new avenues of garnering patents from the organization with which it would enter into partnership and help them in revitalizing their pipeline of drugs.</w:t>
      </w:r>
    </w:p>
    <w:p w:rsidR="0077384F" w:rsidRPr="001E50CC" w:rsidRDefault="0077384F" w:rsidP="001E50CC">
      <w:pPr>
        <w:spacing w:line="360" w:lineRule="auto"/>
        <w:rPr>
          <w:lang w:val="en-GB"/>
        </w:rPr>
      </w:pPr>
      <w:r w:rsidRPr="001E50CC">
        <w:rPr>
          <w:lang w:val="en-GB"/>
        </w:rPr>
        <w:t>GSK faces stiff competition from some of the big pharmaceutical organizations such as Pfizer, Marck &amp; Co. and so on. This would mean that they would have to conduct proper market analysis in order to analyse the current trends in the market and see to it that they are able to remain ahead of their competitors</w:t>
      </w:r>
      <w:r w:rsidR="008458C4" w:rsidRPr="001E50CC">
        <w:rPr>
          <w:lang w:val="en-GB"/>
        </w:rPr>
        <w:t xml:space="preserve"> (Mikulic, 2020)</w:t>
      </w:r>
      <w:r w:rsidRPr="001E50CC">
        <w:rPr>
          <w:lang w:val="en-GB"/>
        </w:rPr>
        <w:t>. This rings true even in the case of their consumer health products in which they face competition from the global players like Procter &amp; Gamble and Novartis. Another significant threat is from the rise of generic producers of drugs which creates significant problems for them as they are sometimes allowed to copy the patents even before the expiring of those patents</w:t>
      </w:r>
      <w:r w:rsidR="008458C4" w:rsidRPr="001E50CC">
        <w:rPr>
          <w:lang w:val="en-GB"/>
        </w:rPr>
        <w:t xml:space="preserve"> (Lynch, 2015)</w:t>
      </w:r>
      <w:r w:rsidRPr="001E50CC">
        <w:rPr>
          <w:lang w:val="en-GB"/>
        </w:rPr>
        <w:t>.</w:t>
      </w:r>
    </w:p>
    <w:p w:rsidR="00372C3E" w:rsidRPr="001E50CC" w:rsidRDefault="004B021A" w:rsidP="001E50CC">
      <w:pPr>
        <w:pStyle w:val="Balk1"/>
        <w:spacing w:line="360" w:lineRule="auto"/>
        <w:rPr>
          <w:lang w:val="en-GB"/>
        </w:rPr>
      </w:pPr>
      <w:bookmarkStart w:id="6" w:name="_Toc68368471"/>
      <w:r w:rsidRPr="001E50CC">
        <w:rPr>
          <w:lang w:val="en-GB"/>
        </w:rPr>
        <w:t>Relationship between the External and Internal factors and their Impact upon the Organization</w:t>
      </w:r>
      <w:bookmarkEnd w:id="6"/>
    </w:p>
    <w:p w:rsidR="0064586C" w:rsidRPr="001E50CC" w:rsidRDefault="0064586C" w:rsidP="001E50CC">
      <w:pPr>
        <w:spacing w:line="360" w:lineRule="auto"/>
        <w:rPr>
          <w:lang w:val="en-GB"/>
        </w:rPr>
      </w:pPr>
      <w:r w:rsidRPr="001E50CC">
        <w:rPr>
          <w:lang w:val="en-GB"/>
        </w:rPr>
        <w:t xml:space="preserve">It can be said that the external and internal aspects of the organization in relation to GSK have had some significant impacts upon certain management decisions of the company. The company </w:t>
      </w:r>
      <w:r w:rsidRPr="001E50CC">
        <w:rPr>
          <w:lang w:val="en-GB"/>
        </w:rPr>
        <w:lastRenderedPageBreak/>
        <w:t>planned upon its notion of business expansion based upon the positive political factors of certain areas that would enable them to expand upon their markets. The growth of their business in the UK has been in adherence to the positive factors in relation to the rates of inflation and the GDP of the country</w:t>
      </w:r>
      <w:r w:rsidR="008458C4" w:rsidRPr="001E50CC">
        <w:rPr>
          <w:lang w:val="en-GB"/>
        </w:rPr>
        <w:t xml:space="preserve"> (O’Neill, 2021)</w:t>
      </w:r>
      <w:r w:rsidRPr="001E50CC">
        <w:rPr>
          <w:lang w:val="en-GB"/>
        </w:rPr>
        <w:t>. They also had to consider the revamping of their pharmaceutical pipeline as they had been experiencing competition from some of the established pharmaceutical companies in the UK and also took a step in utilizing the positive technological aspects of the UK that would help them to analyse upon their technical weaknesses and lead to the improvement of the same. T</w:t>
      </w:r>
      <w:r w:rsidR="008458C4" w:rsidRPr="001E50CC">
        <w:rPr>
          <w:lang w:val="en-GB"/>
        </w:rPr>
        <w:t>hey also analysed that there were</w:t>
      </w:r>
      <w:r w:rsidRPr="001E50CC">
        <w:rPr>
          <w:lang w:val="en-GB"/>
        </w:rPr>
        <w:t xml:space="preserve"> a significant takers for their consumer health products and realized a potential for increasing the market of these products within the UK that would help them to gain an increased amount of revenue from this sector too</w:t>
      </w:r>
      <w:r w:rsidR="008458C4" w:rsidRPr="001E50CC">
        <w:rPr>
          <w:lang w:val="en-GB"/>
        </w:rPr>
        <w:t xml:space="preserve"> (Mikulic, 2021)</w:t>
      </w:r>
      <w:r w:rsidRPr="001E50CC">
        <w:rPr>
          <w:lang w:val="en-GB"/>
        </w:rPr>
        <w:t>.</w:t>
      </w:r>
    </w:p>
    <w:p w:rsidR="00372C3E" w:rsidRPr="001E50CC" w:rsidRDefault="00372C3E" w:rsidP="001E50CC">
      <w:pPr>
        <w:pStyle w:val="Balk1"/>
        <w:spacing w:line="360" w:lineRule="auto"/>
        <w:rPr>
          <w:lang w:val="en-GB"/>
        </w:rPr>
      </w:pPr>
      <w:bookmarkStart w:id="7" w:name="_Toc68368472"/>
      <w:r w:rsidRPr="001E50CC">
        <w:rPr>
          <w:lang w:val="en-GB"/>
        </w:rPr>
        <w:t>Strategies</w:t>
      </w:r>
      <w:r w:rsidR="004B021A" w:rsidRPr="001E50CC">
        <w:rPr>
          <w:lang w:val="en-GB"/>
        </w:rPr>
        <w:t xml:space="preserve"> used to Combat the Impact of these Changes</w:t>
      </w:r>
      <w:bookmarkEnd w:id="7"/>
    </w:p>
    <w:p w:rsidR="0077384F" w:rsidRPr="001E50CC" w:rsidRDefault="008C3963" w:rsidP="001E50CC">
      <w:pPr>
        <w:spacing w:line="360" w:lineRule="auto"/>
        <w:rPr>
          <w:lang w:val="en-GB"/>
        </w:rPr>
      </w:pPr>
      <w:r w:rsidRPr="001E50CC">
        <w:rPr>
          <w:lang w:val="en-GB"/>
        </w:rPr>
        <w:t>GSK has been employing certain significant strategies that have enabled them to tackle some of the problems they had been facing in the market. Some of the strategies in this regard are:</w:t>
      </w:r>
    </w:p>
    <w:p w:rsidR="008C3963" w:rsidRPr="001E50CC" w:rsidRDefault="008C3963" w:rsidP="001E50CC">
      <w:pPr>
        <w:spacing w:line="360" w:lineRule="auto"/>
        <w:rPr>
          <w:lang w:val="en-GB"/>
        </w:rPr>
      </w:pPr>
      <w:r w:rsidRPr="001E50CC">
        <w:rPr>
          <w:lang w:val="en-GB"/>
        </w:rPr>
        <w:t xml:space="preserve">1. </w:t>
      </w:r>
      <w:r w:rsidRPr="001E50CC">
        <w:rPr>
          <w:b/>
          <w:lang w:val="en-GB"/>
        </w:rPr>
        <w:t>Strategy of cost saving</w:t>
      </w:r>
      <w:r w:rsidRPr="001E50CC">
        <w:rPr>
          <w:lang w:val="en-GB"/>
        </w:rPr>
        <w:t xml:space="preserve">: GSK put emphasis on this strategy on a primary basis as this would lead to the reduction in their costs of operations and help them to increase upon their notions of profit-making. They did this by streamlining several company processes like the </w:t>
      </w:r>
      <w:r w:rsidR="001F06B8" w:rsidRPr="001E50CC">
        <w:rPr>
          <w:lang w:val="en-GB"/>
        </w:rPr>
        <w:t>administration procedures involving costing of the same and the reporting lines. The working capital invested upon certain aspects of works in progress and stock capitals were also reduced to revamp their financial planning that would provide them with additional opportunities of generating higher profits through reduced production costs</w:t>
      </w:r>
      <w:r w:rsidR="008458C4" w:rsidRPr="001E50CC">
        <w:rPr>
          <w:lang w:val="en-GB"/>
        </w:rPr>
        <w:t xml:space="preserve"> (Kumar, 2019)</w:t>
      </w:r>
      <w:r w:rsidR="001F06B8" w:rsidRPr="001E50CC">
        <w:rPr>
          <w:lang w:val="en-GB"/>
        </w:rPr>
        <w:t>.</w:t>
      </w:r>
    </w:p>
    <w:p w:rsidR="001F06B8" w:rsidRPr="001E50CC" w:rsidRDefault="001F06B8" w:rsidP="001E50CC">
      <w:pPr>
        <w:spacing w:line="360" w:lineRule="auto"/>
        <w:rPr>
          <w:lang w:val="en-GB"/>
        </w:rPr>
      </w:pPr>
      <w:r w:rsidRPr="001E50CC">
        <w:rPr>
          <w:lang w:val="en-GB"/>
        </w:rPr>
        <w:t xml:space="preserve">2. </w:t>
      </w:r>
      <w:r w:rsidRPr="001E50CC">
        <w:rPr>
          <w:b/>
          <w:lang w:val="en-GB"/>
        </w:rPr>
        <w:t>Emphasis upon the consumer health products</w:t>
      </w:r>
      <w:r w:rsidRPr="001E50CC">
        <w:rPr>
          <w:lang w:val="en-GB"/>
        </w:rPr>
        <w:t>: As there had been certain problems within the pharmaceutical sector as already discussed, GSK emphasized upon their chain of consumer health products as they realized that about 20 percent of their customer bases was concentrated upon this sector. So, they increased the productions of such items such as their health drink Horlicks and their range of toothpaste like Sensodyne and Aquafresh and even considered expanding upon their markets by entering into emerging markets like those of Asia and Africa</w:t>
      </w:r>
      <w:r w:rsidR="00B52C43" w:rsidRPr="001E50CC">
        <w:rPr>
          <w:lang w:val="en-GB"/>
        </w:rPr>
        <w:t xml:space="preserve"> (Jung </w:t>
      </w:r>
      <w:r w:rsidR="00B52C43" w:rsidRPr="001E50CC">
        <w:rPr>
          <w:i/>
          <w:lang w:val="en-GB"/>
        </w:rPr>
        <w:t>et al</w:t>
      </w:r>
      <w:r w:rsidR="00B52C43" w:rsidRPr="001E50CC">
        <w:rPr>
          <w:lang w:val="en-GB"/>
        </w:rPr>
        <w:t>., 2017)</w:t>
      </w:r>
      <w:r w:rsidRPr="001E50CC">
        <w:rPr>
          <w:lang w:val="en-GB"/>
        </w:rPr>
        <w:t xml:space="preserve">. This </w:t>
      </w:r>
      <w:r w:rsidR="008458C4" w:rsidRPr="001E50CC">
        <w:rPr>
          <w:lang w:val="en-GB"/>
        </w:rPr>
        <w:t>led them to increase their</w:t>
      </w:r>
      <w:r w:rsidRPr="001E50CC">
        <w:rPr>
          <w:lang w:val="en-GB"/>
        </w:rPr>
        <w:t xml:space="preserve"> profits as they did not have to depend upon the </w:t>
      </w:r>
      <w:r w:rsidRPr="001E50CC">
        <w:rPr>
          <w:lang w:val="en-GB"/>
        </w:rPr>
        <w:lastRenderedPageBreak/>
        <w:t>notion of patens for profit making and could also acquire greater number of customers owing to the positive brand image that they enjoy in the market.</w:t>
      </w:r>
    </w:p>
    <w:p w:rsidR="001F06B8" w:rsidRPr="001E50CC" w:rsidRDefault="001F06B8" w:rsidP="001E50CC">
      <w:pPr>
        <w:spacing w:line="360" w:lineRule="auto"/>
        <w:rPr>
          <w:lang w:val="en-GB"/>
        </w:rPr>
      </w:pPr>
      <w:r w:rsidRPr="001E50CC">
        <w:rPr>
          <w:lang w:val="en-GB"/>
        </w:rPr>
        <w:t xml:space="preserve">3. </w:t>
      </w:r>
      <w:r w:rsidRPr="001E50CC">
        <w:rPr>
          <w:b/>
          <w:lang w:val="en-GB"/>
        </w:rPr>
        <w:t>Geographical Expansion</w:t>
      </w:r>
      <w:r w:rsidRPr="001E50CC">
        <w:rPr>
          <w:lang w:val="en-GB"/>
        </w:rPr>
        <w:t xml:space="preserve">: </w:t>
      </w:r>
      <w:r w:rsidR="00AD24D9" w:rsidRPr="001E50CC">
        <w:rPr>
          <w:lang w:val="en-GB"/>
        </w:rPr>
        <w:t>GSK deployed this strategy by opting for techniques like the acquiring of a drugs company in Argentina and also setting up their units in areas like South Asia and China. It entered into a £21m joint venture with the Chinese company Shenzhen Neptunus and the also shared 19% of their shares with the South African drug making organization Aspen Pharmacare Holdings. This was followed in other domains too as the organization struck a deal with Indian generic drug making company Dr Reddy’s to enter into the Indian market and produce generic drugs for gastroenterology, diabetes, pain management and so on and export them to the markets of Africa and Middle East in a cost effective way. They also partnered with Pfizer for the initiative Viiv through which they tried to offer advanced clinical outcomes to the people suffering from HIV</w:t>
      </w:r>
      <w:r w:rsidR="008458C4" w:rsidRPr="001E50CC">
        <w:rPr>
          <w:lang w:val="en-GB"/>
        </w:rPr>
        <w:t xml:space="preserve"> (Lynch, 2015)</w:t>
      </w:r>
      <w:r w:rsidR="00AD24D9" w:rsidRPr="001E50CC">
        <w:rPr>
          <w:lang w:val="en-GB"/>
        </w:rPr>
        <w:t xml:space="preserve">. The main reason behind this venture was to expand upon its market globally and produce cheaper drugs. </w:t>
      </w:r>
    </w:p>
    <w:p w:rsidR="00AD24D9" w:rsidRPr="001E50CC" w:rsidRDefault="00AD24D9" w:rsidP="001E50CC">
      <w:pPr>
        <w:spacing w:line="360" w:lineRule="auto"/>
        <w:rPr>
          <w:lang w:val="en-GB"/>
        </w:rPr>
      </w:pPr>
      <w:r w:rsidRPr="001E50CC">
        <w:rPr>
          <w:lang w:val="en-GB"/>
        </w:rPr>
        <w:t xml:space="preserve">4. </w:t>
      </w:r>
      <w:r w:rsidRPr="001E50CC">
        <w:rPr>
          <w:b/>
          <w:lang w:val="en-GB"/>
        </w:rPr>
        <w:t>Renewing the pharmaceutical pipeline</w:t>
      </w:r>
      <w:r w:rsidRPr="001E50CC">
        <w:rPr>
          <w:lang w:val="en-GB"/>
        </w:rPr>
        <w:t>: It was found by the higher authorities in GSK that they were unable to generate newer patents in a viable manner that could lead to greater generation of profits and there was a need for some sort of technical revamp. The problem was soon pin-pointed towards the size of the organization and the influence of some of the managers upon certain decision making processes which hampered the overall operations within the organization. Soon some changes were made in terms of the appointing of new research directors who took on the initiative of dividing the large research and development sector of the organization into smaller divisions</w:t>
      </w:r>
      <w:r w:rsidR="00B52C43" w:rsidRPr="001E50CC">
        <w:rPr>
          <w:lang w:val="en-GB"/>
        </w:rPr>
        <w:t xml:space="preserve"> (Mullard, 2018)</w:t>
      </w:r>
      <w:r w:rsidRPr="001E50CC">
        <w:rPr>
          <w:lang w:val="en-GB"/>
        </w:rPr>
        <w:t>. This meant that it was possible to conduct numerous researches significantly at the same time and the smaller number of team members</w:t>
      </w:r>
      <w:r w:rsidR="007244B5" w:rsidRPr="001E50CC">
        <w:rPr>
          <w:lang w:val="en-GB"/>
        </w:rPr>
        <w:t>,</w:t>
      </w:r>
      <w:r w:rsidRPr="001E50CC">
        <w:rPr>
          <w:lang w:val="en-GB"/>
        </w:rPr>
        <w:t xml:space="preserve"> which mainly comprised </w:t>
      </w:r>
      <w:r w:rsidR="007244B5" w:rsidRPr="001E50CC">
        <w:rPr>
          <w:lang w:val="en-GB"/>
        </w:rPr>
        <w:t>of medical experts and scientists, made it possible for the higher authorities to handle the teams in far more efficient manner keeping tabs of their performance levels. This was further enhanced with the formation of the highly effective Discovery Performance Units which resulted in a 7% increase in the pharmaceutical sales of the company</w:t>
      </w:r>
      <w:r w:rsidR="00B52C43" w:rsidRPr="001E50CC">
        <w:rPr>
          <w:lang w:val="en-GB"/>
        </w:rPr>
        <w:t xml:space="preserve"> (Lynch, 2015)</w:t>
      </w:r>
      <w:r w:rsidR="007244B5" w:rsidRPr="001E50CC">
        <w:rPr>
          <w:lang w:val="en-GB"/>
        </w:rPr>
        <w:t>.</w:t>
      </w:r>
    </w:p>
    <w:p w:rsidR="001859CC" w:rsidRPr="001E50CC" w:rsidRDefault="001859CC" w:rsidP="001E50CC">
      <w:pPr>
        <w:pStyle w:val="Balk1"/>
        <w:spacing w:line="360" w:lineRule="auto"/>
        <w:rPr>
          <w:lang w:val="en-GB"/>
        </w:rPr>
      </w:pPr>
      <w:bookmarkStart w:id="8" w:name="_Toc68368473"/>
      <w:r w:rsidRPr="001E50CC">
        <w:rPr>
          <w:lang w:val="en-GB"/>
        </w:rPr>
        <w:lastRenderedPageBreak/>
        <w:t>Models and Theories deployed in the Emergent Strategies</w:t>
      </w:r>
      <w:bookmarkEnd w:id="8"/>
    </w:p>
    <w:p w:rsidR="001859CC" w:rsidRPr="001E50CC" w:rsidRDefault="001859CC" w:rsidP="001E50CC">
      <w:pPr>
        <w:spacing w:line="360" w:lineRule="auto"/>
        <w:rPr>
          <w:lang w:val="en-GB"/>
        </w:rPr>
      </w:pPr>
      <w:r w:rsidRPr="001E50CC">
        <w:rPr>
          <w:lang w:val="en-GB"/>
        </w:rPr>
        <w:t>Several models and theories have been formulated over the years to support different analysis of real-life scenarios. As a result, strategic management theories that are implemented in the case of GSK are modelled on these theories of management. These theories and strategies are constructed and used for relevant purposes according to the situation. These theories service the external and internal factors of the organisation and the changes that are required for the company to fit into the emerging situation. In addition to this, the theories and models of strategic management also contribute to the development of competitive advantage for the firm.</w:t>
      </w:r>
    </w:p>
    <w:p w:rsidR="001859CC" w:rsidRPr="001E50CC" w:rsidRDefault="001859CC" w:rsidP="001E50CC">
      <w:pPr>
        <w:pStyle w:val="Balk2"/>
        <w:spacing w:line="360" w:lineRule="auto"/>
        <w:rPr>
          <w:lang w:val="en-GB"/>
        </w:rPr>
      </w:pPr>
      <w:bookmarkStart w:id="9" w:name="_Toc68368474"/>
      <w:r w:rsidRPr="001E50CC">
        <w:rPr>
          <w:lang w:val="en-GB"/>
        </w:rPr>
        <w:t>Ansoff’s growth Matrix</w:t>
      </w:r>
      <w:bookmarkEnd w:id="9"/>
    </w:p>
    <w:p w:rsidR="001859CC" w:rsidRPr="001E50CC" w:rsidRDefault="001859CC" w:rsidP="001E50CC">
      <w:pPr>
        <w:spacing w:line="360" w:lineRule="auto"/>
        <w:rPr>
          <w:lang w:val="en-GB"/>
        </w:rPr>
      </w:pPr>
      <w:r w:rsidRPr="001E50CC">
        <w:rPr>
          <w:lang w:val="en-GB"/>
        </w:rPr>
        <w:t>Ansoff Growth matrix is a strategic management theory that can be implemented when a particular company or organisation is willing to expand its market presence in a different location in order to reap the benefits of new market demand. It is one of the most appropriate tools of market expansion as it analyses the market situation in which the company is willing to extend or penetrate. The growth strategies that are laid down by Ansoff's growth matrix are ideal for company growth and hence GSK can successfully analyse the market situation of the places selected by the company for expansion</w:t>
      </w:r>
      <w:bookmarkStart w:id="10" w:name="_Hlk68361610"/>
      <w:r w:rsidRPr="001E50CC">
        <w:rPr>
          <w:lang w:val="en-GB"/>
        </w:rPr>
        <w:t>(</w:t>
      </w:r>
      <w:r w:rsidRPr="001E50CC">
        <w:rPr>
          <w:shd w:val="clear" w:color="auto" w:fill="FFFFFF"/>
          <w:lang w:val="en-GB"/>
        </w:rPr>
        <w:t xml:space="preserve">Longwe and Sakyi 2020). </w:t>
      </w:r>
      <w:bookmarkEnd w:id="10"/>
      <w:r w:rsidRPr="001E50CC">
        <w:rPr>
          <w:lang w:val="en-GB"/>
        </w:rPr>
        <w:t>For instance, the company has gained a geographical expansion in Argentina with the help of acquisition in the form of a drug company. It has also extended its pharmaceutical laboratories in the countries of India and China. It has improved its marketing objectives and strategies and secures its market position in China and South Asia which includes India, the Asia Pacific rim, Africa and Japan. Apart from these, GSK's expansion into different other markets like the Middle East, Asia Pacific, Latin America has been quite successful. This can be explained with the help of the four strategies of Ansoff's growth matrix mentioned below:</w:t>
      </w:r>
    </w:p>
    <w:p w:rsidR="001859CC" w:rsidRPr="001E50CC" w:rsidRDefault="001859CC" w:rsidP="001E50CC">
      <w:pPr>
        <w:spacing w:line="360" w:lineRule="auto"/>
        <w:jc w:val="center"/>
        <w:rPr>
          <w:lang w:val="en-GB"/>
        </w:rPr>
      </w:pPr>
      <w:r w:rsidRPr="001E50CC">
        <w:rPr>
          <w:noProof/>
          <w:lang w:val="tr-TR" w:eastAsia="tr-TR"/>
        </w:rPr>
        <w:lastRenderedPageBreak/>
        <w:drawing>
          <wp:inline distT="0" distB="0" distL="0" distR="0">
            <wp:extent cx="4876800" cy="3017520"/>
            <wp:effectExtent l="0" t="0" r="0" b="0"/>
            <wp:docPr id="7" name="Picture 6" descr="Ansoff Matrix - Product Development &amp; Market Growth Strategies | Study  Lecture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 Product Development &amp; Market Growth Strategies | Study  Lecture No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3017520"/>
                    </a:xfrm>
                    <a:prstGeom prst="rect">
                      <a:avLst/>
                    </a:prstGeom>
                    <a:noFill/>
                    <a:ln>
                      <a:noFill/>
                    </a:ln>
                  </pic:spPr>
                </pic:pic>
              </a:graphicData>
            </a:graphic>
          </wp:inline>
        </w:drawing>
      </w:r>
    </w:p>
    <w:p w:rsidR="001859CC" w:rsidRPr="001E50CC" w:rsidRDefault="00123BE7" w:rsidP="001E50CC">
      <w:pPr>
        <w:spacing w:line="360" w:lineRule="auto"/>
        <w:jc w:val="center"/>
        <w:rPr>
          <w:b/>
          <w:bCs/>
          <w:lang w:val="en-GB"/>
        </w:rPr>
      </w:pPr>
      <w:r>
        <w:rPr>
          <w:b/>
          <w:bCs/>
          <w:lang w:val="en-GB"/>
        </w:rPr>
        <w:t>Figure 6</w:t>
      </w:r>
      <w:r w:rsidR="001859CC" w:rsidRPr="001E50CC">
        <w:rPr>
          <w:b/>
          <w:bCs/>
          <w:lang w:val="en-GB"/>
        </w:rPr>
        <w:t>: Ansoff’s Growth Matrix</w:t>
      </w:r>
    </w:p>
    <w:p w:rsidR="001859CC" w:rsidRPr="001E50CC" w:rsidRDefault="001859CC" w:rsidP="001E50CC">
      <w:pPr>
        <w:spacing w:line="360" w:lineRule="auto"/>
        <w:jc w:val="center"/>
        <w:rPr>
          <w:b/>
          <w:bCs/>
          <w:lang w:val="en-GB"/>
        </w:rPr>
      </w:pPr>
      <w:r w:rsidRPr="001E50CC">
        <w:rPr>
          <w:b/>
          <w:bCs/>
          <w:lang w:val="en-GB"/>
        </w:rPr>
        <w:t>(Source:</w:t>
      </w:r>
      <w:r w:rsidRPr="001E50CC">
        <w:rPr>
          <w:b/>
          <w:bCs/>
          <w:shd w:val="clear" w:color="auto" w:fill="FFFFFF"/>
          <w:lang w:val="en-GB"/>
        </w:rPr>
        <w:t>Tsatsoula, 2018)</w:t>
      </w:r>
    </w:p>
    <w:p w:rsidR="001859CC" w:rsidRPr="001E50CC" w:rsidRDefault="001859CC" w:rsidP="001E50CC">
      <w:pPr>
        <w:spacing w:line="360" w:lineRule="auto"/>
        <w:rPr>
          <w:lang w:val="en-GB"/>
        </w:rPr>
      </w:pPr>
      <w:r w:rsidRPr="001E50CC">
        <w:rPr>
          <w:b/>
          <w:bCs/>
          <w:lang w:val="en-GB"/>
        </w:rPr>
        <w:t>Market Penetration</w:t>
      </w:r>
      <w:r w:rsidRPr="001E50CC">
        <w:rPr>
          <w:lang w:val="en-GB"/>
        </w:rPr>
        <w:t>- To start with, this is considered to be the most convenient method of market growth and expansion with low-risk possibilities. The rate of fewer risks allows the companies to adopt this strategy commonly. In this strategy, the company aims to increase the sales of its products in an existing market. Increasing the sales of an existing product in a market where the company already has a market presence can be done with some strategic changes in the marketing policies. Reducing the current price of the products will attract potential customers. Developing product promotional strategies that can reach out to a large audience will be significantly beneficial. The distribution channels have should also expand to serve the needs of the customers. In market penetration, the acquisition of a rival firm in the same market also serves the purpose. Accordingly, GSK collaborated with one of its major competitors and rival brand Pfizer, to focus on an initiative to improve the health of HIV patients. This initiative was known as "Viv" which offered cheap drugs to people suffering from HIV in order to improve their living condition(</w:t>
      </w:r>
      <w:r w:rsidRPr="001E50CC">
        <w:rPr>
          <w:shd w:val="clear" w:color="auto" w:fill="FFFFFF"/>
          <w:lang w:val="en-GB"/>
        </w:rPr>
        <w:t>Longwe and Sakyi 2020).</w:t>
      </w:r>
      <w:r w:rsidRPr="001E50CC">
        <w:rPr>
          <w:lang w:val="en-GB"/>
        </w:rPr>
        <w:t xml:space="preserve"> The main focus here, to be precise lies in the activities of product promotion and distribution of the strategies.  </w:t>
      </w:r>
    </w:p>
    <w:p w:rsidR="001859CC" w:rsidRPr="001E50CC" w:rsidRDefault="001859CC" w:rsidP="001E50CC">
      <w:pPr>
        <w:spacing w:line="360" w:lineRule="auto"/>
        <w:rPr>
          <w:lang w:val="en-GB"/>
        </w:rPr>
      </w:pPr>
      <w:r w:rsidRPr="001E50CC">
        <w:rPr>
          <w:b/>
          <w:bCs/>
          <w:lang w:val="en-GB"/>
        </w:rPr>
        <w:lastRenderedPageBreak/>
        <w:t>Product Development</w:t>
      </w:r>
      <w:r w:rsidRPr="001E50CC">
        <w:rPr>
          <w:lang w:val="en-GB"/>
        </w:rPr>
        <w:t>- In this growth strategy, the company plans to develop and enhance its product to suit the emerging trends and demands of the market. For this, extensive market research and reviews are consulted by the company to select the right start that can be beneficial. The product development strategy is possible when the company can invest successfully in R&amp;D marketing strategy and have accomplished staff to formulate an accurate report from the information gathered from the surveys. This usually occurs in an existing market but when the company plan to develop their product according to the recent market trends. The ability to procure or devise an innovative or unique policy as a solution for the rising new trends in the product also determines the company's performance. In this scenario, if the company is able to acquire and merge with the product of the rival company it can successfully meet the aim of creating new products with modified specifications according to the current market demands(</w:t>
      </w:r>
      <w:r w:rsidRPr="001E50CC">
        <w:rPr>
          <w:shd w:val="clear" w:color="auto" w:fill="FFFFFF"/>
          <w:lang w:val="en-GB"/>
        </w:rPr>
        <w:t>Longwe and Sakyi 2020).</w:t>
      </w:r>
      <w:r w:rsidRPr="001E50CC">
        <w:rPr>
          <w:lang w:val="en-GB"/>
        </w:rPr>
        <w:t xml:space="preserve"> Through this strategy, the companies can also form necessary partnerships and joint venture through which they can access each other's distribution channels and target markets. GSK, in a similar way, considered this strategy as a relevant method for growth and invested around 21 million euros in a joint partnership with a Chinese pharmaceutical brand named Shenzhen Neptunus for developing vaccines. It has also spent 360 million euros which contributes to around 19% of a South African country named Aspen Pharmacare Holdings in the year 2009. </w:t>
      </w:r>
    </w:p>
    <w:p w:rsidR="001859CC" w:rsidRPr="001E50CC" w:rsidRDefault="001859CC" w:rsidP="001E50CC">
      <w:pPr>
        <w:spacing w:line="360" w:lineRule="auto"/>
        <w:rPr>
          <w:lang w:val="en-GB"/>
        </w:rPr>
      </w:pPr>
      <w:r w:rsidRPr="001E50CC">
        <w:rPr>
          <w:b/>
          <w:bCs/>
          <w:lang w:val="en-GB"/>
        </w:rPr>
        <w:t>Market Development</w:t>
      </w:r>
      <w:r w:rsidRPr="001E50CC">
        <w:rPr>
          <w:lang w:val="en-GB"/>
        </w:rPr>
        <w:t>- In the market development strategy of growth and expansion, the company enters a new market with its existing product where there is a demand for those products. Expanding into a new geographical location requires the adoption of new policies that will suit the lifestyle traits and habits of the target customers. This growth strategy will be successful if the potential customer base and their buying behaviour are profitable for the company in the new region. GSK's alliances with different international companies that are located in various countries like Japan and India requires the use of this strategy. In 2009, GSK formed an alliance with an Indian drug company and the deal required the selling of Indian products into international markets like Africa, the Middle East and Latin America (</w:t>
      </w:r>
      <w:r w:rsidRPr="001E50CC">
        <w:rPr>
          <w:shd w:val="clear" w:color="auto" w:fill="FFFFFF"/>
          <w:lang w:val="en-GB"/>
        </w:rPr>
        <w:t>Tsatsoula 2018).</w:t>
      </w:r>
      <w:r w:rsidRPr="001E50CC">
        <w:rPr>
          <w:lang w:val="en-GB"/>
        </w:rPr>
        <w:t xml:space="preserve"> Here the company enjoyed the benefit of selling familiar generic drugs on diabetes, gastroenterology and pain management without having to manufacture them. Therefore, the company could focus on developing its marketing strategies to develop sales in these selected international markets. </w:t>
      </w:r>
    </w:p>
    <w:p w:rsidR="001859CC" w:rsidRPr="001E50CC" w:rsidRDefault="001859CC" w:rsidP="001E50CC">
      <w:pPr>
        <w:spacing w:line="360" w:lineRule="auto"/>
        <w:rPr>
          <w:lang w:val="en-GB"/>
        </w:rPr>
      </w:pPr>
      <w:r w:rsidRPr="001E50CC">
        <w:rPr>
          <w:b/>
          <w:bCs/>
          <w:lang w:val="en-GB"/>
        </w:rPr>
        <w:lastRenderedPageBreak/>
        <w:t>Diversification</w:t>
      </w:r>
      <w:r w:rsidRPr="001E50CC">
        <w:rPr>
          <w:lang w:val="en-GB"/>
        </w:rPr>
        <w:t xml:space="preserve">- This can be considered the riskiest growth strategy as the company enters a new market with new products therefore uncertain of the forthcoming situations. However, through this growth strategy the company can enjoy a new channel o revenue generation as entering a new market with new products can immediately attract a potential target audience if the promotional and marketing strategies are efficient. </w:t>
      </w:r>
    </w:p>
    <w:p w:rsidR="001859CC" w:rsidRPr="001E50CC" w:rsidRDefault="001859CC" w:rsidP="001E50CC">
      <w:pPr>
        <w:spacing w:line="360" w:lineRule="auto"/>
        <w:rPr>
          <w:lang w:val="en-GB"/>
        </w:rPr>
      </w:pPr>
      <w:r w:rsidRPr="001E50CC">
        <w:rPr>
          <w:lang w:val="en-GB"/>
        </w:rPr>
        <w:t>Diversification is of two types. The first is related diversification and the second is unrelated diversification. With related diversification, the brand can explore channels of product deviation. For instance, a clothing brand that has been manufacturing only clothing items can diversify its product profile into manufacturing bags and accessories. Unrelated diversification, on the other hand, can be a complete change in the business objectives and product profile of the company (</w:t>
      </w:r>
      <w:r w:rsidRPr="001E50CC">
        <w:rPr>
          <w:shd w:val="clear" w:color="auto" w:fill="FFFFFF"/>
          <w:lang w:val="en-GB"/>
        </w:rPr>
        <w:t>Tsatsoula 2018).</w:t>
      </w:r>
      <w:r w:rsidRPr="001E50CC">
        <w:rPr>
          <w:lang w:val="en-GB"/>
        </w:rPr>
        <w:t xml:space="preserve"> For instance, if the clothing brand starts manufacturing smartphones or tablets, it will depict a scenario of unrelated diversification. In terms of GSK's geographical expansion, this strategy was partly relevant as the company shifted from producing over-the-counter (OTC) medicines to consumer health products like various health drinks.</w:t>
      </w:r>
    </w:p>
    <w:p w:rsidR="001859CC" w:rsidRPr="001E50CC" w:rsidRDefault="001859CC" w:rsidP="001E50CC">
      <w:pPr>
        <w:pStyle w:val="Balk2"/>
        <w:spacing w:line="360" w:lineRule="auto"/>
        <w:rPr>
          <w:lang w:val="en-GB"/>
        </w:rPr>
      </w:pPr>
      <w:bookmarkStart w:id="11" w:name="_Toc68368475"/>
      <w:r w:rsidRPr="001E50CC">
        <w:rPr>
          <w:lang w:val="en-GB"/>
        </w:rPr>
        <w:t>BCG Matrix</w:t>
      </w:r>
      <w:bookmarkEnd w:id="11"/>
    </w:p>
    <w:p w:rsidR="001859CC" w:rsidRPr="001E50CC" w:rsidRDefault="001859CC" w:rsidP="001E50CC">
      <w:pPr>
        <w:spacing w:line="360" w:lineRule="auto"/>
        <w:rPr>
          <w:lang w:val="en-GB"/>
        </w:rPr>
      </w:pPr>
      <w:r w:rsidRPr="001E50CC">
        <w:rPr>
          <w:lang w:val="en-GB"/>
        </w:rPr>
        <w:t>The Boston Consulting Group Matrix (BCG) is another model of strategic management through which the market expansion of companies can be analysed. Through this, long term objectives and planning can be achieved as it considers the product portfolio. The possible growth opportunities of the company can be evaluated with respect to the product portfolio of the company and the strategic areas of investment can be chosen. Before the company's expansion into a selected matrix, carrying out the growth analysis strategies with the help of this BCG matrix will not only highlight the profitable areas of investment but also the areas where product development strategies are required or whether it is beneficial to discontinue investment in a certain area. The Boston Group matrix has four stages. These are:</w:t>
      </w:r>
    </w:p>
    <w:p w:rsidR="001859CC" w:rsidRPr="001E50CC" w:rsidRDefault="001859CC" w:rsidP="001E50CC">
      <w:pPr>
        <w:spacing w:line="360" w:lineRule="auto"/>
        <w:jc w:val="center"/>
        <w:rPr>
          <w:lang w:val="en-GB"/>
        </w:rPr>
      </w:pPr>
      <w:r w:rsidRPr="001E50CC">
        <w:rPr>
          <w:noProof/>
          <w:lang w:val="tr-TR" w:eastAsia="tr-TR"/>
        </w:rPr>
        <w:lastRenderedPageBreak/>
        <w:drawing>
          <wp:inline distT="0" distB="0" distL="0" distR="0">
            <wp:extent cx="5731510" cy="5509515"/>
            <wp:effectExtent l="0" t="0" r="0" b="0"/>
            <wp:docPr id="8" name="Picture 8" descr="BCG Matrix EXPLAINED with EXAMPLES | B2U | Business-to-you.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CG Matrix EXPLAINED with EXAMPLES | B2U | Business-to-you.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509515"/>
                    </a:xfrm>
                    <a:prstGeom prst="rect">
                      <a:avLst/>
                    </a:prstGeom>
                    <a:noFill/>
                    <a:ln>
                      <a:noFill/>
                    </a:ln>
                  </pic:spPr>
                </pic:pic>
              </a:graphicData>
            </a:graphic>
          </wp:inline>
        </w:drawing>
      </w:r>
    </w:p>
    <w:p w:rsidR="001859CC" w:rsidRPr="001E50CC" w:rsidRDefault="00123BE7" w:rsidP="001E50CC">
      <w:pPr>
        <w:spacing w:line="360" w:lineRule="auto"/>
        <w:jc w:val="center"/>
        <w:rPr>
          <w:b/>
          <w:bCs/>
          <w:lang w:val="en-GB"/>
        </w:rPr>
      </w:pPr>
      <w:r>
        <w:rPr>
          <w:b/>
          <w:bCs/>
          <w:lang w:val="en-GB"/>
        </w:rPr>
        <w:t>Figure 7</w:t>
      </w:r>
      <w:r w:rsidR="001859CC" w:rsidRPr="001E50CC">
        <w:rPr>
          <w:b/>
          <w:bCs/>
          <w:lang w:val="en-GB"/>
        </w:rPr>
        <w:t>: BCG Matrix</w:t>
      </w:r>
    </w:p>
    <w:p w:rsidR="001859CC" w:rsidRPr="001E50CC" w:rsidRDefault="001859CC" w:rsidP="001E50CC">
      <w:pPr>
        <w:spacing w:line="360" w:lineRule="auto"/>
        <w:jc w:val="center"/>
        <w:rPr>
          <w:b/>
          <w:bCs/>
          <w:lang w:val="en-GB"/>
        </w:rPr>
      </w:pPr>
      <w:r w:rsidRPr="001E50CC">
        <w:rPr>
          <w:b/>
          <w:bCs/>
          <w:lang w:val="en-GB"/>
        </w:rPr>
        <w:t>(Source:</w:t>
      </w:r>
      <w:r w:rsidRPr="001E50CC">
        <w:rPr>
          <w:b/>
          <w:bCs/>
          <w:shd w:val="clear" w:color="auto" w:fill="FFFFFF"/>
          <w:lang w:val="en-GB"/>
        </w:rPr>
        <w:t>Mohajan 2017)</w:t>
      </w:r>
    </w:p>
    <w:p w:rsidR="001859CC" w:rsidRPr="001E50CC" w:rsidRDefault="001859CC" w:rsidP="001E50CC">
      <w:pPr>
        <w:spacing w:line="360" w:lineRule="auto"/>
        <w:rPr>
          <w:lang w:val="en-GB"/>
        </w:rPr>
      </w:pPr>
      <w:r w:rsidRPr="001E50CC">
        <w:rPr>
          <w:b/>
          <w:bCs/>
          <w:lang w:val="en-GB"/>
        </w:rPr>
        <w:t>Dogs-</w:t>
      </w:r>
      <w:r w:rsidRPr="001E50CC">
        <w:rPr>
          <w:lang w:val="en-GB"/>
        </w:rPr>
        <w:t xml:space="preserve"> After the analysis of the product portfolio, the good and services that have slow growth and a relatively low market share categories under the "dog" section. These products and services are unable o generate high demand and therefore fail to generate profits. on the contrary, it can incur a loss for the company. Therefore, the most common recommendation out of the BCG matrix is to remove or discard products or items that fall under the 'dog' category to reduce extra expenditure. However, this can be a case of oversimplification and these products can be </w:t>
      </w:r>
      <w:r w:rsidRPr="001E50CC">
        <w:rPr>
          <w:lang w:val="en-GB"/>
        </w:rPr>
        <w:lastRenderedPageBreak/>
        <w:t>circulated in the market with development strategies. For this pharmaceutical company, some products like the migraine tablet Imitrex and Aquafresh fell under this category. GSK was successful in reducing the cost of expenditure by 1.7 billion euros of the total annual cost during the year 2008-2010 (</w:t>
      </w:r>
      <w:r w:rsidRPr="001E50CC">
        <w:rPr>
          <w:shd w:val="clear" w:color="auto" w:fill="FFFFFF"/>
          <w:lang w:val="en-GB"/>
        </w:rPr>
        <w:t xml:space="preserve">Mohajan 2017). </w:t>
      </w:r>
      <w:r w:rsidRPr="001E50CC">
        <w:rPr>
          <w:lang w:val="en-GB"/>
        </w:rPr>
        <w:t xml:space="preserve">Cutting down on annual costs by various methods like streamlining company procedures and re-shaping the production process helped to save costs and reduce extra expenditure. </w:t>
      </w:r>
    </w:p>
    <w:p w:rsidR="001859CC" w:rsidRPr="001E50CC" w:rsidRDefault="001859CC" w:rsidP="001E50CC">
      <w:pPr>
        <w:spacing w:line="360" w:lineRule="auto"/>
        <w:rPr>
          <w:lang w:val="en-GB"/>
        </w:rPr>
      </w:pPr>
      <w:r w:rsidRPr="001E50CC">
        <w:rPr>
          <w:b/>
          <w:bCs/>
          <w:lang w:val="en-GB"/>
        </w:rPr>
        <w:t>Problem Child or Question Marks</w:t>
      </w:r>
      <w:r w:rsidRPr="001E50CC">
        <w:rPr>
          <w:lang w:val="en-GB"/>
        </w:rPr>
        <w:t>- In this category, the products which have a flat market share in a leading market are listed. However, this does not determine the future market position of the product whether I will continue to have low demands and fall into the dog category or rise to the star category with certain financial investments. Often, with the right development, strategies problem child products can be pushed into the str category and generate revenues for the company. This serves as a challenge for the firm as the returns from the financial investments behind such a product can be delayed before they can be finally placed under the star quadrant. For instance, GSK's investment in the malted health drinks category which had some obvious existing rivals resembled the same scenario. Along with Horlicks, GSK also emerged in the toothpaste category with Sensodyne which belonged to this category (</w:t>
      </w:r>
      <w:r w:rsidRPr="001E50CC">
        <w:rPr>
          <w:shd w:val="clear" w:color="auto" w:fill="FFFFFF"/>
          <w:lang w:val="en-GB"/>
        </w:rPr>
        <w:t>Mohajan 2017).</w:t>
      </w:r>
      <w:r w:rsidRPr="001E50CC">
        <w:rPr>
          <w:lang w:val="en-GB"/>
        </w:rPr>
        <w:t xml:space="preserve"> The company did not gain instant profits as a seller of consumer health items but gradually achieved a position of a drug company who not only focused on selling medicines and drugs internationally but also sold consumer health products. </w:t>
      </w:r>
    </w:p>
    <w:p w:rsidR="001859CC" w:rsidRPr="001E50CC" w:rsidRDefault="001859CC" w:rsidP="001E50CC">
      <w:pPr>
        <w:spacing w:line="360" w:lineRule="auto"/>
        <w:rPr>
          <w:lang w:val="en-GB"/>
        </w:rPr>
      </w:pPr>
      <w:r w:rsidRPr="001E50CC">
        <w:rPr>
          <w:b/>
          <w:bCs/>
          <w:lang w:val="en-GB"/>
        </w:rPr>
        <w:t>Stars</w:t>
      </w:r>
      <w:r w:rsidRPr="001E50CC">
        <w:rPr>
          <w:lang w:val="en-GB"/>
        </w:rPr>
        <w:t>- As the name suggests, star products have high growth and a high market share that generates a lot of revenues for a certain company. The start products are considered the core or the foundation on which a company's business depends. They form the strength of the company and probably will be able to generate revenues irrespective of the market. however, it is necessary for the firm to continue investing in the development of the products and make them relevant according to the market trends. Zantac in all probability achieves this category as it has been one of the highest selling products for GSK in the high growth market (</w:t>
      </w:r>
      <w:r w:rsidRPr="001E50CC">
        <w:rPr>
          <w:shd w:val="clear" w:color="auto" w:fill="FFFFFF"/>
          <w:lang w:val="en-GB"/>
        </w:rPr>
        <w:t>Du and Yu 2017).</w:t>
      </w:r>
      <w:r w:rsidRPr="001E50CC">
        <w:rPr>
          <w:lang w:val="en-GB"/>
        </w:rPr>
        <w:t xml:space="preserve"> The high market demand for the product and consumer preference makes it an affordable drug that is easily available at stores </w:t>
      </w:r>
    </w:p>
    <w:p w:rsidR="001859CC" w:rsidRPr="001E50CC" w:rsidRDefault="001859CC" w:rsidP="001E50CC">
      <w:pPr>
        <w:spacing w:line="360" w:lineRule="auto"/>
        <w:rPr>
          <w:shd w:val="clear" w:color="auto" w:fill="FFFFFF"/>
          <w:lang w:val="en-GB"/>
        </w:rPr>
      </w:pPr>
      <w:r w:rsidRPr="001E50CC">
        <w:rPr>
          <w:b/>
          <w:bCs/>
          <w:lang w:val="en-GB"/>
        </w:rPr>
        <w:t>Cash Cows</w:t>
      </w:r>
      <w:r w:rsidRPr="001E50CC">
        <w:rPr>
          <w:lang w:val="en-GB"/>
        </w:rPr>
        <w:t xml:space="preserve">- Lastly, the fourth quadrants contain the product that can continue to achieve a high market share where the growth of the market is considerably low. These products are having </w:t>
      </w:r>
      <w:r w:rsidRPr="001E50CC">
        <w:rPr>
          <w:lang w:val="en-GB"/>
        </w:rPr>
        <w:lastRenderedPageBreak/>
        <w:t>established a secure position in the market due to their long presence within the product profile of the company. For GSK, products like Piriton and Horlicks fall under this category which has significantly matured over time. Horlicks has been successful in capturing a secured market position and can generate decent revenues and bring profit for the company despite existing competitors (</w:t>
      </w:r>
      <w:r w:rsidRPr="001E50CC">
        <w:rPr>
          <w:shd w:val="clear" w:color="auto" w:fill="FFFFFF"/>
          <w:lang w:val="en-GB"/>
        </w:rPr>
        <w:t>Du and Yu 2017).</w:t>
      </w:r>
    </w:p>
    <w:p w:rsidR="001859CC" w:rsidRPr="001E50CC" w:rsidRDefault="001859CC" w:rsidP="001E50CC">
      <w:pPr>
        <w:pStyle w:val="Balk1"/>
        <w:spacing w:line="360" w:lineRule="auto"/>
        <w:rPr>
          <w:lang w:val="en-GB"/>
        </w:rPr>
      </w:pPr>
      <w:bookmarkStart w:id="12" w:name="_Toc68368476"/>
      <w:r w:rsidRPr="001E50CC">
        <w:rPr>
          <w:shd w:val="clear" w:color="auto" w:fill="FFFFFF"/>
          <w:lang w:val="en-GB"/>
        </w:rPr>
        <w:t>Competitor Analysis of GlaxoSmithKline</w:t>
      </w:r>
      <w:bookmarkEnd w:id="12"/>
    </w:p>
    <w:p w:rsidR="001859CC" w:rsidRPr="001E50CC" w:rsidRDefault="001859CC" w:rsidP="001E50CC">
      <w:pPr>
        <w:pStyle w:val="Balk2"/>
        <w:spacing w:line="360" w:lineRule="auto"/>
        <w:rPr>
          <w:lang w:val="en-GB"/>
        </w:rPr>
      </w:pPr>
      <w:bookmarkStart w:id="13" w:name="_Toc68368477"/>
      <w:r w:rsidRPr="001E50CC">
        <w:rPr>
          <w:lang w:val="en-GB"/>
        </w:rPr>
        <w:t>Porter’s Five Forces</w:t>
      </w:r>
      <w:bookmarkEnd w:id="13"/>
    </w:p>
    <w:p w:rsidR="001859CC" w:rsidRPr="001E50CC" w:rsidRDefault="001859CC" w:rsidP="001E50CC">
      <w:pPr>
        <w:spacing w:line="360" w:lineRule="auto"/>
        <w:rPr>
          <w:lang w:val="en-GB"/>
        </w:rPr>
      </w:pPr>
      <w:r w:rsidRPr="001E50CC">
        <w:rPr>
          <w:lang w:val="en-GB"/>
        </w:rPr>
        <w:t>With the help of Porter's Fiver Forces analysis, the market position and the strategy of a renewed pipeline of products for GSK can be evaluated. with the help of the five forces analysis not only will the external business environment will be examined but also the efficient methods through which a company can maintain its competitive advantage can be identified. A company's personal potential to achieve profitability can be understood and learned with the help of this strategic management tool. Accordingly, the organisation can implement changes to adapt to the emerging changes. Porter's five forces analysis consist of five stages. These are explained below:</w:t>
      </w:r>
    </w:p>
    <w:p w:rsidR="001859CC" w:rsidRPr="001E50CC" w:rsidRDefault="001859CC" w:rsidP="001E50CC">
      <w:pPr>
        <w:spacing w:line="360" w:lineRule="auto"/>
        <w:jc w:val="center"/>
        <w:rPr>
          <w:lang w:val="en-GB"/>
        </w:rPr>
      </w:pPr>
      <w:r w:rsidRPr="001E50CC">
        <w:rPr>
          <w:noProof/>
          <w:lang w:val="tr-TR" w:eastAsia="tr-TR"/>
        </w:rPr>
        <w:lastRenderedPageBreak/>
        <w:drawing>
          <wp:inline distT="0" distB="0" distL="0" distR="0">
            <wp:extent cx="5731510" cy="4307622"/>
            <wp:effectExtent l="0" t="0" r="2540" b="0"/>
            <wp:docPr id="12" name="Picture 12" descr="Gsk organizational presenta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sk organizational presenta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07622"/>
                    </a:xfrm>
                    <a:prstGeom prst="rect">
                      <a:avLst/>
                    </a:prstGeom>
                    <a:noFill/>
                    <a:ln>
                      <a:noFill/>
                    </a:ln>
                  </pic:spPr>
                </pic:pic>
              </a:graphicData>
            </a:graphic>
          </wp:inline>
        </w:drawing>
      </w:r>
    </w:p>
    <w:p w:rsidR="001859CC" w:rsidRPr="001E50CC" w:rsidRDefault="00123BE7" w:rsidP="001E50CC">
      <w:pPr>
        <w:spacing w:line="360" w:lineRule="auto"/>
        <w:jc w:val="center"/>
        <w:rPr>
          <w:b/>
          <w:bCs/>
          <w:lang w:val="en-GB"/>
        </w:rPr>
      </w:pPr>
      <w:r>
        <w:rPr>
          <w:b/>
          <w:bCs/>
          <w:lang w:val="en-GB"/>
        </w:rPr>
        <w:t>Figure 8</w:t>
      </w:r>
      <w:r w:rsidR="001859CC" w:rsidRPr="001E50CC">
        <w:rPr>
          <w:b/>
          <w:bCs/>
          <w:lang w:val="en-GB"/>
        </w:rPr>
        <w:t>: Porter’s Five Forces</w:t>
      </w:r>
    </w:p>
    <w:p w:rsidR="001859CC" w:rsidRPr="001E50CC" w:rsidRDefault="001859CC" w:rsidP="001E50CC">
      <w:pPr>
        <w:spacing w:line="360" w:lineRule="auto"/>
        <w:jc w:val="center"/>
        <w:rPr>
          <w:b/>
          <w:bCs/>
          <w:lang w:val="en-GB"/>
        </w:rPr>
      </w:pPr>
      <w:r w:rsidRPr="001E50CC">
        <w:rPr>
          <w:b/>
          <w:bCs/>
          <w:lang w:val="en-GB"/>
        </w:rPr>
        <w:t>(Source:</w:t>
      </w:r>
      <w:bookmarkStart w:id="14" w:name="_Hlk68361979"/>
      <w:r w:rsidRPr="001E50CC">
        <w:rPr>
          <w:b/>
          <w:bCs/>
          <w:shd w:val="clear" w:color="auto" w:fill="FFFFFF"/>
          <w:lang w:val="en-GB"/>
        </w:rPr>
        <w:t>Song,</w:t>
      </w:r>
      <w:r w:rsidRPr="001E50CC">
        <w:rPr>
          <w:b/>
          <w:bCs/>
          <w:i/>
          <w:iCs/>
          <w:shd w:val="clear" w:color="auto" w:fill="FFFFFF"/>
          <w:lang w:val="en-GB"/>
        </w:rPr>
        <w:t>et al,</w:t>
      </w:r>
      <w:r w:rsidRPr="001E50CC">
        <w:rPr>
          <w:b/>
          <w:bCs/>
          <w:shd w:val="clear" w:color="auto" w:fill="FFFFFF"/>
          <w:lang w:val="en-GB"/>
        </w:rPr>
        <w:t xml:space="preserve"> 2018</w:t>
      </w:r>
      <w:bookmarkEnd w:id="14"/>
      <w:r w:rsidRPr="001E50CC">
        <w:rPr>
          <w:b/>
          <w:bCs/>
          <w:shd w:val="clear" w:color="auto" w:fill="FFFFFF"/>
          <w:lang w:val="en-GB"/>
        </w:rPr>
        <w:t>)</w:t>
      </w:r>
    </w:p>
    <w:p w:rsidR="001859CC" w:rsidRPr="001E50CC" w:rsidRDefault="001859CC" w:rsidP="001E50CC">
      <w:pPr>
        <w:spacing w:line="360" w:lineRule="auto"/>
        <w:rPr>
          <w:lang w:val="en-GB"/>
        </w:rPr>
      </w:pPr>
      <w:r w:rsidRPr="001E50CC">
        <w:rPr>
          <w:b/>
          <w:bCs/>
          <w:lang w:val="en-GB"/>
        </w:rPr>
        <w:t>Competitive Rivalry</w:t>
      </w:r>
      <w:r w:rsidRPr="001E50CC">
        <w:rPr>
          <w:lang w:val="en-GB"/>
        </w:rPr>
        <w:t>- Through this factor, the competitors and rival brand of the company are identified and their current market position and dominance which can affect the business of the concerned firm. GSK as a pharmaceutical brand that delivered products globally has its share of rival companies and competitors that are manufacturing similar products and serving the needs of the customers. While establishing the strategy of a renewed pipeline of products in the medicine and drug industry, GSK confronted some challenges. This mainly contributed to problems concerning the organisational structure which underwent a change under the management of Jean-Paul Garnier. However, the company still faced problems seven years later when JP retired in 2008</w:t>
      </w:r>
      <w:bookmarkStart w:id="15" w:name="_Hlk68362063"/>
      <w:r w:rsidRPr="001E50CC">
        <w:rPr>
          <w:lang w:val="en-GB"/>
        </w:rPr>
        <w:t>(</w:t>
      </w:r>
      <w:r w:rsidRPr="001E50CC">
        <w:rPr>
          <w:shd w:val="clear" w:color="auto" w:fill="FFFFFF"/>
          <w:lang w:val="en-GB"/>
        </w:rPr>
        <w:t xml:space="preserve">Stindt, </w:t>
      </w:r>
      <w:r w:rsidRPr="001E50CC">
        <w:rPr>
          <w:i/>
          <w:iCs/>
          <w:shd w:val="clear" w:color="auto" w:fill="FFFFFF"/>
          <w:lang w:val="en-GB"/>
        </w:rPr>
        <w:t>et al</w:t>
      </w:r>
      <w:r w:rsidRPr="001E50CC">
        <w:rPr>
          <w:shd w:val="clear" w:color="auto" w:fill="FFFFFF"/>
          <w:lang w:val="en-GB"/>
        </w:rPr>
        <w:t>, 2017).</w:t>
      </w:r>
      <w:bookmarkEnd w:id="15"/>
      <w:r w:rsidRPr="001E50CC">
        <w:rPr>
          <w:lang w:val="en-GB"/>
        </w:rPr>
        <w:t xml:space="preserve">Upon the appointment of the new director named, Dr Moncef Slaoui, it was identified that the problem was within the organisational culture. Although, under his leadership, the R&amp;D strategies greatly developed and were advanced the </w:t>
      </w:r>
      <w:r w:rsidRPr="001E50CC">
        <w:rPr>
          <w:lang w:val="en-GB"/>
        </w:rPr>
        <w:lastRenderedPageBreak/>
        <w:t xml:space="preserve">competition from rival firms existed because all of the pharmaceutical brands invest in the R&amp;D method for the manufacturing of high functioning drugs. </w:t>
      </w:r>
    </w:p>
    <w:p w:rsidR="001859CC" w:rsidRPr="001E50CC" w:rsidRDefault="001859CC" w:rsidP="001E50CC">
      <w:pPr>
        <w:spacing w:line="360" w:lineRule="auto"/>
        <w:jc w:val="center"/>
        <w:rPr>
          <w:lang w:val="en-GB"/>
        </w:rPr>
      </w:pPr>
      <w:r w:rsidRPr="001E50CC">
        <w:rPr>
          <w:noProof/>
          <w:lang w:val="tr-TR" w:eastAsia="tr-TR"/>
        </w:rPr>
        <w:drawing>
          <wp:inline distT="0" distB="0" distL="0" distR="0">
            <wp:extent cx="5731510" cy="3228918"/>
            <wp:effectExtent l="0" t="0" r="2540" b="0"/>
            <wp:docPr id="10" name="Picture 10" descr="GSK Horlicks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SK Horlicks Present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8918"/>
                    </a:xfrm>
                    <a:prstGeom prst="rect">
                      <a:avLst/>
                    </a:prstGeom>
                    <a:noFill/>
                    <a:ln>
                      <a:noFill/>
                    </a:ln>
                  </pic:spPr>
                </pic:pic>
              </a:graphicData>
            </a:graphic>
          </wp:inline>
        </w:drawing>
      </w:r>
    </w:p>
    <w:p w:rsidR="001859CC" w:rsidRPr="001E50CC" w:rsidRDefault="00123BE7" w:rsidP="001E50CC">
      <w:pPr>
        <w:spacing w:line="360" w:lineRule="auto"/>
        <w:jc w:val="center"/>
        <w:rPr>
          <w:b/>
          <w:bCs/>
          <w:lang w:val="en-GB"/>
        </w:rPr>
      </w:pPr>
      <w:r>
        <w:rPr>
          <w:b/>
          <w:bCs/>
          <w:lang w:val="en-GB"/>
        </w:rPr>
        <w:t>Figure 9</w:t>
      </w:r>
      <w:r w:rsidR="001859CC" w:rsidRPr="001E50CC">
        <w:rPr>
          <w:b/>
          <w:bCs/>
          <w:lang w:val="en-GB"/>
        </w:rPr>
        <w:t>: Porter’s Analysis of GSK</w:t>
      </w:r>
    </w:p>
    <w:p w:rsidR="001859CC" w:rsidRPr="001E50CC" w:rsidRDefault="001859CC" w:rsidP="001E50CC">
      <w:pPr>
        <w:spacing w:line="360" w:lineRule="auto"/>
        <w:jc w:val="center"/>
        <w:rPr>
          <w:b/>
          <w:bCs/>
          <w:lang w:val="en-GB"/>
        </w:rPr>
      </w:pPr>
      <w:r w:rsidRPr="001E50CC">
        <w:rPr>
          <w:b/>
          <w:bCs/>
          <w:lang w:val="en-GB"/>
        </w:rPr>
        <w:t>(Source:</w:t>
      </w:r>
      <w:r w:rsidRPr="001E50CC">
        <w:rPr>
          <w:b/>
          <w:bCs/>
          <w:shd w:val="clear" w:color="auto" w:fill="FFFFFF"/>
          <w:lang w:val="en-GB"/>
        </w:rPr>
        <w:t xml:space="preserve">Song, </w:t>
      </w:r>
      <w:r w:rsidRPr="001E50CC">
        <w:rPr>
          <w:b/>
          <w:bCs/>
          <w:i/>
          <w:iCs/>
          <w:shd w:val="clear" w:color="auto" w:fill="FFFFFF"/>
          <w:lang w:val="en-GB"/>
        </w:rPr>
        <w:t>et al,</w:t>
      </w:r>
      <w:r w:rsidRPr="001E50CC">
        <w:rPr>
          <w:b/>
          <w:bCs/>
          <w:shd w:val="clear" w:color="auto" w:fill="FFFFFF"/>
          <w:lang w:val="en-GB"/>
        </w:rPr>
        <w:t xml:space="preserve"> 2018</w:t>
      </w:r>
      <w:r w:rsidRPr="001E50CC">
        <w:rPr>
          <w:b/>
          <w:bCs/>
          <w:lang w:val="en-GB"/>
        </w:rPr>
        <w:t>)</w:t>
      </w:r>
    </w:p>
    <w:p w:rsidR="001859CC" w:rsidRPr="001E50CC" w:rsidRDefault="001859CC" w:rsidP="001E50CC">
      <w:pPr>
        <w:spacing w:line="360" w:lineRule="auto"/>
        <w:rPr>
          <w:lang w:val="en-GB"/>
        </w:rPr>
      </w:pPr>
    </w:p>
    <w:p w:rsidR="001859CC" w:rsidRPr="001E50CC" w:rsidRDefault="001859CC" w:rsidP="001E50CC">
      <w:pPr>
        <w:spacing w:line="360" w:lineRule="auto"/>
        <w:rPr>
          <w:lang w:val="en-GB"/>
        </w:rPr>
      </w:pPr>
      <w:r w:rsidRPr="001E50CC">
        <w:rPr>
          <w:b/>
          <w:bCs/>
          <w:lang w:val="en-GB"/>
        </w:rPr>
        <w:t>Power of Suppliers</w:t>
      </w:r>
      <w:r w:rsidRPr="001E50CC">
        <w:rPr>
          <w:lang w:val="en-GB"/>
        </w:rPr>
        <w:t>- Power of suppliers relates to the rating at which the suppliers can increase or decrease the price according to the market demands. The power of suppliers is a major external factor that can influence the business operations of any company. In the case of pharmaceuticals obtaining multiple suppliers’ areas the products are mostly generic drugs therefore the power of suppliers is not rigid. GSK was able to launch new and innovative products in the year 2007 which gave a rise in the distribution of new products by 36% thus increasing the sales of the pharmaceutical products by 7% in the year 2010. GSK's global chain also allows the company to exercise transactions from different suppliers therefore not relying too much on a few suppliers for its business(</w:t>
      </w:r>
      <w:r w:rsidRPr="001E50CC">
        <w:rPr>
          <w:shd w:val="clear" w:color="auto" w:fill="FFFFFF"/>
          <w:lang w:val="en-GB"/>
        </w:rPr>
        <w:t xml:space="preserve">Stindt, </w:t>
      </w:r>
      <w:r w:rsidRPr="001E50CC">
        <w:rPr>
          <w:i/>
          <w:iCs/>
          <w:shd w:val="clear" w:color="auto" w:fill="FFFFFF"/>
          <w:lang w:val="en-GB"/>
        </w:rPr>
        <w:t>et al</w:t>
      </w:r>
      <w:r w:rsidRPr="001E50CC">
        <w:rPr>
          <w:shd w:val="clear" w:color="auto" w:fill="FFFFFF"/>
          <w:lang w:val="en-GB"/>
        </w:rPr>
        <w:t>, 2017).</w:t>
      </w:r>
    </w:p>
    <w:p w:rsidR="001859CC" w:rsidRPr="001E50CC" w:rsidRDefault="001859CC" w:rsidP="001E50CC">
      <w:pPr>
        <w:spacing w:line="360" w:lineRule="auto"/>
        <w:rPr>
          <w:lang w:val="en-GB"/>
        </w:rPr>
      </w:pPr>
      <w:r w:rsidRPr="001E50CC">
        <w:rPr>
          <w:b/>
          <w:bCs/>
          <w:lang w:val="en-GB"/>
        </w:rPr>
        <w:t>Power of Buyers</w:t>
      </w:r>
      <w:r w:rsidRPr="001E50CC">
        <w:rPr>
          <w:lang w:val="en-GB"/>
        </w:rPr>
        <w:t xml:space="preserve">- This refers to the buying patterns behaviour of the target consumers and its effect on the business. Buying patterns of consumers can influence the business of the companies </w:t>
      </w:r>
      <w:r w:rsidRPr="001E50CC">
        <w:rPr>
          <w:lang w:val="en-GB"/>
        </w:rPr>
        <w:lastRenderedPageBreak/>
        <w:t>because a reduction in the demand will decrease the amount of revenue generated in the company. As a result, is necessary for the company to suit the needs and choices of the target consumers and constantly develop the product with the required modification based on consumer preference. The buying power of consumers is high in almost all cases and for GSK it is the same. Consumers busying power are often influenced by the rising cost issues although health care is necessary therefore it can still provide grounds for profit generation for GSK(</w:t>
      </w:r>
      <w:r w:rsidRPr="001E50CC">
        <w:rPr>
          <w:shd w:val="clear" w:color="auto" w:fill="FFFFFF"/>
          <w:lang w:val="en-GB"/>
        </w:rPr>
        <w:t xml:space="preserve">Stindt, </w:t>
      </w:r>
      <w:r w:rsidRPr="001E50CC">
        <w:rPr>
          <w:i/>
          <w:iCs/>
          <w:shd w:val="clear" w:color="auto" w:fill="FFFFFF"/>
          <w:lang w:val="en-GB"/>
        </w:rPr>
        <w:t>et al</w:t>
      </w:r>
      <w:r w:rsidRPr="001E50CC">
        <w:rPr>
          <w:shd w:val="clear" w:color="auto" w:fill="FFFFFF"/>
          <w:lang w:val="en-GB"/>
        </w:rPr>
        <w:t>, 2017).</w:t>
      </w:r>
      <w:r w:rsidRPr="001E50CC">
        <w:rPr>
          <w:lang w:val="en-GB"/>
        </w:rPr>
        <w:t xml:space="preserve"> However, hospitals and doctors being the greater part of the consumer base should be attended to and prices are often reduced when there is a low market demand for drugs. </w:t>
      </w:r>
    </w:p>
    <w:p w:rsidR="001859CC" w:rsidRPr="001E50CC" w:rsidRDefault="001859CC" w:rsidP="001E50CC">
      <w:pPr>
        <w:spacing w:line="360" w:lineRule="auto"/>
        <w:rPr>
          <w:lang w:val="en-GB"/>
        </w:rPr>
      </w:pPr>
      <w:r w:rsidRPr="001E50CC">
        <w:rPr>
          <w:b/>
          <w:bCs/>
          <w:lang w:val="en-GB"/>
        </w:rPr>
        <w:t>The Threat of Substitution</w:t>
      </w:r>
      <w:r w:rsidRPr="001E50CC">
        <w:rPr>
          <w:lang w:val="en-GB"/>
        </w:rPr>
        <w:t xml:space="preserve">- The threat of substitution remains in every market as product substitution is often an alternative method of funding products at a cheaper rate that will serve the purpose decently. Consumers can prefer product substitution as they might not prefer investing in expansive items if the alternative item which is cheaper in rate does the job decently. The threat of product substitution for GSK is always high as pharmaceuticals can easily formulate a similar drug like Zantac which is the star product of GSK. </w:t>
      </w:r>
    </w:p>
    <w:p w:rsidR="001859CC" w:rsidRPr="001E50CC" w:rsidRDefault="001859CC" w:rsidP="001E50CC">
      <w:pPr>
        <w:spacing w:line="360" w:lineRule="auto"/>
        <w:rPr>
          <w:lang w:val="en-GB"/>
        </w:rPr>
      </w:pPr>
      <w:r w:rsidRPr="001E50CC">
        <w:rPr>
          <w:b/>
          <w:bCs/>
          <w:lang w:val="en-GB"/>
        </w:rPr>
        <w:t>The Threat of New Entry</w:t>
      </w:r>
      <w:r w:rsidRPr="001E50CC">
        <w:rPr>
          <w:lang w:val="en-GB"/>
        </w:rPr>
        <w:t>- According to ht analysis, the threat of new entrants refers to the arrivals of new companies that can pose a threat to the existing company. However, in the case of GSK, the threat of a new entrant is fairly low because GSK has established its market position for a long and the cost of establishment in the pharmaceutical industry is considerably high (</w:t>
      </w:r>
      <w:r w:rsidRPr="001E50CC">
        <w:rPr>
          <w:shd w:val="clear" w:color="auto" w:fill="FFFFFF"/>
          <w:lang w:val="en-GB"/>
        </w:rPr>
        <w:t>Pervan,</w:t>
      </w:r>
      <w:r w:rsidRPr="001E50CC">
        <w:rPr>
          <w:i/>
          <w:iCs/>
          <w:shd w:val="clear" w:color="auto" w:fill="FFFFFF"/>
          <w:lang w:val="en-GB"/>
        </w:rPr>
        <w:t>et al,</w:t>
      </w:r>
      <w:r w:rsidRPr="001E50CC">
        <w:rPr>
          <w:shd w:val="clear" w:color="auto" w:fill="FFFFFF"/>
          <w:lang w:val="en-GB"/>
        </w:rPr>
        <w:t xml:space="preserve"> 2018).</w:t>
      </w:r>
      <w:r w:rsidRPr="001E50CC">
        <w:rPr>
          <w:lang w:val="en-GB"/>
        </w:rPr>
        <w:t xml:space="preserve"> Therefore, it will be difficult for new entrants to pose threat to GSK's business operations.</w:t>
      </w:r>
    </w:p>
    <w:p w:rsidR="001859CC" w:rsidRPr="001E50CC" w:rsidRDefault="001859CC" w:rsidP="001E50CC">
      <w:pPr>
        <w:pStyle w:val="Balk1"/>
        <w:spacing w:line="360" w:lineRule="auto"/>
        <w:rPr>
          <w:lang w:val="en-GB"/>
        </w:rPr>
      </w:pPr>
      <w:bookmarkStart w:id="16" w:name="_Toc68368478"/>
      <w:r w:rsidRPr="001E50CC">
        <w:rPr>
          <w:lang w:val="en-GB"/>
        </w:rPr>
        <w:t>Achievement of Competitive Advantage through Strategic Management</w:t>
      </w:r>
      <w:bookmarkEnd w:id="16"/>
      <w:r w:rsidRPr="001E50CC">
        <w:rPr>
          <w:lang w:val="en-GB"/>
        </w:rPr>
        <w:t xml:space="preserve"> </w:t>
      </w:r>
    </w:p>
    <w:p w:rsidR="001859CC" w:rsidRPr="001E50CC" w:rsidRDefault="001859CC" w:rsidP="001E50CC">
      <w:pPr>
        <w:spacing w:line="360" w:lineRule="auto"/>
        <w:rPr>
          <w:lang w:val="en-GB"/>
        </w:rPr>
      </w:pPr>
      <w:r w:rsidRPr="001E50CC">
        <w:rPr>
          <w:lang w:val="en-GB"/>
        </w:rPr>
        <w:t xml:space="preserve">Maintaining competitive advantage and market position is essential for companies for business sustainability and longevity. Competitive advantages can be achieved with the help f strategic management policies that strengthen a company's potential thus leading to the sustainability of the business. In pharmaceutical companies, the process of innovating and developing is a continuous procedure for manufacturing high-quality drugs that will serve to mitigate the health adversities of the consumers. For this, numerous models, frameworks, for product development, </w:t>
      </w:r>
      <w:r w:rsidRPr="001E50CC">
        <w:rPr>
          <w:lang w:val="en-GB"/>
        </w:rPr>
        <w:lastRenderedPageBreak/>
        <w:t>market development, market expansion and product diversification are carried to suit the needs of the consumers</w:t>
      </w:r>
      <w:bookmarkStart w:id="17" w:name="_Hlk68362187"/>
      <w:r w:rsidRPr="001E50CC">
        <w:rPr>
          <w:lang w:val="en-GB"/>
        </w:rPr>
        <w:t>(</w:t>
      </w:r>
      <w:r w:rsidRPr="001E50CC">
        <w:rPr>
          <w:shd w:val="clear" w:color="auto" w:fill="FFFFFF"/>
          <w:lang w:val="en-GB"/>
        </w:rPr>
        <w:t>Radjenović and Krstić 2017).</w:t>
      </w:r>
      <w:bookmarkEnd w:id="17"/>
      <w:r w:rsidRPr="001E50CC">
        <w:rPr>
          <w:lang w:val="en-GB"/>
        </w:rPr>
        <w:t xml:space="preserve">The model and theories mentioned above, which has been successful in GSK's market expansion and development has also provided a competitive advantage. </w:t>
      </w:r>
    </w:p>
    <w:p w:rsidR="001859CC" w:rsidRPr="001E50CC" w:rsidRDefault="001859CC" w:rsidP="001E50CC">
      <w:pPr>
        <w:spacing w:line="360" w:lineRule="auto"/>
        <w:jc w:val="center"/>
        <w:rPr>
          <w:lang w:val="en-GB"/>
        </w:rPr>
      </w:pPr>
      <w:r w:rsidRPr="001E50CC">
        <w:rPr>
          <w:noProof/>
          <w:lang w:val="tr-TR" w:eastAsia="tr-TR"/>
        </w:rPr>
        <w:drawing>
          <wp:inline distT="0" distB="0" distL="0" distR="0">
            <wp:extent cx="5731510" cy="3228918"/>
            <wp:effectExtent l="0" t="0" r="2540" b="0"/>
            <wp:docPr id="9" name="Picture 2" descr="Value Chain Analysis of Glaxo Smith K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ue Chain Analysis of Glaxo Smith Kli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8918"/>
                    </a:xfrm>
                    <a:prstGeom prst="rect">
                      <a:avLst/>
                    </a:prstGeom>
                    <a:noFill/>
                    <a:ln>
                      <a:noFill/>
                    </a:ln>
                  </pic:spPr>
                </pic:pic>
              </a:graphicData>
            </a:graphic>
          </wp:inline>
        </w:drawing>
      </w:r>
    </w:p>
    <w:p w:rsidR="001859CC" w:rsidRPr="001E50CC" w:rsidRDefault="00123BE7" w:rsidP="001E50CC">
      <w:pPr>
        <w:spacing w:line="360" w:lineRule="auto"/>
        <w:jc w:val="center"/>
        <w:rPr>
          <w:b/>
          <w:bCs/>
          <w:lang w:val="en-GB"/>
        </w:rPr>
      </w:pPr>
      <w:r>
        <w:rPr>
          <w:b/>
          <w:bCs/>
          <w:lang w:val="en-GB"/>
        </w:rPr>
        <w:t>Figure 10</w:t>
      </w:r>
      <w:r w:rsidR="001859CC" w:rsidRPr="001E50CC">
        <w:rPr>
          <w:b/>
          <w:bCs/>
          <w:lang w:val="en-GB"/>
        </w:rPr>
        <w:t>: Competitive Advantage of GSK</w:t>
      </w:r>
    </w:p>
    <w:p w:rsidR="001859CC" w:rsidRPr="001E50CC" w:rsidRDefault="001859CC" w:rsidP="001E50CC">
      <w:pPr>
        <w:spacing w:line="360" w:lineRule="auto"/>
        <w:jc w:val="center"/>
        <w:rPr>
          <w:b/>
          <w:bCs/>
          <w:lang w:val="en-GB"/>
        </w:rPr>
      </w:pPr>
      <w:r w:rsidRPr="001E50CC">
        <w:rPr>
          <w:b/>
          <w:bCs/>
          <w:lang w:val="en-GB"/>
        </w:rPr>
        <w:t xml:space="preserve">(Source: </w:t>
      </w:r>
      <w:r w:rsidRPr="001E50CC">
        <w:rPr>
          <w:b/>
          <w:bCs/>
          <w:shd w:val="clear" w:color="auto" w:fill="FFFFFF"/>
          <w:lang w:val="en-GB"/>
        </w:rPr>
        <w:t>Assensoh-Kodua 2019)</w:t>
      </w:r>
    </w:p>
    <w:p w:rsidR="001859CC" w:rsidRPr="001E50CC" w:rsidRDefault="001859CC" w:rsidP="001E50CC">
      <w:pPr>
        <w:spacing w:line="360" w:lineRule="auto"/>
        <w:jc w:val="center"/>
        <w:rPr>
          <w:lang w:val="en-GB"/>
        </w:rPr>
      </w:pPr>
    </w:p>
    <w:p w:rsidR="001859CC" w:rsidRPr="001E50CC" w:rsidRDefault="001859CC" w:rsidP="001E50CC">
      <w:pPr>
        <w:spacing w:line="360" w:lineRule="auto"/>
        <w:rPr>
          <w:lang w:val="en-GB"/>
        </w:rPr>
      </w:pPr>
      <w:r w:rsidRPr="001E50CC">
        <w:rPr>
          <w:lang w:val="en-GB"/>
        </w:rPr>
        <w:t xml:space="preserve">The resource-based view is a theory of competitive advantage that states that a company's business sustainability and longevity depend on its ability to maximise the optimum utilisation of resources. This is especially significant in the case of pharmaceutical companies. The innovation and development of the internal resources of the companies develop its chance of building a competitive edge over its rival companies. the optimum utilisation of resources also contributes to the financial development of the company's position as the investment in the R&amp;D strategies can be carried without over-burdening the company. According to the resource-based view, competitive advantage can be gained by the development and innovation of internal resources as they are not easily imitable or can be substituted by other rival companies. These innovations can </w:t>
      </w:r>
      <w:r w:rsidRPr="001E50CC">
        <w:rPr>
          <w:lang w:val="en-GB"/>
        </w:rPr>
        <w:lastRenderedPageBreak/>
        <w:t>be done with respect to pharmacy practices and the process of product manufacturing and diversification. GSK has been doing the same by utilising its internal resources optimally and diversifying into oral health care and nutritional health care which is providing them with an obvious competitive edge(</w:t>
      </w:r>
      <w:r w:rsidRPr="001E50CC">
        <w:rPr>
          <w:shd w:val="clear" w:color="auto" w:fill="FFFFFF"/>
          <w:lang w:val="en-GB"/>
        </w:rPr>
        <w:t>Radjenović and Krstić 2017).</w:t>
      </w:r>
      <w:r w:rsidRPr="001E50CC">
        <w:rPr>
          <w:lang w:val="en-GB"/>
        </w:rPr>
        <w:t xml:space="preserve"> Although the company still relies on its pharmaceutical products from which 80% of their revenue is generated, these product diversifications are also serving the market demand of the target customers thereby improving the competitive advantage. Along with these, the strategies of market expansion in South Asia, specifically, India and Japan also led to the popularity of products in foreign markets where the company was able to procure lucrative business opportunities and thus improve its competitive advantage.  </w:t>
      </w:r>
    </w:p>
    <w:p w:rsidR="00372C3E" w:rsidRPr="001E50CC" w:rsidRDefault="00372C3E" w:rsidP="001E50CC">
      <w:pPr>
        <w:pStyle w:val="Balk1"/>
        <w:spacing w:line="360" w:lineRule="auto"/>
        <w:rPr>
          <w:lang w:val="en-GB"/>
        </w:rPr>
      </w:pPr>
      <w:bookmarkStart w:id="18" w:name="_Toc68368479"/>
      <w:r w:rsidRPr="001E50CC">
        <w:rPr>
          <w:lang w:val="en-GB"/>
        </w:rPr>
        <w:t>Conclusion</w:t>
      </w:r>
      <w:bookmarkEnd w:id="18"/>
    </w:p>
    <w:p w:rsidR="001D7D0F" w:rsidRPr="001E50CC" w:rsidRDefault="001D7D0F" w:rsidP="001E50CC">
      <w:pPr>
        <w:spacing w:line="360" w:lineRule="auto"/>
        <w:rPr>
          <w:lang w:val="en-GB"/>
        </w:rPr>
      </w:pPr>
      <w:r w:rsidRPr="001E50CC">
        <w:rPr>
          <w:lang w:val="en-GB"/>
        </w:rPr>
        <w:t>The report has quite elaborately tried to provide an idea of the ways in which the organization GlaxoSmithKline has successfully deployed strategic management across several of its operations in its several years of existence. The usage of the models such as the BCG Matrix, the Ansoff Matrix and Porter’s Five Forces have further helped to drive home certain strategic implementations of the company that has resulted in its achieving the viable market position that the organization currently enjoys.</w:t>
      </w:r>
    </w:p>
    <w:p w:rsidR="001D7D0F" w:rsidRPr="001E50CC" w:rsidRDefault="001D7D0F" w:rsidP="001E50CC">
      <w:pPr>
        <w:spacing w:line="360" w:lineRule="auto"/>
        <w:jc w:val="left"/>
        <w:rPr>
          <w:lang w:val="en-GB"/>
        </w:rPr>
      </w:pPr>
      <w:r w:rsidRPr="001E50CC">
        <w:rPr>
          <w:lang w:val="en-GB"/>
        </w:rPr>
        <w:br w:type="page"/>
      </w:r>
    </w:p>
    <w:p w:rsidR="009C55B3" w:rsidRPr="001E50CC" w:rsidRDefault="001D7D0F" w:rsidP="001E50CC">
      <w:pPr>
        <w:pStyle w:val="Balk1"/>
        <w:spacing w:line="360" w:lineRule="auto"/>
        <w:rPr>
          <w:lang w:val="en-GB"/>
        </w:rPr>
      </w:pPr>
      <w:bookmarkStart w:id="19" w:name="_Toc68368480"/>
      <w:r w:rsidRPr="001E50CC">
        <w:rPr>
          <w:lang w:val="en-GB"/>
        </w:rPr>
        <w:lastRenderedPageBreak/>
        <w:t>Reference Links</w:t>
      </w:r>
      <w:bookmarkEnd w:id="19"/>
    </w:p>
    <w:p w:rsidR="001859CC" w:rsidRPr="001E50CC" w:rsidRDefault="001859CC" w:rsidP="001E50CC">
      <w:pPr>
        <w:spacing w:line="360" w:lineRule="auto"/>
        <w:rPr>
          <w:shd w:val="clear" w:color="auto" w:fill="FFFFFF"/>
          <w:lang w:val="en-GB"/>
        </w:rPr>
      </w:pPr>
      <w:r w:rsidRPr="001E50CC">
        <w:rPr>
          <w:shd w:val="clear" w:color="auto" w:fill="FFFFFF"/>
          <w:lang w:val="en-GB"/>
        </w:rPr>
        <w:t>Alexy, O., West, J., Klapper, H. and Reitzig, M., 2018. Surrendering control to gain advantage: Reconciling openness and the resource</w:t>
      </w:r>
      <w:r w:rsidRPr="001E50CC">
        <w:rPr>
          <w:rFonts w:ascii="Cambria Math" w:hAnsi="Cambria Math" w:cs="Cambria Math"/>
          <w:shd w:val="clear" w:color="auto" w:fill="FFFFFF"/>
          <w:lang w:val="en-GB"/>
        </w:rPr>
        <w:t>‐</w:t>
      </w:r>
      <w:r w:rsidRPr="001E50CC">
        <w:rPr>
          <w:shd w:val="clear" w:color="auto" w:fill="FFFFFF"/>
          <w:lang w:val="en-GB"/>
        </w:rPr>
        <w:t>based view of the firm. </w:t>
      </w:r>
      <w:r w:rsidRPr="001E50CC">
        <w:rPr>
          <w:i/>
          <w:iCs/>
          <w:shd w:val="clear" w:color="auto" w:fill="FFFFFF"/>
          <w:lang w:val="en-GB"/>
        </w:rPr>
        <w:t>Strategic Management Journal</w:t>
      </w:r>
      <w:r w:rsidRPr="001E50CC">
        <w:rPr>
          <w:shd w:val="clear" w:color="auto" w:fill="FFFFFF"/>
          <w:lang w:val="en-GB"/>
        </w:rPr>
        <w:t>, </w:t>
      </w:r>
      <w:r w:rsidRPr="001E50CC">
        <w:rPr>
          <w:i/>
          <w:iCs/>
          <w:shd w:val="clear" w:color="auto" w:fill="FFFFFF"/>
          <w:lang w:val="en-GB"/>
        </w:rPr>
        <w:t>39</w:t>
      </w:r>
      <w:r w:rsidRPr="001E50CC">
        <w:rPr>
          <w:shd w:val="clear" w:color="auto" w:fill="FFFFFF"/>
          <w:lang w:val="en-GB"/>
        </w:rPr>
        <w:t>(6), pp.1704-1727.</w:t>
      </w:r>
    </w:p>
    <w:p w:rsidR="001859CC" w:rsidRPr="001E50CC" w:rsidRDefault="001859CC" w:rsidP="001E50CC">
      <w:pPr>
        <w:spacing w:line="360" w:lineRule="auto"/>
        <w:rPr>
          <w:shd w:val="clear" w:color="auto" w:fill="FFFFFF"/>
          <w:lang w:val="en-GB"/>
        </w:rPr>
      </w:pPr>
      <w:bookmarkStart w:id="20" w:name="_Hlk68362361"/>
      <w:r w:rsidRPr="001E50CC">
        <w:rPr>
          <w:shd w:val="clear" w:color="auto" w:fill="FFFFFF"/>
          <w:lang w:val="en-GB"/>
        </w:rPr>
        <w:t>Assensoh-Kodua, A., 2019</w:t>
      </w:r>
      <w:bookmarkEnd w:id="20"/>
      <w:r w:rsidRPr="001E50CC">
        <w:rPr>
          <w:shd w:val="clear" w:color="auto" w:fill="FFFFFF"/>
          <w:lang w:val="en-GB"/>
        </w:rPr>
        <w:t>. The resource-based view: a tool of key competency for competitive advantage. </w:t>
      </w:r>
      <w:r w:rsidRPr="001E50CC">
        <w:rPr>
          <w:i/>
          <w:iCs/>
          <w:shd w:val="clear" w:color="auto" w:fill="FFFFFF"/>
          <w:lang w:val="en-GB"/>
        </w:rPr>
        <w:t>Management</w:t>
      </w:r>
      <w:r w:rsidRPr="001E50CC">
        <w:rPr>
          <w:shd w:val="clear" w:color="auto" w:fill="FFFFFF"/>
          <w:lang w:val="en-GB"/>
        </w:rPr>
        <w:t>, </w:t>
      </w:r>
      <w:r w:rsidRPr="001E50CC">
        <w:rPr>
          <w:i/>
          <w:iCs/>
          <w:shd w:val="clear" w:color="auto" w:fill="FFFFFF"/>
          <w:lang w:val="en-GB"/>
        </w:rPr>
        <w:t>17</w:t>
      </w:r>
      <w:r w:rsidRPr="001E50CC">
        <w:rPr>
          <w:shd w:val="clear" w:color="auto" w:fill="FFFFFF"/>
          <w:lang w:val="en-GB"/>
        </w:rPr>
        <w:t>(3), pp.143-152.</w:t>
      </w:r>
    </w:p>
    <w:p w:rsidR="001859CC" w:rsidRPr="001E50CC" w:rsidRDefault="001859CC" w:rsidP="001E50CC">
      <w:pPr>
        <w:spacing w:line="360" w:lineRule="auto"/>
        <w:rPr>
          <w:shd w:val="clear" w:color="auto" w:fill="FFFFFF"/>
          <w:lang w:val="en-GB"/>
        </w:rPr>
      </w:pPr>
      <w:r w:rsidRPr="001E50CC">
        <w:rPr>
          <w:shd w:val="clear" w:color="auto" w:fill="FFFFFF"/>
          <w:lang w:val="en-GB"/>
        </w:rPr>
        <w:t>Balestra, G., 2017. Strategic product portfolio management: a focus on the bio-pharmaceutical sector and Roche.</w:t>
      </w:r>
    </w:p>
    <w:p w:rsidR="001E50CC" w:rsidRPr="001E50CC" w:rsidRDefault="001E50CC" w:rsidP="001E50CC">
      <w:pPr>
        <w:spacing w:line="360" w:lineRule="auto"/>
        <w:rPr>
          <w:shd w:val="clear" w:color="auto" w:fill="FFFFFF"/>
          <w:lang w:val="en-GB"/>
        </w:rPr>
      </w:pPr>
      <w:r w:rsidRPr="001E50CC">
        <w:rPr>
          <w:shd w:val="clear" w:color="auto" w:fill="FFFFFF"/>
          <w:lang w:val="en-GB"/>
        </w:rPr>
        <w:t>Bindra, S., Parameswar, N. and Dhir, S., 2019. Strategic management: The evolution of the field. </w:t>
      </w:r>
      <w:r w:rsidRPr="001E50CC">
        <w:rPr>
          <w:i/>
          <w:iCs/>
          <w:shd w:val="clear" w:color="auto" w:fill="FFFFFF"/>
          <w:lang w:val="en-GB"/>
        </w:rPr>
        <w:t>Strategic Change</w:t>
      </w:r>
      <w:r w:rsidRPr="001E50CC">
        <w:rPr>
          <w:shd w:val="clear" w:color="auto" w:fill="FFFFFF"/>
          <w:lang w:val="en-GB"/>
        </w:rPr>
        <w:t>, </w:t>
      </w:r>
      <w:r w:rsidRPr="001E50CC">
        <w:rPr>
          <w:i/>
          <w:iCs/>
          <w:shd w:val="clear" w:color="auto" w:fill="FFFFFF"/>
          <w:lang w:val="en-GB"/>
        </w:rPr>
        <w:t>28</w:t>
      </w:r>
      <w:r w:rsidRPr="001E50CC">
        <w:rPr>
          <w:shd w:val="clear" w:color="auto" w:fill="FFFFFF"/>
          <w:lang w:val="en-GB"/>
        </w:rPr>
        <w:t>(6), pp.469-478.</w:t>
      </w:r>
    </w:p>
    <w:p w:rsidR="001859CC" w:rsidRPr="001E50CC" w:rsidRDefault="001859CC" w:rsidP="001E50CC">
      <w:pPr>
        <w:spacing w:line="360" w:lineRule="auto"/>
        <w:rPr>
          <w:lang w:val="en-GB"/>
        </w:rPr>
      </w:pPr>
      <w:r w:rsidRPr="001E50CC">
        <w:rPr>
          <w:lang w:val="en-GB"/>
        </w:rPr>
        <w:t>DiMasi, J.A., 2018. Assessing pharmaceutical research and development costs. </w:t>
      </w:r>
      <w:r w:rsidRPr="001E50CC">
        <w:rPr>
          <w:i/>
          <w:iCs/>
          <w:lang w:val="en-GB"/>
        </w:rPr>
        <w:t>JAMA internal medicine</w:t>
      </w:r>
      <w:r w:rsidRPr="001E50CC">
        <w:rPr>
          <w:lang w:val="en-GB"/>
        </w:rPr>
        <w:t>, </w:t>
      </w:r>
      <w:r w:rsidRPr="001E50CC">
        <w:rPr>
          <w:i/>
          <w:iCs/>
          <w:lang w:val="en-GB"/>
        </w:rPr>
        <w:t>178</w:t>
      </w:r>
      <w:r w:rsidRPr="001E50CC">
        <w:rPr>
          <w:lang w:val="en-GB"/>
        </w:rPr>
        <w:t>(4), pp.587-587.</w:t>
      </w:r>
    </w:p>
    <w:p w:rsidR="001859CC" w:rsidRPr="001E50CC" w:rsidRDefault="001859CC" w:rsidP="001E50CC">
      <w:pPr>
        <w:spacing w:line="360" w:lineRule="auto"/>
        <w:rPr>
          <w:lang w:val="en-GB"/>
        </w:rPr>
      </w:pPr>
      <w:r w:rsidRPr="001E50CC">
        <w:rPr>
          <w:lang w:val="en-GB"/>
        </w:rPr>
        <w:t>Dinçer, H., Yüksel, S. and Şenel, S., 2018. Analyzing the global risks for the financial crisis after the great depression using comparative hybrid hesitant fuzzy decision-making models: policy recommendations for sustainable economic growth. </w:t>
      </w:r>
      <w:r w:rsidRPr="001E50CC">
        <w:rPr>
          <w:i/>
          <w:iCs/>
          <w:lang w:val="en-GB"/>
        </w:rPr>
        <w:t>Sustainability</w:t>
      </w:r>
      <w:r w:rsidRPr="001E50CC">
        <w:rPr>
          <w:lang w:val="en-GB"/>
        </w:rPr>
        <w:t>, </w:t>
      </w:r>
      <w:r w:rsidRPr="001E50CC">
        <w:rPr>
          <w:i/>
          <w:iCs/>
          <w:lang w:val="en-GB"/>
        </w:rPr>
        <w:t>10</w:t>
      </w:r>
      <w:r w:rsidRPr="001E50CC">
        <w:rPr>
          <w:lang w:val="en-GB"/>
        </w:rPr>
        <w:t>(9), p.3126.</w:t>
      </w:r>
    </w:p>
    <w:p w:rsidR="001859CC" w:rsidRPr="001E50CC" w:rsidRDefault="001859CC" w:rsidP="001E50CC">
      <w:pPr>
        <w:spacing w:line="360" w:lineRule="auto"/>
        <w:rPr>
          <w:shd w:val="clear" w:color="auto" w:fill="FFFFFF"/>
          <w:lang w:val="en-GB"/>
        </w:rPr>
      </w:pPr>
      <w:bookmarkStart w:id="21" w:name="_Hlk68361841"/>
      <w:r w:rsidRPr="001E50CC">
        <w:rPr>
          <w:shd w:val="clear" w:color="auto" w:fill="FFFFFF"/>
          <w:lang w:val="en-GB"/>
        </w:rPr>
        <w:t>Du, Q. and Yu, X., 2017</w:t>
      </w:r>
      <w:bookmarkEnd w:id="21"/>
      <w:r w:rsidRPr="001E50CC">
        <w:rPr>
          <w:shd w:val="clear" w:color="auto" w:fill="FFFFFF"/>
          <w:lang w:val="en-GB"/>
        </w:rPr>
        <w:t>, November. Research on Diversification Optimization of Investment Business of A State-owned Company in Corps-Based on BCG Matrix. In </w:t>
      </w:r>
      <w:r w:rsidRPr="001E50CC">
        <w:rPr>
          <w:i/>
          <w:iCs/>
          <w:shd w:val="clear" w:color="auto" w:fill="FFFFFF"/>
          <w:lang w:val="en-GB"/>
        </w:rPr>
        <w:t>2nd International Conference on Education Technology and Economic Management (ICETEM 2017)</w:t>
      </w:r>
      <w:r w:rsidRPr="001E50CC">
        <w:rPr>
          <w:shd w:val="clear" w:color="auto" w:fill="FFFFFF"/>
          <w:lang w:val="en-GB"/>
        </w:rPr>
        <w:t> (pp. 169-172). Atlantis Press.</w:t>
      </w:r>
    </w:p>
    <w:p w:rsidR="001859CC" w:rsidRPr="001E50CC" w:rsidRDefault="001859CC" w:rsidP="001E50CC">
      <w:pPr>
        <w:spacing w:line="360" w:lineRule="auto"/>
        <w:rPr>
          <w:shd w:val="clear" w:color="auto" w:fill="FFFFFF"/>
          <w:lang w:val="en-GB"/>
        </w:rPr>
      </w:pPr>
      <w:r w:rsidRPr="001E50CC">
        <w:rPr>
          <w:shd w:val="clear" w:color="auto" w:fill="FFFFFF"/>
          <w:lang w:val="en-GB"/>
        </w:rPr>
        <w:t>Dubey, R., Gunasekaran, A., Childe, S.J., Blome, C. and Papadopoulos, T., 2019. Big data and predictive analytics and manufacturing performance: integrating institutional theory, resource</w:t>
      </w:r>
      <w:r w:rsidRPr="001E50CC">
        <w:rPr>
          <w:rFonts w:ascii="Cambria Math" w:hAnsi="Cambria Math" w:cs="Cambria Math"/>
          <w:shd w:val="clear" w:color="auto" w:fill="FFFFFF"/>
          <w:lang w:val="en-GB"/>
        </w:rPr>
        <w:t>‐</w:t>
      </w:r>
      <w:r w:rsidRPr="001E50CC">
        <w:rPr>
          <w:shd w:val="clear" w:color="auto" w:fill="FFFFFF"/>
          <w:lang w:val="en-GB"/>
        </w:rPr>
        <w:t>based view and big data culture. </w:t>
      </w:r>
      <w:r w:rsidRPr="001E50CC">
        <w:rPr>
          <w:i/>
          <w:iCs/>
          <w:shd w:val="clear" w:color="auto" w:fill="FFFFFF"/>
          <w:lang w:val="en-GB"/>
        </w:rPr>
        <w:t>British Journal of Management</w:t>
      </w:r>
      <w:r w:rsidRPr="001E50CC">
        <w:rPr>
          <w:shd w:val="clear" w:color="auto" w:fill="FFFFFF"/>
          <w:lang w:val="en-GB"/>
        </w:rPr>
        <w:t>, </w:t>
      </w:r>
      <w:r w:rsidRPr="001E50CC">
        <w:rPr>
          <w:i/>
          <w:iCs/>
          <w:shd w:val="clear" w:color="auto" w:fill="FFFFFF"/>
          <w:lang w:val="en-GB"/>
        </w:rPr>
        <w:t>30</w:t>
      </w:r>
      <w:r w:rsidRPr="001E50CC">
        <w:rPr>
          <w:shd w:val="clear" w:color="auto" w:fill="FFFFFF"/>
          <w:lang w:val="en-GB"/>
        </w:rPr>
        <w:t>(2), pp.341-361.</w:t>
      </w:r>
    </w:p>
    <w:p w:rsidR="001859CC" w:rsidRPr="001E50CC" w:rsidRDefault="001859CC" w:rsidP="001E50CC">
      <w:pPr>
        <w:spacing w:line="360" w:lineRule="auto"/>
        <w:rPr>
          <w:shd w:val="clear" w:color="auto" w:fill="FFFFFF"/>
          <w:lang w:val="en-GB"/>
        </w:rPr>
      </w:pPr>
      <w:r w:rsidRPr="001E50CC">
        <w:rPr>
          <w:shd w:val="clear" w:color="auto" w:fill="FFFFFF"/>
          <w:lang w:val="en-GB"/>
        </w:rPr>
        <w:t>Dwojak, A., 2020. The role of strategic analysis in shaping the conditions for, and the range of, cooperation between business entities. </w:t>
      </w:r>
      <w:r w:rsidRPr="001E50CC">
        <w:rPr>
          <w:i/>
          <w:iCs/>
          <w:shd w:val="clear" w:color="auto" w:fill="FFFFFF"/>
          <w:lang w:val="en-GB"/>
        </w:rPr>
        <w:t>Economic and Regional Studies (Studia EkonomiczneiRegionalne)</w:t>
      </w:r>
      <w:r w:rsidRPr="001E50CC">
        <w:rPr>
          <w:shd w:val="clear" w:color="auto" w:fill="FFFFFF"/>
          <w:lang w:val="en-GB"/>
        </w:rPr>
        <w:t>, </w:t>
      </w:r>
      <w:r w:rsidRPr="001E50CC">
        <w:rPr>
          <w:i/>
          <w:iCs/>
          <w:shd w:val="clear" w:color="auto" w:fill="FFFFFF"/>
          <w:lang w:val="en-GB"/>
        </w:rPr>
        <w:t>13</w:t>
      </w:r>
      <w:r w:rsidRPr="001E50CC">
        <w:rPr>
          <w:shd w:val="clear" w:color="auto" w:fill="FFFFFF"/>
          <w:lang w:val="en-GB"/>
        </w:rPr>
        <w:t>(673-2020-1719), pp.250-263.</w:t>
      </w:r>
    </w:p>
    <w:p w:rsidR="001859CC" w:rsidRPr="001E50CC" w:rsidRDefault="001859CC" w:rsidP="001E50CC">
      <w:pPr>
        <w:spacing w:line="360" w:lineRule="auto"/>
        <w:rPr>
          <w:lang w:val="en-GB"/>
        </w:rPr>
      </w:pPr>
      <w:r w:rsidRPr="001E50CC">
        <w:rPr>
          <w:lang w:val="en-GB"/>
        </w:rPr>
        <w:lastRenderedPageBreak/>
        <w:t xml:space="preserve">Gsk. 2020. </w:t>
      </w:r>
      <w:r w:rsidRPr="001E50CC">
        <w:rPr>
          <w:i/>
          <w:lang w:val="en-GB"/>
        </w:rPr>
        <w:t>Annual Report 2020</w:t>
      </w:r>
      <w:r w:rsidRPr="001E50CC">
        <w:rPr>
          <w:lang w:val="en-GB"/>
        </w:rPr>
        <w:t>. [online] Available at: &lt;https://www.gsk.com/en-gb/investors/corporate-reporting/annual-report-2020/&gt; [Accessed 3 April 2021]</w:t>
      </w:r>
    </w:p>
    <w:p w:rsidR="001859CC" w:rsidRPr="001E50CC" w:rsidRDefault="001859CC" w:rsidP="001E50CC">
      <w:pPr>
        <w:spacing w:line="360" w:lineRule="auto"/>
        <w:rPr>
          <w:lang w:val="en-GB"/>
        </w:rPr>
      </w:pPr>
      <w:r w:rsidRPr="001E50CC">
        <w:rPr>
          <w:lang w:val="en-GB"/>
        </w:rPr>
        <w:t xml:space="preserve">Gsk. 2020. </w:t>
      </w:r>
      <w:r w:rsidRPr="001E50CC">
        <w:rPr>
          <w:i/>
          <w:lang w:val="en-GB"/>
        </w:rPr>
        <w:t>Our history</w:t>
      </w:r>
      <w:r w:rsidRPr="001E50CC">
        <w:rPr>
          <w:lang w:val="en-GB"/>
        </w:rPr>
        <w:t>. [online] Available at: &lt;https://www.gsk.com/en-gb/about-us/our-history/&gt; [Accessed 3 April 2021]</w:t>
      </w:r>
    </w:p>
    <w:p w:rsidR="001859CC" w:rsidRPr="001E50CC" w:rsidRDefault="001859CC" w:rsidP="001E50CC">
      <w:pPr>
        <w:spacing w:line="360" w:lineRule="auto"/>
        <w:rPr>
          <w:shd w:val="clear" w:color="auto" w:fill="FFFFFF"/>
          <w:lang w:val="en-GB"/>
        </w:rPr>
      </w:pPr>
      <w:r w:rsidRPr="001E50CC">
        <w:rPr>
          <w:shd w:val="clear" w:color="auto" w:fill="FFFFFF"/>
          <w:lang w:val="en-GB"/>
        </w:rPr>
        <w:t>Hensmans, M., 2019. A new matrix for building platform portfolios: how companies can sustain their leadership. </w:t>
      </w:r>
      <w:r w:rsidRPr="001E50CC">
        <w:rPr>
          <w:i/>
          <w:iCs/>
          <w:shd w:val="clear" w:color="auto" w:fill="FFFFFF"/>
          <w:lang w:val="en-GB"/>
        </w:rPr>
        <w:t>Journal of Business Strategy</w:t>
      </w:r>
      <w:r w:rsidRPr="001E50CC">
        <w:rPr>
          <w:shd w:val="clear" w:color="auto" w:fill="FFFFFF"/>
          <w:lang w:val="en-GB"/>
        </w:rPr>
        <w:t>.</w:t>
      </w:r>
    </w:p>
    <w:p w:rsidR="001859CC" w:rsidRPr="001E50CC" w:rsidRDefault="001859CC" w:rsidP="001E50CC">
      <w:pPr>
        <w:spacing w:line="360" w:lineRule="auto"/>
        <w:rPr>
          <w:shd w:val="clear" w:color="auto" w:fill="FFFFFF"/>
          <w:lang w:val="en-GB"/>
        </w:rPr>
      </w:pPr>
      <w:r w:rsidRPr="001E50CC">
        <w:rPr>
          <w:shd w:val="clear" w:color="auto" w:fill="FFFFFF"/>
          <w:lang w:val="en-GB"/>
        </w:rPr>
        <w:t>Hossain, H. and Kader, M.A., 2020. An Analysis on BCG Growth Sharing Matrix. </w:t>
      </w:r>
      <w:r w:rsidRPr="001E50CC">
        <w:rPr>
          <w:i/>
          <w:iCs/>
          <w:shd w:val="clear" w:color="auto" w:fill="FFFFFF"/>
          <w:lang w:val="en-GB"/>
        </w:rPr>
        <w:t>International Journal of Contemporary Research and Review</w:t>
      </w:r>
      <w:r w:rsidRPr="001E50CC">
        <w:rPr>
          <w:shd w:val="clear" w:color="auto" w:fill="FFFFFF"/>
          <w:lang w:val="en-GB"/>
        </w:rPr>
        <w:t>, </w:t>
      </w:r>
      <w:r w:rsidRPr="001E50CC">
        <w:rPr>
          <w:i/>
          <w:iCs/>
          <w:shd w:val="clear" w:color="auto" w:fill="FFFFFF"/>
          <w:lang w:val="en-GB"/>
        </w:rPr>
        <w:t>11</w:t>
      </w:r>
      <w:r w:rsidRPr="001E50CC">
        <w:rPr>
          <w:shd w:val="clear" w:color="auto" w:fill="FFFFFF"/>
          <w:lang w:val="en-GB"/>
        </w:rPr>
        <w:t>(10).</w:t>
      </w:r>
    </w:p>
    <w:p w:rsidR="001859CC" w:rsidRPr="001E50CC" w:rsidRDefault="001859CC" w:rsidP="001E50CC">
      <w:pPr>
        <w:spacing w:line="360" w:lineRule="auto"/>
        <w:rPr>
          <w:lang w:val="en-GB"/>
        </w:rPr>
      </w:pPr>
      <w:r w:rsidRPr="001E50CC">
        <w:rPr>
          <w:lang w:val="en-GB"/>
        </w:rPr>
        <w:t>Jung, K., Everson, R.J.C., Joshi, B., Bulsara, P.A., Upasani, R. and Clarke, M.J., 2017. Structure‐function relationship of phenolic antioxidants in topical skin health products. </w:t>
      </w:r>
      <w:r w:rsidRPr="001E50CC">
        <w:rPr>
          <w:i/>
          <w:iCs/>
          <w:lang w:val="en-GB"/>
        </w:rPr>
        <w:t>International Journal of Cosmetic Science</w:t>
      </w:r>
      <w:r w:rsidRPr="001E50CC">
        <w:rPr>
          <w:lang w:val="en-GB"/>
        </w:rPr>
        <w:t>, </w:t>
      </w:r>
      <w:r w:rsidRPr="001E50CC">
        <w:rPr>
          <w:i/>
          <w:iCs/>
          <w:lang w:val="en-GB"/>
        </w:rPr>
        <w:t>39</w:t>
      </w:r>
      <w:r w:rsidRPr="001E50CC">
        <w:rPr>
          <w:lang w:val="en-GB"/>
        </w:rPr>
        <w:t>(2), pp.217-223.</w:t>
      </w:r>
    </w:p>
    <w:p w:rsidR="001859CC" w:rsidRPr="001E50CC" w:rsidRDefault="001859CC" w:rsidP="001E50CC">
      <w:pPr>
        <w:spacing w:line="360" w:lineRule="auto"/>
        <w:rPr>
          <w:lang w:val="en-GB"/>
        </w:rPr>
      </w:pPr>
      <w:r w:rsidRPr="001E50CC">
        <w:rPr>
          <w:lang w:val="en-GB"/>
        </w:rPr>
        <w:t>Karnon, J., Edney, L. and Afzali, H., 2018. The political economy of the assessment of value of new health technologies. </w:t>
      </w:r>
      <w:r w:rsidRPr="001E50CC">
        <w:rPr>
          <w:i/>
          <w:iCs/>
          <w:lang w:val="en-GB"/>
        </w:rPr>
        <w:t>Journal of health services research &amp; policy</w:t>
      </w:r>
      <w:r w:rsidRPr="001E50CC">
        <w:rPr>
          <w:lang w:val="en-GB"/>
        </w:rPr>
        <w:t>, </w:t>
      </w:r>
      <w:r w:rsidRPr="001E50CC">
        <w:rPr>
          <w:i/>
          <w:iCs/>
          <w:lang w:val="en-GB"/>
        </w:rPr>
        <w:t>23</w:t>
      </w:r>
      <w:r w:rsidRPr="001E50CC">
        <w:rPr>
          <w:lang w:val="en-GB"/>
        </w:rPr>
        <w:t>(2), pp.116-122.</w:t>
      </w:r>
    </w:p>
    <w:p w:rsidR="001859CC" w:rsidRPr="001E50CC" w:rsidRDefault="001859CC" w:rsidP="001E50CC">
      <w:pPr>
        <w:spacing w:line="360" w:lineRule="auto"/>
        <w:rPr>
          <w:shd w:val="clear" w:color="auto" w:fill="FFFFFF"/>
          <w:lang w:val="en-GB"/>
        </w:rPr>
      </w:pPr>
      <w:r w:rsidRPr="001E50CC">
        <w:rPr>
          <w:shd w:val="clear" w:color="auto" w:fill="FFFFFF"/>
          <w:lang w:val="en-GB"/>
        </w:rPr>
        <w:t>Kelecom, B., Blome, C. and Florentin, A., " Development of a two-stages supplier base reduction process: a practical analysis of the applicability of the model to GSK global operations procurement.</w:t>
      </w:r>
    </w:p>
    <w:p w:rsidR="001859CC" w:rsidRPr="001E50CC" w:rsidRDefault="001859CC" w:rsidP="001E50CC">
      <w:pPr>
        <w:spacing w:line="360" w:lineRule="auto"/>
        <w:rPr>
          <w:lang w:val="en-GB"/>
        </w:rPr>
      </w:pPr>
      <w:r w:rsidRPr="001E50CC">
        <w:rPr>
          <w:lang w:val="en-GB"/>
        </w:rPr>
        <w:t>Kumar, B.R., 2019. GlaxoSmithKline Merger. In </w:t>
      </w:r>
      <w:r w:rsidRPr="001E50CC">
        <w:rPr>
          <w:i/>
          <w:iCs/>
          <w:lang w:val="en-GB"/>
        </w:rPr>
        <w:t>Wealth Creation in the World’s Largest Mergers and Acquisitions</w:t>
      </w:r>
      <w:r w:rsidRPr="001E50CC">
        <w:rPr>
          <w:lang w:val="en-GB"/>
        </w:rPr>
        <w:t> (pp. 137-145). Springer, Cham.</w:t>
      </w:r>
    </w:p>
    <w:p w:rsidR="001859CC" w:rsidRPr="001E50CC" w:rsidRDefault="001859CC" w:rsidP="001E50CC">
      <w:pPr>
        <w:spacing w:line="360" w:lineRule="auto"/>
        <w:rPr>
          <w:lang w:val="en-GB"/>
        </w:rPr>
      </w:pPr>
      <w:r w:rsidRPr="001E50CC">
        <w:rPr>
          <w:lang w:val="en-GB"/>
        </w:rPr>
        <w:t>Lakdawalla, D.N., 2018. Economics of the pharmaceutical industry. </w:t>
      </w:r>
      <w:r w:rsidRPr="001E50CC">
        <w:rPr>
          <w:i/>
          <w:iCs/>
          <w:lang w:val="en-GB"/>
        </w:rPr>
        <w:t>Journal of Economic Literature</w:t>
      </w:r>
      <w:r w:rsidRPr="001E50CC">
        <w:rPr>
          <w:lang w:val="en-GB"/>
        </w:rPr>
        <w:t>, </w:t>
      </w:r>
      <w:r w:rsidRPr="001E50CC">
        <w:rPr>
          <w:i/>
          <w:iCs/>
          <w:lang w:val="en-GB"/>
        </w:rPr>
        <w:t>56</w:t>
      </w:r>
      <w:r w:rsidRPr="001E50CC">
        <w:rPr>
          <w:lang w:val="en-GB"/>
        </w:rPr>
        <w:t>(2), pp.397-449.</w:t>
      </w:r>
    </w:p>
    <w:p w:rsidR="001859CC" w:rsidRPr="001E50CC" w:rsidRDefault="001859CC" w:rsidP="001E50CC">
      <w:pPr>
        <w:spacing w:line="360" w:lineRule="auto"/>
        <w:rPr>
          <w:shd w:val="clear" w:color="auto" w:fill="FFFFFF"/>
          <w:lang w:val="en-GB"/>
        </w:rPr>
      </w:pPr>
      <w:bookmarkStart w:id="22" w:name="_Hlk68361580"/>
      <w:r w:rsidRPr="001E50CC">
        <w:rPr>
          <w:shd w:val="clear" w:color="auto" w:fill="FFFFFF"/>
          <w:lang w:val="en-GB"/>
        </w:rPr>
        <w:t>Longwe, B. and Sakyi, K., 2020</w:t>
      </w:r>
      <w:bookmarkEnd w:id="22"/>
      <w:r w:rsidRPr="001E50CC">
        <w:rPr>
          <w:shd w:val="clear" w:color="auto" w:fill="FFFFFF"/>
          <w:lang w:val="en-GB"/>
        </w:rPr>
        <w:t>. Reassessing the Core Product’s Relevance: Balancing Heritage against Modern Needs.</w:t>
      </w:r>
    </w:p>
    <w:p w:rsidR="001859CC" w:rsidRPr="001E50CC" w:rsidRDefault="001859CC" w:rsidP="001E50CC">
      <w:pPr>
        <w:spacing w:line="360" w:lineRule="auto"/>
        <w:rPr>
          <w:shd w:val="clear" w:color="auto" w:fill="FFFFFF"/>
          <w:lang w:val="en-GB"/>
        </w:rPr>
      </w:pPr>
      <w:r w:rsidRPr="001E50CC">
        <w:rPr>
          <w:shd w:val="clear" w:color="auto" w:fill="FFFFFF"/>
          <w:lang w:val="en-GB"/>
        </w:rPr>
        <w:t>Loredana, E.M., 2017. The use of Ansoff matrix in the field of business. </w:t>
      </w:r>
      <w:r w:rsidRPr="001E50CC">
        <w:rPr>
          <w:i/>
          <w:iCs/>
          <w:shd w:val="clear" w:color="auto" w:fill="FFFFFF"/>
          <w:lang w:val="en-GB"/>
        </w:rPr>
        <w:t>Annals-Economy Series</w:t>
      </w:r>
      <w:r w:rsidRPr="001E50CC">
        <w:rPr>
          <w:shd w:val="clear" w:color="auto" w:fill="FFFFFF"/>
          <w:lang w:val="en-GB"/>
        </w:rPr>
        <w:t>, </w:t>
      </w:r>
      <w:r w:rsidRPr="001E50CC">
        <w:rPr>
          <w:i/>
          <w:iCs/>
          <w:shd w:val="clear" w:color="auto" w:fill="FFFFFF"/>
          <w:lang w:val="en-GB"/>
        </w:rPr>
        <w:t>2</w:t>
      </w:r>
      <w:r w:rsidRPr="001E50CC">
        <w:rPr>
          <w:shd w:val="clear" w:color="auto" w:fill="FFFFFF"/>
          <w:lang w:val="en-GB"/>
        </w:rPr>
        <w:t>, pp.141-149.</w:t>
      </w:r>
    </w:p>
    <w:p w:rsidR="001859CC" w:rsidRPr="001E50CC" w:rsidRDefault="001859CC" w:rsidP="001E50CC">
      <w:pPr>
        <w:spacing w:line="360" w:lineRule="auto"/>
        <w:rPr>
          <w:lang w:val="en-GB"/>
        </w:rPr>
      </w:pPr>
      <w:r w:rsidRPr="001E50CC">
        <w:rPr>
          <w:lang w:val="en-GB"/>
        </w:rPr>
        <w:t xml:space="preserve">Lynch, R.L. 2015. </w:t>
      </w:r>
      <w:r w:rsidRPr="001E50CC">
        <w:rPr>
          <w:i/>
          <w:lang w:val="en-GB"/>
        </w:rPr>
        <w:t>Strategic Management</w:t>
      </w:r>
      <w:r w:rsidRPr="001E50CC">
        <w:rPr>
          <w:lang w:val="en-GB"/>
        </w:rPr>
        <w:t>. London: Pearson.</w:t>
      </w:r>
    </w:p>
    <w:p w:rsidR="001859CC" w:rsidRPr="001E50CC" w:rsidRDefault="001859CC" w:rsidP="001E50CC">
      <w:pPr>
        <w:spacing w:line="360" w:lineRule="auto"/>
        <w:rPr>
          <w:lang w:val="en-GB"/>
        </w:rPr>
      </w:pPr>
      <w:r w:rsidRPr="001E50CC">
        <w:rPr>
          <w:lang w:val="en-GB"/>
        </w:rPr>
        <w:lastRenderedPageBreak/>
        <w:t xml:space="preserve">Mikulic, M. 2020. </w:t>
      </w:r>
      <w:r w:rsidRPr="001E50CC">
        <w:rPr>
          <w:i/>
          <w:lang w:val="en-GB"/>
        </w:rPr>
        <w:t>Leading pharmaceutical companies in the United Kingdom (UK) in 2018, by market share</w:t>
      </w:r>
      <w:r w:rsidRPr="001E50CC">
        <w:rPr>
          <w:lang w:val="en-GB"/>
        </w:rPr>
        <w:t>. [online] Statitsa. Available at: &lt;https://www.statista.com/statistics/956282/leading-pharmaceutical-companies-market-share-united-kingdom-uk/&gt; [Accessed 3 April 2021]</w:t>
      </w:r>
    </w:p>
    <w:p w:rsidR="001859CC" w:rsidRPr="001E50CC" w:rsidRDefault="001859CC" w:rsidP="001E50CC">
      <w:pPr>
        <w:spacing w:line="360" w:lineRule="auto"/>
        <w:rPr>
          <w:lang w:val="en-GB"/>
        </w:rPr>
      </w:pPr>
      <w:r w:rsidRPr="001E50CC">
        <w:rPr>
          <w:lang w:val="en-GB"/>
        </w:rPr>
        <w:t xml:space="preserve">Mikulic, M. 2021. </w:t>
      </w:r>
      <w:r w:rsidRPr="001E50CC">
        <w:rPr>
          <w:i/>
          <w:lang w:val="en-GB"/>
        </w:rPr>
        <w:t>GlaxoSmithKline's revenue from 2006 to 2020, by division</w:t>
      </w:r>
      <w:r w:rsidRPr="001E50CC">
        <w:rPr>
          <w:lang w:val="en-GB"/>
        </w:rPr>
        <w:t>. [online] Statista. Available at: &lt;https://www.statista.com/statistics/266311/glaxosmithklines-revenue-by-division-since-2006/&gt; [Accessed 3 April 2021]</w:t>
      </w:r>
    </w:p>
    <w:p w:rsidR="001859CC" w:rsidRPr="001E50CC" w:rsidRDefault="001859CC" w:rsidP="001E50CC">
      <w:pPr>
        <w:spacing w:line="360" w:lineRule="auto"/>
        <w:rPr>
          <w:lang w:val="en-GB"/>
        </w:rPr>
      </w:pPr>
      <w:r w:rsidRPr="001E50CC">
        <w:rPr>
          <w:lang w:val="en-GB"/>
        </w:rPr>
        <w:t xml:space="preserve">Mikulic, M. 2021. </w:t>
      </w:r>
      <w:r w:rsidRPr="001E50CC">
        <w:rPr>
          <w:i/>
          <w:lang w:val="en-GB"/>
        </w:rPr>
        <w:t>GlaxoSmithKline's revenue from 2006 to 2020</w:t>
      </w:r>
      <w:r w:rsidRPr="001E50CC">
        <w:rPr>
          <w:lang w:val="en-GB"/>
        </w:rPr>
        <w:t>. [online] Statista. Available at: &lt;https://www.statista.com/statistics/266297/glaxosmithkline-revenue-since-2006/&gt; [Accessed 3 April 2021]</w:t>
      </w:r>
    </w:p>
    <w:p w:rsidR="001859CC" w:rsidRPr="001E50CC" w:rsidRDefault="001859CC" w:rsidP="001E50CC">
      <w:pPr>
        <w:spacing w:line="360" w:lineRule="auto"/>
        <w:rPr>
          <w:lang w:val="en-GB"/>
        </w:rPr>
      </w:pPr>
      <w:r w:rsidRPr="001E50CC">
        <w:rPr>
          <w:lang w:val="en-GB"/>
        </w:rPr>
        <w:t>Minford, P., 2019. </w:t>
      </w:r>
      <w:r w:rsidRPr="001E50CC">
        <w:rPr>
          <w:i/>
          <w:iCs/>
          <w:lang w:val="en-GB"/>
        </w:rPr>
        <w:t>The effects of Brexit on the UK economy</w:t>
      </w:r>
      <w:r w:rsidRPr="001E50CC">
        <w:rPr>
          <w:lang w:val="en-GB"/>
        </w:rPr>
        <w:t> (No. E2019/1). Cardiff Economics Working Papers.</w:t>
      </w:r>
    </w:p>
    <w:p w:rsidR="001859CC" w:rsidRPr="001E50CC" w:rsidRDefault="001859CC" w:rsidP="001E50CC">
      <w:pPr>
        <w:spacing w:line="360" w:lineRule="auto"/>
        <w:rPr>
          <w:shd w:val="clear" w:color="auto" w:fill="FFFFFF"/>
          <w:lang w:val="en-GB"/>
        </w:rPr>
      </w:pPr>
      <w:bookmarkStart w:id="23" w:name="_Hlk68361761"/>
      <w:r w:rsidRPr="001E50CC">
        <w:rPr>
          <w:shd w:val="clear" w:color="auto" w:fill="FFFFFF"/>
          <w:lang w:val="en-GB"/>
        </w:rPr>
        <w:t>Mohajan, H., 2017</w:t>
      </w:r>
      <w:bookmarkEnd w:id="23"/>
      <w:r w:rsidRPr="001E50CC">
        <w:rPr>
          <w:shd w:val="clear" w:color="auto" w:fill="FFFFFF"/>
          <w:lang w:val="en-GB"/>
        </w:rPr>
        <w:t>. An analysis on BCG Growth sharing matrix.</w:t>
      </w:r>
    </w:p>
    <w:p w:rsidR="001859CC" w:rsidRPr="001E50CC" w:rsidRDefault="001859CC" w:rsidP="001E50CC">
      <w:pPr>
        <w:spacing w:line="360" w:lineRule="auto"/>
        <w:rPr>
          <w:shd w:val="clear" w:color="auto" w:fill="FFFFFF"/>
          <w:lang w:val="en-GB"/>
        </w:rPr>
      </w:pPr>
      <w:r w:rsidRPr="001E50CC">
        <w:rPr>
          <w:shd w:val="clear" w:color="auto" w:fill="FFFFFF"/>
          <w:lang w:val="en-GB"/>
        </w:rPr>
        <w:t>Mohamed, H.A., Strategic Planning Practices: A Key Success of Organization Growth and Development (A Case Study of Dal Group Company Ltd).</w:t>
      </w:r>
    </w:p>
    <w:p w:rsidR="001859CC" w:rsidRPr="001E50CC" w:rsidRDefault="001859CC" w:rsidP="001E50CC">
      <w:pPr>
        <w:spacing w:line="360" w:lineRule="auto"/>
        <w:rPr>
          <w:shd w:val="clear" w:color="auto" w:fill="FFFFFF"/>
          <w:lang w:val="en-GB"/>
        </w:rPr>
      </w:pPr>
      <w:r w:rsidRPr="001E50CC">
        <w:rPr>
          <w:shd w:val="clear" w:color="auto" w:fill="FFFFFF"/>
          <w:lang w:val="en-GB"/>
        </w:rPr>
        <w:t>Morais, F., Kakabadse, A. and Kakabadse, N., 2020. Leading through discontinuous change: A typology of problems and leadership approaches in UK boards. </w:t>
      </w:r>
      <w:r w:rsidRPr="001E50CC">
        <w:rPr>
          <w:i/>
          <w:iCs/>
          <w:shd w:val="clear" w:color="auto" w:fill="FFFFFF"/>
          <w:lang w:val="en-GB"/>
        </w:rPr>
        <w:t>Long Range Planning</w:t>
      </w:r>
      <w:r w:rsidRPr="001E50CC">
        <w:rPr>
          <w:shd w:val="clear" w:color="auto" w:fill="FFFFFF"/>
          <w:lang w:val="en-GB"/>
        </w:rPr>
        <w:t>, </w:t>
      </w:r>
      <w:r w:rsidRPr="001E50CC">
        <w:rPr>
          <w:i/>
          <w:iCs/>
          <w:shd w:val="clear" w:color="auto" w:fill="FFFFFF"/>
          <w:lang w:val="en-GB"/>
        </w:rPr>
        <w:t>53</w:t>
      </w:r>
      <w:r w:rsidRPr="001E50CC">
        <w:rPr>
          <w:shd w:val="clear" w:color="auto" w:fill="FFFFFF"/>
          <w:lang w:val="en-GB"/>
        </w:rPr>
        <w:t>(2), p.101870.</w:t>
      </w:r>
    </w:p>
    <w:p w:rsidR="001859CC" w:rsidRPr="001E50CC" w:rsidRDefault="001859CC" w:rsidP="001E50CC">
      <w:pPr>
        <w:spacing w:line="360" w:lineRule="auto"/>
        <w:rPr>
          <w:lang w:val="en-GB"/>
        </w:rPr>
      </w:pPr>
      <w:r w:rsidRPr="001E50CC">
        <w:rPr>
          <w:lang w:val="en-GB"/>
        </w:rPr>
        <w:t>Mullard, A., 2018. Anti-ageing pipeline starts to mature. </w:t>
      </w:r>
      <w:r w:rsidRPr="001E50CC">
        <w:rPr>
          <w:i/>
          <w:iCs/>
          <w:lang w:val="en-GB"/>
        </w:rPr>
        <w:t>Nature Reviews Drug Discovery</w:t>
      </w:r>
      <w:r w:rsidRPr="001E50CC">
        <w:rPr>
          <w:lang w:val="en-GB"/>
        </w:rPr>
        <w:t>, </w:t>
      </w:r>
      <w:r w:rsidRPr="001E50CC">
        <w:rPr>
          <w:i/>
          <w:iCs/>
          <w:lang w:val="en-GB"/>
        </w:rPr>
        <w:t>17</w:t>
      </w:r>
      <w:r w:rsidRPr="001E50CC">
        <w:rPr>
          <w:lang w:val="en-GB"/>
        </w:rPr>
        <w:t>(9), pp.609-613.</w:t>
      </w:r>
    </w:p>
    <w:p w:rsidR="001859CC" w:rsidRPr="001E50CC" w:rsidRDefault="001859CC" w:rsidP="001E50CC">
      <w:pPr>
        <w:spacing w:line="360" w:lineRule="auto"/>
        <w:rPr>
          <w:lang w:val="en-GB"/>
        </w:rPr>
      </w:pPr>
      <w:r w:rsidRPr="001E50CC">
        <w:rPr>
          <w:lang w:val="en-GB"/>
        </w:rPr>
        <w:t xml:space="preserve">O’Neill, A. 2021. </w:t>
      </w:r>
      <w:r w:rsidRPr="001E50CC">
        <w:rPr>
          <w:i/>
          <w:lang w:val="en-GB"/>
        </w:rPr>
        <w:t>United Kingdom: Inflation rate from 1985 to 2025</w:t>
      </w:r>
      <w:r w:rsidRPr="001E50CC">
        <w:rPr>
          <w:lang w:val="en-GB"/>
        </w:rPr>
        <w:t>. [online] Statista. Available at: &lt;https://www.statista.com/statistics/270384/inflation-rate-in-the-united-kingdom/&gt; [Accessed 3 April 2021]</w:t>
      </w:r>
    </w:p>
    <w:p w:rsidR="001859CC" w:rsidRPr="001E50CC" w:rsidRDefault="001859CC" w:rsidP="001E50CC">
      <w:pPr>
        <w:spacing w:line="360" w:lineRule="auto"/>
        <w:rPr>
          <w:lang w:val="en-GB"/>
        </w:rPr>
      </w:pPr>
      <w:r w:rsidRPr="001E50CC">
        <w:rPr>
          <w:lang w:val="en-GB"/>
        </w:rPr>
        <w:t xml:space="preserve">Office for National Statistics. 2017. </w:t>
      </w:r>
      <w:r w:rsidRPr="001E50CC">
        <w:rPr>
          <w:i/>
          <w:lang w:val="en-GB"/>
        </w:rPr>
        <w:t>Overview of the UK population: July 2017</w:t>
      </w:r>
      <w:r w:rsidRPr="001E50CC">
        <w:rPr>
          <w:lang w:val="en-GB"/>
        </w:rPr>
        <w:t>. [online] Available at: &lt;https://www.ons.gov.uk/peoplepopulationandcommunity/populationandmigration/populationestimates/articles/overviewoftheukpopulation/july2017&gt; [Accessed 3 April 2021]</w:t>
      </w:r>
    </w:p>
    <w:p w:rsidR="001859CC" w:rsidRPr="001E50CC" w:rsidRDefault="001859CC" w:rsidP="001E50CC">
      <w:pPr>
        <w:spacing w:line="360" w:lineRule="auto"/>
        <w:rPr>
          <w:shd w:val="clear" w:color="auto" w:fill="FFFFFF"/>
          <w:lang w:val="en-GB"/>
        </w:rPr>
      </w:pPr>
      <w:bookmarkStart w:id="24" w:name="_Hlk68362115"/>
      <w:r w:rsidRPr="001E50CC">
        <w:rPr>
          <w:shd w:val="clear" w:color="auto" w:fill="FFFFFF"/>
          <w:lang w:val="en-GB"/>
        </w:rPr>
        <w:lastRenderedPageBreak/>
        <w:t>Pervan, M., Curak, M. and PavicKramaric, T., 2018</w:t>
      </w:r>
      <w:bookmarkEnd w:id="24"/>
      <w:r w:rsidRPr="001E50CC">
        <w:rPr>
          <w:shd w:val="clear" w:color="auto" w:fill="FFFFFF"/>
          <w:lang w:val="en-GB"/>
        </w:rPr>
        <w:t>. The influence of industry characteristics and dynamic capabilities on firms’ profitability. </w:t>
      </w:r>
      <w:r w:rsidRPr="001E50CC">
        <w:rPr>
          <w:i/>
          <w:iCs/>
          <w:shd w:val="clear" w:color="auto" w:fill="FFFFFF"/>
          <w:lang w:val="en-GB"/>
        </w:rPr>
        <w:t>International Journal of Financial Studies</w:t>
      </w:r>
      <w:r w:rsidRPr="001E50CC">
        <w:rPr>
          <w:shd w:val="clear" w:color="auto" w:fill="FFFFFF"/>
          <w:lang w:val="en-GB"/>
        </w:rPr>
        <w:t>, </w:t>
      </w:r>
      <w:r w:rsidRPr="001E50CC">
        <w:rPr>
          <w:i/>
          <w:iCs/>
          <w:shd w:val="clear" w:color="auto" w:fill="FFFFFF"/>
          <w:lang w:val="en-GB"/>
        </w:rPr>
        <w:t>6</w:t>
      </w:r>
      <w:r w:rsidRPr="001E50CC">
        <w:rPr>
          <w:shd w:val="clear" w:color="auto" w:fill="FFFFFF"/>
          <w:lang w:val="en-GB"/>
        </w:rPr>
        <w:t>(1), p.4.</w:t>
      </w:r>
    </w:p>
    <w:p w:rsidR="001859CC" w:rsidRPr="001E50CC" w:rsidRDefault="001859CC" w:rsidP="001E50CC">
      <w:pPr>
        <w:spacing w:line="360" w:lineRule="auto"/>
        <w:rPr>
          <w:shd w:val="clear" w:color="auto" w:fill="FFFFFF"/>
          <w:lang w:val="en-GB"/>
        </w:rPr>
      </w:pPr>
      <w:r w:rsidRPr="001E50CC">
        <w:rPr>
          <w:shd w:val="clear" w:color="auto" w:fill="FFFFFF"/>
          <w:lang w:val="en-GB"/>
        </w:rPr>
        <w:t>Pezzutto, S., Grilli, G., Zambotti, S. and Dunjic, S., 2018. Forecasting electricity market price for end users in EU28 until 2020—Main factors of influence. </w:t>
      </w:r>
      <w:r w:rsidRPr="001E50CC">
        <w:rPr>
          <w:i/>
          <w:iCs/>
          <w:shd w:val="clear" w:color="auto" w:fill="FFFFFF"/>
          <w:lang w:val="en-GB"/>
        </w:rPr>
        <w:t>Energies</w:t>
      </w:r>
      <w:r w:rsidRPr="001E50CC">
        <w:rPr>
          <w:shd w:val="clear" w:color="auto" w:fill="FFFFFF"/>
          <w:lang w:val="en-GB"/>
        </w:rPr>
        <w:t>, </w:t>
      </w:r>
      <w:r w:rsidRPr="001E50CC">
        <w:rPr>
          <w:i/>
          <w:iCs/>
          <w:shd w:val="clear" w:color="auto" w:fill="FFFFFF"/>
          <w:lang w:val="en-GB"/>
        </w:rPr>
        <w:t>11</w:t>
      </w:r>
      <w:r w:rsidRPr="001E50CC">
        <w:rPr>
          <w:shd w:val="clear" w:color="auto" w:fill="FFFFFF"/>
          <w:lang w:val="en-GB"/>
        </w:rPr>
        <w:t>(6), p.1460.</w:t>
      </w:r>
    </w:p>
    <w:p w:rsidR="001859CC" w:rsidRPr="001E50CC" w:rsidRDefault="001859CC" w:rsidP="001E50CC">
      <w:pPr>
        <w:spacing w:line="360" w:lineRule="auto"/>
        <w:rPr>
          <w:shd w:val="clear" w:color="auto" w:fill="FFFFFF"/>
          <w:lang w:val="en-GB"/>
        </w:rPr>
      </w:pPr>
      <w:bookmarkStart w:id="25" w:name="_Hlk68362162"/>
      <w:r w:rsidRPr="001E50CC">
        <w:rPr>
          <w:shd w:val="clear" w:color="auto" w:fill="FFFFFF"/>
          <w:lang w:val="en-GB"/>
        </w:rPr>
        <w:t>Radjenović, T. and Krstić, B., 2017</w:t>
      </w:r>
      <w:bookmarkEnd w:id="25"/>
      <w:r w:rsidRPr="001E50CC">
        <w:rPr>
          <w:shd w:val="clear" w:color="auto" w:fill="FFFFFF"/>
          <w:lang w:val="en-GB"/>
        </w:rPr>
        <w:t>. Intellectual capital as the source of competitive advantage: the resource-based view. </w:t>
      </w:r>
      <w:r w:rsidRPr="001E50CC">
        <w:rPr>
          <w:i/>
          <w:iCs/>
          <w:shd w:val="clear" w:color="auto" w:fill="FFFFFF"/>
          <w:lang w:val="en-GB"/>
        </w:rPr>
        <w:t>Facta Universitatis, Series: Economics and Organization</w:t>
      </w:r>
      <w:r w:rsidRPr="001E50CC">
        <w:rPr>
          <w:shd w:val="clear" w:color="auto" w:fill="FFFFFF"/>
          <w:lang w:val="en-GB"/>
        </w:rPr>
        <w:t>, pp.127-137.</w:t>
      </w:r>
    </w:p>
    <w:p w:rsidR="001859CC" w:rsidRPr="001E50CC" w:rsidRDefault="001859CC" w:rsidP="001E50CC">
      <w:pPr>
        <w:spacing w:line="360" w:lineRule="auto"/>
        <w:rPr>
          <w:lang w:val="en-GB"/>
        </w:rPr>
      </w:pPr>
      <w:r w:rsidRPr="001E50CC">
        <w:rPr>
          <w:lang w:val="en-GB"/>
        </w:rPr>
        <w:t>Rosenthal, K. and Lütz, S., 2018. Recent developments and challenges of biocatalytic processes in the pharmaceutical industry. </w:t>
      </w:r>
      <w:r w:rsidRPr="001E50CC">
        <w:rPr>
          <w:i/>
          <w:iCs/>
          <w:lang w:val="en-GB"/>
        </w:rPr>
        <w:t>Current Opinion in Green and Sustainable Chemistry</w:t>
      </w:r>
      <w:r w:rsidRPr="001E50CC">
        <w:rPr>
          <w:lang w:val="en-GB"/>
        </w:rPr>
        <w:t>, </w:t>
      </w:r>
      <w:r w:rsidRPr="001E50CC">
        <w:rPr>
          <w:i/>
          <w:iCs/>
          <w:lang w:val="en-GB"/>
        </w:rPr>
        <w:t>11</w:t>
      </w:r>
      <w:r w:rsidRPr="001E50CC">
        <w:rPr>
          <w:lang w:val="en-GB"/>
        </w:rPr>
        <w:t>, pp.58-64.</w:t>
      </w:r>
    </w:p>
    <w:p w:rsidR="001859CC" w:rsidRPr="001E50CC" w:rsidRDefault="001859CC" w:rsidP="001E50CC">
      <w:pPr>
        <w:spacing w:line="360" w:lineRule="auto"/>
        <w:rPr>
          <w:lang w:val="en-GB"/>
        </w:rPr>
      </w:pPr>
      <w:r w:rsidRPr="001E50CC">
        <w:rPr>
          <w:lang w:val="en-GB"/>
        </w:rPr>
        <w:t>Sloan, T.J., Payne, R.J., Anderson, A.R., Bain, C., Chapman, S., Cowie, N., Gilbert, P., Lindsay, R., Mauquoy, D., Newton, A.J. and Andersen, R., 2018. Peatland afforestation in the UK and consequences for carbon storage. </w:t>
      </w:r>
      <w:r w:rsidRPr="001E50CC">
        <w:rPr>
          <w:i/>
          <w:iCs/>
          <w:lang w:val="en-GB"/>
        </w:rPr>
        <w:t>Mires and Peat</w:t>
      </w:r>
      <w:r w:rsidRPr="001E50CC">
        <w:rPr>
          <w:lang w:val="en-GB"/>
        </w:rPr>
        <w:t>, </w:t>
      </w:r>
      <w:r w:rsidRPr="001E50CC">
        <w:rPr>
          <w:i/>
          <w:iCs/>
          <w:lang w:val="en-GB"/>
        </w:rPr>
        <w:t>23</w:t>
      </w:r>
      <w:r w:rsidRPr="001E50CC">
        <w:rPr>
          <w:lang w:val="en-GB"/>
        </w:rPr>
        <w:t>(1), pp.1-17.</w:t>
      </w:r>
    </w:p>
    <w:p w:rsidR="001859CC" w:rsidRPr="001E50CC" w:rsidRDefault="001859CC" w:rsidP="001E50CC">
      <w:pPr>
        <w:spacing w:line="360" w:lineRule="auto"/>
        <w:rPr>
          <w:shd w:val="clear" w:color="auto" w:fill="FFFFFF"/>
          <w:lang w:val="en-GB"/>
        </w:rPr>
      </w:pPr>
      <w:bookmarkStart w:id="26" w:name="_Hlk68361939"/>
      <w:r w:rsidRPr="001E50CC">
        <w:rPr>
          <w:shd w:val="clear" w:color="auto" w:fill="FFFFFF"/>
          <w:lang w:val="en-GB"/>
        </w:rPr>
        <w:t>Song, Y., Wang, H. and Zhu, M., 2018</w:t>
      </w:r>
      <w:bookmarkEnd w:id="26"/>
      <w:r w:rsidRPr="001E50CC">
        <w:rPr>
          <w:shd w:val="clear" w:color="auto" w:fill="FFFFFF"/>
          <w:lang w:val="en-GB"/>
        </w:rPr>
        <w:t>. Sustainable strategy for corporate governance based on the sentiment analysis of financial reports with CSR. </w:t>
      </w:r>
      <w:r w:rsidRPr="001E50CC">
        <w:rPr>
          <w:i/>
          <w:iCs/>
          <w:shd w:val="clear" w:color="auto" w:fill="FFFFFF"/>
          <w:lang w:val="en-GB"/>
        </w:rPr>
        <w:t>Financial Innovation</w:t>
      </w:r>
      <w:r w:rsidRPr="001E50CC">
        <w:rPr>
          <w:shd w:val="clear" w:color="auto" w:fill="FFFFFF"/>
          <w:lang w:val="en-GB"/>
        </w:rPr>
        <w:t>, </w:t>
      </w:r>
      <w:r w:rsidRPr="001E50CC">
        <w:rPr>
          <w:i/>
          <w:iCs/>
          <w:shd w:val="clear" w:color="auto" w:fill="FFFFFF"/>
          <w:lang w:val="en-GB"/>
        </w:rPr>
        <w:t>4</w:t>
      </w:r>
      <w:r w:rsidRPr="001E50CC">
        <w:rPr>
          <w:shd w:val="clear" w:color="auto" w:fill="FFFFFF"/>
          <w:lang w:val="en-GB"/>
        </w:rPr>
        <w:t>(1), pp.1-14.</w:t>
      </w:r>
    </w:p>
    <w:p w:rsidR="001859CC" w:rsidRPr="001E50CC" w:rsidRDefault="001859CC" w:rsidP="001E50CC">
      <w:pPr>
        <w:spacing w:line="360" w:lineRule="auto"/>
        <w:rPr>
          <w:shd w:val="clear" w:color="auto" w:fill="FFFFFF"/>
          <w:lang w:val="en-GB"/>
        </w:rPr>
      </w:pPr>
      <w:bookmarkStart w:id="27" w:name="_Hlk68362028"/>
      <w:r w:rsidRPr="001E50CC">
        <w:rPr>
          <w:shd w:val="clear" w:color="auto" w:fill="FFFFFF"/>
          <w:lang w:val="en-GB"/>
        </w:rPr>
        <w:t>Stindt, D., QuariguasiFrota Neto, J., Nuss, C., Dirr, M., Jakowczyk, M., Gibson, A. and Tuma, A., 2017.</w:t>
      </w:r>
      <w:bookmarkEnd w:id="27"/>
      <w:r w:rsidRPr="001E50CC">
        <w:rPr>
          <w:shd w:val="clear" w:color="auto" w:fill="FFFFFF"/>
          <w:lang w:val="en-GB"/>
        </w:rPr>
        <w:t xml:space="preserve"> On the attractiveness of product recovery: The forces that shape reverse markets. </w:t>
      </w:r>
      <w:r w:rsidRPr="001E50CC">
        <w:rPr>
          <w:i/>
          <w:iCs/>
          <w:shd w:val="clear" w:color="auto" w:fill="FFFFFF"/>
          <w:lang w:val="en-GB"/>
        </w:rPr>
        <w:t>Journal of Industrial Ecology</w:t>
      </w:r>
      <w:r w:rsidRPr="001E50CC">
        <w:rPr>
          <w:shd w:val="clear" w:color="auto" w:fill="FFFFFF"/>
          <w:lang w:val="en-GB"/>
        </w:rPr>
        <w:t>, </w:t>
      </w:r>
      <w:r w:rsidRPr="001E50CC">
        <w:rPr>
          <w:i/>
          <w:iCs/>
          <w:shd w:val="clear" w:color="auto" w:fill="FFFFFF"/>
          <w:lang w:val="en-GB"/>
        </w:rPr>
        <w:t>21</w:t>
      </w:r>
      <w:r w:rsidRPr="001E50CC">
        <w:rPr>
          <w:shd w:val="clear" w:color="auto" w:fill="FFFFFF"/>
          <w:lang w:val="en-GB"/>
        </w:rPr>
        <w:t>(4), pp.980-994.</w:t>
      </w:r>
    </w:p>
    <w:p w:rsidR="001859CC" w:rsidRPr="001E50CC" w:rsidRDefault="001859CC" w:rsidP="001E50CC">
      <w:pPr>
        <w:spacing w:line="360" w:lineRule="auto"/>
        <w:rPr>
          <w:lang w:val="en-GB"/>
        </w:rPr>
      </w:pPr>
      <w:r w:rsidRPr="001E50CC">
        <w:rPr>
          <w:lang w:val="en-GB"/>
        </w:rPr>
        <w:t>Stojcic, N., Hashi, I. and Orlic, E., 2018. Creativity, innovation effectiveness and productive efficiency in the UK. </w:t>
      </w:r>
      <w:r w:rsidRPr="001E50CC">
        <w:rPr>
          <w:i/>
          <w:iCs/>
          <w:lang w:val="en-GB"/>
        </w:rPr>
        <w:t>European Journal of Innovation Management</w:t>
      </w:r>
      <w:r w:rsidRPr="001E50CC">
        <w:rPr>
          <w:lang w:val="en-GB"/>
        </w:rPr>
        <w:t>.</w:t>
      </w:r>
    </w:p>
    <w:p w:rsidR="001859CC" w:rsidRPr="001E50CC" w:rsidRDefault="001859CC" w:rsidP="001E50CC">
      <w:pPr>
        <w:spacing w:line="360" w:lineRule="auto"/>
        <w:rPr>
          <w:shd w:val="clear" w:color="auto" w:fill="FFFFFF"/>
          <w:lang w:val="en-GB"/>
        </w:rPr>
      </w:pPr>
      <w:r w:rsidRPr="001E50CC">
        <w:rPr>
          <w:shd w:val="clear" w:color="auto" w:fill="FFFFFF"/>
          <w:lang w:val="en-GB"/>
        </w:rPr>
        <w:t>Sukma, D., Lubis, P.H. and Utami, S., 2019. Analysis of Marketing Strategy of MinyeukPret Using STP, Ansoff Matrix, and Marketing Mix.</w:t>
      </w:r>
    </w:p>
    <w:p w:rsidR="001859CC" w:rsidRPr="001E50CC" w:rsidRDefault="001859CC" w:rsidP="001E50CC">
      <w:pPr>
        <w:spacing w:line="360" w:lineRule="auto"/>
        <w:rPr>
          <w:shd w:val="clear" w:color="auto" w:fill="FFFFFF"/>
          <w:lang w:val="en-GB"/>
        </w:rPr>
      </w:pPr>
      <w:r w:rsidRPr="001E50CC">
        <w:rPr>
          <w:shd w:val="clear" w:color="auto" w:fill="FFFFFF"/>
          <w:lang w:val="en-GB"/>
        </w:rPr>
        <w:t>Tobolska, A., 2018. Strategies of International Companies as a Research Problem of Geography of Enterprise. </w:t>
      </w:r>
      <w:r w:rsidRPr="001E50CC">
        <w:rPr>
          <w:i/>
          <w:iCs/>
          <w:shd w:val="clear" w:color="auto" w:fill="FFFFFF"/>
          <w:lang w:val="en-GB"/>
        </w:rPr>
        <w:t>PraceKomisjiGeografiiPrzemysłuPolskiegoTowarzystwaGeograficznego</w:t>
      </w:r>
      <w:r w:rsidRPr="001E50CC">
        <w:rPr>
          <w:shd w:val="clear" w:color="auto" w:fill="FFFFFF"/>
          <w:lang w:val="en-GB"/>
        </w:rPr>
        <w:t>, </w:t>
      </w:r>
      <w:r w:rsidRPr="001E50CC">
        <w:rPr>
          <w:i/>
          <w:iCs/>
          <w:shd w:val="clear" w:color="auto" w:fill="FFFFFF"/>
          <w:lang w:val="en-GB"/>
        </w:rPr>
        <w:t>32</w:t>
      </w:r>
      <w:r w:rsidRPr="001E50CC">
        <w:rPr>
          <w:shd w:val="clear" w:color="auto" w:fill="FFFFFF"/>
          <w:lang w:val="en-GB"/>
        </w:rPr>
        <w:t>(4), pp.48-68.</w:t>
      </w:r>
    </w:p>
    <w:p w:rsidR="001859CC" w:rsidRPr="001E50CC" w:rsidRDefault="001859CC" w:rsidP="001E50CC">
      <w:pPr>
        <w:spacing w:line="360" w:lineRule="auto"/>
        <w:rPr>
          <w:shd w:val="clear" w:color="auto" w:fill="FFFFFF"/>
          <w:lang w:val="en-GB"/>
        </w:rPr>
      </w:pPr>
      <w:bookmarkStart w:id="28" w:name="_Hlk68361662"/>
      <w:r w:rsidRPr="001E50CC">
        <w:rPr>
          <w:shd w:val="clear" w:color="auto" w:fill="FFFFFF"/>
          <w:lang w:val="en-GB"/>
        </w:rPr>
        <w:lastRenderedPageBreak/>
        <w:t>Tsatsoula, E., 2018</w:t>
      </w:r>
      <w:bookmarkEnd w:id="28"/>
      <w:r w:rsidRPr="001E50CC">
        <w:rPr>
          <w:shd w:val="clear" w:color="auto" w:fill="FFFFFF"/>
          <w:lang w:val="en-GB"/>
        </w:rPr>
        <w:t>. Application of Ansoff's Matrix-Methodology: Marketing Growth Strategies For Products.</w:t>
      </w:r>
    </w:p>
    <w:p w:rsidR="001859CC" w:rsidRPr="001E50CC" w:rsidRDefault="001859CC" w:rsidP="001E50CC">
      <w:pPr>
        <w:spacing w:line="360" w:lineRule="auto"/>
        <w:rPr>
          <w:shd w:val="clear" w:color="auto" w:fill="FFFFFF"/>
          <w:lang w:val="en-GB"/>
        </w:rPr>
      </w:pPr>
      <w:r w:rsidRPr="001E50CC">
        <w:rPr>
          <w:shd w:val="clear" w:color="auto" w:fill="FFFFFF"/>
          <w:lang w:val="en-GB"/>
        </w:rPr>
        <w:t>Tuten, T.L., 2019. </w:t>
      </w:r>
      <w:r w:rsidRPr="001E50CC">
        <w:rPr>
          <w:i/>
          <w:iCs/>
          <w:shd w:val="clear" w:color="auto" w:fill="FFFFFF"/>
          <w:lang w:val="en-GB"/>
        </w:rPr>
        <w:t>Principles of Marketing for a Digital Age</w:t>
      </w:r>
      <w:r w:rsidRPr="001E50CC">
        <w:rPr>
          <w:shd w:val="clear" w:color="auto" w:fill="FFFFFF"/>
          <w:lang w:val="en-GB"/>
        </w:rPr>
        <w:t>. SAGE.</w:t>
      </w:r>
    </w:p>
    <w:p w:rsidR="001859CC" w:rsidRPr="001E50CC" w:rsidRDefault="001859CC" w:rsidP="001E50CC">
      <w:pPr>
        <w:spacing w:line="360" w:lineRule="auto"/>
        <w:rPr>
          <w:lang w:val="en-GB"/>
        </w:rPr>
      </w:pPr>
      <w:r w:rsidRPr="001E50CC">
        <w:rPr>
          <w:lang w:val="en-GB"/>
        </w:rPr>
        <w:t>Vondeling, G.T., Cao, Q., Postma, M.J. and Rozenbaum, M.H., 2018. The impact of patent expiry on drug prices: a systematic literature review. </w:t>
      </w:r>
      <w:r w:rsidRPr="001E50CC">
        <w:rPr>
          <w:i/>
          <w:iCs/>
          <w:lang w:val="en-GB"/>
        </w:rPr>
        <w:t>Applied health economics and health policy</w:t>
      </w:r>
      <w:r w:rsidRPr="001E50CC">
        <w:rPr>
          <w:lang w:val="en-GB"/>
        </w:rPr>
        <w:t>, </w:t>
      </w:r>
      <w:r w:rsidRPr="001E50CC">
        <w:rPr>
          <w:i/>
          <w:iCs/>
          <w:lang w:val="en-GB"/>
        </w:rPr>
        <w:t>16</w:t>
      </w:r>
      <w:r w:rsidRPr="001E50CC">
        <w:rPr>
          <w:lang w:val="en-GB"/>
        </w:rPr>
        <w:t>(5), pp.653-660.</w:t>
      </w:r>
    </w:p>
    <w:p w:rsidR="001859CC" w:rsidRPr="001E50CC" w:rsidRDefault="001859CC" w:rsidP="001E50CC">
      <w:pPr>
        <w:spacing w:line="360" w:lineRule="auto"/>
        <w:rPr>
          <w:shd w:val="clear" w:color="auto" w:fill="FFFFFF"/>
          <w:lang w:val="en-GB"/>
        </w:rPr>
      </w:pPr>
      <w:r w:rsidRPr="001E50CC">
        <w:rPr>
          <w:shd w:val="clear" w:color="auto" w:fill="FFFFFF"/>
          <w:lang w:val="en-GB"/>
        </w:rPr>
        <w:t>Yu, W., Chavez, R., Jacobs, M.A. and Feng, M., 2018. Data-driven supply chain capabilities and performance: A resource-based view. </w:t>
      </w:r>
      <w:r w:rsidRPr="001E50CC">
        <w:rPr>
          <w:i/>
          <w:iCs/>
          <w:shd w:val="clear" w:color="auto" w:fill="FFFFFF"/>
          <w:lang w:val="en-GB"/>
        </w:rPr>
        <w:t>Transportation Research Part E: logistics and transportation review</w:t>
      </w:r>
      <w:r w:rsidRPr="001E50CC">
        <w:rPr>
          <w:shd w:val="clear" w:color="auto" w:fill="FFFFFF"/>
          <w:lang w:val="en-GB"/>
        </w:rPr>
        <w:t>, </w:t>
      </w:r>
      <w:r w:rsidRPr="001E50CC">
        <w:rPr>
          <w:i/>
          <w:iCs/>
          <w:shd w:val="clear" w:color="auto" w:fill="FFFFFF"/>
          <w:lang w:val="en-GB"/>
        </w:rPr>
        <w:t>114</w:t>
      </w:r>
      <w:r w:rsidRPr="001E50CC">
        <w:rPr>
          <w:shd w:val="clear" w:color="auto" w:fill="FFFFFF"/>
          <w:lang w:val="en-GB"/>
        </w:rPr>
        <w:t>, pp.371-385.</w:t>
      </w:r>
    </w:p>
    <w:p w:rsidR="001859CC" w:rsidRPr="001E50CC" w:rsidRDefault="001859CC" w:rsidP="001E50CC">
      <w:pPr>
        <w:spacing w:line="360" w:lineRule="auto"/>
        <w:rPr>
          <w:shd w:val="clear" w:color="auto" w:fill="FFFFFF"/>
          <w:lang w:val="en-GB"/>
        </w:rPr>
      </w:pPr>
      <w:r w:rsidRPr="001E50CC">
        <w:rPr>
          <w:shd w:val="clear" w:color="auto" w:fill="FFFFFF"/>
          <w:lang w:val="en-GB"/>
        </w:rPr>
        <w:t>Zin, R.A., Bombana, L.P. and Barcellos, P.F.P., 2018. Evaluation of two companies’ sales teams with the BCG matrix using profit and contribution margin. </w:t>
      </w:r>
      <w:r w:rsidRPr="001E50CC">
        <w:rPr>
          <w:i/>
          <w:iCs/>
          <w:shd w:val="clear" w:color="auto" w:fill="FFFFFF"/>
          <w:lang w:val="en-GB"/>
        </w:rPr>
        <w:t>Gestão&amp;Produção</w:t>
      </w:r>
      <w:r w:rsidRPr="001E50CC">
        <w:rPr>
          <w:shd w:val="clear" w:color="auto" w:fill="FFFFFF"/>
          <w:lang w:val="en-GB"/>
        </w:rPr>
        <w:t>, </w:t>
      </w:r>
      <w:r w:rsidRPr="001E50CC">
        <w:rPr>
          <w:i/>
          <w:iCs/>
          <w:shd w:val="clear" w:color="auto" w:fill="FFFFFF"/>
          <w:lang w:val="en-GB"/>
        </w:rPr>
        <w:t>25</w:t>
      </w:r>
      <w:r w:rsidRPr="001E50CC">
        <w:rPr>
          <w:shd w:val="clear" w:color="auto" w:fill="FFFFFF"/>
          <w:lang w:val="en-GB"/>
        </w:rPr>
        <w:t>(4), pp.826-838.</w:t>
      </w:r>
    </w:p>
    <w:sectPr w:rsidR="001859CC" w:rsidRPr="001E50CC" w:rsidSect="00E93559">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4A3C" w:rsidRDefault="00F64A3C" w:rsidP="001859CC">
      <w:pPr>
        <w:spacing w:after="0" w:line="240" w:lineRule="auto"/>
      </w:pPr>
      <w:r>
        <w:separator/>
      </w:r>
    </w:p>
  </w:endnote>
  <w:endnote w:type="continuationSeparator" w:id="0">
    <w:p w:rsidR="00F64A3C" w:rsidRDefault="00F64A3C" w:rsidP="00185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A2"/>
    <w:family w:val="swiss"/>
    <w:pitch w:val="variable"/>
    <w:sig w:usb0="E0002AFF" w:usb1="C000247B"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Tahoma">
    <w:panose1 w:val="020B0604030504040204"/>
    <w:charset w:val="A2"/>
    <w:family w:val="swiss"/>
    <w:pitch w:val="variable"/>
    <w:sig w:usb0="E1002EFF" w:usb1="C000605B" w:usb2="00000029" w:usb3="00000000" w:csb0="000101FF" w:csb1="00000000"/>
  </w:font>
  <w:font w:name="Cambria">
    <w:panose1 w:val="02040503050406030204"/>
    <w:charset w:val="A2"/>
    <w:family w:val="roman"/>
    <w:pitch w:val="variable"/>
    <w:sig w:usb0="E00006FF" w:usb1="420024FF" w:usb2="02000000" w:usb3="00000000" w:csb0="0000019F" w:csb1="00000000"/>
  </w:font>
  <w:font w:name="Cambria Math">
    <w:panose1 w:val="02040503050406030204"/>
    <w:charset w:val="A2"/>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9922719"/>
      <w:docPartObj>
        <w:docPartGallery w:val="Page Numbers (Bottom of Page)"/>
        <w:docPartUnique/>
      </w:docPartObj>
    </w:sdtPr>
    <w:sdtEndPr/>
    <w:sdtContent>
      <w:p w:rsidR="001859CC" w:rsidRDefault="006F340A">
        <w:pPr>
          <w:pStyle w:val="AltBilgi"/>
          <w:jc w:val="right"/>
        </w:pPr>
        <w:r>
          <w:fldChar w:fldCharType="begin"/>
        </w:r>
        <w:r>
          <w:instrText xml:space="preserve"> PAGE   \* MERGEFORMAT </w:instrText>
        </w:r>
        <w:r>
          <w:fldChar w:fldCharType="separate"/>
        </w:r>
        <w:r w:rsidR="00DD4080">
          <w:rPr>
            <w:noProof/>
          </w:rPr>
          <w:t>1</w:t>
        </w:r>
        <w:r>
          <w:rPr>
            <w:noProof/>
          </w:rPr>
          <w:fldChar w:fldCharType="end"/>
        </w:r>
      </w:p>
    </w:sdtContent>
  </w:sdt>
  <w:p w:rsidR="001859CC" w:rsidRDefault="001859CC">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4A3C" w:rsidRDefault="00F64A3C" w:rsidP="001859CC">
      <w:pPr>
        <w:spacing w:after="0" w:line="240" w:lineRule="auto"/>
      </w:pPr>
      <w:r>
        <w:separator/>
      </w:r>
    </w:p>
  </w:footnote>
  <w:footnote w:type="continuationSeparator" w:id="0">
    <w:p w:rsidR="00F64A3C" w:rsidRDefault="00F64A3C" w:rsidP="001859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372C3E"/>
    <w:rsid w:val="0012396C"/>
    <w:rsid w:val="00123BE7"/>
    <w:rsid w:val="001859CC"/>
    <w:rsid w:val="00197E99"/>
    <w:rsid w:val="001D7D0F"/>
    <w:rsid w:val="001E50CC"/>
    <w:rsid w:val="001F06B8"/>
    <w:rsid w:val="002659E1"/>
    <w:rsid w:val="00326D45"/>
    <w:rsid w:val="00332D25"/>
    <w:rsid w:val="00372C3E"/>
    <w:rsid w:val="004B021A"/>
    <w:rsid w:val="0060363D"/>
    <w:rsid w:val="00607F03"/>
    <w:rsid w:val="0064586C"/>
    <w:rsid w:val="00690AA7"/>
    <w:rsid w:val="006F340A"/>
    <w:rsid w:val="007244B5"/>
    <w:rsid w:val="0077384F"/>
    <w:rsid w:val="00793051"/>
    <w:rsid w:val="008458C4"/>
    <w:rsid w:val="008C3963"/>
    <w:rsid w:val="009C55B3"/>
    <w:rsid w:val="00A53232"/>
    <w:rsid w:val="00A624D1"/>
    <w:rsid w:val="00A84DF9"/>
    <w:rsid w:val="00AD24D9"/>
    <w:rsid w:val="00B52C43"/>
    <w:rsid w:val="00D8532B"/>
    <w:rsid w:val="00DA6071"/>
    <w:rsid w:val="00DD4080"/>
    <w:rsid w:val="00E0584C"/>
    <w:rsid w:val="00E31814"/>
    <w:rsid w:val="00E93559"/>
    <w:rsid w:val="00F01A02"/>
    <w:rsid w:val="00F64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C65F8"/>
  <w15:docId w15:val="{08309487-4CCF-4402-9A56-F27703929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2C3E"/>
    <w:pPr>
      <w:jc w:val="both"/>
    </w:pPr>
    <w:rPr>
      <w:rFonts w:ascii="Times New Roman" w:hAnsi="Times New Roman"/>
      <w:sz w:val="24"/>
    </w:rPr>
  </w:style>
  <w:style w:type="paragraph" w:styleId="Balk1">
    <w:name w:val="heading 1"/>
    <w:basedOn w:val="Normal"/>
    <w:next w:val="Normal"/>
    <w:link w:val="Balk1Char"/>
    <w:uiPriority w:val="9"/>
    <w:qFormat/>
    <w:rsid w:val="00793051"/>
    <w:pPr>
      <w:keepNext/>
      <w:keepLines/>
      <w:spacing w:before="480" w:after="0"/>
      <w:outlineLvl w:val="0"/>
    </w:pPr>
    <w:rPr>
      <w:rFonts w:eastAsiaTheme="majorEastAsia" w:cstheme="majorBidi"/>
      <w:b/>
      <w:bCs/>
      <w:sz w:val="32"/>
      <w:szCs w:val="28"/>
    </w:rPr>
  </w:style>
  <w:style w:type="paragraph" w:styleId="Balk2">
    <w:name w:val="heading 2"/>
    <w:basedOn w:val="Normal"/>
    <w:next w:val="Normal"/>
    <w:link w:val="Balk2Char"/>
    <w:uiPriority w:val="9"/>
    <w:semiHidden/>
    <w:unhideWhenUsed/>
    <w:qFormat/>
    <w:rsid w:val="00793051"/>
    <w:pPr>
      <w:keepNext/>
      <w:keepLines/>
      <w:spacing w:before="200" w:after="0"/>
      <w:outlineLvl w:val="1"/>
    </w:pPr>
    <w:rPr>
      <w:rFonts w:eastAsiaTheme="majorEastAsia" w:cstheme="majorBidi"/>
      <w:b/>
      <w:bCs/>
      <w:sz w:val="28"/>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BalonMetni">
    <w:name w:val="Balloon Text"/>
    <w:basedOn w:val="Normal"/>
    <w:link w:val="BalonMetniChar"/>
    <w:uiPriority w:val="99"/>
    <w:semiHidden/>
    <w:unhideWhenUsed/>
    <w:rsid w:val="00B52C43"/>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B52C43"/>
    <w:rPr>
      <w:rFonts w:ascii="Tahoma" w:hAnsi="Tahoma" w:cs="Tahoma"/>
      <w:sz w:val="16"/>
      <w:szCs w:val="16"/>
    </w:rPr>
  </w:style>
  <w:style w:type="character" w:customStyle="1" w:styleId="Balk1Char">
    <w:name w:val="Başlık 1 Char"/>
    <w:basedOn w:val="VarsaylanParagrafYazTipi"/>
    <w:link w:val="Balk1"/>
    <w:uiPriority w:val="9"/>
    <w:rsid w:val="00793051"/>
    <w:rPr>
      <w:rFonts w:ascii="Times New Roman" w:eastAsiaTheme="majorEastAsia" w:hAnsi="Times New Roman" w:cstheme="majorBidi"/>
      <w:b/>
      <w:bCs/>
      <w:sz w:val="32"/>
      <w:szCs w:val="28"/>
    </w:rPr>
  </w:style>
  <w:style w:type="character" w:customStyle="1" w:styleId="Balk2Char">
    <w:name w:val="Başlık 2 Char"/>
    <w:basedOn w:val="VarsaylanParagrafYazTipi"/>
    <w:link w:val="Balk2"/>
    <w:uiPriority w:val="9"/>
    <w:semiHidden/>
    <w:rsid w:val="00793051"/>
    <w:rPr>
      <w:rFonts w:ascii="Times New Roman" w:eastAsiaTheme="majorEastAsia" w:hAnsi="Times New Roman" w:cstheme="majorBidi"/>
      <w:b/>
      <w:bCs/>
      <w:sz w:val="28"/>
      <w:szCs w:val="26"/>
    </w:rPr>
  </w:style>
  <w:style w:type="paragraph" w:styleId="stBilgi">
    <w:name w:val="header"/>
    <w:basedOn w:val="Normal"/>
    <w:link w:val="stBilgiChar"/>
    <w:uiPriority w:val="99"/>
    <w:semiHidden/>
    <w:unhideWhenUsed/>
    <w:rsid w:val="001859CC"/>
    <w:pPr>
      <w:tabs>
        <w:tab w:val="center" w:pos="4680"/>
        <w:tab w:val="right" w:pos="9360"/>
      </w:tabs>
      <w:spacing w:after="0" w:line="240" w:lineRule="auto"/>
    </w:pPr>
  </w:style>
  <w:style w:type="character" w:customStyle="1" w:styleId="stBilgiChar">
    <w:name w:val="Üst Bilgi Char"/>
    <w:basedOn w:val="VarsaylanParagrafYazTipi"/>
    <w:link w:val="stBilgi"/>
    <w:uiPriority w:val="99"/>
    <w:semiHidden/>
    <w:rsid w:val="001859CC"/>
    <w:rPr>
      <w:rFonts w:ascii="Times New Roman" w:hAnsi="Times New Roman"/>
      <w:sz w:val="24"/>
    </w:rPr>
  </w:style>
  <w:style w:type="paragraph" w:styleId="AltBilgi">
    <w:name w:val="footer"/>
    <w:basedOn w:val="Normal"/>
    <w:link w:val="AltBilgiChar"/>
    <w:uiPriority w:val="99"/>
    <w:unhideWhenUsed/>
    <w:rsid w:val="001859CC"/>
    <w:pPr>
      <w:tabs>
        <w:tab w:val="center" w:pos="4680"/>
        <w:tab w:val="right" w:pos="9360"/>
      </w:tabs>
      <w:spacing w:after="0" w:line="240" w:lineRule="auto"/>
    </w:pPr>
  </w:style>
  <w:style w:type="character" w:customStyle="1" w:styleId="AltBilgiChar">
    <w:name w:val="Alt Bilgi Char"/>
    <w:basedOn w:val="VarsaylanParagrafYazTipi"/>
    <w:link w:val="AltBilgi"/>
    <w:uiPriority w:val="99"/>
    <w:rsid w:val="001859CC"/>
    <w:rPr>
      <w:rFonts w:ascii="Times New Roman" w:hAnsi="Times New Roman"/>
      <w:sz w:val="24"/>
    </w:rPr>
  </w:style>
  <w:style w:type="paragraph" w:styleId="TBal">
    <w:name w:val="TOC Heading"/>
    <w:basedOn w:val="Balk1"/>
    <w:next w:val="Normal"/>
    <w:uiPriority w:val="39"/>
    <w:semiHidden/>
    <w:unhideWhenUsed/>
    <w:qFormat/>
    <w:rsid w:val="001859CC"/>
    <w:pPr>
      <w:jc w:val="left"/>
      <w:outlineLvl w:val="9"/>
    </w:pPr>
    <w:rPr>
      <w:rFonts w:asciiTheme="majorHAnsi" w:hAnsiTheme="majorHAnsi"/>
      <w:color w:val="365F91" w:themeColor="accent1" w:themeShade="BF"/>
      <w:sz w:val="28"/>
    </w:rPr>
  </w:style>
  <w:style w:type="paragraph" w:styleId="T1">
    <w:name w:val="toc 1"/>
    <w:basedOn w:val="Normal"/>
    <w:next w:val="Normal"/>
    <w:autoRedefine/>
    <w:uiPriority w:val="39"/>
    <w:unhideWhenUsed/>
    <w:rsid w:val="001859CC"/>
    <w:pPr>
      <w:spacing w:after="100"/>
    </w:pPr>
  </w:style>
  <w:style w:type="paragraph" w:styleId="T2">
    <w:name w:val="toc 2"/>
    <w:basedOn w:val="Normal"/>
    <w:next w:val="Normal"/>
    <w:autoRedefine/>
    <w:uiPriority w:val="39"/>
    <w:unhideWhenUsed/>
    <w:rsid w:val="001859CC"/>
    <w:pPr>
      <w:spacing w:after="100"/>
      <w:ind w:left="240"/>
    </w:pPr>
  </w:style>
  <w:style w:type="character" w:styleId="Kpr">
    <w:name w:val="Hyperlink"/>
    <w:basedOn w:val="VarsaylanParagrafYazTipi"/>
    <w:uiPriority w:val="99"/>
    <w:unhideWhenUsed/>
    <w:rsid w:val="001859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114293-1ADD-48F0-904D-D7E21E4BB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29</Pages>
  <Words>6979</Words>
  <Characters>39781</Characters>
  <Application>Microsoft Office Word</Application>
  <DocSecurity>0</DocSecurity>
  <Lines>331</Lines>
  <Paragraphs>93</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3</cp:revision>
  <dcterms:created xsi:type="dcterms:W3CDTF">2021-04-03T06:02:00Z</dcterms:created>
  <dcterms:modified xsi:type="dcterms:W3CDTF">2021-04-30T22:20:00Z</dcterms:modified>
</cp:coreProperties>
</file>