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7C6" w:rsidRDefault="66766E6C" w:rsidP="2482C61B">
      <w:pPr>
        <w:shd w:val="clear" w:color="auto" w:fill="FFFFFF" w:themeFill="background1"/>
        <w:spacing w:before="240" w:after="240"/>
        <w:jc w:val="center"/>
        <w:rPr>
          <w:b/>
          <w:bCs/>
          <w:sz w:val="48"/>
          <w:szCs w:val="48"/>
        </w:rPr>
      </w:pPr>
      <w:r w:rsidRPr="2482C61B">
        <w:rPr>
          <w:b/>
          <w:bCs/>
          <w:color w:val="0F1115"/>
          <w:sz w:val="48"/>
          <w:szCs w:val="48"/>
        </w:rPr>
        <w:t>Module Code:</w:t>
      </w:r>
      <w:r w:rsidRPr="2482C61B">
        <w:rPr>
          <w:b/>
          <w:bCs/>
          <w:color w:val="1D2125"/>
          <w:sz w:val="48"/>
          <w:szCs w:val="48"/>
        </w:rPr>
        <w:t xml:space="preserve"> LCLM 5002</w:t>
      </w:r>
    </w:p>
    <w:p w:rsidR="006717C6" w:rsidRDefault="66766E6C" w:rsidP="2482C61B">
      <w:pPr>
        <w:shd w:val="clear" w:color="auto" w:fill="FFFFFF" w:themeFill="background1"/>
        <w:spacing w:before="240" w:after="240"/>
        <w:jc w:val="center"/>
        <w:rPr>
          <w:b/>
          <w:bCs/>
          <w:color w:val="1D2125"/>
          <w:sz w:val="48"/>
          <w:szCs w:val="48"/>
        </w:rPr>
      </w:pPr>
      <w:r w:rsidRPr="2482C61B">
        <w:rPr>
          <w:b/>
          <w:bCs/>
          <w:color w:val="0F1115"/>
          <w:sz w:val="48"/>
          <w:szCs w:val="48"/>
        </w:rPr>
        <w:t>Title:</w:t>
      </w:r>
      <w:r w:rsidR="3873C9A8" w:rsidRPr="2482C61B">
        <w:rPr>
          <w:b/>
          <w:bCs/>
          <w:color w:val="1D2125"/>
          <w:sz w:val="48"/>
          <w:szCs w:val="48"/>
        </w:rPr>
        <w:t xml:space="preserve"> Developing and Managing Individuals and Teams</w:t>
      </w:r>
    </w:p>
    <w:p w:rsidR="006717C6" w:rsidRDefault="00061E58" w:rsidP="2482C61B">
      <w:pPr>
        <w:shd w:val="clear" w:color="auto" w:fill="FFFFFF" w:themeFill="background1"/>
        <w:spacing w:before="240" w:after="240"/>
        <w:jc w:val="center"/>
        <w:rPr>
          <w:b/>
          <w:bCs/>
          <w:color w:val="1D2125"/>
          <w:sz w:val="48"/>
          <w:szCs w:val="48"/>
        </w:rPr>
      </w:pPr>
      <w:r>
        <w:br/>
      </w:r>
      <w:r w:rsidR="66766E6C" w:rsidRPr="2482C61B">
        <w:rPr>
          <w:b/>
          <w:bCs/>
          <w:color w:val="0F1115"/>
          <w:sz w:val="48"/>
          <w:szCs w:val="48"/>
        </w:rPr>
        <w:t xml:space="preserve">Lecturer’s Name: </w:t>
      </w:r>
      <w:r w:rsidR="66766E6C" w:rsidRPr="2482C61B">
        <w:rPr>
          <w:b/>
          <w:bCs/>
          <w:color w:val="1D2125"/>
          <w:sz w:val="48"/>
          <w:szCs w:val="48"/>
        </w:rPr>
        <w:t>Dr Mudassar Hasan</w:t>
      </w:r>
    </w:p>
    <w:p w:rsidR="006717C6" w:rsidRDefault="006717C6" w:rsidP="2482C61B">
      <w:pPr>
        <w:shd w:val="clear" w:color="auto" w:fill="FFFFFF" w:themeFill="background1"/>
        <w:spacing w:before="240" w:after="240"/>
        <w:jc w:val="center"/>
        <w:rPr>
          <w:b/>
          <w:bCs/>
          <w:color w:val="1D2125"/>
          <w:sz w:val="48"/>
          <w:szCs w:val="48"/>
        </w:rPr>
      </w:pPr>
    </w:p>
    <w:p w:rsidR="006717C6" w:rsidRDefault="66766E6C" w:rsidP="2482C61B">
      <w:pPr>
        <w:shd w:val="clear" w:color="auto" w:fill="FFFFFF" w:themeFill="background1"/>
        <w:spacing w:before="240" w:after="240"/>
        <w:jc w:val="center"/>
        <w:rPr>
          <w:rFonts w:ascii="Arial" w:eastAsia="Arial" w:hAnsi="Arial" w:cs="Arial"/>
          <w:color w:val="0F1115"/>
          <w:sz w:val="52"/>
          <w:szCs w:val="52"/>
        </w:rPr>
      </w:pPr>
      <w:r w:rsidRPr="2482C61B">
        <w:rPr>
          <w:rFonts w:ascii="Arial" w:eastAsia="Arial" w:hAnsi="Arial" w:cs="Arial"/>
          <w:b/>
          <w:bCs/>
          <w:color w:val="0F1115"/>
          <w:sz w:val="48"/>
          <w:szCs w:val="48"/>
        </w:rPr>
        <w:t xml:space="preserve">Name: Mihaela Amisculesei </w:t>
      </w:r>
      <w:r w:rsidR="00061E58">
        <w:br/>
      </w:r>
      <w:r w:rsidRPr="2482C61B">
        <w:rPr>
          <w:rFonts w:ascii="Arial" w:eastAsia="Arial" w:hAnsi="Arial" w:cs="Arial"/>
          <w:b/>
          <w:bCs/>
          <w:color w:val="0F1115"/>
          <w:sz w:val="48"/>
          <w:szCs w:val="48"/>
        </w:rPr>
        <w:t>Student Number: 2411946</w:t>
      </w:r>
      <w:r w:rsidR="00061E58">
        <w:br/>
      </w:r>
      <w:r w:rsidR="00061E58">
        <w:br/>
      </w:r>
      <w:r w:rsidRPr="2482C61B">
        <w:rPr>
          <w:rFonts w:ascii="Arial" w:eastAsia="Arial" w:hAnsi="Arial" w:cs="Arial"/>
          <w:b/>
          <w:bCs/>
          <w:color w:val="0F1115"/>
          <w:sz w:val="52"/>
          <w:szCs w:val="52"/>
        </w:rPr>
        <w:t>Assignment Title:</w:t>
      </w:r>
      <w:r w:rsidRPr="2482C61B">
        <w:rPr>
          <w:rFonts w:ascii="Arial" w:eastAsia="Arial" w:hAnsi="Arial" w:cs="Arial"/>
          <w:color w:val="0F1115"/>
          <w:sz w:val="52"/>
          <w:szCs w:val="52"/>
        </w:rPr>
        <w:t xml:space="preserve"> </w:t>
      </w:r>
    </w:p>
    <w:p w:rsidR="006717C6" w:rsidRDefault="66766E6C" w:rsidP="2482C61B">
      <w:pPr>
        <w:shd w:val="clear" w:color="auto" w:fill="FFFFFF" w:themeFill="background1"/>
        <w:spacing w:before="240" w:after="240"/>
        <w:jc w:val="center"/>
        <w:rPr>
          <w:rFonts w:ascii="Arial" w:eastAsia="Arial" w:hAnsi="Arial" w:cs="Arial"/>
          <w:color w:val="0F1115"/>
          <w:sz w:val="52"/>
          <w:szCs w:val="52"/>
        </w:rPr>
      </w:pPr>
      <w:r w:rsidRPr="2482C61B">
        <w:rPr>
          <w:rFonts w:ascii="Arial" w:eastAsia="Arial" w:hAnsi="Arial" w:cs="Arial"/>
          <w:color w:val="0F1115"/>
          <w:sz w:val="52"/>
          <w:szCs w:val="52"/>
        </w:rPr>
        <w:t xml:space="preserve">Individual Report: </w:t>
      </w:r>
    </w:p>
    <w:p w:rsidR="006717C6" w:rsidRDefault="66766E6C" w:rsidP="2482C61B">
      <w:pPr>
        <w:shd w:val="clear" w:color="auto" w:fill="FFFFFF" w:themeFill="background1"/>
        <w:spacing w:before="240" w:after="240"/>
        <w:jc w:val="center"/>
        <w:rPr>
          <w:rFonts w:ascii="Arial" w:eastAsia="Arial" w:hAnsi="Arial" w:cs="Arial"/>
          <w:color w:val="0F1115"/>
          <w:sz w:val="52"/>
          <w:szCs w:val="52"/>
        </w:rPr>
      </w:pPr>
      <w:r w:rsidRPr="2482C61B">
        <w:rPr>
          <w:rFonts w:ascii="Arial" w:eastAsia="Arial" w:hAnsi="Arial" w:cs="Arial"/>
          <w:color w:val="0F1115"/>
          <w:sz w:val="52"/>
          <w:szCs w:val="52"/>
        </w:rPr>
        <w:t>HR Challenges and Contemporary Practices at Lear Corporation Redditch</w:t>
      </w:r>
    </w:p>
    <w:p w:rsidR="006717C6" w:rsidRDefault="006717C6"/>
    <w:p w:rsidR="2482C61B" w:rsidRDefault="2482C61B"/>
    <w:p w:rsidR="3B46C81C" w:rsidRDefault="3B46C81C"/>
    <w:p w:rsidR="3B46C81C" w:rsidRDefault="3B46C81C"/>
    <w:p w:rsidR="2482C61B" w:rsidRDefault="2482C61B"/>
    <w:p w:rsidR="00406EB1" w:rsidRDefault="00406EB1"/>
    <w:p w:rsidR="2482C61B" w:rsidRDefault="2482C61B"/>
    <w:p w:rsidR="2482C61B" w:rsidRDefault="2482C61B"/>
    <w:p w:rsidR="71BE4C04" w:rsidRDefault="71BE4C04" w:rsidP="3B46C81C">
      <w:pPr>
        <w:rPr>
          <w:b/>
          <w:bCs/>
          <w:sz w:val="32"/>
          <w:szCs w:val="32"/>
        </w:rPr>
      </w:pPr>
      <w:r w:rsidRPr="3B46C81C">
        <w:rPr>
          <w:b/>
          <w:bCs/>
          <w:sz w:val="32"/>
          <w:szCs w:val="32"/>
        </w:rPr>
        <w:lastRenderedPageBreak/>
        <w:t>Table of content</w:t>
      </w:r>
    </w:p>
    <w:p w:rsidR="3B46C81C" w:rsidRDefault="3B46C81C" w:rsidP="3B46C81C">
      <w:pPr>
        <w:rPr>
          <w:b/>
          <w:bCs/>
          <w:sz w:val="32"/>
          <w:szCs w:val="32"/>
        </w:rPr>
      </w:pPr>
    </w:p>
    <w:sdt>
      <w:sdtPr>
        <w:id w:val="1885226545"/>
        <w:docPartObj>
          <w:docPartGallery w:val="Table of Contents"/>
          <w:docPartUnique/>
        </w:docPartObj>
      </w:sdtPr>
      <w:sdtContent>
        <w:p w:rsidR="2482C61B" w:rsidRDefault="006717C6" w:rsidP="2482C61B">
          <w:pPr>
            <w:pStyle w:val="TOC3"/>
            <w:tabs>
              <w:tab w:val="right" w:leader="dot" w:pos="9015"/>
            </w:tabs>
            <w:rPr>
              <w:rStyle w:val="Hyperlink"/>
            </w:rPr>
          </w:pPr>
          <w:r>
            <w:fldChar w:fldCharType="begin"/>
          </w:r>
          <w:r w:rsidR="2482C61B">
            <w:instrText>TOC \o "1-9" \z \u \h</w:instrText>
          </w:r>
          <w:r>
            <w:fldChar w:fldCharType="separate"/>
          </w:r>
          <w:hyperlink w:anchor="_Toc1987762961">
            <w:r w:rsidR="3B46C81C" w:rsidRPr="3B46C81C">
              <w:rPr>
                <w:rStyle w:val="Hyperlink"/>
              </w:rPr>
              <w:t>1. Introduction</w:t>
            </w:r>
            <w:r w:rsidR="2482C61B">
              <w:tab/>
            </w:r>
            <w:r>
              <w:fldChar w:fldCharType="begin"/>
            </w:r>
            <w:r w:rsidR="2482C61B">
              <w:instrText>PAGEREF _Toc1987762961 \h</w:instrText>
            </w:r>
            <w:r>
              <w:fldChar w:fldCharType="separate"/>
            </w:r>
            <w:r w:rsidR="3B46C81C" w:rsidRPr="3B46C81C">
              <w:rPr>
                <w:rStyle w:val="Hyperlink"/>
              </w:rPr>
              <w:t>2</w:t>
            </w:r>
            <w:r>
              <w:fldChar w:fldCharType="end"/>
            </w:r>
          </w:hyperlink>
        </w:p>
        <w:p w:rsidR="2482C61B" w:rsidRDefault="006717C6" w:rsidP="2482C61B">
          <w:pPr>
            <w:pStyle w:val="TOC3"/>
            <w:tabs>
              <w:tab w:val="right" w:leader="dot" w:pos="9015"/>
            </w:tabs>
            <w:rPr>
              <w:rStyle w:val="Hyperlink"/>
            </w:rPr>
          </w:pPr>
          <w:hyperlink w:anchor="_Toc2122652442">
            <w:r w:rsidR="3B46C81C" w:rsidRPr="3B46C81C">
              <w:rPr>
                <w:rStyle w:val="Hyperlink"/>
              </w:rPr>
              <w:t>2. An Explanation of Specific HR Factors at Lear Corporation Redditch</w:t>
            </w:r>
            <w:r w:rsidR="2482C61B">
              <w:tab/>
            </w:r>
            <w:r>
              <w:fldChar w:fldCharType="begin"/>
            </w:r>
            <w:r w:rsidR="2482C61B">
              <w:instrText>PAGEREF _Toc2122652442 \h</w:instrText>
            </w:r>
            <w:r>
              <w:fldChar w:fldCharType="separate"/>
            </w:r>
            <w:r w:rsidR="3B46C81C" w:rsidRPr="3B46C81C">
              <w:rPr>
                <w:rStyle w:val="Hyperlink"/>
              </w:rPr>
              <w:t>3</w:t>
            </w:r>
            <w:r>
              <w:fldChar w:fldCharType="end"/>
            </w:r>
          </w:hyperlink>
        </w:p>
        <w:p w:rsidR="2482C61B" w:rsidRDefault="006717C6" w:rsidP="2482C61B">
          <w:pPr>
            <w:pStyle w:val="TOC3"/>
            <w:tabs>
              <w:tab w:val="right" w:leader="dot" w:pos="9015"/>
            </w:tabs>
            <w:rPr>
              <w:rStyle w:val="Hyperlink"/>
            </w:rPr>
          </w:pPr>
          <w:hyperlink w:anchor="_Toc1330848783">
            <w:r w:rsidR="3B46C81C" w:rsidRPr="3B46C81C">
              <w:rPr>
                <w:rStyle w:val="Hyperlink"/>
              </w:rPr>
              <w:t>3. An Evaluation of Different Contemporary HR Practices</w:t>
            </w:r>
            <w:r w:rsidR="2482C61B">
              <w:tab/>
            </w:r>
            <w:r>
              <w:fldChar w:fldCharType="begin"/>
            </w:r>
            <w:r w:rsidR="2482C61B">
              <w:instrText>PAGEREF _Toc1330848783 \h</w:instrText>
            </w:r>
            <w:r>
              <w:fldChar w:fldCharType="separate"/>
            </w:r>
            <w:r w:rsidR="3B46C81C" w:rsidRPr="3B46C81C">
              <w:rPr>
                <w:rStyle w:val="Hyperlink"/>
              </w:rPr>
              <w:t>4</w:t>
            </w:r>
            <w:r>
              <w:fldChar w:fldCharType="end"/>
            </w:r>
          </w:hyperlink>
        </w:p>
        <w:p w:rsidR="2482C61B" w:rsidRDefault="006717C6" w:rsidP="2482C61B">
          <w:pPr>
            <w:pStyle w:val="TOC3"/>
            <w:tabs>
              <w:tab w:val="right" w:leader="dot" w:pos="9015"/>
            </w:tabs>
            <w:rPr>
              <w:rStyle w:val="Hyperlink"/>
            </w:rPr>
          </w:pPr>
          <w:hyperlink w:anchor="_Toc1166181070">
            <w:r w:rsidR="3B46C81C" w:rsidRPr="3B46C81C">
              <w:rPr>
                <w:rStyle w:val="Hyperlink"/>
              </w:rPr>
              <w:t>4. A Critical Evaluation of How Departmental Managers Can Ensure These Practices Are Implemented as a Matter of Urgency</w:t>
            </w:r>
            <w:r w:rsidR="2482C61B">
              <w:tab/>
            </w:r>
            <w:r>
              <w:fldChar w:fldCharType="begin"/>
            </w:r>
            <w:r w:rsidR="2482C61B">
              <w:instrText>PAGEREF _Toc1166181070 \h</w:instrText>
            </w:r>
            <w:r>
              <w:fldChar w:fldCharType="separate"/>
            </w:r>
            <w:r w:rsidR="3B46C81C" w:rsidRPr="3B46C81C">
              <w:rPr>
                <w:rStyle w:val="Hyperlink"/>
              </w:rPr>
              <w:t>6</w:t>
            </w:r>
            <w:r>
              <w:fldChar w:fldCharType="end"/>
            </w:r>
          </w:hyperlink>
        </w:p>
        <w:p w:rsidR="2482C61B" w:rsidRDefault="006717C6" w:rsidP="2482C61B">
          <w:pPr>
            <w:pStyle w:val="TOC3"/>
            <w:tabs>
              <w:tab w:val="right" w:leader="dot" w:pos="9015"/>
            </w:tabs>
            <w:rPr>
              <w:rStyle w:val="Hyperlink"/>
            </w:rPr>
          </w:pPr>
          <w:hyperlink w:anchor="_Toc1254048841">
            <w:r w:rsidR="3B46C81C" w:rsidRPr="3B46C81C">
              <w:rPr>
                <w:rStyle w:val="Hyperlink"/>
              </w:rPr>
              <w:t>5. Conclusion and Recommendations</w:t>
            </w:r>
            <w:r w:rsidR="2482C61B">
              <w:tab/>
            </w:r>
            <w:r>
              <w:fldChar w:fldCharType="begin"/>
            </w:r>
            <w:r w:rsidR="2482C61B">
              <w:instrText>PAGEREF _Toc1254048841 \h</w:instrText>
            </w:r>
            <w:r>
              <w:fldChar w:fldCharType="separate"/>
            </w:r>
            <w:r w:rsidR="3B46C81C" w:rsidRPr="3B46C81C">
              <w:rPr>
                <w:rStyle w:val="Hyperlink"/>
              </w:rPr>
              <w:t>7</w:t>
            </w:r>
            <w:r>
              <w:fldChar w:fldCharType="end"/>
            </w:r>
          </w:hyperlink>
        </w:p>
        <w:p w:rsidR="2482C61B" w:rsidRDefault="006717C6" w:rsidP="2482C61B">
          <w:pPr>
            <w:pStyle w:val="TOC3"/>
            <w:tabs>
              <w:tab w:val="right" w:leader="dot" w:pos="9015"/>
            </w:tabs>
            <w:rPr>
              <w:rStyle w:val="Hyperlink"/>
            </w:rPr>
          </w:pPr>
          <w:hyperlink w:anchor="_Toc2048004808">
            <w:r w:rsidR="3B46C81C" w:rsidRPr="3B46C81C">
              <w:rPr>
                <w:rStyle w:val="Hyperlink"/>
              </w:rPr>
              <w:t>6. Reference List</w:t>
            </w:r>
            <w:r w:rsidR="2482C61B">
              <w:tab/>
            </w:r>
            <w:r>
              <w:fldChar w:fldCharType="begin"/>
            </w:r>
            <w:r w:rsidR="2482C61B">
              <w:instrText>PAGEREF _Toc2048004808 \h</w:instrText>
            </w:r>
            <w:r>
              <w:fldChar w:fldCharType="separate"/>
            </w:r>
            <w:r w:rsidR="3B46C81C" w:rsidRPr="3B46C81C">
              <w:rPr>
                <w:rStyle w:val="Hyperlink"/>
              </w:rPr>
              <w:t>8</w:t>
            </w:r>
            <w:r>
              <w:fldChar w:fldCharType="end"/>
            </w:r>
          </w:hyperlink>
          <w:r>
            <w:fldChar w:fldCharType="end"/>
          </w:r>
        </w:p>
      </w:sdtContent>
    </w:sdt>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2482C61B" w:rsidRDefault="2482C61B" w:rsidP="2482C61B"/>
    <w:p w:rsidR="71BE4C04" w:rsidRDefault="71BE4C04" w:rsidP="3B46C81C">
      <w:pPr>
        <w:pStyle w:val="Heading3"/>
        <w:shd w:val="clear" w:color="auto" w:fill="FFFFFF" w:themeFill="background1"/>
        <w:spacing w:before="480" w:after="240" w:line="450" w:lineRule="auto"/>
        <w:jc w:val="both"/>
        <w:rPr>
          <w:rFonts w:ascii="Arial" w:eastAsia="Arial" w:hAnsi="Arial" w:cs="Arial"/>
          <w:color w:val="0F1115"/>
          <w:sz w:val="30"/>
          <w:szCs w:val="30"/>
        </w:rPr>
      </w:pPr>
      <w:bookmarkStart w:id="0" w:name="_Toc1987762961"/>
      <w:r w:rsidRPr="3B46C81C">
        <w:rPr>
          <w:rFonts w:ascii="system-ui" w:eastAsia="system-ui" w:hAnsi="system-ui" w:cs="system-ui"/>
          <w:b/>
          <w:bCs/>
          <w:color w:val="0F1115"/>
          <w:sz w:val="30"/>
          <w:szCs w:val="30"/>
        </w:rPr>
        <w:lastRenderedPageBreak/>
        <w:t>1.</w:t>
      </w:r>
      <w:r w:rsidRPr="3B46C81C">
        <w:rPr>
          <w:rFonts w:ascii="Arial" w:eastAsia="Arial" w:hAnsi="Arial" w:cs="Arial"/>
          <w:b/>
          <w:bCs/>
          <w:color w:val="0F1115"/>
          <w:sz w:val="30"/>
          <w:szCs w:val="30"/>
        </w:rPr>
        <w:t xml:space="preserve"> Introduction</w:t>
      </w:r>
      <w:bookmarkEnd w:id="0"/>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rsidRPr="2482C61B">
        <w:rPr>
          <w:rFonts w:ascii="Arial" w:eastAsia="Arial" w:hAnsi="Arial" w:cs="Arial"/>
          <w:color w:val="0F1115"/>
          <w:sz w:val="22"/>
          <w:szCs w:val="22"/>
        </w:rPr>
        <w:t>This report provides a formal analysis of the critical human resource (HR) challenges facing Lear Corporation at its Redditch facility and proposes contemporary strategies to address them in the context of the 2026 business landscape. As a global automotive technology leader, Lear Corporation operates in a sector defined by rapid technological change and intense competition for skilled talent (SAP, 2026). An examination of employee feedback reveals persistent issues related to work-life balance, managerial effectiveness, and career progression, which are particularly acute in a high-pressure manufacturing and engineering environment (AmbitionBox, 2026). These internal factors are compounded by external macroeconomic and legislative pressures, including the accelerated integration of artificial intelligence (AI), the implementation of the UK Employment Rights Bill, and a shifting legal and political landscape surrounding Diversity, Equity, and Inclusion (DEI) initiatives (Brightmine, 2025; Krevolin &amp; Horst, LLC, 2026). This report will first explain the specific nature of these three key factors at Lear. It will then evaluate contemporary HR practices designed to mitigate these challenges. Finally, it will critically assess the pivotal role of departmental managers in ensuring the urgent and effective implementation of these practices, concluding with actionable recommendations for the Redditch site.</w:t>
      </w:r>
    </w:p>
    <w:p w:rsidR="2482C61B" w:rsidRDefault="71BE4C04" w:rsidP="3B46C81C">
      <w:pPr>
        <w:pStyle w:val="Heading3"/>
        <w:shd w:val="clear" w:color="auto" w:fill="FFFFFF" w:themeFill="background1"/>
        <w:spacing w:before="480" w:after="240" w:line="360" w:lineRule="auto"/>
        <w:jc w:val="both"/>
        <w:rPr>
          <w:rFonts w:ascii="Arial" w:eastAsia="Arial" w:hAnsi="Arial" w:cs="Arial"/>
          <w:b/>
          <w:bCs/>
          <w:color w:val="0F1115"/>
          <w:sz w:val="30"/>
          <w:szCs w:val="30"/>
        </w:rPr>
      </w:pPr>
      <w:bookmarkStart w:id="1" w:name="_Toc2122652442"/>
      <w:r w:rsidRPr="3B46C81C">
        <w:rPr>
          <w:rFonts w:ascii="system-ui" w:eastAsia="system-ui" w:hAnsi="system-ui" w:cs="system-ui"/>
          <w:b/>
          <w:bCs/>
          <w:color w:val="0F1115"/>
          <w:sz w:val="30"/>
          <w:szCs w:val="30"/>
        </w:rPr>
        <w:t>2.</w:t>
      </w:r>
      <w:r w:rsidRPr="3B46C81C">
        <w:rPr>
          <w:rFonts w:ascii="Arial" w:eastAsia="Arial" w:hAnsi="Arial" w:cs="Arial"/>
          <w:b/>
          <w:bCs/>
          <w:color w:val="0F1115"/>
          <w:sz w:val="30"/>
          <w:szCs w:val="30"/>
        </w:rPr>
        <w:t xml:space="preserve"> An Explanation of Specific HR Factors at Lear Corporation Redditch</w:t>
      </w:r>
      <w:bookmarkEnd w:id="1"/>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rsidRPr="2482C61B">
        <w:rPr>
          <w:rFonts w:ascii="Arial" w:eastAsia="Arial" w:hAnsi="Arial" w:cs="Arial"/>
          <w:b/>
          <w:bCs/>
          <w:color w:val="0F1115"/>
          <w:sz w:val="22"/>
          <w:szCs w:val="22"/>
        </w:rPr>
        <w:t>2.1 Meeting up with Technological Advancement</w:t>
      </w:r>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br/>
      </w:r>
      <w:r w:rsidRPr="2482C61B">
        <w:rPr>
          <w:rFonts w:ascii="Arial" w:eastAsia="Arial" w:hAnsi="Arial" w:cs="Arial"/>
          <w:color w:val="0F1115"/>
          <w:sz w:val="22"/>
          <w:szCs w:val="22"/>
        </w:rPr>
        <w:t xml:space="preserve">The automotive industry is undergoing a profound transformation with the rise of electric vehicles (EVs) and Industry 4.0, making technological advancement a critical HR factor. For Lear Corporation Redditch, this means moving beyond the early stages of AI adoption—where it is used for isolated tasks—towards embedding it into core processes (Gartner, 2025). The challenge lies in upskilling the existing workforce to work alongside AI and automated systems. This requires a shift from basic digital literacy to advanced data analysis and systems thinking (EF Corporate Learning, 2026). Furthermore, as AI automates routine tasks, there is a risk of eroding critical thinking and human judgment if clear norms for its use are not established (Maule Group, 2026). Therefore, the HR challenge is not merely procuring new technology but fostering an "AI maturity" where employees and managers </w:t>
      </w:r>
      <w:r w:rsidRPr="2482C61B">
        <w:rPr>
          <w:rFonts w:ascii="Arial" w:eastAsia="Arial" w:hAnsi="Arial" w:cs="Arial"/>
          <w:color w:val="0F1115"/>
          <w:sz w:val="22"/>
          <w:szCs w:val="22"/>
        </w:rPr>
        <w:lastRenderedPageBreak/>
        <w:t>understand how to leverage these tools ethically and effectively to enhance, rather than replace, human capability (Gartner, 2025).</w:t>
      </w:r>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rsidRPr="2482C61B">
        <w:rPr>
          <w:rFonts w:ascii="Arial" w:eastAsia="Arial" w:hAnsi="Arial" w:cs="Arial"/>
          <w:b/>
          <w:bCs/>
          <w:color w:val="0F1115"/>
          <w:sz w:val="22"/>
          <w:szCs w:val="22"/>
        </w:rPr>
        <w:t>2.2 Talent Acquisition and Retention</w:t>
      </w:r>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br/>
      </w:r>
      <w:r w:rsidRPr="2482C61B">
        <w:rPr>
          <w:rFonts w:ascii="Arial" w:eastAsia="Arial" w:hAnsi="Arial" w:cs="Arial"/>
          <w:color w:val="0F1115"/>
          <w:sz w:val="22"/>
          <w:szCs w:val="22"/>
        </w:rPr>
        <w:t>Talent management at Lear Redditch is challenged by a "fractured pathway" for early-career employees and a pressing need for internal mobility (SAP, 2026). Employee reviews from the site indicate significant dissatisfaction with promotions, work-life balance, and a perceived political culture where favouritism can hinder career growth (AmbitionBox, 2026). This creates a climate ripe for "regrettable retention," where low-performing employees stay due to a lack of clear progression, while high-potential talent leaves, directly impacting productivity (SAP, 2026). The decline in entry-level engineering roles, as AI handles lower-value work, places enormous pressure on HR to rapidly develop the remaining talent pipeline (Maule Group, 2026). In response, the focus must shift from an external, "hiring-first" approach to a "talent-first" model that prioritises identifying, reskilling, and redeploying the internal workforce to fill critical skill gaps (SAP, 2026).</w:t>
      </w:r>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rsidRPr="2482C61B">
        <w:rPr>
          <w:rFonts w:ascii="Arial" w:eastAsia="Arial" w:hAnsi="Arial" w:cs="Arial"/>
          <w:b/>
          <w:bCs/>
          <w:color w:val="0F1115"/>
          <w:sz w:val="22"/>
          <w:szCs w:val="22"/>
        </w:rPr>
        <w:t>2.3 Diversity, Equity and Inclusion (DEI)</w:t>
      </w:r>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br/>
      </w:r>
      <w:r w:rsidRPr="2482C61B">
        <w:rPr>
          <w:rFonts w:ascii="Arial" w:eastAsia="Arial" w:hAnsi="Arial" w:cs="Arial"/>
          <w:color w:val="0F1115"/>
          <w:sz w:val="22"/>
          <w:szCs w:val="22"/>
        </w:rPr>
        <w:t>The DEI landscape in 2026 is complex and highly politicised. While employee reviews at Lear acknowledge it as a "good place for women employees," they also hint at underlying issues of favouritism and a lack of structured evaluation (AmbitionBox, 2026). The primary challenge for HR at Lear Redditch is navigating the tension between fostering an inclusive culture and ensuring compliance with a shifting legal framework (Krevolin &amp; Horst, LLC, 2026). In the UK, while not subject to the same executive orders as US firms, the global stance of parent companies and the principles of equality law remain paramount (Jones, 2026). The risk is that the uncertainty around DEI leads to "reactive decisions" (Brightmine, 2025). HR must ensure that any initiatives, such as Employee Resource Groups (ERGs) or mentoring programmes, are structured to be voluntary and open to all, avoiding any perception of disparate treatment or unlawful quotas, and focusing instead on the long-standing legal principle of equitable opportunity for all (Krevolin &amp; Horst, LLC, 2026).</w:t>
      </w:r>
    </w:p>
    <w:p w:rsidR="00406EB1" w:rsidRDefault="00406EB1" w:rsidP="2482C61B">
      <w:pPr>
        <w:shd w:val="clear" w:color="auto" w:fill="FFFFFF" w:themeFill="background1"/>
        <w:spacing w:before="240" w:after="240" w:line="360" w:lineRule="auto"/>
        <w:jc w:val="both"/>
        <w:rPr>
          <w:rFonts w:ascii="Arial" w:eastAsia="Arial" w:hAnsi="Arial" w:cs="Arial"/>
          <w:color w:val="0F1115"/>
          <w:sz w:val="22"/>
          <w:szCs w:val="22"/>
        </w:rPr>
      </w:pPr>
    </w:p>
    <w:p w:rsidR="71BE4C04" w:rsidRDefault="71BE4C04" w:rsidP="3B46C81C">
      <w:pPr>
        <w:pStyle w:val="Heading3"/>
        <w:shd w:val="clear" w:color="auto" w:fill="FFFFFF" w:themeFill="background1"/>
        <w:spacing w:before="480" w:after="240" w:line="450" w:lineRule="auto"/>
        <w:jc w:val="both"/>
        <w:rPr>
          <w:rFonts w:ascii="Arial" w:eastAsia="Arial" w:hAnsi="Arial" w:cs="Arial"/>
          <w:color w:val="0F1115"/>
          <w:sz w:val="30"/>
          <w:szCs w:val="30"/>
        </w:rPr>
      </w:pPr>
      <w:bookmarkStart w:id="2" w:name="_Toc1330848783"/>
      <w:r w:rsidRPr="3B46C81C">
        <w:rPr>
          <w:rFonts w:ascii="Arial" w:eastAsia="Arial" w:hAnsi="Arial" w:cs="Arial"/>
          <w:b/>
          <w:bCs/>
          <w:color w:val="0F1115"/>
          <w:sz w:val="30"/>
          <w:szCs w:val="30"/>
        </w:rPr>
        <w:lastRenderedPageBreak/>
        <w:t>3. An Evaluation of Different Contemporary HR Practices</w:t>
      </w:r>
      <w:bookmarkEnd w:id="2"/>
    </w:p>
    <w:p w:rsidR="71BE4C04" w:rsidRDefault="71BE4C04" w:rsidP="3B46C81C">
      <w:pPr>
        <w:shd w:val="clear" w:color="auto" w:fill="FFFFFF" w:themeFill="background1"/>
        <w:spacing w:before="240" w:after="240" w:line="360" w:lineRule="auto"/>
        <w:jc w:val="both"/>
        <w:rPr>
          <w:rFonts w:ascii="Arial" w:eastAsia="Arial" w:hAnsi="Arial" w:cs="Arial"/>
          <w:color w:val="0F1115"/>
        </w:rPr>
      </w:pPr>
      <w:r w:rsidRPr="3B46C81C">
        <w:rPr>
          <w:rFonts w:ascii="Arial" w:eastAsia="Arial" w:hAnsi="Arial" w:cs="Arial"/>
          <w:b/>
          <w:bCs/>
          <w:color w:val="0F1115"/>
        </w:rPr>
        <w:t>3.1 Contemporary Practices for Technological Advancement</w:t>
      </w:r>
    </w:p>
    <w:p w:rsidR="71BE4C04" w:rsidRDefault="71BE4C04" w:rsidP="3B46C81C">
      <w:pPr>
        <w:shd w:val="clear" w:color="auto" w:fill="FFFFFF" w:themeFill="background1"/>
        <w:spacing w:before="240" w:after="240" w:line="360" w:lineRule="auto"/>
        <w:jc w:val="both"/>
        <w:rPr>
          <w:rFonts w:ascii="Arial" w:eastAsia="Arial" w:hAnsi="Arial" w:cs="Arial"/>
          <w:color w:val="0F1115"/>
        </w:rPr>
      </w:pPr>
      <w:r>
        <w:br/>
      </w:r>
      <w:r w:rsidRPr="3B46C81C">
        <w:rPr>
          <w:rFonts w:ascii="Arial" w:eastAsia="Arial" w:hAnsi="Arial" w:cs="Arial"/>
          <w:color w:val="0F1115"/>
        </w:rPr>
        <w:t>To address technological disruption, HR must move beyond fragmented training to implement integrated, AI-powered learning and development ecosystems (EF Corporate Learning, 2026). Instead of piecemeal courses, contemporary practice involves using talent intelligence platforms to identify skills gaps and deliver personalised learning journeys that are directly tied to role evolution and business needs (SAP, 2026). This involves a shift "from knowledge absorption to practice application," using simulated, real-world scenarios where employees can safely build AI literacy and systems-thinking skills (EF Corporate Learning, 2026). Furthermore, a critical contemporary practice is the establishment of clear organisational norms for AI use (Maule Group, 2026). This involves co-creating guidelines with employees that define responsible AI use, reinforcing human accountability and ethical behaviour, and training managers to use AI as a "co-pilot" for performance management, thereby freeing them to focus on coaching and meaningful human connection (Gartner, 2025; Maule Group, 2026).</w:t>
      </w:r>
    </w:p>
    <w:p w:rsidR="71BE4C04" w:rsidRDefault="71BE4C04" w:rsidP="3B46C81C">
      <w:p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b/>
          <w:bCs/>
          <w:color w:val="0F1115"/>
          <w:sz w:val="22"/>
          <w:szCs w:val="22"/>
        </w:rPr>
        <w:t>3.2 Contemporary Practices for Talent Acquisition and Retention</w:t>
      </w:r>
      <w:r>
        <w:br/>
      </w:r>
      <w:r w:rsidRPr="3B46C81C">
        <w:rPr>
          <w:rFonts w:ascii="Arial" w:eastAsia="Arial" w:hAnsi="Arial" w:cs="Arial"/>
          <w:color w:val="0F1115"/>
          <w:sz w:val="22"/>
          <w:szCs w:val="22"/>
        </w:rPr>
        <w:t>To combat retention issues, a highly effective contemporary practice is the implementation of a skills-based internal talent marketplace (SAP, 2026). This practice shifts the focus from job titles to verifiable skills, allowing HR and managers to proactively match internal employees with short-term projects, mentoring opportunities, and new roles (SAP, 2026). This directly addresses the employee desire for growth and mobility, with SAP (2026) research indicating valued employees are 2.5 times more likely to stay. By turning "one-third of recruiting capacity inward," Lear can fill critical gaps faster and boost engagement (SAP, 2026, p. 4). This must be paired with a move towards continuous performance management (Gartner, 2025). Replacing or augmenting annual reviews with real-time feedback, frequent check-ins, and AI-powered tools that provide managers with insights into team sentiment and performance, allows for the early identification of disengagement and the proactive management of underperformance before it leads to regrettable attrition (Gartner, 2025).</w:t>
      </w:r>
    </w:p>
    <w:p w:rsidR="00406EB1" w:rsidRDefault="00406EB1" w:rsidP="3B46C81C">
      <w:pPr>
        <w:shd w:val="clear" w:color="auto" w:fill="FFFFFF" w:themeFill="background1"/>
        <w:spacing w:before="240" w:after="240" w:line="360" w:lineRule="auto"/>
        <w:jc w:val="both"/>
        <w:rPr>
          <w:rFonts w:ascii="Arial" w:eastAsia="Arial" w:hAnsi="Arial" w:cs="Arial"/>
          <w:color w:val="0F1115"/>
          <w:sz w:val="22"/>
          <w:szCs w:val="22"/>
        </w:rPr>
      </w:pPr>
    </w:p>
    <w:p w:rsidR="71BE4C04" w:rsidRDefault="71BE4C04" w:rsidP="3B46C81C">
      <w:p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b/>
          <w:bCs/>
          <w:color w:val="0F1115"/>
          <w:sz w:val="22"/>
          <w:szCs w:val="22"/>
        </w:rPr>
        <w:lastRenderedPageBreak/>
        <w:t>3.3 Contemporary Practices for Diversity, Equity and Inclusion (DEI)</w:t>
      </w:r>
      <w:r>
        <w:br/>
      </w:r>
      <w:r w:rsidRPr="3B46C81C">
        <w:rPr>
          <w:rFonts w:ascii="Arial" w:eastAsia="Arial" w:hAnsi="Arial" w:cs="Arial"/>
          <w:color w:val="0F1115"/>
          <w:sz w:val="22"/>
          <w:szCs w:val="22"/>
        </w:rPr>
        <w:t>In the current climate, the most robust contemporary practice for DEI is to re-frame initiatives through a strict lens of compliance, equity, and psychological safety (Krevolin &amp; Horst, LLC, 2026). This involves a meticulous audit of all HR policies, from recruitment to promotion, to ensure they are based on objective, role-related criteria and do not unintentionally create barriers for any group (Brightmine, 2025; Krevolin &amp; Horst, LLC, 2026). Instead of broad, potentially divisive DEI training, contemporary practice favours targeted, skill-based inclusion programmes (Jones, 2026). For example, unconscious bias training can be integrated into manager training on conducting fair performance reviews or equitable hiring practices, as suggested by Brightmine's (2025) 2026 priorities. Employee resource groups should be re-evaluated to ensure they are "voluntary, open to all employees who support the group’s goals," and focused on professional development and mentorship, thereby mitigating legal risk while preserving their value for engagement and belonging (Krevolin &amp; Horst, LLC, 2026, p. 3). This approach grounds DEI in the familiar territory of Title VII (and its UK equivalents), focusing on fair process and the mitigation of unlawful harassment and discrimination (Jones, 2026).</w:t>
      </w:r>
    </w:p>
    <w:p w:rsidR="71BE4C04" w:rsidRDefault="71BE4C04" w:rsidP="3B46C81C">
      <w:pPr>
        <w:pStyle w:val="Heading3"/>
        <w:shd w:val="clear" w:color="auto" w:fill="FFFFFF" w:themeFill="background1"/>
        <w:spacing w:before="480" w:after="240" w:line="360" w:lineRule="auto"/>
        <w:jc w:val="both"/>
        <w:rPr>
          <w:rFonts w:ascii="Arial" w:eastAsia="Arial" w:hAnsi="Arial" w:cs="Arial"/>
          <w:color w:val="0F1115"/>
          <w:sz w:val="30"/>
          <w:szCs w:val="30"/>
        </w:rPr>
      </w:pPr>
      <w:bookmarkStart w:id="3" w:name="_Toc1166181070"/>
      <w:r w:rsidRPr="3B46C81C">
        <w:rPr>
          <w:rFonts w:ascii="Arial" w:eastAsia="Arial" w:hAnsi="Arial" w:cs="Arial"/>
          <w:b/>
          <w:bCs/>
          <w:color w:val="0F1115"/>
          <w:sz w:val="30"/>
          <w:szCs w:val="30"/>
        </w:rPr>
        <w:t>4. A Critical Evaluation of How Departmental Managers Can Ensure These Practices Are Implemented as a Matter of Urgency</w:t>
      </w:r>
      <w:bookmarkEnd w:id="3"/>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rsidRPr="2482C61B">
        <w:rPr>
          <w:rFonts w:ascii="Arial" w:eastAsia="Arial" w:hAnsi="Arial" w:cs="Arial"/>
          <w:color w:val="0F1115"/>
          <w:sz w:val="22"/>
          <w:szCs w:val="22"/>
        </w:rPr>
        <w:t>The successful and urgent implementation of these contemporary HR practices hinges critically on the capability and commitment of departmental managers. However, research consistently shows a significant "skills gap" in this area, with HR professionals expressing low confidence in managers' ability to handle conduct, performance, and absence management (Brightmine, 2025). Therefore, a multi-faceted approach to enabling managers is required.</w:t>
      </w:r>
    </w:p>
    <w:p w:rsidR="71BE4C04" w:rsidRDefault="71BE4C04" w:rsidP="3B46C81C">
      <w:p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color w:val="0F1115"/>
          <w:sz w:val="22"/>
          <w:szCs w:val="22"/>
        </w:rPr>
        <w:t xml:space="preserve">Firstly, managers must be equipped with the right tools and training to become effective coaches (Maule Group, 2026). Urgency can only be achieved if managers are relieved of the administrative burden that prevents them from leading. By providing them with AI-powered performance management tools that automate data collection and generate actionable insights, they can immediately focus their time on the "human moments that drive connection and commitment" (Gartner, 2025, p. 2). This must be paired with immediate, "dedicated programmes" designed to upskill them on how to use these new tools and have </w:t>
      </w:r>
      <w:r w:rsidRPr="3B46C81C">
        <w:rPr>
          <w:rFonts w:ascii="Arial" w:eastAsia="Arial" w:hAnsi="Arial" w:cs="Arial"/>
          <w:color w:val="0F1115"/>
          <w:sz w:val="22"/>
          <w:szCs w:val="22"/>
        </w:rPr>
        <w:lastRenderedPageBreak/>
        <w:t>effective, data-backed conversations about performance and development (EF Corporate Learning, 2026, p. 5).</w:t>
      </w:r>
    </w:p>
    <w:p w:rsidR="71BE4C04" w:rsidRDefault="71BE4C04" w:rsidP="3B46C81C">
      <w:p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color w:val="0F1115"/>
          <w:sz w:val="22"/>
          <w:szCs w:val="22"/>
        </w:rPr>
        <w:t>Secondly, managers are the critical link between HR strategy and employee experience (SAP, 2026). They are the ones who must operationalise the "talent-first" mindset by actively using the internal talent marketplace to identify opportunities for their team members (SAP, 2026). To do this with urgency, HR must provide managers with a clear, simple framework and the authority to redeploy talent or approve short-term project participation. If managers continue to hoard talent due to short-term production pressures, the internal mobility strategy will fail (SAP, 2026). Therefore, their performance objectives must be re-aligned to include metrics for team development and internal promotion, not just output.</w:t>
      </w:r>
    </w:p>
    <w:p w:rsidR="71BE4C04" w:rsidRDefault="71BE4C04" w:rsidP="3B46C81C">
      <w:p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color w:val="0F1115"/>
          <w:sz w:val="22"/>
          <w:szCs w:val="22"/>
        </w:rPr>
        <w:t xml:space="preserve">Thirdly, managers play a vital role in navigating the complex DEI landscape and embedding AI norms (Jones, 2026; Maule Group, 2026). They are the first line of defence against the erosion of trust and the ones who model the desired culture. To ensure urgency, HR must provide managers with clear "guardrails" and scripts, not just abstract principles (Krevolin &amp; Horst, LLC, 2026). For instance, managers need concrete examples of how to discuss responsible AI use with their teams and how to facilitate difficult conversations about workplace conduct in a way that is consistent with both company policy and legal standards (Maule Group, 2026). The district court's reasoning in </w:t>
      </w:r>
      <w:r w:rsidRPr="3B46C81C">
        <w:rPr>
          <w:rFonts w:ascii="Arial" w:eastAsia="Arial" w:hAnsi="Arial" w:cs="Arial"/>
          <w:i/>
          <w:iCs/>
          <w:color w:val="0F1115"/>
          <w:sz w:val="22"/>
          <w:szCs w:val="22"/>
        </w:rPr>
        <w:t>Diemert v. City of Seattle</w:t>
      </w:r>
      <w:r w:rsidRPr="3B46C81C">
        <w:rPr>
          <w:rFonts w:ascii="Arial" w:eastAsia="Arial" w:hAnsi="Arial" w:cs="Arial"/>
          <w:color w:val="0F1115"/>
          <w:sz w:val="22"/>
          <w:szCs w:val="22"/>
        </w:rPr>
        <w:t xml:space="preserve"> highlights that managers must foster an environment where addressing inequalities is seen as vital, not as a threat, and they need direct support from HR to navigate this balance confidently (Jones, 2026). Ultimately, urgency is achieved when managers are given the tools, training, and clear, simple mandates that empower them to act immediately and consistently, transforming strategic HR plans into daily operational reality (Brightmine, 2025).</w:t>
      </w:r>
    </w:p>
    <w:p w:rsidR="71BE4C04" w:rsidRDefault="71BE4C04" w:rsidP="3B46C81C">
      <w:pPr>
        <w:pStyle w:val="Heading3"/>
        <w:shd w:val="clear" w:color="auto" w:fill="FFFFFF" w:themeFill="background1"/>
        <w:spacing w:before="480" w:after="240" w:line="450" w:lineRule="auto"/>
        <w:jc w:val="both"/>
        <w:rPr>
          <w:rFonts w:ascii="Arial" w:eastAsia="Arial" w:hAnsi="Arial" w:cs="Arial"/>
          <w:color w:val="0F1115"/>
          <w:sz w:val="30"/>
          <w:szCs w:val="30"/>
        </w:rPr>
      </w:pPr>
      <w:bookmarkStart w:id="4" w:name="_Toc1254048841"/>
      <w:r w:rsidRPr="3B46C81C">
        <w:rPr>
          <w:rFonts w:ascii="Arial" w:eastAsia="Arial" w:hAnsi="Arial" w:cs="Arial"/>
          <w:b/>
          <w:bCs/>
          <w:color w:val="0F1115"/>
          <w:sz w:val="30"/>
          <w:szCs w:val="30"/>
        </w:rPr>
        <w:t>5. Conclusion and Recommendations</w:t>
      </w:r>
      <w:bookmarkEnd w:id="4"/>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rsidRPr="2482C61B">
        <w:rPr>
          <w:rFonts w:ascii="Arial" w:eastAsia="Arial" w:hAnsi="Arial" w:cs="Arial"/>
          <w:color w:val="0F1115"/>
          <w:sz w:val="22"/>
          <w:szCs w:val="22"/>
        </w:rPr>
        <w:t>Lear Corporation Redditch faces a pivotal moment where strategic HR management is essential for navigating technological disruption, talent wars, and a complex socio-political environment. The challenges of AI integration, employee retention, and DEI are interconnected and require a coherent, modern response. The analysis suggests that moving towards integrated, skills-based people strategies is the most effective path forward (SAP, 2026). However, the success of these strategies is entirely dependent on the capability of departmental managers to implement them with urgency and empathy (Brightmine, 2025).</w:t>
      </w:r>
    </w:p>
    <w:p w:rsidR="71BE4C04" w:rsidRDefault="71BE4C04" w:rsidP="2482C61B">
      <w:pPr>
        <w:shd w:val="clear" w:color="auto" w:fill="FFFFFF" w:themeFill="background1"/>
        <w:spacing w:before="240" w:after="240" w:line="360" w:lineRule="auto"/>
        <w:jc w:val="both"/>
        <w:rPr>
          <w:rFonts w:ascii="Arial" w:eastAsia="Arial" w:hAnsi="Arial" w:cs="Arial"/>
          <w:color w:val="0F1115"/>
          <w:sz w:val="22"/>
          <w:szCs w:val="22"/>
        </w:rPr>
      </w:pPr>
      <w:r w:rsidRPr="2482C61B">
        <w:rPr>
          <w:rFonts w:ascii="Arial" w:eastAsia="Arial" w:hAnsi="Arial" w:cs="Arial"/>
          <w:color w:val="0F1115"/>
          <w:sz w:val="22"/>
          <w:szCs w:val="22"/>
        </w:rPr>
        <w:lastRenderedPageBreak/>
        <w:t>Based on this report, the following recommendations are made for Lear Corporation Redditch:</w:t>
      </w:r>
    </w:p>
    <w:p w:rsidR="71BE4C04" w:rsidRDefault="71BE4C04" w:rsidP="3B46C81C">
      <w:pPr>
        <w:pStyle w:val="ListParagraph"/>
        <w:numPr>
          <w:ilvl w:val="0"/>
          <w:numId w:val="1"/>
        </w:num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color w:val="0F1115"/>
          <w:sz w:val="22"/>
          <w:szCs w:val="22"/>
        </w:rPr>
        <w:t>Launch an AI Literacy and Upskilling Programme</w:t>
      </w:r>
      <w:r w:rsidRPr="3B46C81C">
        <w:rPr>
          <w:rFonts w:ascii="Arial" w:eastAsia="Arial" w:hAnsi="Arial" w:cs="Arial"/>
          <w:b/>
          <w:bCs/>
          <w:color w:val="0F1115"/>
          <w:sz w:val="22"/>
          <w:szCs w:val="22"/>
        </w:rPr>
        <w:t>:</w:t>
      </w:r>
      <w:r w:rsidRPr="3B46C81C">
        <w:rPr>
          <w:rFonts w:ascii="Arial" w:eastAsia="Arial" w:hAnsi="Arial" w:cs="Arial"/>
          <w:color w:val="0F1115"/>
          <w:sz w:val="22"/>
          <w:szCs w:val="22"/>
        </w:rPr>
        <w:t xml:space="preserve"> Immediately implement a mandatory, role-specific training programme for all employees and managers, focusing not just on using AI tools but on understanding their ethical application and impact on workflows, as outlined in 2026 trends (EF Corporate Learning, 2026; Gartner, 2025).</w:t>
      </w: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71BE4C04" w:rsidRDefault="71BE4C04" w:rsidP="3B46C81C">
      <w:pPr>
        <w:pStyle w:val="ListParagraph"/>
        <w:numPr>
          <w:ilvl w:val="0"/>
          <w:numId w:val="1"/>
        </w:num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color w:val="0F1115"/>
          <w:sz w:val="22"/>
          <w:szCs w:val="22"/>
        </w:rPr>
        <w:t>Implement a Skills-Based Internal Talent Platform</w:t>
      </w:r>
      <w:r w:rsidRPr="3B46C81C">
        <w:rPr>
          <w:rFonts w:ascii="Arial" w:eastAsia="Arial" w:hAnsi="Arial" w:cs="Arial"/>
          <w:b/>
          <w:bCs/>
          <w:color w:val="0F1115"/>
          <w:sz w:val="22"/>
          <w:szCs w:val="22"/>
        </w:rPr>
        <w:t>:</w:t>
      </w:r>
      <w:r w:rsidRPr="3B46C81C">
        <w:rPr>
          <w:rFonts w:ascii="Arial" w:eastAsia="Arial" w:hAnsi="Arial" w:cs="Arial"/>
          <w:color w:val="0F1115"/>
          <w:sz w:val="22"/>
          <w:szCs w:val="22"/>
        </w:rPr>
        <w:t xml:space="preserve"> Invest in or utilise existing HR technology to create an internal talent marketplace. This should be piloted within the engineering function to match employees with project-based work and career development opportunities, directly addressing retention drivers (SAP, 2026).</w:t>
      </w: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71BE4C04" w:rsidRDefault="71BE4C04" w:rsidP="3B46C81C">
      <w:pPr>
        <w:pStyle w:val="ListParagraph"/>
        <w:numPr>
          <w:ilvl w:val="0"/>
          <w:numId w:val="1"/>
        </w:num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color w:val="0F1115"/>
          <w:sz w:val="22"/>
          <w:szCs w:val="22"/>
        </w:rPr>
        <w:t>Conduct a Comprehensive DEI Policy Audit</w:t>
      </w:r>
      <w:r w:rsidRPr="3B46C81C">
        <w:rPr>
          <w:rFonts w:ascii="Arial" w:eastAsia="Arial" w:hAnsi="Arial" w:cs="Arial"/>
          <w:b/>
          <w:bCs/>
          <w:color w:val="0F1115"/>
          <w:sz w:val="22"/>
          <w:szCs w:val="22"/>
        </w:rPr>
        <w:t>:</w:t>
      </w:r>
      <w:r w:rsidRPr="3B46C81C">
        <w:rPr>
          <w:rFonts w:ascii="Arial" w:eastAsia="Arial" w:hAnsi="Arial" w:cs="Arial"/>
          <w:color w:val="0F1115"/>
          <w:sz w:val="22"/>
          <w:szCs w:val="22"/>
        </w:rPr>
        <w:t xml:space="preserve"> With legal counsel, urgently review all recruitment, promotion, and training policies, as well as the charter of any Employee Resource Groups, to ensure they are based on objective, role-related criteria and are open to all, thereby mitigating legal risk while fostering genuine inclusion (Brightmine, 2025; Krevolin &amp; Horst, LLC, 2026).</w:t>
      </w: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71BE4C04" w:rsidRDefault="71BE4C04" w:rsidP="3B46C81C">
      <w:pPr>
        <w:pStyle w:val="ListParagraph"/>
        <w:numPr>
          <w:ilvl w:val="0"/>
          <w:numId w:val="1"/>
        </w:numPr>
        <w:shd w:val="clear" w:color="auto" w:fill="FFFFFF" w:themeFill="background1"/>
        <w:spacing w:before="240" w:after="240" w:line="360" w:lineRule="auto"/>
        <w:jc w:val="both"/>
        <w:rPr>
          <w:rFonts w:ascii="Arial" w:eastAsia="Arial" w:hAnsi="Arial" w:cs="Arial"/>
          <w:color w:val="0F1115"/>
          <w:sz w:val="22"/>
          <w:szCs w:val="22"/>
        </w:rPr>
      </w:pPr>
      <w:r w:rsidRPr="3B46C81C">
        <w:rPr>
          <w:rFonts w:ascii="Arial" w:eastAsia="Arial" w:hAnsi="Arial" w:cs="Arial"/>
          <w:color w:val="0F1115"/>
          <w:sz w:val="22"/>
          <w:szCs w:val="22"/>
        </w:rPr>
        <w:t xml:space="preserve">Roll Out a </w:t>
      </w:r>
      <w:r w:rsidR="0570510C" w:rsidRPr="3B46C81C">
        <w:rPr>
          <w:rFonts w:ascii="Arial" w:eastAsia="Arial" w:hAnsi="Arial" w:cs="Arial"/>
          <w:color w:val="0F1115"/>
          <w:sz w:val="22"/>
          <w:szCs w:val="22"/>
        </w:rPr>
        <w:t>manager</w:t>
      </w:r>
      <w:r w:rsidRPr="3B46C81C">
        <w:rPr>
          <w:rFonts w:ascii="Arial" w:eastAsia="Arial" w:hAnsi="Arial" w:cs="Arial"/>
          <w:color w:val="0F1115"/>
          <w:sz w:val="22"/>
          <w:szCs w:val="22"/>
        </w:rPr>
        <w:t xml:space="preserve"> "Coaching Capability" Bootcamp</w:t>
      </w:r>
      <w:r w:rsidRPr="3B46C81C">
        <w:rPr>
          <w:rFonts w:ascii="Arial" w:eastAsia="Arial" w:hAnsi="Arial" w:cs="Arial"/>
          <w:b/>
          <w:bCs/>
          <w:color w:val="0F1115"/>
          <w:sz w:val="22"/>
          <w:szCs w:val="22"/>
        </w:rPr>
        <w:t>:</w:t>
      </w:r>
      <w:r w:rsidRPr="3B46C81C">
        <w:rPr>
          <w:rFonts w:ascii="Arial" w:eastAsia="Arial" w:hAnsi="Arial" w:cs="Arial"/>
          <w:color w:val="0F1115"/>
          <w:sz w:val="22"/>
          <w:szCs w:val="22"/>
        </w:rPr>
        <w:t xml:space="preserve"> Develop and deliver an intensive, practical training programme for all departmental managers focused on continuous performance management techniques, holding effective career conversations, and using the new AI tools to support, not replace, their human leadership role (Maule Group, 2026)</w:t>
      </w: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2482C61B" w:rsidRDefault="2482C61B" w:rsidP="3B46C81C">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3B46C81C" w:rsidRDefault="3B46C81C" w:rsidP="3B46C81C">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3B46C81C" w:rsidRDefault="3B46C81C" w:rsidP="3B46C81C">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3B46C81C" w:rsidRDefault="3B46C81C" w:rsidP="3B46C81C">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2482C61B" w:rsidRDefault="2482C61B" w:rsidP="2482C61B">
      <w:pPr>
        <w:pStyle w:val="ListParagraph"/>
        <w:shd w:val="clear" w:color="auto" w:fill="FFFFFF" w:themeFill="background1"/>
        <w:spacing w:before="240" w:after="240" w:line="360" w:lineRule="auto"/>
        <w:jc w:val="both"/>
        <w:rPr>
          <w:rFonts w:ascii="Arial" w:eastAsia="Arial" w:hAnsi="Arial" w:cs="Arial"/>
          <w:color w:val="0F1115"/>
          <w:sz w:val="22"/>
          <w:szCs w:val="22"/>
        </w:rPr>
      </w:pPr>
    </w:p>
    <w:p w:rsidR="71BE4C04" w:rsidRDefault="71BE4C04" w:rsidP="3B46C81C">
      <w:pPr>
        <w:pStyle w:val="Heading3"/>
        <w:shd w:val="clear" w:color="auto" w:fill="FFFFFF" w:themeFill="background1"/>
        <w:spacing w:before="480" w:after="240" w:line="450" w:lineRule="auto"/>
        <w:jc w:val="both"/>
        <w:rPr>
          <w:rFonts w:ascii="Arial" w:eastAsia="Arial" w:hAnsi="Arial" w:cs="Arial"/>
          <w:color w:val="0F1115"/>
          <w:sz w:val="30"/>
          <w:szCs w:val="30"/>
        </w:rPr>
      </w:pPr>
      <w:bookmarkStart w:id="5" w:name="_Toc2048004808"/>
      <w:r w:rsidRPr="3B46C81C">
        <w:rPr>
          <w:rFonts w:ascii="Arial" w:eastAsia="Arial" w:hAnsi="Arial" w:cs="Arial"/>
          <w:b/>
          <w:bCs/>
          <w:color w:val="0F1115"/>
          <w:sz w:val="30"/>
          <w:szCs w:val="30"/>
        </w:rPr>
        <w:lastRenderedPageBreak/>
        <w:t>6. Reference List</w:t>
      </w:r>
      <w:bookmarkEnd w:id="5"/>
    </w:p>
    <w:p w:rsidR="71BE4C04" w:rsidRDefault="71BE4C04" w:rsidP="3B46C81C">
      <w:pPr>
        <w:shd w:val="clear" w:color="auto" w:fill="FFFFFF" w:themeFill="background1"/>
        <w:spacing w:before="240" w:after="240" w:line="360" w:lineRule="auto"/>
        <w:rPr>
          <w:rFonts w:ascii="Arial" w:eastAsia="Arial" w:hAnsi="Arial" w:cs="Arial"/>
          <w:color w:val="000000" w:themeColor="text1"/>
          <w:sz w:val="22"/>
          <w:szCs w:val="22"/>
        </w:rPr>
      </w:pPr>
      <w:r w:rsidRPr="3B46C81C">
        <w:rPr>
          <w:rFonts w:ascii="Arial" w:eastAsia="Arial" w:hAnsi="Arial" w:cs="Arial"/>
          <w:sz w:val="22"/>
          <w:szCs w:val="22"/>
        </w:rPr>
        <w:t xml:space="preserve">AmbitionBox (2026) Lear Corporation Reviews by 500+ Employees, </w:t>
      </w:r>
      <w:hyperlink r:id="rId7">
        <w:r w:rsidRPr="3B46C81C">
          <w:rPr>
            <w:rStyle w:val="Hyperlink"/>
            <w:rFonts w:ascii="Arial" w:eastAsia="Arial" w:hAnsi="Arial" w:cs="Arial"/>
            <w:i/>
            <w:iCs/>
            <w:color w:val="auto"/>
            <w:sz w:val="22"/>
            <w:szCs w:val="22"/>
          </w:rPr>
          <w:t>ambitionbox.com</w:t>
        </w:r>
      </w:hyperlink>
      <w:r w:rsidRPr="3B46C81C">
        <w:rPr>
          <w:rFonts w:ascii="Arial" w:eastAsia="Arial" w:hAnsi="Arial" w:cs="Arial"/>
          <w:sz w:val="22"/>
          <w:szCs w:val="22"/>
        </w:rPr>
        <w:t xml:space="preserve">, Updated 21 January. Available at: </w:t>
      </w:r>
      <w:hyperlink r:id="rId8">
        <w:r w:rsidRPr="3B46C81C">
          <w:rPr>
            <w:rStyle w:val="Hyperlink"/>
            <w:rFonts w:ascii="Arial" w:eastAsia="Arial" w:hAnsi="Arial" w:cs="Arial"/>
            <w:color w:val="auto"/>
            <w:sz w:val="22"/>
            <w:szCs w:val="22"/>
          </w:rPr>
          <w:t>https://www.ambitionbox.com</w:t>
        </w:r>
      </w:hyperlink>
      <w:r w:rsidRPr="3B46C81C">
        <w:rPr>
          <w:rFonts w:ascii="Arial" w:eastAsia="Arial" w:hAnsi="Arial" w:cs="Arial"/>
          <w:sz w:val="22"/>
          <w:szCs w:val="22"/>
        </w:rPr>
        <w:t xml:space="preserve"> (Accessed: 15 March 2026).</w:t>
      </w:r>
    </w:p>
    <w:p w:rsidR="71BE4C04" w:rsidRDefault="71BE4C04" w:rsidP="3B46C81C">
      <w:pPr>
        <w:shd w:val="clear" w:color="auto" w:fill="FFFFFF" w:themeFill="background1"/>
        <w:spacing w:before="240" w:after="240" w:line="360" w:lineRule="auto"/>
        <w:rPr>
          <w:rFonts w:ascii="Arial" w:eastAsia="Arial" w:hAnsi="Arial" w:cs="Arial"/>
          <w:color w:val="000000" w:themeColor="text1"/>
          <w:sz w:val="22"/>
          <w:szCs w:val="22"/>
        </w:rPr>
      </w:pPr>
      <w:r w:rsidRPr="3B46C81C">
        <w:rPr>
          <w:rFonts w:ascii="Arial" w:eastAsia="Arial" w:hAnsi="Arial" w:cs="Arial"/>
          <w:sz w:val="22"/>
          <w:szCs w:val="22"/>
        </w:rPr>
        <w:t>Brightmine (2025)</w:t>
      </w:r>
      <w:r w:rsidR="183BAB2B" w:rsidRPr="3B46C81C">
        <w:rPr>
          <w:rFonts w:ascii="Arial" w:eastAsia="Arial" w:hAnsi="Arial" w:cs="Arial"/>
          <w:sz w:val="22"/>
          <w:szCs w:val="22"/>
        </w:rPr>
        <w:t xml:space="preserve"> </w:t>
      </w:r>
      <w:r w:rsidRPr="3B46C81C">
        <w:rPr>
          <w:rFonts w:ascii="Arial" w:eastAsia="Arial" w:hAnsi="Arial" w:cs="Arial"/>
          <w:sz w:val="22"/>
          <w:szCs w:val="22"/>
        </w:rPr>
        <w:t xml:space="preserve">Top HR priorities for 2026, </w:t>
      </w:r>
      <w:hyperlink r:id="rId9">
        <w:r w:rsidRPr="3B46C81C">
          <w:rPr>
            <w:rStyle w:val="Hyperlink"/>
            <w:rFonts w:ascii="Arial" w:eastAsia="Arial" w:hAnsi="Arial" w:cs="Arial"/>
            <w:i/>
            <w:iCs/>
            <w:color w:val="auto"/>
            <w:sz w:val="22"/>
            <w:szCs w:val="22"/>
          </w:rPr>
          <w:t>hrcentre.uk.brightmine.com</w:t>
        </w:r>
      </w:hyperlink>
      <w:r w:rsidRPr="3B46C81C">
        <w:rPr>
          <w:rFonts w:ascii="Arial" w:eastAsia="Arial" w:hAnsi="Arial" w:cs="Arial"/>
          <w:sz w:val="22"/>
          <w:szCs w:val="22"/>
        </w:rPr>
        <w:t xml:space="preserve">, 18 December. Available at: </w:t>
      </w:r>
      <w:hyperlink r:id="rId10">
        <w:r w:rsidRPr="3B46C81C">
          <w:rPr>
            <w:rStyle w:val="Hyperlink"/>
            <w:rFonts w:ascii="Arial" w:eastAsia="Arial" w:hAnsi="Arial" w:cs="Arial"/>
            <w:color w:val="auto"/>
            <w:sz w:val="22"/>
            <w:szCs w:val="22"/>
          </w:rPr>
          <w:t>https://hrcentre.uk.brightmine.com</w:t>
        </w:r>
      </w:hyperlink>
      <w:r w:rsidRPr="3B46C81C">
        <w:rPr>
          <w:rFonts w:ascii="Arial" w:eastAsia="Arial" w:hAnsi="Arial" w:cs="Arial"/>
          <w:sz w:val="22"/>
          <w:szCs w:val="22"/>
        </w:rPr>
        <w:t xml:space="preserve"> (Accessed: 15 March 2026).</w:t>
      </w:r>
    </w:p>
    <w:p w:rsidR="71BE4C04" w:rsidRDefault="71BE4C04" w:rsidP="3B46C81C">
      <w:pPr>
        <w:shd w:val="clear" w:color="auto" w:fill="FFFFFF" w:themeFill="background1"/>
        <w:spacing w:before="240" w:after="240" w:line="360" w:lineRule="auto"/>
        <w:rPr>
          <w:rFonts w:ascii="Arial" w:eastAsia="Arial" w:hAnsi="Arial" w:cs="Arial"/>
          <w:color w:val="000000" w:themeColor="text1"/>
          <w:sz w:val="22"/>
          <w:szCs w:val="22"/>
        </w:rPr>
      </w:pPr>
      <w:r w:rsidRPr="3B46C81C">
        <w:rPr>
          <w:rFonts w:ascii="Arial" w:eastAsia="Arial" w:hAnsi="Arial" w:cs="Arial"/>
          <w:sz w:val="22"/>
          <w:szCs w:val="22"/>
        </w:rPr>
        <w:t xml:space="preserve">EF Corporate Learning (2026) </w:t>
      </w:r>
      <w:r w:rsidRPr="3B46C81C">
        <w:rPr>
          <w:rFonts w:ascii="Arial" w:eastAsia="Arial" w:hAnsi="Arial" w:cs="Arial"/>
          <w:i/>
          <w:iCs/>
          <w:sz w:val="22"/>
          <w:szCs w:val="22"/>
        </w:rPr>
        <w:t>Corporate language training</w:t>
      </w:r>
      <w:r w:rsidRPr="3B46C81C">
        <w:rPr>
          <w:rFonts w:ascii="Arial" w:eastAsia="Arial" w:hAnsi="Arial" w:cs="Arial"/>
          <w:sz w:val="22"/>
          <w:szCs w:val="22"/>
        </w:rPr>
        <w:t xml:space="preserve">. Available at: </w:t>
      </w:r>
      <w:hyperlink r:id="rId11">
        <w:r w:rsidRPr="3B46C81C">
          <w:rPr>
            <w:rStyle w:val="Hyperlink"/>
            <w:rFonts w:ascii="Arial" w:eastAsia="Arial" w:hAnsi="Arial" w:cs="Arial"/>
            <w:color w:val="auto"/>
            <w:sz w:val="22"/>
            <w:szCs w:val="22"/>
          </w:rPr>
          <w:t>https://corporatelearning.ef.com</w:t>
        </w:r>
      </w:hyperlink>
      <w:r w:rsidRPr="3B46C81C">
        <w:rPr>
          <w:rFonts w:ascii="Arial" w:eastAsia="Arial" w:hAnsi="Arial" w:cs="Arial"/>
          <w:sz w:val="22"/>
          <w:szCs w:val="22"/>
        </w:rPr>
        <w:t xml:space="preserve"> (Accessed: 15 March 2026).</w:t>
      </w:r>
    </w:p>
    <w:p w:rsidR="71BE4C04" w:rsidRDefault="71BE4C04" w:rsidP="3B46C81C">
      <w:pPr>
        <w:shd w:val="clear" w:color="auto" w:fill="FFFFFF" w:themeFill="background1"/>
        <w:spacing w:before="240" w:after="240" w:line="360" w:lineRule="auto"/>
        <w:rPr>
          <w:rFonts w:ascii="Arial" w:eastAsia="Arial" w:hAnsi="Arial" w:cs="Arial"/>
          <w:color w:val="000000" w:themeColor="text1"/>
          <w:sz w:val="22"/>
          <w:szCs w:val="22"/>
        </w:rPr>
      </w:pPr>
      <w:r w:rsidRPr="3B46C81C">
        <w:rPr>
          <w:rFonts w:ascii="Arial" w:eastAsia="Arial" w:hAnsi="Arial" w:cs="Arial"/>
          <w:sz w:val="22"/>
          <w:szCs w:val="22"/>
        </w:rPr>
        <w:t xml:space="preserve">Gartner (2025) Gartner Identifies Four Trends Talent Management Leaders Should Prepare for in 2026, </w:t>
      </w:r>
      <w:hyperlink r:id="rId12">
        <w:r w:rsidRPr="3B46C81C">
          <w:rPr>
            <w:rStyle w:val="Hyperlink"/>
            <w:rFonts w:ascii="Arial" w:eastAsia="Arial" w:hAnsi="Arial" w:cs="Arial"/>
            <w:i/>
            <w:iCs/>
            <w:color w:val="auto"/>
            <w:sz w:val="22"/>
            <w:szCs w:val="22"/>
          </w:rPr>
          <w:t>gartner.com</w:t>
        </w:r>
      </w:hyperlink>
      <w:r w:rsidRPr="3B46C81C">
        <w:rPr>
          <w:rFonts w:ascii="Arial" w:eastAsia="Arial" w:hAnsi="Arial" w:cs="Arial"/>
          <w:sz w:val="22"/>
          <w:szCs w:val="22"/>
        </w:rPr>
        <w:t xml:space="preserve">, 29 October. Available at: </w:t>
      </w:r>
      <w:hyperlink r:id="rId13">
        <w:r w:rsidRPr="3B46C81C">
          <w:rPr>
            <w:rStyle w:val="Hyperlink"/>
            <w:rFonts w:ascii="Arial" w:eastAsia="Arial" w:hAnsi="Arial" w:cs="Arial"/>
            <w:color w:val="auto"/>
            <w:sz w:val="22"/>
            <w:szCs w:val="22"/>
          </w:rPr>
          <w:t>https://www.gartner.com</w:t>
        </w:r>
      </w:hyperlink>
      <w:r w:rsidRPr="3B46C81C">
        <w:rPr>
          <w:rFonts w:ascii="Arial" w:eastAsia="Arial" w:hAnsi="Arial" w:cs="Arial"/>
          <w:sz w:val="22"/>
          <w:szCs w:val="22"/>
        </w:rPr>
        <w:t xml:space="preserve"> (Accessed: 15 March 2026).</w:t>
      </w:r>
    </w:p>
    <w:p w:rsidR="71BE4C04" w:rsidRDefault="71BE4C04" w:rsidP="3B46C81C">
      <w:pPr>
        <w:shd w:val="clear" w:color="auto" w:fill="FFFFFF" w:themeFill="background1"/>
        <w:spacing w:before="240" w:after="240" w:line="360" w:lineRule="auto"/>
        <w:rPr>
          <w:rFonts w:ascii="Arial" w:eastAsia="Arial" w:hAnsi="Arial" w:cs="Arial"/>
          <w:color w:val="000000" w:themeColor="text1"/>
          <w:sz w:val="22"/>
          <w:szCs w:val="22"/>
        </w:rPr>
      </w:pPr>
      <w:r w:rsidRPr="3B46C81C">
        <w:rPr>
          <w:rFonts w:ascii="Arial" w:eastAsia="Arial" w:hAnsi="Arial" w:cs="Arial"/>
          <w:sz w:val="22"/>
          <w:szCs w:val="22"/>
        </w:rPr>
        <w:t xml:space="preserve">Jones, D. (2026) Are We Nearing the End of DEI? (In The Workplace 2026), </w:t>
      </w:r>
      <w:hyperlink r:id="rId14">
        <w:r w:rsidRPr="3B46C81C">
          <w:rPr>
            <w:rStyle w:val="Hyperlink"/>
            <w:rFonts w:ascii="Arial" w:eastAsia="Arial" w:hAnsi="Arial" w:cs="Arial"/>
            <w:i/>
            <w:iCs/>
            <w:color w:val="auto"/>
            <w:sz w:val="22"/>
            <w:szCs w:val="22"/>
          </w:rPr>
          <w:t>wlj.com</w:t>
        </w:r>
      </w:hyperlink>
      <w:r w:rsidRPr="3B46C81C">
        <w:rPr>
          <w:rFonts w:ascii="Arial" w:eastAsia="Arial" w:hAnsi="Arial" w:cs="Arial"/>
          <w:sz w:val="22"/>
          <w:szCs w:val="22"/>
        </w:rPr>
        <w:t xml:space="preserve">, 12 January. Available at: </w:t>
      </w:r>
      <w:hyperlink r:id="rId15">
        <w:r w:rsidRPr="3B46C81C">
          <w:rPr>
            <w:rStyle w:val="Hyperlink"/>
            <w:rFonts w:ascii="Arial" w:eastAsia="Arial" w:hAnsi="Arial" w:cs="Arial"/>
            <w:color w:val="auto"/>
            <w:sz w:val="22"/>
            <w:szCs w:val="22"/>
          </w:rPr>
          <w:t>https://www.wlj.com</w:t>
        </w:r>
      </w:hyperlink>
      <w:r w:rsidRPr="3B46C81C">
        <w:rPr>
          <w:rFonts w:ascii="Arial" w:eastAsia="Arial" w:hAnsi="Arial" w:cs="Arial"/>
          <w:sz w:val="22"/>
          <w:szCs w:val="22"/>
        </w:rPr>
        <w:t xml:space="preserve"> (Accessed: 15 March 2026).</w:t>
      </w:r>
    </w:p>
    <w:p w:rsidR="71BE4C04" w:rsidRDefault="71BE4C04" w:rsidP="3B46C81C">
      <w:pPr>
        <w:shd w:val="clear" w:color="auto" w:fill="FFFFFF" w:themeFill="background1"/>
        <w:spacing w:before="240" w:after="240" w:line="360" w:lineRule="auto"/>
        <w:rPr>
          <w:rFonts w:ascii="Arial" w:eastAsia="Arial" w:hAnsi="Arial" w:cs="Arial"/>
          <w:color w:val="000000" w:themeColor="text1"/>
          <w:sz w:val="22"/>
          <w:szCs w:val="22"/>
        </w:rPr>
      </w:pPr>
      <w:r w:rsidRPr="3B46C81C">
        <w:rPr>
          <w:rFonts w:ascii="Arial" w:eastAsia="Arial" w:hAnsi="Arial" w:cs="Arial"/>
          <w:sz w:val="22"/>
          <w:szCs w:val="22"/>
        </w:rPr>
        <w:t xml:space="preserve">Krevolin &amp; Horst, LLC (2026) Top 10 Employer Resolutions For 2026, </w:t>
      </w:r>
      <w:hyperlink r:id="rId16">
        <w:r w:rsidRPr="3B46C81C">
          <w:rPr>
            <w:rStyle w:val="Hyperlink"/>
            <w:rFonts w:ascii="Arial" w:eastAsia="Arial" w:hAnsi="Arial" w:cs="Arial"/>
            <w:i/>
            <w:iCs/>
            <w:color w:val="auto"/>
            <w:sz w:val="22"/>
            <w:szCs w:val="22"/>
          </w:rPr>
          <w:t>khlawfirm.com</w:t>
        </w:r>
      </w:hyperlink>
      <w:r w:rsidRPr="3B46C81C">
        <w:rPr>
          <w:rFonts w:ascii="Arial" w:eastAsia="Arial" w:hAnsi="Arial" w:cs="Arial"/>
          <w:sz w:val="22"/>
          <w:szCs w:val="22"/>
        </w:rPr>
        <w:t xml:space="preserve">, 4 January. Available at: </w:t>
      </w:r>
      <w:hyperlink r:id="rId17">
        <w:r w:rsidRPr="3B46C81C">
          <w:rPr>
            <w:rStyle w:val="Hyperlink"/>
            <w:rFonts w:ascii="Arial" w:eastAsia="Arial" w:hAnsi="Arial" w:cs="Arial"/>
            <w:color w:val="auto"/>
            <w:sz w:val="22"/>
            <w:szCs w:val="22"/>
          </w:rPr>
          <w:t>https://www.khlawfirm.com</w:t>
        </w:r>
      </w:hyperlink>
      <w:r w:rsidRPr="3B46C81C">
        <w:rPr>
          <w:rFonts w:ascii="Arial" w:eastAsia="Arial" w:hAnsi="Arial" w:cs="Arial"/>
          <w:sz w:val="22"/>
          <w:szCs w:val="22"/>
        </w:rPr>
        <w:t xml:space="preserve"> (Accessed: 15 March 2026).</w:t>
      </w:r>
    </w:p>
    <w:p w:rsidR="71BE4C04" w:rsidRDefault="71BE4C04" w:rsidP="3B46C81C">
      <w:pPr>
        <w:shd w:val="clear" w:color="auto" w:fill="FFFFFF" w:themeFill="background1"/>
        <w:spacing w:before="240" w:after="240" w:line="360" w:lineRule="auto"/>
        <w:rPr>
          <w:rFonts w:ascii="Arial" w:eastAsia="Arial" w:hAnsi="Arial" w:cs="Arial"/>
          <w:color w:val="000000" w:themeColor="text1"/>
          <w:sz w:val="22"/>
          <w:szCs w:val="22"/>
        </w:rPr>
      </w:pPr>
      <w:r w:rsidRPr="3B46C81C">
        <w:rPr>
          <w:rFonts w:ascii="Arial" w:eastAsia="Arial" w:hAnsi="Arial" w:cs="Arial"/>
          <w:sz w:val="22"/>
          <w:szCs w:val="22"/>
        </w:rPr>
        <w:t>Maule Group (Ellis, A.) (2026) Global HR trends that will shape</w:t>
      </w:r>
      <w:r w:rsidR="4DC602DA" w:rsidRPr="3B46C81C">
        <w:rPr>
          <w:rFonts w:ascii="Arial" w:eastAsia="Arial" w:hAnsi="Arial" w:cs="Arial"/>
          <w:sz w:val="22"/>
          <w:szCs w:val="22"/>
        </w:rPr>
        <w:t xml:space="preserve"> </w:t>
      </w:r>
      <w:r w:rsidRPr="3B46C81C">
        <w:rPr>
          <w:rFonts w:ascii="Arial" w:eastAsia="Arial" w:hAnsi="Arial" w:cs="Arial"/>
          <w:sz w:val="22"/>
          <w:szCs w:val="22"/>
        </w:rPr>
        <w:t xml:space="preserve">2026, </w:t>
      </w:r>
      <w:hyperlink r:id="rId18">
        <w:r w:rsidRPr="3B46C81C">
          <w:rPr>
            <w:rStyle w:val="Hyperlink"/>
            <w:rFonts w:ascii="Arial" w:eastAsia="Arial" w:hAnsi="Arial" w:cs="Arial"/>
            <w:i/>
            <w:iCs/>
            <w:color w:val="auto"/>
            <w:sz w:val="22"/>
            <w:szCs w:val="22"/>
          </w:rPr>
          <w:t>peoplemanagement.co.uk</w:t>
        </w:r>
      </w:hyperlink>
      <w:r w:rsidRPr="3B46C81C">
        <w:rPr>
          <w:rFonts w:ascii="Arial" w:eastAsia="Arial" w:hAnsi="Arial" w:cs="Arial"/>
          <w:sz w:val="22"/>
          <w:szCs w:val="22"/>
        </w:rPr>
        <w:t xml:space="preserve">, 21 January. Available at: </w:t>
      </w:r>
      <w:hyperlink r:id="rId19">
        <w:r w:rsidRPr="3B46C81C">
          <w:rPr>
            <w:rStyle w:val="Hyperlink"/>
            <w:rFonts w:ascii="Arial" w:eastAsia="Arial" w:hAnsi="Arial" w:cs="Arial"/>
            <w:color w:val="auto"/>
            <w:sz w:val="22"/>
            <w:szCs w:val="22"/>
          </w:rPr>
          <w:t>https://www.peoplemanagement.co.uk</w:t>
        </w:r>
      </w:hyperlink>
      <w:r w:rsidRPr="3B46C81C">
        <w:rPr>
          <w:rFonts w:ascii="Arial" w:eastAsia="Arial" w:hAnsi="Arial" w:cs="Arial"/>
          <w:sz w:val="22"/>
          <w:szCs w:val="22"/>
        </w:rPr>
        <w:t xml:space="preserve"> (Accessed: 15 March 2026).</w:t>
      </w:r>
    </w:p>
    <w:p w:rsidR="71BE4C04" w:rsidRDefault="71BE4C04" w:rsidP="3B46C81C">
      <w:pPr>
        <w:shd w:val="clear" w:color="auto" w:fill="FFFFFF" w:themeFill="background1"/>
        <w:spacing w:before="240" w:after="0" w:line="360" w:lineRule="auto"/>
        <w:rPr>
          <w:rFonts w:ascii="Arial" w:eastAsia="Arial" w:hAnsi="Arial" w:cs="Arial"/>
          <w:color w:val="000000" w:themeColor="text1"/>
          <w:sz w:val="22"/>
          <w:szCs w:val="22"/>
        </w:rPr>
      </w:pPr>
      <w:r w:rsidRPr="3B46C81C">
        <w:rPr>
          <w:rFonts w:ascii="Arial" w:eastAsia="Arial" w:hAnsi="Arial" w:cs="Arial"/>
          <w:sz w:val="22"/>
          <w:szCs w:val="22"/>
        </w:rPr>
        <w:t xml:space="preserve">SAP (2026) How HR Can Win in 2026: Talent, AI, Skills, and Retention, </w:t>
      </w:r>
      <w:hyperlink r:id="rId20">
        <w:r w:rsidRPr="3B46C81C">
          <w:rPr>
            <w:rStyle w:val="Hyperlink"/>
            <w:rFonts w:ascii="Arial" w:eastAsia="Arial" w:hAnsi="Arial" w:cs="Arial"/>
            <w:i/>
            <w:iCs/>
            <w:color w:val="auto"/>
            <w:sz w:val="22"/>
            <w:szCs w:val="22"/>
          </w:rPr>
          <w:t>sap.com</w:t>
        </w:r>
      </w:hyperlink>
      <w:r w:rsidRPr="3B46C81C">
        <w:rPr>
          <w:rFonts w:ascii="Arial" w:eastAsia="Arial" w:hAnsi="Arial" w:cs="Arial"/>
          <w:sz w:val="22"/>
          <w:szCs w:val="22"/>
        </w:rPr>
        <w:t xml:space="preserve">, 28 January. Available at: </w:t>
      </w:r>
      <w:hyperlink r:id="rId21">
        <w:r w:rsidRPr="3B46C81C">
          <w:rPr>
            <w:rStyle w:val="Hyperlink"/>
            <w:rFonts w:ascii="Arial" w:eastAsia="Arial" w:hAnsi="Arial" w:cs="Arial"/>
            <w:color w:val="auto"/>
            <w:sz w:val="22"/>
            <w:szCs w:val="22"/>
          </w:rPr>
          <w:t>https://www.sap.com</w:t>
        </w:r>
      </w:hyperlink>
      <w:r w:rsidRPr="3B46C81C">
        <w:rPr>
          <w:rFonts w:ascii="Arial" w:eastAsia="Arial" w:hAnsi="Arial" w:cs="Arial"/>
          <w:sz w:val="22"/>
          <w:szCs w:val="22"/>
        </w:rPr>
        <w:t xml:space="preserve"> (Accessed: 15 March 2026)</w:t>
      </w:r>
    </w:p>
    <w:p w:rsidR="2482C61B" w:rsidRDefault="2482C61B" w:rsidP="2482C61B"/>
    <w:sectPr w:rsidR="2482C61B" w:rsidSect="006717C6">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E58" w:rsidRDefault="00061E58" w:rsidP="006717C6">
      <w:pPr>
        <w:spacing w:after="0" w:line="240" w:lineRule="auto"/>
      </w:pPr>
      <w:r>
        <w:separator/>
      </w:r>
    </w:p>
  </w:endnote>
  <w:endnote w:type="continuationSeparator" w:id="0">
    <w:p w:rsidR="00061E58" w:rsidRDefault="00061E58" w:rsidP="006717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stem-ui">
    <w:altName w:val="Times New Roman"/>
    <w:panose1 w:val="00000000000000000000"/>
    <w:charset w:val="00"/>
    <w:family w:val="roman"/>
    <w:notTrueType/>
    <w:pitch w:val="default"/>
    <w:sig w:usb0="00000000" w:usb1="00000000" w:usb2="00000000" w:usb3="00000000" w:csb0="00000000"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6A0"/>
    </w:tblPr>
    <w:tblGrid>
      <w:gridCol w:w="3005"/>
      <w:gridCol w:w="3005"/>
      <w:gridCol w:w="3005"/>
    </w:tblGrid>
    <w:tr w:rsidR="2482C61B" w:rsidTr="2482C61B">
      <w:trPr>
        <w:trHeight w:val="300"/>
      </w:trPr>
      <w:tc>
        <w:tcPr>
          <w:tcW w:w="3005" w:type="dxa"/>
        </w:tcPr>
        <w:p w:rsidR="2482C61B" w:rsidRDefault="2482C61B" w:rsidP="2482C61B">
          <w:pPr>
            <w:pStyle w:val="Header"/>
            <w:ind w:left="-115"/>
          </w:pPr>
        </w:p>
      </w:tc>
      <w:tc>
        <w:tcPr>
          <w:tcW w:w="3005" w:type="dxa"/>
        </w:tcPr>
        <w:p w:rsidR="2482C61B" w:rsidRDefault="006717C6" w:rsidP="2482C61B">
          <w:pPr>
            <w:pStyle w:val="Header"/>
            <w:jc w:val="center"/>
          </w:pPr>
          <w:r>
            <w:fldChar w:fldCharType="begin"/>
          </w:r>
          <w:r w:rsidR="2482C61B">
            <w:instrText>PAGE</w:instrText>
          </w:r>
          <w:r w:rsidR="00406EB1">
            <w:fldChar w:fldCharType="separate"/>
          </w:r>
          <w:r w:rsidR="00406EB1">
            <w:rPr>
              <w:noProof/>
            </w:rPr>
            <w:t>9</w:t>
          </w:r>
          <w:r>
            <w:fldChar w:fldCharType="end"/>
          </w:r>
        </w:p>
      </w:tc>
      <w:tc>
        <w:tcPr>
          <w:tcW w:w="3005" w:type="dxa"/>
        </w:tcPr>
        <w:p w:rsidR="2482C61B" w:rsidRDefault="2482C61B" w:rsidP="2482C61B">
          <w:pPr>
            <w:pStyle w:val="Header"/>
            <w:ind w:right="-115"/>
            <w:jc w:val="right"/>
          </w:pPr>
        </w:p>
      </w:tc>
    </w:tr>
  </w:tbl>
  <w:p w:rsidR="2482C61B" w:rsidRDefault="2482C61B" w:rsidP="2482C6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E58" w:rsidRDefault="00061E58" w:rsidP="006717C6">
      <w:pPr>
        <w:spacing w:after="0" w:line="240" w:lineRule="auto"/>
      </w:pPr>
      <w:r>
        <w:separator/>
      </w:r>
    </w:p>
  </w:footnote>
  <w:footnote w:type="continuationSeparator" w:id="0">
    <w:p w:rsidR="00061E58" w:rsidRDefault="00061E58" w:rsidP="006717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6A0"/>
    </w:tblPr>
    <w:tblGrid>
      <w:gridCol w:w="3005"/>
      <w:gridCol w:w="3005"/>
      <w:gridCol w:w="3005"/>
    </w:tblGrid>
    <w:tr w:rsidR="2482C61B" w:rsidTr="2482C61B">
      <w:trPr>
        <w:trHeight w:val="300"/>
      </w:trPr>
      <w:tc>
        <w:tcPr>
          <w:tcW w:w="3005" w:type="dxa"/>
        </w:tcPr>
        <w:p w:rsidR="2482C61B" w:rsidRDefault="2482C61B" w:rsidP="2482C61B">
          <w:pPr>
            <w:pStyle w:val="Header"/>
            <w:ind w:left="-115"/>
          </w:pPr>
        </w:p>
      </w:tc>
      <w:tc>
        <w:tcPr>
          <w:tcW w:w="3005" w:type="dxa"/>
        </w:tcPr>
        <w:p w:rsidR="2482C61B" w:rsidRDefault="2482C61B" w:rsidP="2482C61B">
          <w:pPr>
            <w:pStyle w:val="Header"/>
            <w:jc w:val="center"/>
          </w:pPr>
        </w:p>
      </w:tc>
      <w:tc>
        <w:tcPr>
          <w:tcW w:w="3005" w:type="dxa"/>
        </w:tcPr>
        <w:p w:rsidR="2482C61B" w:rsidRDefault="2482C61B" w:rsidP="2482C61B">
          <w:pPr>
            <w:pStyle w:val="Header"/>
            <w:ind w:right="-115"/>
            <w:jc w:val="right"/>
          </w:pPr>
        </w:p>
      </w:tc>
    </w:tr>
  </w:tbl>
  <w:p w:rsidR="2482C61B" w:rsidRDefault="2482C61B" w:rsidP="2482C61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099628"/>
    <w:multiLevelType w:val="hybridMultilevel"/>
    <w:tmpl w:val="D9AC285E"/>
    <w:lvl w:ilvl="0" w:tplc="F2822772">
      <w:start w:val="1"/>
      <w:numFmt w:val="decimal"/>
      <w:lvlText w:val="%1."/>
      <w:lvlJc w:val="left"/>
      <w:pPr>
        <w:ind w:left="720" w:hanging="360"/>
      </w:pPr>
      <w:rPr>
        <w:rFonts w:ascii="Arial" w:hAnsi="Arial" w:hint="default"/>
      </w:rPr>
    </w:lvl>
    <w:lvl w:ilvl="1" w:tplc="9792669C">
      <w:start w:val="1"/>
      <w:numFmt w:val="lowerLetter"/>
      <w:lvlText w:val="%2."/>
      <w:lvlJc w:val="left"/>
      <w:pPr>
        <w:ind w:left="1440" w:hanging="360"/>
      </w:pPr>
    </w:lvl>
    <w:lvl w:ilvl="2" w:tplc="E2A68D0E">
      <w:start w:val="1"/>
      <w:numFmt w:val="lowerRoman"/>
      <w:lvlText w:val="%3."/>
      <w:lvlJc w:val="right"/>
      <w:pPr>
        <w:ind w:left="2160" w:hanging="180"/>
      </w:pPr>
    </w:lvl>
    <w:lvl w:ilvl="3" w:tplc="CCE63244">
      <w:start w:val="1"/>
      <w:numFmt w:val="decimal"/>
      <w:lvlText w:val="%4."/>
      <w:lvlJc w:val="left"/>
      <w:pPr>
        <w:ind w:left="2880" w:hanging="360"/>
      </w:pPr>
    </w:lvl>
    <w:lvl w:ilvl="4" w:tplc="E78C78BA">
      <w:start w:val="1"/>
      <w:numFmt w:val="lowerLetter"/>
      <w:lvlText w:val="%5."/>
      <w:lvlJc w:val="left"/>
      <w:pPr>
        <w:ind w:left="3600" w:hanging="360"/>
      </w:pPr>
    </w:lvl>
    <w:lvl w:ilvl="5" w:tplc="D7DCC17E">
      <w:start w:val="1"/>
      <w:numFmt w:val="lowerRoman"/>
      <w:lvlText w:val="%6."/>
      <w:lvlJc w:val="right"/>
      <w:pPr>
        <w:ind w:left="4320" w:hanging="180"/>
      </w:pPr>
    </w:lvl>
    <w:lvl w:ilvl="6" w:tplc="83BE9BC6">
      <w:start w:val="1"/>
      <w:numFmt w:val="decimal"/>
      <w:lvlText w:val="%7."/>
      <w:lvlJc w:val="left"/>
      <w:pPr>
        <w:ind w:left="5040" w:hanging="360"/>
      </w:pPr>
    </w:lvl>
    <w:lvl w:ilvl="7" w:tplc="6B981C48">
      <w:start w:val="1"/>
      <w:numFmt w:val="lowerLetter"/>
      <w:lvlText w:val="%8."/>
      <w:lvlJc w:val="left"/>
      <w:pPr>
        <w:ind w:left="5760" w:hanging="360"/>
      </w:pPr>
    </w:lvl>
    <w:lvl w:ilvl="8" w:tplc="6E786320">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rsids>
    <w:rsidRoot w:val="35B7DB3C"/>
    <w:rsid w:val="00061E58"/>
    <w:rsid w:val="00406EB1"/>
    <w:rsid w:val="006717C6"/>
    <w:rsid w:val="0570510C"/>
    <w:rsid w:val="09195BD9"/>
    <w:rsid w:val="0A106A16"/>
    <w:rsid w:val="139898C5"/>
    <w:rsid w:val="183BAB2B"/>
    <w:rsid w:val="2186285E"/>
    <w:rsid w:val="245BF022"/>
    <w:rsid w:val="2482C61B"/>
    <w:rsid w:val="265B795A"/>
    <w:rsid w:val="2D729D91"/>
    <w:rsid w:val="2DE00D0F"/>
    <w:rsid w:val="305A8042"/>
    <w:rsid w:val="310677AB"/>
    <w:rsid w:val="35B7DB3C"/>
    <w:rsid w:val="365E41D0"/>
    <w:rsid w:val="3873C9A8"/>
    <w:rsid w:val="3A822306"/>
    <w:rsid w:val="3B2B6FBC"/>
    <w:rsid w:val="3B46C81C"/>
    <w:rsid w:val="3BCC1B64"/>
    <w:rsid w:val="3D109243"/>
    <w:rsid w:val="3D3B6B1C"/>
    <w:rsid w:val="415C6314"/>
    <w:rsid w:val="4A5A5428"/>
    <w:rsid w:val="4DC602DA"/>
    <w:rsid w:val="5070BF12"/>
    <w:rsid w:val="5248F04E"/>
    <w:rsid w:val="5439623E"/>
    <w:rsid w:val="55A7E50A"/>
    <w:rsid w:val="55D8CB41"/>
    <w:rsid w:val="56015D2A"/>
    <w:rsid w:val="596CF1BA"/>
    <w:rsid w:val="5C2DE49B"/>
    <w:rsid w:val="6096F775"/>
    <w:rsid w:val="61D31B4B"/>
    <w:rsid w:val="66766E6C"/>
    <w:rsid w:val="6962F4CF"/>
    <w:rsid w:val="6A46E29E"/>
    <w:rsid w:val="6B70AA32"/>
    <w:rsid w:val="6BB59B5D"/>
    <w:rsid w:val="6C4F81CD"/>
    <w:rsid w:val="6FB2FE5E"/>
    <w:rsid w:val="71BE4C04"/>
    <w:rsid w:val="74D4AE34"/>
    <w:rsid w:val="7567DD4E"/>
    <w:rsid w:val="7672501E"/>
    <w:rsid w:val="7A4655D8"/>
    <w:rsid w:val="7A906FA5"/>
    <w:rsid w:val="7CF06F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7C6"/>
  </w:style>
  <w:style w:type="paragraph" w:styleId="Heading3">
    <w:name w:val="heading 3"/>
    <w:basedOn w:val="Normal"/>
    <w:next w:val="Normal"/>
    <w:uiPriority w:val="9"/>
    <w:unhideWhenUsed/>
    <w:qFormat/>
    <w:rsid w:val="2482C61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482C61B"/>
    <w:pPr>
      <w:ind w:left="720"/>
      <w:contextualSpacing/>
    </w:pPr>
  </w:style>
  <w:style w:type="character" w:styleId="Hyperlink">
    <w:name w:val="Hyperlink"/>
    <w:basedOn w:val="DefaultParagraphFont"/>
    <w:uiPriority w:val="99"/>
    <w:unhideWhenUsed/>
    <w:rsid w:val="2482C61B"/>
    <w:rPr>
      <w:color w:val="467886"/>
      <w:u w:val="single"/>
    </w:rPr>
  </w:style>
  <w:style w:type="paragraph" w:styleId="TOC3">
    <w:name w:val="toc 3"/>
    <w:basedOn w:val="Normal"/>
    <w:next w:val="Normal"/>
    <w:uiPriority w:val="39"/>
    <w:unhideWhenUsed/>
    <w:rsid w:val="2482C61B"/>
    <w:pPr>
      <w:spacing w:after="100"/>
      <w:ind w:left="440"/>
    </w:pPr>
  </w:style>
  <w:style w:type="paragraph" w:styleId="Header">
    <w:name w:val="header"/>
    <w:basedOn w:val="Normal"/>
    <w:uiPriority w:val="99"/>
    <w:unhideWhenUsed/>
    <w:rsid w:val="2482C61B"/>
    <w:pPr>
      <w:tabs>
        <w:tab w:val="center" w:pos="4680"/>
        <w:tab w:val="right" w:pos="9360"/>
      </w:tabs>
      <w:spacing w:after="0" w:line="240" w:lineRule="auto"/>
    </w:pPr>
  </w:style>
  <w:style w:type="paragraph" w:styleId="Footer">
    <w:name w:val="footer"/>
    <w:basedOn w:val="Normal"/>
    <w:uiPriority w:val="99"/>
    <w:unhideWhenUsed/>
    <w:rsid w:val="2482C61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06E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EB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bitionbox.com/" TargetMode="External"/><Relationship Id="rId13" Type="http://schemas.openxmlformats.org/officeDocument/2006/relationships/hyperlink" Target="https://www.gartner.com/" TargetMode="External"/><Relationship Id="rId18" Type="http://schemas.openxmlformats.org/officeDocument/2006/relationships/hyperlink" Target="https://peoplemanagement.co.uk/" TargetMode="External"/><Relationship Id="rId3" Type="http://schemas.openxmlformats.org/officeDocument/2006/relationships/settings" Target="settings.xml"/><Relationship Id="rId21" Type="http://schemas.openxmlformats.org/officeDocument/2006/relationships/hyperlink" Target="https://www.sap.com/" TargetMode="External"/><Relationship Id="rId7" Type="http://schemas.openxmlformats.org/officeDocument/2006/relationships/hyperlink" Target="https://ambitionbox.com/" TargetMode="External"/><Relationship Id="rId12" Type="http://schemas.openxmlformats.org/officeDocument/2006/relationships/hyperlink" Target="https://gartner.com/" TargetMode="External"/><Relationship Id="rId17" Type="http://schemas.openxmlformats.org/officeDocument/2006/relationships/hyperlink" Target="https://www.khlawfirm.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khlawfirm.com/" TargetMode="External"/><Relationship Id="rId20" Type="http://schemas.openxmlformats.org/officeDocument/2006/relationships/hyperlink" Target="https://sap.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learning.ef.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wlj.com/" TargetMode="External"/><Relationship Id="rId23" Type="http://schemas.openxmlformats.org/officeDocument/2006/relationships/footer" Target="footer1.xml"/><Relationship Id="rId10" Type="http://schemas.openxmlformats.org/officeDocument/2006/relationships/hyperlink" Target="https://hrcentre.uk.brightmine.com/" TargetMode="External"/><Relationship Id="rId19" Type="http://schemas.openxmlformats.org/officeDocument/2006/relationships/hyperlink" Target="https://www.peoplemanagement.co.uk/" TargetMode="External"/><Relationship Id="rId4" Type="http://schemas.openxmlformats.org/officeDocument/2006/relationships/webSettings" Target="webSettings.xml"/><Relationship Id="rId9" Type="http://schemas.openxmlformats.org/officeDocument/2006/relationships/hyperlink" Target="https://hrcentre.uk.brightmine.com/" TargetMode="External"/><Relationship Id="rId14" Type="http://schemas.openxmlformats.org/officeDocument/2006/relationships/hyperlink" Target="https://wlj.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2494</Words>
  <Characters>14218</Characters>
  <Application>Microsoft Office Word</Application>
  <DocSecurity>0</DocSecurity>
  <Lines>118</Lines>
  <Paragraphs>33</Paragraphs>
  <ScaleCrop>false</ScaleCrop>
  <Company/>
  <LinksUpToDate>false</LinksUpToDate>
  <CharactersWithSpaces>16679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Amisculesei (2411946)</dc:creator>
  <cp:keywords/>
  <dc:description/>
  <cp:lastModifiedBy>Mihaela</cp:lastModifiedBy>
  <cp:revision>4</cp:revision>
  <dcterms:created xsi:type="dcterms:W3CDTF">2026-03-15T10:48:00Z</dcterms:created>
  <dcterms:modified xsi:type="dcterms:W3CDTF">2026-03-15T18:48:00Z</dcterms:modified>
</cp:coreProperties>
</file>