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43507D" w14:textId="77777777" w:rsidR="008E52B6" w:rsidRDefault="008E52B6" w:rsidP="00FE225C">
      <w:pPr>
        <w:spacing w:before="100" w:beforeAutospacing="1" w:after="100" w:afterAutospacing="1" w:line="240" w:lineRule="auto"/>
        <w:jc w:val="both"/>
        <w:rPr>
          <w:rFonts w:ascii="Times New Roman" w:eastAsia="Times New Roman" w:hAnsi="Times New Roman" w:cs="Times New Roman"/>
          <w:b/>
          <w:bCs/>
          <w:sz w:val="36"/>
          <w:szCs w:val="36"/>
        </w:rPr>
      </w:pPr>
      <w:r w:rsidRPr="00FE225C">
        <w:rPr>
          <w:rFonts w:ascii="Times New Roman" w:eastAsia="Times New Roman" w:hAnsi="Times New Roman" w:cs="Times New Roman"/>
          <w:b/>
          <w:bCs/>
          <w:sz w:val="36"/>
          <w:szCs w:val="36"/>
        </w:rPr>
        <w:t>Advancing Digital Equity: A Critical Analysis of the UK’s Digital Literacy Strategy</w:t>
      </w:r>
    </w:p>
    <w:p w14:paraId="7B73A698" w14:textId="77777777" w:rsidR="00FE225C" w:rsidRPr="00FE225C" w:rsidRDefault="00FE225C" w:rsidP="00FE225C">
      <w:pPr>
        <w:spacing w:before="100" w:beforeAutospacing="1" w:after="100" w:afterAutospacing="1" w:line="240" w:lineRule="auto"/>
        <w:jc w:val="both"/>
        <w:rPr>
          <w:rFonts w:ascii="Times New Roman" w:eastAsia="Times New Roman" w:hAnsi="Times New Roman" w:cs="Times New Roman"/>
          <w:sz w:val="36"/>
          <w:szCs w:val="36"/>
        </w:rPr>
      </w:pPr>
    </w:p>
    <w:p w14:paraId="1ECB1799" w14:textId="77777777" w:rsidR="00FE225C" w:rsidRDefault="008E52B6" w:rsidP="00FE225C">
      <w:pPr>
        <w:spacing w:before="100" w:beforeAutospacing="1" w:after="100" w:afterAutospacing="1" w:line="240" w:lineRule="auto"/>
        <w:jc w:val="both"/>
        <w:rPr>
          <w:rFonts w:ascii="Times New Roman" w:eastAsia="Times New Roman" w:hAnsi="Times New Roman" w:cs="Times New Roman"/>
          <w:b/>
          <w:bCs/>
          <w:sz w:val="24"/>
          <w:szCs w:val="24"/>
        </w:rPr>
      </w:pPr>
      <w:r w:rsidRPr="008E52B6">
        <w:rPr>
          <w:rFonts w:ascii="Times New Roman" w:eastAsia="Times New Roman" w:hAnsi="Times New Roman" w:cs="Times New Roman"/>
          <w:b/>
          <w:bCs/>
          <w:sz w:val="24"/>
          <w:szCs w:val="24"/>
        </w:rPr>
        <w:t>Introduction</w:t>
      </w:r>
    </w:p>
    <w:p w14:paraId="7054FE27" w14:textId="77777777" w:rsidR="008E52B6" w:rsidRPr="008E52B6" w:rsidRDefault="008E52B6" w:rsidP="00FE225C">
      <w:pPr>
        <w:spacing w:before="100" w:beforeAutospacing="1" w:after="100" w:afterAutospacing="1" w:line="240" w:lineRule="auto"/>
        <w:jc w:val="both"/>
        <w:rPr>
          <w:rFonts w:ascii="Times New Roman" w:eastAsia="Times New Roman" w:hAnsi="Times New Roman" w:cs="Times New Roman"/>
          <w:sz w:val="24"/>
          <w:szCs w:val="24"/>
        </w:rPr>
      </w:pPr>
      <w:r w:rsidRPr="008E52B6">
        <w:rPr>
          <w:rFonts w:ascii="Times New Roman" w:eastAsia="Times New Roman" w:hAnsi="Times New Roman" w:cs="Times New Roman"/>
          <w:sz w:val="24"/>
          <w:szCs w:val="24"/>
        </w:rPr>
        <w:br/>
        <w:t xml:space="preserve">The 21st century is defined by rapid technological transformation, influencing nearly every dimension of human activity. In this evolving landscape, </w:t>
      </w:r>
      <w:r w:rsidRPr="008E52B6">
        <w:rPr>
          <w:rFonts w:ascii="Times New Roman" w:eastAsia="Times New Roman" w:hAnsi="Times New Roman" w:cs="Times New Roman"/>
          <w:b/>
          <w:bCs/>
          <w:sz w:val="24"/>
          <w:szCs w:val="24"/>
        </w:rPr>
        <w:t>digital literacy</w:t>
      </w:r>
      <w:r w:rsidRPr="008E52B6">
        <w:rPr>
          <w:rFonts w:ascii="Times New Roman" w:eastAsia="Times New Roman" w:hAnsi="Times New Roman" w:cs="Times New Roman"/>
          <w:sz w:val="24"/>
          <w:szCs w:val="24"/>
        </w:rPr>
        <w:t xml:space="preserve"> has emerged as a foundational skill, equipping individuals to access, interpret, evaluate, and create information using digital technologies. Distinct from traditional literacy, digital literacy encompasses a broad range of competencies—from navigating online environments and assessing credibility to engaging ethically and producing digital content. These skills are increasingly vital not only for personal empowerment but also for promoting social inclusion, economic opportunity, and democratic engagement. As Selwyn (2019) argues, digital literacy serves as a cornerstone of quality education and equity in knowledge-based societies.</w:t>
      </w:r>
    </w:p>
    <w:p w14:paraId="07A71981" w14:textId="77777777" w:rsidR="008E52B6" w:rsidRPr="008E52B6" w:rsidRDefault="008E52B6" w:rsidP="00FE225C">
      <w:pPr>
        <w:spacing w:before="100" w:beforeAutospacing="1" w:after="100" w:afterAutospacing="1" w:line="240" w:lineRule="auto"/>
        <w:jc w:val="both"/>
        <w:rPr>
          <w:rFonts w:ascii="Times New Roman" w:eastAsia="Times New Roman" w:hAnsi="Times New Roman" w:cs="Times New Roman"/>
          <w:sz w:val="24"/>
          <w:szCs w:val="24"/>
        </w:rPr>
      </w:pPr>
      <w:r w:rsidRPr="008E52B6">
        <w:rPr>
          <w:rFonts w:ascii="Times New Roman" w:eastAsia="Times New Roman" w:hAnsi="Times New Roman" w:cs="Times New Roman"/>
          <w:sz w:val="24"/>
          <w:szCs w:val="24"/>
        </w:rPr>
        <w:t xml:space="preserve">Yet, despite growing recognition of its importance, significant disparities remain in the integration of digital literacy within educational systems. Commonly referred to as the </w:t>
      </w:r>
      <w:r w:rsidRPr="008E52B6">
        <w:rPr>
          <w:rFonts w:ascii="Times New Roman" w:eastAsia="Times New Roman" w:hAnsi="Times New Roman" w:cs="Times New Roman"/>
          <w:b/>
          <w:bCs/>
          <w:sz w:val="24"/>
          <w:szCs w:val="24"/>
        </w:rPr>
        <w:t>digital divide</w:t>
      </w:r>
      <w:r w:rsidRPr="008E52B6">
        <w:rPr>
          <w:rFonts w:ascii="Times New Roman" w:eastAsia="Times New Roman" w:hAnsi="Times New Roman" w:cs="Times New Roman"/>
          <w:sz w:val="24"/>
          <w:szCs w:val="24"/>
        </w:rPr>
        <w:t>, these inequalities are rooted in socioeconomic and structural factors that restrict equitable access to digital tools and skills. For example, only 2% of primary and secondary students in the UK can accurately identify misinformation, and more than half struggle to assess the credibility of online content (National Literacy Trust, 2018). Furthermore, students in under-resourced or rural areas often face challenges such as limited internet connectivity, outdated devices, and inadequate teacher training—conditions that exacerbate existing educational inequalities (Ofcom, 2019, pp. 10–11). Without addressing these systemic issues, digital literacy’s potential to foster critical thinking and civic participation remains unrealized.</w:t>
      </w:r>
    </w:p>
    <w:p w14:paraId="308A1CBE" w14:textId="77777777" w:rsidR="008E52B6" w:rsidRPr="008E52B6" w:rsidRDefault="008E52B6" w:rsidP="00FE225C">
      <w:pPr>
        <w:spacing w:before="100" w:beforeAutospacing="1" w:after="100" w:afterAutospacing="1" w:line="240" w:lineRule="auto"/>
        <w:jc w:val="both"/>
        <w:rPr>
          <w:rFonts w:ascii="Times New Roman" w:eastAsia="Times New Roman" w:hAnsi="Times New Roman" w:cs="Times New Roman"/>
          <w:sz w:val="24"/>
          <w:szCs w:val="24"/>
        </w:rPr>
      </w:pPr>
      <w:r w:rsidRPr="008E52B6">
        <w:rPr>
          <w:rFonts w:ascii="Times New Roman" w:eastAsia="Times New Roman" w:hAnsi="Times New Roman" w:cs="Times New Roman"/>
          <w:sz w:val="24"/>
          <w:szCs w:val="24"/>
        </w:rPr>
        <w:t xml:space="preserve">In response, the </w:t>
      </w:r>
      <w:r w:rsidRPr="008E52B6">
        <w:rPr>
          <w:rFonts w:ascii="Times New Roman" w:eastAsia="Times New Roman" w:hAnsi="Times New Roman" w:cs="Times New Roman"/>
          <w:b/>
          <w:bCs/>
          <w:sz w:val="24"/>
          <w:szCs w:val="24"/>
        </w:rPr>
        <w:t>UK Digital Literacy Strategy</w:t>
      </w:r>
      <w:r w:rsidRPr="008E52B6">
        <w:rPr>
          <w:rFonts w:ascii="Times New Roman" w:eastAsia="Times New Roman" w:hAnsi="Times New Roman" w:cs="Times New Roman"/>
          <w:sz w:val="24"/>
          <w:szCs w:val="24"/>
        </w:rPr>
        <w:t xml:space="preserve"> represents a key policy initiative aimed at reducing these disparities. Launched as a nationwide effort, the strategy seeks to embed digital competencies across educational settings—not only through improved access to technology, but by promoting critical thinking, online safety, and ethical digital engagement (</w:t>
      </w:r>
      <w:proofErr w:type="spellStart"/>
      <w:r w:rsidRPr="008E52B6">
        <w:rPr>
          <w:rFonts w:ascii="Times New Roman" w:eastAsia="Times New Roman" w:hAnsi="Times New Roman" w:cs="Times New Roman"/>
          <w:sz w:val="24"/>
          <w:szCs w:val="24"/>
        </w:rPr>
        <w:t>FutureLearn</w:t>
      </w:r>
      <w:proofErr w:type="spellEnd"/>
      <w:r w:rsidRPr="008E52B6">
        <w:rPr>
          <w:rFonts w:ascii="Times New Roman" w:eastAsia="Times New Roman" w:hAnsi="Times New Roman" w:cs="Times New Roman"/>
          <w:sz w:val="24"/>
          <w:szCs w:val="24"/>
        </w:rPr>
        <w:t>, 2020). By integrating digital literacy into curricula, the policy prepares learners to navigate the complexities of digital society and actively participate in a connected world.</w:t>
      </w:r>
    </w:p>
    <w:p w14:paraId="3D7D6550" w14:textId="77777777" w:rsidR="008E52B6" w:rsidRPr="008E52B6" w:rsidRDefault="008E52B6" w:rsidP="00FE225C">
      <w:pPr>
        <w:spacing w:before="100" w:beforeAutospacing="1" w:after="100" w:afterAutospacing="1" w:line="240" w:lineRule="auto"/>
        <w:jc w:val="both"/>
        <w:rPr>
          <w:rFonts w:ascii="Times New Roman" w:eastAsia="Times New Roman" w:hAnsi="Times New Roman" w:cs="Times New Roman"/>
          <w:sz w:val="24"/>
          <w:szCs w:val="24"/>
        </w:rPr>
      </w:pPr>
      <w:r w:rsidRPr="008E52B6">
        <w:rPr>
          <w:rFonts w:ascii="Times New Roman" w:eastAsia="Times New Roman" w:hAnsi="Times New Roman" w:cs="Times New Roman"/>
          <w:sz w:val="24"/>
          <w:szCs w:val="24"/>
        </w:rPr>
        <w:t xml:space="preserve">A notable strength of the strategy lies in its emphasis on both </w:t>
      </w:r>
      <w:r w:rsidRPr="008E52B6">
        <w:rPr>
          <w:rFonts w:ascii="Times New Roman" w:eastAsia="Times New Roman" w:hAnsi="Times New Roman" w:cs="Times New Roman"/>
          <w:b/>
          <w:bCs/>
          <w:sz w:val="24"/>
          <w:szCs w:val="24"/>
        </w:rPr>
        <w:t>functional</w:t>
      </w:r>
      <w:r w:rsidRPr="008E52B6">
        <w:rPr>
          <w:rFonts w:ascii="Times New Roman" w:eastAsia="Times New Roman" w:hAnsi="Times New Roman" w:cs="Times New Roman"/>
          <w:sz w:val="24"/>
          <w:szCs w:val="24"/>
        </w:rPr>
        <w:t xml:space="preserve"> and </w:t>
      </w:r>
      <w:r w:rsidRPr="008E52B6">
        <w:rPr>
          <w:rFonts w:ascii="Times New Roman" w:eastAsia="Times New Roman" w:hAnsi="Times New Roman" w:cs="Times New Roman"/>
          <w:b/>
          <w:bCs/>
          <w:sz w:val="24"/>
          <w:szCs w:val="24"/>
        </w:rPr>
        <w:t>critical</w:t>
      </w:r>
      <w:r w:rsidRPr="008E52B6">
        <w:rPr>
          <w:rFonts w:ascii="Times New Roman" w:eastAsia="Times New Roman" w:hAnsi="Times New Roman" w:cs="Times New Roman"/>
          <w:sz w:val="24"/>
          <w:szCs w:val="24"/>
        </w:rPr>
        <w:t xml:space="preserve"> dimensions of digital literacy. Functional literacy involves the practical skills needed to use digital tools effectively, while critical literacy encourages learners to evaluate information for bias, reliability, and broader social implications (Kahne, Lee, &amp; Feezell, 2012; van Deursen, Helsper, &amp; Eynon, 2015). Scholars such as Buckingham (2007) have further emphasized the importance of interrogating issues of ownership, regulation, and advertising in digital spaces. These critical approaches are especially relevant in an era marked by misinformation and polarized online discourse, where the internet can simultaneously serve as a force for democratization and division (Fuchs, 2010; Fry, 2014).</w:t>
      </w:r>
    </w:p>
    <w:p w14:paraId="0EA4820F" w14:textId="77777777" w:rsidR="008E52B6" w:rsidRPr="008E52B6" w:rsidRDefault="008E52B6" w:rsidP="00FE225C">
      <w:pPr>
        <w:spacing w:before="100" w:beforeAutospacing="1" w:after="100" w:afterAutospacing="1" w:line="240" w:lineRule="auto"/>
        <w:jc w:val="both"/>
        <w:rPr>
          <w:rFonts w:ascii="Times New Roman" w:eastAsia="Times New Roman" w:hAnsi="Times New Roman" w:cs="Times New Roman"/>
          <w:sz w:val="24"/>
          <w:szCs w:val="24"/>
        </w:rPr>
      </w:pPr>
      <w:r w:rsidRPr="008E52B6">
        <w:rPr>
          <w:rFonts w:ascii="Times New Roman" w:eastAsia="Times New Roman" w:hAnsi="Times New Roman" w:cs="Times New Roman"/>
          <w:sz w:val="24"/>
          <w:szCs w:val="24"/>
        </w:rPr>
        <w:lastRenderedPageBreak/>
        <w:t xml:space="preserve">Central to the strategy’s effectiveness is its recognition of the </w:t>
      </w:r>
      <w:r w:rsidRPr="008E52B6">
        <w:rPr>
          <w:rFonts w:ascii="Times New Roman" w:eastAsia="Times New Roman" w:hAnsi="Times New Roman" w:cs="Times New Roman"/>
          <w:b/>
          <w:bCs/>
          <w:sz w:val="24"/>
          <w:szCs w:val="24"/>
        </w:rPr>
        <w:t>pivotal role of educators</w:t>
      </w:r>
      <w:r w:rsidRPr="008E52B6">
        <w:rPr>
          <w:rFonts w:ascii="Times New Roman" w:eastAsia="Times New Roman" w:hAnsi="Times New Roman" w:cs="Times New Roman"/>
          <w:sz w:val="24"/>
          <w:szCs w:val="24"/>
        </w:rPr>
        <w:t>. Through comprehensive professional development, it prioritizes teacher readiness, ensuring educators are equipped to incorporate digital literacy into their teaching practices. This focus is particularly timely, given the rise of artificial intelligence and adaptive learning platforms that are reshaping traditional education. Enhancing teacher capacity ensures that technological innovation translates into inclusive and responsive learning environments.</w:t>
      </w:r>
    </w:p>
    <w:p w14:paraId="581E44AD" w14:textId="77777777" w:rsidR="008E52B6" w:rsidRPr="008E52B6" w:rsidRDefault="008E52B6" w:rsidP="00FE225C">
      <w:pPr>
        <w:spacing w:before="100" w:beforeAutospacing="1" w:after="100" w:afterAutospacing="1" w:line="240" w:lineRule="auto"/>
        <w:jc w:val="both"/>
        <w:rPr>
          <w:rFonts w:ascii="Times New Roman" w:eastAsia="Times New Roman" w:hAnsi="Times New Roman" w:cs="Times New Roman"/>
          <w:sz w:val="24"/>
          <w:szCs w:val="24"/>
        </w:rPr>
      </w:pPr>
      <w:r w:rsidRPr="008E52B6">
        <w:rPr>
          <w:rFonts w:ascii="Times New Roman" w:eastAsia="Times New Roman" w:hAnsi="Times New Roman" w:cs="Times New Roman"/>
          <w:sz w:val="24"/>
          <w:szCs w:val="24"/>
        </w:rPr>
        <w:t xml:space="preserve">Moreover, the UK strategy aligns with </w:t>
      </w:r>
      <w:r w:rsidRPr="008E52B6">
        <w:rPr>
          <w:rFonts w:ascii="Times New Roman" w:eastAsia="Times New Roman" w:hAnsi="Times New Roman" w:cs="Times New Roman"/>
          <w:b/>
          <w:bCs/>
          <w:sz w:val="24"/>
          <w:szCs w:val="24"/>
        </w:rPr>
        <w:t>global education priorities</w:t>
      </w:r>
      <w:r w:rsidRPr="008E52B6">
        <w:rPr>
          <w:rFonts w:ascii="Times New Roman" w:eastAsia="Times New Roman" w:hAnsi="Times New Roman" w:cs="Times New Roman"/>
          <w:sz w:val="24"/>
          <w:szCs w:val="24"/>
        </w:rPr>
        <w:t xml:space="preserve">, particularly </w:t>
      </w:r>
      <w:r w:rsidRPr="008E52B6">
        <w:rPr>
          <w:rFonts w:ascii="Times New Roman" w:eastAsia="Times New Roman" w:hAnsi="Times New Roman" w:cs="Times New Roman"/>
          <w:b/>
          <w:bCs/>
          <w:sz w:val="24"/>
          <w:szCs w:val="24"/>
        </w:rPr>
        <w:t>Sustainable Development Goal 4 (SDG 4)</w:t>
      </w:r>
      <w:r w:rsidRPr="008E52B6">
        <w:rPr>
          <w:rFonts w:ascii="Times New Roman" w:eastAsia="Times New Roman" w:hAnsi="Times New Roman" w:cs="Times New Roman"/>
          <w:sz w:val="24"/>
          <w:szCs w:val="24"/>
        </w:rPr>
        <w:t xml:space="preserve">, which advocates for inclusive and equitable quality education. Organizations such as UNESCO have underscored the role of digital literacy in supporting lifelong learning and reducing inequality. For instance, UNESCO’s </w:t>
      </w:r>
      <w:r w:rsidRPr="008E52B6">
        <w:rPr>
          <w:rFonts w:ascii="Times New Roman" w:eastAsia="Times New Roman" w:hAnsi="Times New Roman" w:cs="Times New Roman"/>
          <w:i/>
          <w:iCs/>
          <w:sz w:val="24"/>
          <w:szCs w:val="24"/>
        </w:rPr>
        <w:t>Global Framework for Digital Skills</w:t>
      </w:r>
      <w:r w:rsidRPr="008E52B6">
        <w:rPr>
          <w:rFonts w:ascii="Times New Roman" w:eastAsia="Times New Roman" w:hAnsi="Times New Roman" w:cs="Times New Roman"/>
          <w:sz w:val="24"/>
          <w:szCs w:val="24"/>
        </w:rPr>
        <w:t xml:space="preserve"> highlights not only access but also the responsible and ethical use of digital tools (UNESCO, 2020). The UK’s policy reflects these global aspirations and demonstrates how international frameworks—such as the European Commission’s </w:t>
      </w:r>
      <w:proofErr w:type="spellStart"/>
      <w:r w:rsidRPr="008E52B6">
        <w:rPr>
          <w:rFonts w:ascii="Times New Roman" w:eastAsia="Times New Roman" w:hAnsi="Times New Roman" w:cs="Times New Roman"/>
          <w:i/>
          <w:iCs/>
          <w:sz w:val="24"/>
          <w:szCs w:val="24"/>
        </w:rPr>
        <w:t>DigComp</w:t>
      </w:r>
      <w:proofErr w:type="spellEnd"/>
      <w:r w:rsidRPr="008E52B6">
        <w:rPr>
          <w:rFonts w:ascii="Times New Roman" w:eastAsia="Times New Roman" w:hAnsi="Times New Roman" w:cs="Times New Roman"/>
          <w:i/>
          <w:iCs/>
          <w:sz w:val="24"/>
          <w:szCs w:val="24"/>
        </w:rPr>
        <w:t xml:space="preserve"> Framework</w:t>
      </w:r>
      <w:r w:rsidRPr="008E52B6">
        <w:rPr>
          <w:rFonts w:ascii="Times New Roman" w:eastAsia="Times New Roman" w:hAnsi="Times New Roman" w:cs="Times New Roman"/>
          <w:sz w:val="24"/>
          <w:szCs w:val="24"/>
        </w:rPr>
        <w:t>—can be effectively localized to meet national needs.</w:t>
      </w:r>
    </w:p>
    <w:p w14:paraId="1C3D88C7" w14:textId="77777777" w:rsidR="008E52B6" w:rsidRPr="008E52B6" w:rsidRDefault="008E52B6" w:rsidP="00FE225C">
      <w:pPr>
        <w:spacing w:before="100" w:beforeAutospacing="1" w:after="100" w:afterAutospacing="1" w:line="240" w:lineRule="auto"/>
        <w:jc w:val="both"/>
        <w:rPr>
          <w:rFonts w:ascii="Times New Roman" w:eastAsia="Times New Roman" w:hAnsi="Times New Roman" w:cs="Times New Roman"/>
          <w:sz w:val="24"/>
          <w:szCs w:val="24"/>
        </w:rPr>
      </w:pPr>
      <w:r w:rsidRPr="008E52B6">
        <w:rPr>
          <w:rFonts w:ascii="Times New Roman" w:eastAsia="Times New Roman" w:hAnsi="Times New Roman" w:cs="Times New Roman"/>
          <w:sz w:val="24"/>
          <w:szCs w:val="24"/>
        </w:rPr>
        <w:t xml:space="preserve">This report provides a </w:t>
      </w:r>
      <w:r w:rsidRPr="008E52B6">
        <w:rPr>
          <w:rFonts w:ascii="Times New Roman" w:eastAsia="Times New Roman" w:hAnsi="Times New Roman" w:cs="Times New Roman"/>
          <w:b/>
          <w:bCs/>
          <w:sz w:val="24"/>
          <w:szCs w:val="24"/>
        </w:rPr>
        <w:t>critical evaluation</w:t>
      </w:r>
      <w:r w:rsidRPr="008E52B6">
        <w:rPr>
          <w:rFonts w:ascii="Times New Roman" w:eastAsia="Times New Roman" w:hAnsi="Times New Roman" w:cs="Times New Roman"/>
          <w:sz w:val="24"/>
          <w:szCs w:val="24"/>
        </w:rPr>
        <w:t xml:space="preserve"> of the UK’s Digital Literacy Strategy, examining its goals, implementation challenges, and measurable outcomes. It situates the policy within global digital literacy frameworks and draws upon empirical evidence and scholarly literature to assess its impact. The analysis also identifies areas for improvement and proposes actionable recommendations. Ultimately, this report aims to contribute to ongoing efforts to advance digital equity by positioning digital literacy as a transformative force for inclusive education and active citizenship in a rapidly evolving digital world.</w:t>
      </w:r>
    </w:p>
    <w:p w14:paraId="7FB4EB4B" w14:textId="77777777" w:rsidR="00BB2240" w:rsidRPr="00BB2240" w:rsidRDefault="00BB2240" w:rsidP="00FE225C">
      <w:pPr>
        <w:spacing w:before="100" w:beforeAutospacing="1" w:after="100" w:afterAutospacing="1" w:line="240" w:lineRule="auto"/>
        <w:jc w:val="both"/>
        <w:rPr>
          <w:rFonts w:ascii="Times New Roman" w:eastAsia="Times New Roman" w:hAnsi="Times New Roman" w:cs="Times New Roman"/>
          <w:sz w:val="24"/>
          <w:szCs w:val="24"/>
        </w:rPr>
      </w:pPr>
      <w:r w:rsidRPr="00BB2240">
        <w:rPr>
          <w:rFonts w:ascii="Times New Roman" w:eastAsia="Times New Roman" w:hAnsi="Times New Roman" w:cs="Times New Roman"/>
          <w:b/>
          <w:bCs/>
          <w:sz w:val="24"/>
          <w:szCs w:val="24"/>
        </w:rPr>
        <w:t>Theoretical Foundations and Background</w:t>
      </w:r>
    </w:p>
    <w:p w14:paraId="5AB39481" w14:textId="77777777" w:rsidR="00BB2240" w:rsidRPr="00BB2240" w:rsidRDefault="00BB2240" w:rsidP="00FE225C">
      <w:pPr>
        <w:spacing w:before="100" w:beforeAutospacing="1" w:after="100" w:afterAutospacing="1" w:line="240" w:lineRule="auto"/>
        <w:jc w:val="both"/>
        <w:rPr>
          <w:rFonts w:ascii="Times New Roman" w:eastAsia="Times New Roman" w:hAnsi="Times New Roman" w:cs="Times New Roman"/>
          <w:sz w:val="24"/>
          <w:szCs w:val="24"/>
        </w:rPr>
      </w:pPr>
      <w:r w:rsidRPr="00BB2240">
        <w:rPr>
          <w:rFonts w:ascii="Times New Roman" w:eastAsia="Times New Roman" w:hAnsi="Times New Roman" w:cs="Times New Roman"/>
          <w:sz w:val="24"/>
          <w:szCs w:val="24"/>
        </w:rPr>
        <w:t>At its simplest, digital literacy involves the ability to "use and evaluate" digital tools (see Pangrazio, 2016, pp. 163–164 for a summary of definitions). However, with technology increasingly used in areas like surveillance, employment decisions, policing, and loan eligibility, the concept must go further. Critical digital literacy expands this definition by including an understanding of systems, sociocultural contexts, and power structures surrounding technology production and operation. It combines these insights with technical skills, enabling individuals to select, evaluate, and appropriately use digital tools. It may even involve the ability to envision and design alternative tools, systems, or practices (Pangrazio, 2016).</w:t>
      </w:r>
    </w:p>
    <w:p w14:paraId="3655073C" w14:textId="77777777" w:rsidR="00BB2240" w:rsidRPr="00BB2240" w:rsidRDefault="00BB2240" w:rsidP="00FE225C">
      <w:pPr>
        <w:spacing w:before="100" w:beforeAutospacing="1" w:after="100" w:afterAutospacing="1" w:line="240" w:lineRule="auto"/>
        <w:jc w:val="both"/>
        <w:rPr>
          <w:rFonts w:ascii="Times New Roman" w:eastAsia="Times New Roman" w:hAnsi="Times New Roman" w:cs="Times New Roman"/>
          <w:sz w:val="24"/>
          <w:szCs w:val="24"/>
        </w:rPr>
      </w:pPr>
      <w:r w:rsidRPr="00BB2240">
        <w:rPr>
          <w:rFonts w:ascii="Times New Roman" w:eastAsia="Times New Roman" w:hAnsi="Times New Roman" w:cs="Times New Roman"/>
          <w:sz w:val="24"/>
          <w:szCs w:val="24"/>
        </w:rPr>
        <w:t>This expanded view reflects the growing recognition of digital literacy as a cornerstone of education reform, preparing learners for participation in knowledge-based economies. As Martin (2005) notes, digital literacy encompasses higher-order competencies like critical thinking, ethical engagement, and creativity, which are essential for navigating today’s complex digital landscape. While the importance of these skills is clear, their integration across educational systems remains uneven, with technological advancements deepening existing disparities. Such disparities, often termed the "digital divide," stem from socioeconomic inequities, inadequate infrastructure, and limited strategic policies (Selwyn, 2019).</w:t>
      </w:r>
    </w:p>
    <w:p w14:paraId="770351A0" w14:textId="77777777" w:rsidR="00BB2240" w:rsidRPr="00BB2240" w:rsidRDefault="00BB2240" w:rsidP="00FE225C">
      <w:pPr>
        <w:spacing w:before="100" w:beforeAutospacing="1" w:after="100" w:afterAutospacing="1" w:line="240" w:lineRule="auto"/>
        <w:jc w:val="both"/>
        <w:rPr>
          <w:rFonts w:ascii="Times New Roman" w:eastAsia="Times New Roman" w:hAnsi="Times New Roman" w:cs="Times New Roman"/>
          <w:sz w:val="24"/>
          <w:szCs w:val="24"/>
        </w:rPr>
      </w:pPr>
      <w:r w:rsidRPr="00BB2240">
        <w:rPr>
          <w:rFonts w:ascii="Times New Roman" w:eastAsia="Times New Roman" w:hAnsi="Times New Roman" w:cs="Times New Roman"/>
          <w:sz w:val="24"/>
          <w:szCs w:val="24"/>
        </w:rPr>
        <w:t xml:space="preserve">The UK’s Digital Literacy Strategy is a targeted response, aiming to equip students and educators with the skills necessary for addressing challenges like misinformation, economic inequality, and </w:t>
      </w:r>
      <w:r w:rsidRPr="00BB2240">
        <w:rPr>
          <w:rFonts w:ascii="Times New Roman" w:eastAsia="Times New Roman" w:hAnsi="Times New Roman" w:cs="Times New Roman"/>
          <w:sz w:val="24"/>
          <w:szCs w:val="24"/>
        </w:rPr>
        <w:lastRenderedPageBreak/>
        <w:t>technological unemployment. By embedding digital competencies into curricula, the strategy seeks not only to enhance participation in the digital economy but also to promote social inclusion and lifelong learning, goals aligned with UNESCO’s "Global Framework for Digital Skills" and Sustainable Development Goal 4 (SDG 4) (UNESCO, 2020).</w:t>
      </w:r>
    </w:p>
    <w:p w14:paraId="555F563E" w14:textId="77777777" w:rsidR="00BB2240" w:rsidRPr="00BB2240" w:rsidRDefault="00BB2240" w:rsidP="00FE225C">
      <w:pPr>
        <w:spacing w:before="100" w:beforeAutospacing="1" w:after="100" w:afterAutospacing="1" w:line="240" w:lineRule="auto"/>
        <w:jc w:val="both"/>
        <w:rPr>
          <w:rFonts w:ascii="Times New Roman" w:eastAsia="Times New Roman" w:hAnsi="Times New Roman" w:cs="Times New Roman"/>
          <w:sz w:val="24"/>
          <w:szCs w:val="24"/>
        </w:rPr>
      </w:pPr>
      <w:r w:rsidRPr="00BB2240">
        <w:rPr>
          <w:rFonts w:ascii="Times New Roman" w:eastAsia="Times New Roman" w:hAnsi="Times New Roman" w:cs="Times New Roman"/>
          <w:sz w:val="24"/>
          <w:szCs w:val="24"/>
        </w:rPr>
        <w:t>The strategy’s foundations also intersect with educational paradigms that emphasize critical engagement and active learning. For instance, Stommel’s (2014) critical digital pedagogy highlights the importance of empowering learners to analyze and challenge digital content, developing skills like source evaluation and ethical decision-making. Similarly, constructivist theories by Piaget (1976) and Vygotsky (1978) emphasize knowledge creation through active engagement. Digital technologies enhance these principles, enabling interactive and collaborative learning experiences.</w:t>
      </w:r>
    </w:p>
    <w:p w14:paraId="457C70C0" w14:textId="77777777" w:rsidR="00BB2240" w:rsidRPr="00BB2240" w:rsidRDefault="00BB2240" w:rsidP="00FE225C">
      <w:pPr>
        <w:spacing w:before="100" w:beforeAutospacing="1" w:after="100" w:afterAutospacing="1" w:line="240" w:lineRule="auto"/>
        <w:jc w:val="both"/>
        <w:rPr>
          <w:rFonts w:ascii="Times New Roman" w:eastAsia="Times New Roman" w:hAnsi="Times New Roman" w:cs="Times New Roman"/>
          <w:sz w:val="24"/>
          <w:szCs w:val="24"/>
        </w:rPr>
      </w:pPr>
      <w:r w:rsidRPr="00BB2240">
        <w:rPr>
          <w:rFonts w:ascii="Times New Roman" w:eastAsia="Times New Roman" w:hAnsi="Times New Roman" w:cs="Times New Roman"/>
          <w:sz w:val="24"/>
          <w:szCs w:val="24"/>
        </w:rPr>
        <w:t>By promoting equitable access to digital tools, providing targeted training for educators, and embedding digital literacy into national curricula, the UK’s policy operationalizes these theoretical perspectives. Its focus on teacher development reflects constructivist principles, ensuring educators can foster learner-centered and interactive environments. Additionally, the strategy tackles educational inequities by targeting underserved communities, acknowledging that bridging the digital divide requires systemic interventions alongside individual skill development.</w:t>
      </w:r>
    </w:p>
    <w:p w14:paraId="51FE42A0" w14:textId="77777777" w:rsidR="00BB2240" w:rsidRPr="00BB2240" w:rsidRDefault="00BB2240" w:rsidP="00FE225C">
      <w:pPr>
        <w:spacing w:before="100" w:beforeAutospacing="1" w:after="100" w:afterAutospacing="1" w:line="240" w:lineRule="auto"/>
        <w:jc w:val="both"/>
        <w:rPr>
          <w:rFonts w:ascii="Times New Roman" w:eastAsia="Times New Roman" w:hAnsi="Times New Roman" w:cs="Times New Roman"/>
          <w:sz w:val="24"/>
          <w:szCs w:val="24"/>
        </w:rPr>
      </w:pPr>
      <w:r w:rsidRPr="00BB2240">
        <w:rPr>
          <w:rFonts w:ascii="Times New Roman" w:eastAsia="Times New Roman" w:hAnsi="Times New Roman" w:cs="Times New Roman"/>
          <w:sz w:val="24"/>
          <w:szCs w:val="24"/>
        </w:rPr>
        <w:t>Though designed as a national initiative, the strategy offers a valuable model for other nations addressing similar challenges in digital education. By integrating theoretical insights with practical applications, it demonstrates how technology can be leveraged to enhance equity and inclusion. However, its success depends on overcoming challenges like resource disparities and the fast-paced evolution of technology. These obstacles will be explored further in subsequent sections.</w:t>
      </w:r>
    </w:p>
    <w:p w14:paraId="224EDBE7"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b/>
          <w:bCs/>
          <w:sz w:val="24"/>
          <w:szCs w:val="24"/>
        </w:rPr>
        <w:t>Analysis of the Policy</w:t>
      </w:r>
    </w:p>
    <w:p w14:paraId="4656F659"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b/>
          <w:bCs/>
          <w:sz w:val="24"/>
          <w:szCs w:val="24"/>
        </w:rPr>
        <w:t>Policy Objectives</w:t>
      </w:r>
      <w:r w:rsidRPr="00ED0940">
        <w:rPr>
          <w:rFonts w:ascii="Times New Roman" w:eastAsia="Times New Roman" w:hAnsi="Times New Roman" w:cs="Times New Roman"/>
          <w:sz w:val="24"/>
          <w:szCs w:val="24"/>
        </w:rPr>
        <w:t xml:space="preserve"> The UK’s Digital Literacy Strategy is an ambitious initiative designed to address the persistent digital divide and promote technological competence across the educational landscape. At its core, the strategy acknowledges that digital literacy is no longer a supplementary skill but a fundamental requirement for individual success and societal advancement in an increasingly digital world. Its objectives are both comprehensive and forward-thinking, aiming to embed digital skills at every level of education while addressing systemic inequalities.</w:t>
      </w:r>
    </w:p>
    <w:p w14:paraId="11358E79"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sz w:val="24"/>
          <w:szCs w:val="24"/>
        </w:rPr>
        <w:t>One of the primary goals of the strategy is to integrate digital literacy into the national curriculum, ensuring that every learner acquires foundational competencies, such as critical thinking, information evaluation, and online safety, before completing their education. By standardizing these skills across all stages of schooling, the policy seeks to prepare students for the challenges of a technology-driven future (Department for Education, 2021).</w:t>
      </w:r>
    </w:p>
    <w:p w14:paraId="4EA77F23"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sz w:val="24"/>
          <w:szCs w:val="24"/>
        </w:rPr>
        <w:t xml:space="preserve">Equally important is the focus on empowering educators, who are central to the successful implementation of the strategy. Recognizing the transformative role of teachers, the policy emphasizes professional development programs to equip them with the tools and confidence to incorporate digital technologies into their teaching. These programs also address emerging trends, </w:t>
      </w:r>
      <w:r w:rsidRPr="00ED0940">
        <w:rPr>
          <w:rFonts w:ascii="Times New Roman" w:eastAsia="Times New Roman" w:hAnsi="Times New Roman" w:cs="Times New Roman"/>
          <w:sz w:val="24"/>
          <w:szCs w:val="24"/>
        </w:rPr>
        <w:lastRenderedPageBreak/>
        <w:t>such as artificial intelligence and adaptive learning platforms, ensuring educators remain adaptable in the face of rapid technological change (BECTA, 2020).</w:t>
      </w:r>
    </w:p>
    <w:p w14:paraId="0AC550FD" w14:textId="77777777" w:rsidR="00ED0940" w:rsidRPr="00ED0940" w:rsidRDefault="00FE225C" w:rsidP="00FE225C">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in all</w:t>
      </w:r>
      <w:r w:rsidR="00ED0940" w:rsidRPr="00ED0940">
        <w:rPr>
          <w:rFonts w:ascii="Times New Roman" w:eastAsia="Times New Roman" w:hAnsi="Times New Roman" w:cs="Times New Roman"/>
          <w:sz w:val="24"/>
          <w:szCs w:val="24"/>
        </w:rPr>
        <w:t>, the strategy prioritizes reducing inequalities in digital access by targeting structural barriers that hinder inclusivity. This includes funding initiatives aimed at underprivileged schools and communities, with the explicit goal of leveling the playing field for learners in economically disadvantaged regions (</w:t>
      </w:r>
      <w:proofErr w:type="spellStart"/>
      <w:r w:rsidR="00ED0940" w:rsidRPr="00ED0940">
        <w:rPr>
          <w:rFonts w:ascii="Times New Roman" w:eastAsia="Times New Roman" w:hAnsi="Times New Roman" w:cs="Times New Roman"/>
          <w:sz w:val="24"/>
          <w:szCs w:val="24"/>
        </w:rPr>
        <w:t>FutureLearn</w:t>
      </w:r>
      <w:proofErr w:type="spellEnd"/>
      <w:r w:rsidR="00ED0940" w:rsidRPr="00ED0940">
        <w:rPr>
          <w:rFonts w:ascii="Times New Roman" w:eastAsia="Times New Roman" w:hAnsi="Times New Roman" w:cs="Times New Roman"/>
          <w:sz w:val="24"/>
          <w:szCs w:val="24"/>
        </w:rPr>
        <w:t>, 2020). These objectives reflect a balanced approach, combining equitable access with the cultivation of advanced competencies that are essential for navigating modern digital environments.</w:t>
      </w:r>
    </w:p>
    <w:p w14:paraId="4EC0A345"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b/>
          <w:bCs/>
          <w:sz w:val="24"/>
          <w:szCs w:val="24"/>
        </w:rPr>
        <w:t>Policy Implementation</w:t>
      </w:r>
      <w:r w:rsidRPr="00ED0940">
        <w:rPr>
          <w:rFonts w:ascii="Times New Roman" w:eastAsia="Times New Roman" w:hAnsi="Times New Roman" w:cs="Times New Roman"/>
          <w:sz w:val="24"/>
          <w:szCs w:val="24"/>
        </w:rPr>
        <w:t xml:space="preserve"> The implementation of the Digital Literacy Strategy takes a collaborative and multifaceted approach, involving partnerships among local education authorities, schools, technology providers, and government agencies. The strategy’s execution emphasizes three key areas: curriculum integration, teacher training, and resource allocation.</w:t>
      </w:r>
    </w:p>
    <w:p w14:paraId="4F447218"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sz w:val="24"/>
          <w:szCs w:val="24"/>
        </w:rPr>
        <w:t>At the heart of the strategy is the integration of digital competencies into the national curriculum. This involves teaching critical thinking by encouraging students to assess the reliability of online information and equipping them with analytical skills to combat misinformation. Lessons on online safety, such as understanding data privacy and recognizing cyber threats, further reinforce the strategy’s focus on responsible digital engagement. Additionally, the curriculum incorporates collaborative digital skills, preparing students for teamwork in virtual environments through effective use of digital tools.</w:t>
      </w:r>
    </w:p>
    <w:p w14:paraId="0FD9EF5E"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sz w:val="24"/>
          <w:szCs w:val="24"/>
        </w:rPr>
        <w:t>Teacher training forms another cornerstone of the policy. Recognizing the challenges educators face in adapting to new technologies, the strategy provides professional development programs designed to foster practical expertise in using digital tools. These programs also introduce educators to cutting-edge technologies like machine learning and virtual reality, enabling them to create innovative and engaging learning experiences. However, the policy also acknowledges the need to address educators’ concerns about keeping pace with technological advancements, offering sustained support to build their confidence and adaptability (OECD, 2020).</w:t>
      </w:r>
    </w:p>
    <w:p w14:paraId="36C0AB29"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sz w:val="24"/>
          <w:szCs w:val="24"/>
        </w:rPr>
        <w:t>Resource allocation is equally critical to the strategy’s success. The UK government has committed significant financial resources, including a £50 million grant aimed at supporting schools in economically disadvantaged areas. These funds are allocated to improve infrastructure, such as providing high-speed internet in rural regions, and to supply devices like laptops and tablets to students who lack personal access to technology. By supporting community-led initiatives, the strategy also extends its impact beyond schools, fostering broader digital literacy across communities (UK Parliament, 2021).</w:t>
      </w:r>
    </w:p>
    <w:p w14:paraId="18731EB6"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b/>
          <w:bCs/>
          <w:sz w:val="24"/>
          <w:szCs w:val="24"/>
        </w:rPr>
        <w:t>Challenges to Implementation</w:t>
      </w:r>
      <w:r w:rsidRPr="00ED0940">
        <w:rPr>
          <w:rFonts w:ascii="Times New Roman" w:eastAsia="Times New Roman" w:hAnsi="Times New Roman" w:cs="Times New Roman"/>
          <w:sz w:val="24"/>
          <w:szCs w:val="24"/>
        </w:rPr>
        <w:t xml:space="preserve"> Despite its robust framework, the Digital Literacy Strategy encounters several significant challenges that threaten its effectiveness. One of the most pressing issues is the uneven distribution of resources. Rural and socioeconomically disadvantaged areas continue to report gaps in infrastructure and access to digital tools, undermining the strategy’s goal of universal digital literacy. Research by Gomez et al. (2022) highlights these persistent disparities, emphasizing the need for targeted interventions to ensure that underprivileged regions are not left behind.</w:t>
      </w:r>
    </w:p>
    <w:p w14:paraId="136DE54A"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sz w:val="24"/>
          <w:szCs w:val="24"/>
        </w:rPr>
        <w:lastRenderedPageBreak/>
        <w:t>Another critical challenge is teacher preparedness. While professional development programs form a central pillar of the policy, many educators express concerns about the adequacy of the training provided. Insufficient time and resources dedicated to continuous learning hinder teachers’ ability to integrate digital tools effectively into their pedagogy. Addressing this requires sustained investment in professional development and mentorship programs that go beyond one-off workshops.</w:t>
      </w:r>
    </w:p>
    <w:p w14:paraId="7A02120F"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sz w:val="24"/>
          <w:szCs w:val="24"/>
        </w:rPr>
        <w:t>The dynamic nature of the technological landscape poses an additional challenge. Rapid advancements, such as the rise of artificial intelligence and augmented reality, necessitate constant updates to the curriculum and training programs. This creates a pressing need for the strategy to remain flexible and adaptable to emerging trends.</w:t>
      </w:r>
    </w:p>
    <w:p w14:paraId="3C7BC2E9"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sz w:val="24"/>
          <w:szCs w:val="24"/>
        </w:rPr>
        <w:t>Perhaps most notably, the absence of a robust framework for evaluating the strategy’s impact limits opportunities for evidence-based refinements. Comprehensive data on the policy’s effectiveness, particularly in reducing the digital divide, remains scarce, hindering the ability to measure progress and address shortcomings.</w:t>
      </w:r>
    </w:p>
    <w:p w14:paraId="72F1290D"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b/>
          <w:bCs/>
          <w:sz w:val="24"/>
          <w:szCs w:val="24"/>
        </w:rPr>
        <w:t>Policy Impact</w:t>
      </w:r>
      <w:r w:rsidRPr="00ED0940">
        <w:rPr>
          <w:rFonts w:ascii="Times New Roman" w:eastAsia="Times New Roman" w:hAnsi="Times New Roman" w:cs="Times New Roman"/>
          <w:sz w:val="24"/>
          <w:szCs w:val="24"/>
        </w:rPr>
        <w:t xml:space="preserve"> Preliminary assessments of the Digital Literacy Strategy suggest that it has made significant strides in raising awareness about the importance of digital skills in education. However, its impact remains uneven across different regions and demographics. For instance, a study by the National Education Trust (2021) found that while 75% of urban schools reported progress in integrating digital tools into teaching, only 43% of rural schools observed similar advancements. This discrepancy underscores the ongoing challenges of equitable implementation.</w:t>
      </w:r>
    </w:p>
    <w:p w14:paraId="28C0D1B5"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sz w:val="24"/>
          <w:szCs w:val="24"/>
        </w:rPr>
        <w:t>Feedback from educators further highlights the need for more context-specific training. While 62% of teachers found the professional development programs beneficial, many called for practical guidance tailored to the unique needs of their classrooms (OECD, 2020).</w:t>
      </w:r>
    </w:p>
    <w:p w14:paraId="0839DB82" w14:textId="77777777" w:rsidR="00ED0940" w:rsidRPr="00ED0940" w:rsidRDefault="00ED0940" w:rsidP="00FE225C">
      <w:pPr>
        <w:spacing w:before="100" w:beforeAutospacing="1" w:after="100" w:afterAutospacing="1" w:line="240" w:lineRule="auto"/>
        <w:jc w:val="both"/>
        <w:rPr>
          <w:rFonts w:ascii="Times New Roman" w:eastAsia="Times New Roman" w:hAnsi="Times New Roman" w:cs="Times New Roman"/>
          <w:sz w:val="24"/>
          <w:szCs w:val="24"/>
        </w:rPr>
      </w:pPr>
      <w:r w:rsidRPr="00ED0940">
        <w:rPr>
          <w:rFonts w:ascii="Times New Roman" w:eastAsia="Times New Roman" w:hAnsi="Times New Roman" w:cs="Times New Roman"/>
          <w:sz w:val="24"/>
          <w:szCs w:val="24"/>
        </w:rPr>
        <w:t>Despite these challenges, the strategy has laid a strong foundation for promoting digital literacy across the UK. Its holistic approach—encompassing curriculum reform, teacher empowerment, and resource distribution—positions it as a vital step toward bridging the digital divide and preparing learners for the complexities of a rapidly evolving digital society.</w:t>
      </w:r>
    </w:p>
    <w:p w14:paraId="2EA6BA08" w14:textId="77777777" w:rsidR="009D11CB" w:rsidRPr="009D11CB" w:rsidRDefault="009D11CB" w:rsidP="00FE225C">
      <w:pPr>
        <w:spacing w:before="100" w:beforeAutospacing="1" w:after="100" w:afterAutospacing="1" w:line="240" w:lineRule="auto"/>
        <w:jc w:val="both"/>
        <w:rPr>
          <w:rFonts w:ascii="Times New Roman" w:eastAsia="Times New Roman" w:hAnsi="Times New Roman" w:cs="Times New Roman"/>
          <w:sz w:val="24"/>
          <w:szCs w:val="24"/>
        </w:rPr>
      </w:pPr>
      <w:r w:rsidRPr="009D11CB">
        <w:rPr>
          <w:rFonts w:ascii="Times New Roman" w:eastAsia="Times New Roman" w:hAnsi="Times New Roman" w:cs="Times New Roman"/>
          <w:b/>
          <w:bCs/>
          <w:sz w:val="24"/>
          <w:szCs w:val="24"/>
        </w:rPr>
        <w:t>Discussion</w:t>
      </w:r>
    </w:p>
    <w:p w14:paraId="4D3B9A66" w14:textId="77777777" w:rsidR="009D11CB" w:rsidRPr="009D11CB" w:rsidRDefault="009D11CB" w:rsidP="00FE225C">
      <w:pPr>
        <w:spacing w:before="100" w:beforeAutospacing="1" w:after="100" w:afterAutospacing="1" w:line="240" w:lineRule="auto"/>
        <w:jc w:val="both"/>
        <w:rPr>
          <w:rFonts w:ascii="Times New Roman" w:eastAsia="Times New Roman" w:hAnsi="Times New Roman" w:cs="Times New Roman"/>
          <w:sz w:val="24"/>
          <w:szCs w:val="24"/>
        </w:rPr>
      </w:pPr>
      <w:r w:rsidRPr="009D11CB">
        <w:rPr>
          <w:rFonts w:ascii="Times New Roman" w:eastAsia="Times New Roman" w:hAnsi="Times New Roman" w:cs="Times New Roman"/>
          <w:sz w:val="24"/>
          <w:szCs w:val="24"/>
        </w:rPr>
        <w:t>The UK’s Digital Literacy Strategy emerges as a thoughtful initiative designed to address the persistent challenge of digital inequity in education. By embedding foundational digital competencies into the national curriculum, the strategy aims to equip students with the skills necessary to navigate an increasingly digitalized world while fostering educational equity. Recognizing the digital divide as a significant barrier, the strategy emphasizes the importance of ensuring that all students—particularly those in underserved communities—have access to technology. Its focus on professional development for educators further highlights an understanding of the vital role teachers play in translating policy into practice. However, the promising objectives of this strategy are overshadowed by several practical and systemic challenges, limiting its full realization.</w:t>
      </w:r>
    </w:p>
    <w:p w14:paraId="029F1E90" w14:textId="77777777" w:rsidR="009D11CB" w:rsidRPr="009D11CB" w:rsidRDefault="009D11CB" w:rsidP="00FE225C">
      <w:pPr>
        <w:spacing w:before="100" w:beforeAutospacing="1" w:after="100" w:afterAutospacing="1" w:line="240" w:lineRule="auto"/>
        <w:jc w:val="both"/>
        <w:rPr>
          <w:rFonts w:ascii="Times New Roman" w:eastAsia="Times New Roman" w:hAnsi="Times New Roman" w:cs="Times New Roman"/>
          <w:sz w:val="24"/>
          <w:szCs w:val="24"/>
        </w:rPr>
      </w:pPr>
      <w:r w:rsidRPr="009D11CB">
        <w:rPr>
          <w:rFonts w:ascii="Times New Roman" w:eastAsia="Times New Roman" w:hAnsi="Times New Roman" w:cs="Times New Roman"/>
          <w:sz w:val="24"/>
          <w:szCs w:val="24"/>
        </w:rPr>
        <w:lastRenderedPageBreak/>
        <w:t>One of the most pressing issues with the implementation of the Digital Literacy Strategy is the uneven distribution of resources across regions. Economically disadvantaged areas, particularly those in rural regions, often lack access to the technological infrastructure required to integrate digital literacy effectively into educational settings. Urban schools, by comparison, benefit from advanced networks and modern resources, leaving their rural counterparts struggling with outdated equipment and inconsistent connectivity. This disparity creates an environment where students from underprivileged regions face systemic disadvantages, unable to fully develop essential digital skills compared to their peers in better-equipped schools. Research conducted by the National Education Trust highlights the scope of this challenge, revealing significant gaps in the availability of infrastructure between urban and rural schools. While the policy’s funding mechanisms are intended to reduce inequities, they often fail to address the distinct needs of underserved communities, perpetuating rather than mitigating educational disparities.</w:t>
      </w:r>
    </w:p>
    <w:p w14:paraId="2D64362F" w14:textId="77777777" w:rsidR="009D11CB" w:rsidRPr="009D11CB" w:rsidRDefault="009D11CB" w:rsidP="00FE225C">
      <w:pPr>
        <w:spacing w:before="100" w:beforeAutospacing="1" w:after="100" w:afterAutospacing="1" w:line="240" w:lineRule="auto"/>
        <w:jc w:val="both"/>
        <w:rPr>
          <w:rFonts w:ascii="Times New Roman" w:eastAsia="Times New Roman" w:hAnsi="Times New Roman" w:cs="Times New Roman"/>
          <w:sz w:val="24"/>
          <w:szCs w:val="24"/>
        </w:rPr>
      </w:pPr>
      <w:r w:rsidRPr="009D11CB">
        <w:rPr>
          <w:rFonts w:ascii="Times New Roman" w:eastAsia="Times New Roman" w:hAnsi="Times New Roman" w:cs="Times New Roman"/>
          <w:sz w:val="24"/>
          <w:szCs w:val="24"/>
        </w:rPr>
        <w:t>Efforts in other countries provide valuable lessons that could inform improvements to the UK’s approach. Finland, for instance, has adopted policies that not only prioritize funding for rural schools but also engage local communities to ensure the equitable distribution of resources. Such targeted approaches have demonstrated measurable success in bridging regional inequalities. By comparison, the UK’s reliance on generalized funding mechanisms overlooks the nuances of regional disparities. To address these shortcomings, the introduction of region-specific planning and monitoring systems could help allocate resources more effectively and foster equitable access to technology.</w:t>
      </w:r>
    </w:p>
    <w:p w14:paraId="787F6192" w14:textId="77777777" w:rsidR="009D11CB" w:rsidRPr="009D11CB" w:rsidRDefault="009D11CB" w:rsidP="00FE225C">
      <w:pPr>
        <w:spacing w:before="100" w:beforeAutospacing="1" w:after="100" w:afterAutospacing="1" w:line="240" w:lineRule="auto"/>
        <w:jc w:val="both"/>
        <w:rPr>
          <w:rFonts w:ascii="Times New Roman" w:eastAsia="Times New Roman" w:hAnsi="Times New Roman" w:cs="Times New Roman"/>
          <w:sz w:val="24"/>
          <w:szCs w:val="24"/>
        </w:rPr>
      </w:pPr>
      <w:r w:rsidRPr="009D11CB">
        <w:rPr>
          <w:rFonts w:ascii="Times New Roman" w:eastAsia="Times New Roman" w:hAnsi="Times New Roman" w:cs="Times New Roman"/>
          <w:sz w:val="24"/>
          <w:szCs w:val="24"/>
        </w:rPr>
        <w:t xml:space="preserve">Teacher preparedness represents another critical barrier to the success of the strategy. While professional development programs are included as part of the policy, these initiatives are often insufficiently tailored to meet the diverse realities of classrooms. Educators report feeling overwhelmed by the pace of technological change and underprepared to integrate digital tools effectively into their pedagogy. Introductory workshops alone fail to provide the sustained support needed to adapt these tools for meaningful teaching and learning outcomes. Research conducted by Gomez and colleagues highlights the importance of long-term mentorship programs, collaborative learning opportunities, and experiential training—all areas where the current structure of the UK’s strategy falls short. By adopting practices seen in Estonia’s </w:t>
      </w:r>
      <w:proofErr w:type="spellStart"/>
      <w:r w:rsidRPr="009D11CB">
        <w:rPr>
          <w:rFonts w:ascii="Times New Roman" w:eastAsia="Times New Roman" w:hAnsi="Times New Roman" w:cs="Times New Roman"/>
          <w:sz w:val="24"/>
          <w:szCs w:val="24"/>
        </w:rPr>
        <w:t>ProgeTiiger</w:t>
      </w:r>
      <w:proofErr w:type="spellEnd"/>
      <w:r w:rsidRPr="009D11CB">
        <w:rPr>
          <w:rFonts w:ascii="Times New Roman" w:eastAsia="Times New Roman" w:hAnsi="Times New Roman" w:cs="Times New Roman"/>
          <w:sz w:val="24"/>
          <w:szCs w:val="24"/>
        </w:rPr>
        <w:t xml:space="preserve"> initiative, where teacher development is both hands-on and context-specific, the UK could significantly improve educator readiness and overall policy impact.</w:t>
      </w:r>
    </w:p>
    <w:p w14:paraId="49CF0D3B" w14:textId="77777777" w:rsidR="009D11CB" w:rsidRPr="009D11CB" w:rsidRDefault="009D11CB" w:rsidP="00FE225C">
      <w:pPr>
        <w:spacing w:before="100" w:beforeAutospacing="1" w:after="100" w:afterAutospacing="1" w:line="240" w:lineRule="auto"/>
        <w:jc w:val="both"/>
        <w:rPr>
          <w:rFonts w:ascii="Times New Roman" w:eastAsia="Times New Roman" w:hAnsi="Times New Roman" w:cs="Times New Roman"/>
          <w:sz w:val="24"/>
          <w:szCs w:val="24"/>
        </w:rPr>
      </w:pPr>
      <w:r w:rsidRPr="009D11CB">
        <w:rPr>
          <w:rFonts w:ascii="Times New Roman" w:eastAsia="Times New Roman" w:hAnsi="Times New Roman" w:cs="Times New Roman"/>
          <w:sz w:val="24"/>
          <w:szCs w:val="24"/>
        </w:rPr>
        <w:t>Equally concerning are the systemic barriers that inhibit the successful implementation of the Digital Literacy Strategy. Socioeconomic inequalities and cultural resistance to technology adoption pose considerable obstacles, particularly in low-income communities. Families in these regions often lack the skills or resources to support their children’s engagement with digital learning tools. Cultural attitudes toward technology, including skepticism about its educational value and concerns around online safety, further exacerbate these challenges. Addressing these barriers requires a more holistic approach that extends beyond the classroom to involve communities. South Korea offers an instructive example in this regard, having implemented digital literacy campaigns that empower families and strengthen community engagement. Such programs could serve as a model for UK initiatives aimed at fostering widespread adoption and creating inclusive ecosystems for digital learning.</w:t>
      </w:r>
    </w:p>
    <w:p w14:paraId="273B7F8E" w14:textId="77777777" w:rsidR="009D11CB" w:rsidRPr="009D11CB" w:rsidRDefault="009D11CB" w:rsidP="00FE225C">
      <w:pPr>
        <w:spacing w:before="100" w:beforeAutospacing="1" w:after="100" w:afterAutospacing="1" w:line="240" w:lineRule="auto"/>
        <w:jc w:val="both"/>
        <w:rPr>
          <w:rFonts w:ascii="Times New Roman" w:eastAsia="Times New Roman" w:hAnsi="Times New Roman" w:cs="Times New Roman"/>
          <w:sz w:val="24"/>
          <w:szCs w:val="24"/>
        </w:rPr>
      </w:pPr>
      <w:r w:rsidRPr="009D11CB">
        <w:rPr>
          <w:rFonts w:ascii="Times New Roman" w:eastAsia="Times New Roman" w:hAnsi="Times New Roman" w:cs="Times New Roman"/>
          <w:sz w:val="24"/>
          <w:szCs w:val="24"/>
        </w:rPr>
        <w:lastRenderedPageBreak/>
        <w:t>Beyond these logistical challenges, the relationship between equitable access to technology and the development of critical thinking skills warrants closer attention. Limited access to digital tools directly impedes students’ ability to engage with diverse online content and develop the cognitive skills necessary to evaluate information critically. For example, UNESCO studies reveal that classrooms equipped with interactive digital tools see marked improvements in students’ ability to identify misinformation and analyze information credibly. Integrating these resources into the UK’s curricula could help address disparities while fostering higher-order competencies essential for thriving in a digital landscape.</w:t>
      </w:r>
    </w:p>
    <w:p w14:paraId="30992C60" w14:textId="77777777" w:rsidR="009D11CB" w:rsidRPr="009D11CB" w:rsidRDefault="009D11CB" w:rsidP="00FE225C">
      <w:pPr>
        <w:spacing w:before="100" w:beforeAutospacing="1" w:after="100" w:afterAutospacing="1" w:line="240" w:lineRule="auto"/>
        <w:jc w:val="both"/>
        <w:rPr>
          <w:rFonts w:ascii="Times New Roman" w:eastAsia="Times New Roman" w:hAnsi="Times New Roman" w:cs="Times New Roman"/>
          <w:sz w:val="24"/>
          <w:szCs w:val="24"/>
        </w:rPr>
      </w:pPr>
      <w:r w:rsidRPr="009D11CB">
        <w:rPr>
          <w:rFonts w:ascii="Times New Roman" w:eastAsia="Times New Roman" w:hAnsi="Times New Roman" w:cs="Times New Roman"/>
          <w:sz w:val="24"/>
          <w:szCs w:val="24"/>
        </w:rPr>
        <w:t>While the Digital Literacy Strategy represents an ambitious and progressive step forward, its success depends on addressing the inequities and systemic obstacles detailed above. By learning from international examples and adopting targeted interventions, the UK has the potential to transform its approach into a more inclusive and impactful policy framework.</w:t>
      </w:r>
    </w:p>
    <w:p w14:paraId="7F4824C8" w14:textId="77777777" w:rsidR="00264443" w:rsidRPr="00264443" w:rsidRDefault="00264443" w:rsidP="00FE225C">
      <w:pPr>
        <w:spacing w:before="100" w:beforeAutospacing="1" w:after="100" w:afterAutospacing="1" w:line="240" w:lineRule="auto"/>
        <w:jc w:val="both"/>
        <w:rPr>
          <w:rFonts w:ascii="Times New Roman" w:eastAsia="Times New Roman" w:hAnsi="Times New Roman" w:cs="Times New Roman"/>
          <w:sz w:val="24"/>
          <w:szCs w:val="24"/>
        </w:rPr>
      </w:pPr>
      <w:r w:rsidRPr="00264443">
        <w:rPr>
          <w:rFonts w:ascii="Times New Roman" w:eastAsia="Times New Roman" w:hAnsi="Times New Roman" w:cs="Times New Roman"/>
          <w:b/>
          <w:bCs/>
          <w:sz w:val="24"/>
          <w:szCs w:val="24"/>
        </w:rPr>
        <w:t>Recommendations</w:t>
      </w:r>
    </w:p>
    <w:p w14:paraId="0DB7F88E" w14:textId="77777777" w:rsidR="00264443" w:rsidRPr="00264443" w:rsidRDefault="00264443" w:rsidP="00FE225C">
      <w:pPr>
        <w:spacing w:before="100" w:beforeAutospacing="1" w:after="100" w:afterAutospacing="1" w:line="240" w:lineRule="auto"/>
        <w:jc w:val="both"/>
        <w:rPr>
          <w:rFonts w:ascii="Times New Roman" w:eastAsia="Times New Roman" w:hAnsi="Times New Roman" w:cs="Times New Roman"/>
          <w:sz w:val="24"/>
          <w:szCs w:val="24"/>
        </w:rPr>
      </w:pPr>
      <w:r w:rsidRPr="00264443">
        <w:rPr>
          <w:rFonts w:ascii="Times New Roman" w:eastAsia="Times New Roman" w:hAnsi="Times New Roman" w:cs="Times New Roman"/>
          <w:sz w:val="24"/>
          <w:szCs w:val="24"/>
        </w:rPr>
        <w:t>For the UK’s Digital Literacy Strategy to achieve its ambitious goals and address the challenges identified, it requires carefully considered, evidence-based recommendations that focus on inclusivity, practicality, and sustainable implementation. These proposals aim to refine the strategy’s framework, ensuring it supports equitable access, nurtures teacher preparedness, and creates a lasting impact on communities.</w:t>
      </w:r>
    </w:p>
    <w:p w14:paraId="65C728A4" w14:textId="77777777" w:rsidR="00264443" w:rsidRPr="00264443" w:rsidRDefault="00264443" w:rsidP="00FE225C">
      <w:pPr>
        <w:spacing w:before="100" w:beforeAutospacing="1" w:after="100" w:afterAutospacing="1" w:line="240" w:lineRule="auto"/>
        <w:jc w:val="both"/>
        <w:rPr>
          <w:rFonts w:ascii="Times New Roman" w:eastAsia="Times New Roman" w:hAnsi="Times New Roman" w:cs="Times New Roman"/>
          <w:sz w:val="24"/>
          <w:szCs w:val="24"/>
        </w:rPr>
      </w:pPr>
      <w:r w:rsidRPr="00264443">
        <w:rPr>
          <w:rFonts w:ascii="Times New Roman" w:eastAsia="Times New Roman" w:hAnsi="Times New Roman" w:cs="Times New Roman"/>
          <w:sz w:val="24"/>
          <w:szCs w:val="24"/>
        </w:rPr>
        <w:t>One of the most critical areas for improvement lies in addressing the digital divide, which disproportionately affects students in rural and economically disadvantaged regions. Schools in these areas often lack essential infrastructure, leaving students with limited access to technology and, consequently, reduced opportunities to develop key digital skills. To combat this, investments in modern technological resources—such as laptops, tablets, and smart projectors—must become a priority, alongside efforts to provide reliable high-speed internet connectivity for all schools, including those in remote areas. Equally important is the introduction of programs that provide financial assistance to families with limited means, enabling them to purchase devices and internet subscriptions to support learning at home. A regional approach, supported by locally organized task forces, could ensure resources are allocated effectively and progress is monitored in underserved communities.</w:t>
      </w:r>
    </w:p>
    <w:p w14:paraId="246EF93E" w14:textId="77777777" w:rsidR="00264443" w:rsidRPr="00264443" w:rsidRDefault="00264443" w:rsidP="00FE225C">
      <w:pPr>
        <w:spacing w:before="100" w:beforeAutospacing="1" w:after="100" w:afterAutospacing="1" w:line="240" w:lineRule="auto"/>
        <w:jc w:val="both"/>
        <w:rPr>
          <w:rFonts w:ascii="Times New Roman" w:eastAsia="Times New Roman" w:hAnsi="Times New Roman" w:cs="Times New Roman"/>
          <w:sz w:val="24"/>
          <w:szCs w:val="24"/>
        </w:rPr>
      </w:pPr>
      <w:r w:rsidRPr="00264443">
        <w:rPr>
          <w:rFonts w:ascii="Times New Roman" w:eastAsia="Times New Roman" w:hAnsi="Times New Roman" w:cs="Times New Roman"/>
          <w:sz w:val="24"/>
          <w:szCs w:val="24"/>
        </w:rPr>
        <w:t>Teacher readiness stands as another cornerstone of the Digital Literacy Strategy, yet many educators report feeling overwhelmed by the fast-evolving technological landscape. Addressing this requires more than introductory workshops; it calls for comprehensive, multi-year professional development programs that focus on the practical application of digital tools in diverse classroom settings. Beyond this, teachers should be equipped with skills to leverage emerging technologies, such as artificial intelligence and virtual reality, which have the potential to transform traditional teaching methods into dynamic and interactive experiences. Establishing mentorship networks where experienced educators can support their peers would also foster collaboration and accelerate the adoption of innovative practices.</w:t>
      </w:r>
    </w:p>
    <w:p w14:paraId="505C74F2" w14:textId="77777777" w:rsidR="00264443" w:rsidRPr="00264443" w:rsidRDefault="00264443" w:rsidP="00FE225C">
      <w:pPr>
        <w:spacing w:before="100" w:beforeAutospacing="1" w:after="100" w:afterAutospacing="1" w:line="240" w:lineRule="auto"/>
        <w:jc w:val="both"/>
        <w:rPr>
          <w:rFonts w:ascii="Times New Roman" w:eastAsia="Times New Roman" w:hAnsi="Times New Roman" w:cs="Times New Roman"/>
          <w:sz w:val="24"/>
          <w:szCs w:val="24"/>
        </w:rPr>
      </w:pPr>
      <w:r w:rsidRPr="00264443">
        <w:rPr>
          <w:rFonts w:ascii="Times New Roman" w:eastAsia="Times New Roman" w:hAnsi="Times New Roman" w:cs="Times New Roman"/>
          <w:sz w:val="24"/>
          <w:szCs w:val="24"/>
        </w:rPr>
        <w:t xml:space="preserve">An inclusive strategy cannot be limited to the confines of schools; it must extend to families and communities to create a holistic learning ecosystem. Parents, in particular, need support in </w:t>
      </w:r>
      <w:r w:rsidRPr="00264443">
        <w:rPr>
          <w:rFonts w:ascii="Times New Roman" w:eastAsia="Times New Roman" w:hAnsi="Times New Roman" w:cs="Times New Roman"/>
          <w:sz w:val="24"/>
          <w:szCs w:val="24"/>
        </w:rPr>
        <w:lastRenderedPageBreak/>
        <w:t>understanding digital tools to assist their children’s learning and to ensure responsible technology use at home. Free workshops tailored to parents and guardians can address this gap, providing guidance on online safety and digital resources. Additionally, collaboration with local governments and organizations to establish digital community hubs—equipped with internet access, training programs, and resources—can play a vital role in extending the reach of digital literacy. National campaigns emphasizing the importance of digital literacy as a lifelong skill could further broaden cultural acceptance and engagement.</w:t>
      </w:r>
    </w:p>
    <w:p w14:paraId="05FF5550" w14:textId="77777777" w:rsidR="00264443" w:rsidRPr="00264443" w:rsidRDefault="00264443" w:rsidP="00FE225C">
      <w:pPr>
        <w:spacing w:before="100" w:beforeAutospacing="1" w:after="100" w:afterAutospacing="1" w:line="240" w:lineRule="auto"/>
        <w:jc w:val="both"/>
        <w:rPr>
          <w:rFonts w:ascii="Times New Roman" w:eastAsia="Times New Roman" w:hAnsi="Times New Roman" w:cs="Times New Roman"/>
          <w:sz w:val="24"/>
          <w:szCs w:val="24"/>
        </w:rPr>
      </w:pPr>
      <w:r w:rsidRPr="00264443">
        <w:rPr>
          <w:rFonts w:ascii="Times New Roman" w:eastAsia="Times New Roman" w:hAnsi="Times New Roman" w:cs="Times New Roman"/>
          <w:sz w:val="24"/>
          <w:szCs w:val="24"/>
        </w:rPr>
        <w:t>The success of the strategy hinges on regular evaluation and accountability measures. Without robust assessment frameworks, it becomes difficult to determine whether policy objectives—such as fostering critical thinking and reducing disparities—are being met. Establishing clear metrics, such as tracking improvements in infrastructure and measuring students’ digital competencies, could provide valuable insights. Conducting periodic evaluations with input from educators, students, and stakeholders, and publishing annual progress reports, would promote transparency and evidence-based decision-making. Utilizing advanced tools for data analysis and visualization would also ensure the results are actionable and effectively communicated.</w:t>
      </w:r>
    </w:p>
    <w:p w14:paraId="2F789908" w14:textId="77777777" w:rsidR="00264443" w:rsidRPr="00264443" w:rsidRDefault="00264443" w:rsidP="00FE225C">
      <w:pPr>
        <w:spacing w:before="100" w:beforeAutospacing="1" w:after="100" w:afterAutospacing="1" w:line="240" w:lineRule="auto"/>
        <w:jc w:val="both"/>
        <w:rPr>
          <w:rFonts w:ascii="Times New Roman" w:eastAsia="Times New Roman" w:hAnsi="Times New Roman" w:cs="Times New Roman"/>
          <w:sz w:val="24"/>
          <w:szCs w:val="24"/>
        </w:rPr>
      </w:pPr>
      <w:r w:rsidRPr="00264443">
        <w:rPr>
          <w:rFonts w:ascii="Times New Roman" w:eastAsia="Times New Roman" w:hAnsi="Times New Roman" w:cs="Times New Roman"/>
          <w:sz w:val="24"/>
          <w:szCs w:val="24"/>
        </w:rPr>
        <w:t xml:space="preserve">Finally, the strategy would benefit from aligning itself with global best practices and fostering international collaboration. Successful models, such as UNESCO’s Global Framework for Digital Skills and the European Commission’s </w:t>
      </w:r>
      <w:proofErr w:type="spellStart"/>
      <w:r w:rsidRPr="00264443">
        <w:rPr>
          <w:rFonts w:ascii="Times New Roman" w:eastAsia="Times New Roman" w:hAnsi="Times New Roman" w:cs="Times New Roman"/>
          <w:sz w:val="24"/>
          <w:szCs w:val="24"/>
        </w:rPr>
        <w:t>DigComp</w:t>
      </w:r>
      <w:proofErr w:type="spellEnd"/>
      <w:r w:rsidRPr="00264443">
        <w:rPr>
          <w:rFonts w:ascii="Times New Roman" w:eastAsia="Times New Roman" w:hAnsi="Times New Roman" w:cs="Times New Roman"/>
          <w:sz w:val="24"/>
          <w:szCs w:val="24"/>
        </w:rPr>
        <w:t xml:space="preserve"> Framework, offer valuable insights into building comprehensive and impactful digital literacy programs. By partnering with educational institutions, technology companies, and organizations from other countries, the UK can gain access to innovative approaches and resources that enhance its own efforts. Tailoring these practices to the sociocultural context of the UK would ensure they are relevant and equitable.</w:t>
      </w:r>
    </w:p>
    <w:p w14:paraId="40939FDF" w14:textId="77777777" w:rsidR="00264443" w:rsidRPr="00264443" w:rsidRDefault="00264443" w:rsidP="00FE225C">
      <w:pPr>
        <w:spacing w:before="100" w:beforeAutospacing="1" w:after="100" w:afterAutospacing="1" w:line="240" w:lineRule="auto"/>
        <w:jc w:val="both"/>
        <w:rPr>
          <w:rFonts w:ascii="Times New Roman" w:eastAsia="Times New Roman" w:hAnsi="Times New Roman" w:cs="Times New Roman"/>
          <w:sz w:val="24"/>
          <w:szCs w:val="24"/>
        </w:rPr>
      </w:pPr>
      <w:r w:rsidRPr="00264443">
        <w:rPr>
          <w:rFonts w:ascii="Times New Roman" w:eastAsia="Times New Roman" w:hAnsi="Times New Roman" w:cs="Times New Roman"/>
          <w:sz w:val="24"/>
          <w:szCs w:val="24"/>
        </w:rPr>
        <w:t>Practical examples from other countries demonstrate the transformative potential of thoughtful implementation. Estonia’s "</w:t>
      </w:r>
      <w:proofErr w:type="spellStart"/>
      <w:r w:rsidRPr="00264443">
        <w:rPr>
          <w:rFonts w:ascii="Times New Roman" w:eastAsia="Times New Roman" w:hAnsi="Times New Roman" w:cs="Times New Roman"/>
          <w:sz w:val="24"/>
          <w:szCs w:val="24"/>
        </w:rPr>
        <w:t>ProgeTiiger</w:t>
      </w:r>
      <w:proofErr w:type="spellEnd"/>
      <w:r w:rsidRPr="00264443">
        <w:rPr>
          <w:rFonts w:ascii="Times New Roman" w:eastAsia="Times New Roman" w:hAnsi="Times New Roman" w:cs="Times New Roman"/>
          <w:sz w:val="24"/>
          <w:szCs w:val="24"/>
        </w:rPr>
        <w:t>" initiative, for instance, has successfully integrated coding and data literacy into school curricula, offering a model the UK could adapt to fit its own needs. Gamified learning tools, such as Minecraft Education Edition, further illustrate how interactive digital platforms can foster problem-solving and critical thinking among students. In addition, developing a national platform to track and report student progress in digital literacy—and collaborating with universities to evaluate both quantitative and qualitative impacts—could significantly strengthen the strategy’s effectiveness.</w:t>
      </w:r>
    </w:p>
    <w:p w14:paraId="7A69114A" w14:textId="77777777" w:rsidR="000337C9" w:rsidRPr="00FE225C" w:rsidRDefault="000337C9" w:rsidP="00FE225C">
      <w:pPr>
        <w:pStyle w:val="NormalWeb"/>
        <w:jc w:val="both"/>
        <w:rPr>
          <w:sz w:val="28"/>
          <w:szCs w:val="28"/>
        </w:rPr>
      </w:pPr>
      <w:r w:rsidRPr="00FE225C">
        <w:rPr>
          <w:rStyle w:val="Strong"/>
          <w:sz w:val="28"/>
          <w:szCs w:val="28"/>
        </w:rPr>
        <w:t>Conclusion</w:t>
      </w:r>
    </w:p>
    <w:p w14:paraId="2BC93793" w14:textId="77777777" w:rsidR="000337C9" w:rsidRDefault="000337C9" w:rsidP="00FE225C">
      <w:pPr>
        <w:pStyle w:val="NormalWeb"/>
        <w:jc w:val="both"/>
      </w:pPr>
      <w:r>
        <w:t xml:space="preserve">The UK’s </w:t>
      </w:r>
      <w:r>
        <w:rPr>
          <w:rStyle w:val="Strong"/>
        </w:rPr>
        <w:t>Digital Literacy Strategy</w:t>
      </w:r>
      <w:r>
        <w:t xml:space="preserve"> represents a pivotal step in addressing one of the most significant challenges in contemporary education: integrating digital competencies as a fundamental aspect of equitable learning. Its focus on embedding digital literacy into curricula, empowering educators through professional development, and addressing resource disparities underscores its commitment to fostering inclusivity in a digitalized world. These efforts reflect a recognition that digital literacy is no longer a supplemental skill but a necessity for active participation in modern society.</w:t>
      </w:r>
    </w:p>
    <w:p w14:paraId="6165C742" w14:textId="77777777" w:rsidR="000337C9" w:rsidRDefault="000337C9" w:rsidP="00FE225C">
      <w:pPr>
        <w:pStyle w:val="NormalWeb"/>
        <w:jc w:val="both"/>
      </w:pPr>
      <w:r>
        <w:t xml:space="preserve">However, as outlined in this analysis, the strategy’s success hinges on overcoming critical barriers. Persistent resource inequalities, particularly in economically disadvantaged and rural regions, </w:t>
      </w:r>
      <w:r>
        <w:lastRenderedPageBreak/>
        <w:t>threaten to undermine its objectives by perpetuating the digital divide. Similarly, the insufficiency of sustained teacher training and the absence of robust evaluation frameworks present significant obstacles to achieving long-term impact. Addressing these gaps is essential to ensure the strategy’s scalability and effectiveness.</w:t>
      </w:r>
    </w:p>
    <w:p w14:paraId="189A2C69" w14:textId="77777777" w:rsidR="000337C9" w:rsidRDefault="000337C9" w:rsidP="00FE225C">
      <w:pPr>
        <w:pStyle w:val="NormalWeb"/>
        <w:jc w:val="both"/>
      </w:pPr>
      <w:r>
        <w:t>The findings of this report emphasize the need for targeted initiatives, such as enhanced funding mechanisms and sustained professional development programs, to support both learners and educators. Moreover, the integration of standardized impact assessments and global benchmarking practices would enable policymakers to refine the strategy based on evidence and align it with international best practices. These measures would not only strengthen the policy’s relevance but also position it as a leading example of how national education systems can adapt to the demands of a rapidly digitalizing world.</w:t>
      </w:r>
    </w:p>
    <w:p w14:paraId="6DA66E2A" w14:textId="77777777" w:rsidR="000337C9" w:rsidRDefault="000337C9" w:rsidP="00FE225C">
      <w:pPr>
        <w:pStyle w:val="NormalWeb"/>
        <w:jc w:val="both"/>
      </w:pPr>
      <w:r>
        <w:t>Beyond its national implications, the strategy holds valuable lessons for global educational policies. As digital technologies continue to redefine pedagogical practices, governments worldwide must recognize their dual potential as tools for empowerment and as sources of exclusion if inequities are left unaddressed. By balancing technological advancement with equity-driven priorities, the UK’s Digital Literacy Strategy exemplifies how inclusive education policies can mitigate digital inequalities while preparing learners for the complexities of a technology-driven future.</w:t>
      </w:r>
    </w:p>
    <w:p w14:paraId="24DD400A" w14:textId="77777777" w:rsidR="000337C9" w:rsidRDefault="000337C9" w:rsidP="00FE225C">
      <w:pPr>
        <w:pStyle w:val="NormalWeb"/>
        <w:jc w:val="both"/>
      </w:pPr>
      <w:r>
        <w:t>Ultimately, this report contributes to the ongoing discourse on creating digitally empowered and equitable educational landscapes. It advocates for policies that not only prioritize accessibility but also view digital literacy as a universal right, essential for fostering inclusive societies. When implemented effectively and refined through evidence-based approaches, the UK’s strategy has the potential to serve as a transformative blueprint for reducing educational divides and equipping future generations to thrive in an increasingly interconnected world.</w:t>
      </w:r>
    </w:p>
    <w:p w14:paraId="56EE7FFF" w14:textId="77777777" w:rsidR="00FE225C" w:rsidRDefault="00FE225C" w:rsidP="00FE225C">
      <w:pPr>
        <w:pStyle w:val="NormalWeb"/>
        <w:rPr>
          <w:rtl/>
        </w:rPr>
      </w:pPr>
      <w:r>
        <w:rPr>
          <w:rStyle w:val="Strong"/>
        </w:rPr>
        <w:t>References</w:t>
      </w:r>
    </w:p>
    <w:p w14:paraId="16B1349A"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Buckingham, D. (2007). Digital Media Literacies: Rethinking Media Education in the Age of the Internet</w:t>
      </w:r>
      <w:r w:rsidRPr="00FE225C">
        <w:rPr>
          <w:rFonts w:asciiTheme="majorBidi" w:hAnsiTheme="majorBidi" w:cstheme="majorBidi"/>
          <w:rtl/>
        </w:rPr>
        <w:t xml:space="preserve">. </w:t>
      </w:r>
      <w:r w:rsidRPr="00FE225C">
        <w:rPr>
          <w:rStyle w:val="Emphasis"/>
          <w:rFonts w:asciiTheme="majorBidi" w:hAnsiTheme="majorBidi" w:cstheme="majorBidi"/>
        </w:rPr>
        <w:t>Research in Comparative and International Education</w:t>
      </w:r>
      <w:r w:rsidRPr="00FE225C">
        <w:rPr>
          <w:rFonts w:asciiTheme="majorBidi" w:hAnsiTheme="majorBidi" w:cstheme="majorBidi"/>
          <w:rtl/>
        </w:rPr>
        <w:t xml:space="preserve">, </w:t>
      </w:r>
      <w:r w:rsidRPr="00FE225C">
        <w:rPr>
          <w:rStyle w:val="Emphasis"/>
          <w:rFonts w:asciiTheme="majorBidi" w:hAnsiTheme="majorBidi" w:cstheme="majorBidi"/>
          <w:rtl/>
        </w:rPr>
        <w:t>2</w:t>
      </w:r>
      <w:r w:rsidRPr="00FE225C">
        <w:rPr>
          <w:rFonts w:asciiTheme="majorBidi" w:hAnsiTheme="majorBidi" w:cstheme="majorBidi"/>
          <w:rtl/>
        </w:rPr>
        <w:t>(1), 43-55.</w:t>
      </w:r>
    </w:p>
    <w:p w14:paraId="273BBF0E"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Department for Education. (2021</w:t>
      </w:r>
      <w:r w:rsidRPr="00FE225C">
        <w:rPr>
          <w:rFonts w:asciiTheme="majorBidi" w:hAnsiTheme="majorBidi" w:cstheme="majorBidi"/>
          <w:rtl/>
        </w:rPr>
        <w:t xml:space="preserve">). </w:t>
      </w:r>
      <w:r w:rsidRPr="00FE225C">
        <w:rPr>
          <w:rStyle w:val="Emphasis"/>
          <w:rFonts w:asciiTheme="majorBidi" w:hAnsiTheme="majorBidi" w:cstheme="majorBidi"/>
        </w:rPr>
        <w:t>Digital Literacy Framework: Enhancing Educational Equity</w:t>
      </w:r>
      <w:r w:rsidRPr="00FE225C">
        <w:rPr>
          <w:rFonts w:asciiTheme="majorBidi" w:hAnsiTheme="majorBidi" w:cstheme="majorBidi"/>
          <w:rtl/>
        </w:rPr>
        <w:t xml:space="preserve">. </w:t>
      </w:r>
      <w:r w:rsidRPr="00FE225C">
        <w:rPr>
          <w:rFonts w:asciiTheme="majorBidi" w:hAnsiTheme="majorBidi" w:cstheme="majorBidi"/>
        </w:rPr>
        <w:t>Available at</w:t>
      </w:r>
      <w:r w:rsidRPr="00FE225C">
        <w:rPr>
          <w:rFonts w:asciiTheme="majorBidi" w:hAnsiTheme="majorBidi" w:cstheme="majorBidi"/>
          <w:rtl/>
        </w:rPr>
        <w:t xml:space="preserve">: </w:t>
      </w:r>
      <w:hyperlink r:id="rId5" w:tgtFrame="_blank" w:history="1">
        <w:r w:rsidRPr="00FE225C">
          <w:rPr>
            <w:rStyle w:val="Hyperlink"/>
            <w:rFonts w:asciiTheme="majorBidi" w:hAnsiTheme="majorBidi" w:cstheme="majorBidi"/>
          </w:rPr>
          <w:t>https://www.gov.uk</w:t>
        </w:r>
      </w:hyperlink>
      <w:r w:rsidRPr="00FE225C">
        <w:rPr>
          <w:rFonts w:asciiTheme="majorBidi" w:hAnsiTheme="majorBidi" w:cstheme="majorBidi"/>
          <w:rtl/>
        </w:rPr>
        <w:t xml:space="preserve"> [</w:t>
      </w:r>
      <w:r w:rsidRPr="00FE225C">
        <w:rPr>
          <w:rFonts w:asciiTheme="majorBidi" w:hAnsiTheme="majorBidi" w:cstheme="majorBidi"/>
        </w:rPr>
        <w:t>Accessed 04 April 2025</w:t>
      </w:r>
      <w:r w:rsidRPr="00FE225C">
        <w:rPr>
          <w:rFonts w:asciiTheme="majorBidi" w:hAnsiTheme="majorBidi" w:cstheme="majorBidi"/>
          <w:rtl/>
        </w:rPr>
        <w:t>].</w:t>
      </w:r>
    </w:p>
    <w:p w14:paraId="3A1D3E06"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 xml:space="preserve">Fuchs, C. (2010). </w:t>
      </w:r>
      <w:proofErr w:type="spellStart"/>
      <w:r w:rsidRPr="00FE225C">
        <w:rPr>
          <w:rFonts w:asciiTheme="majorBidi" w:hAnsiTheme="majorBidi" w:cstheme="majorBidi"/>
        </w:rPr>
        <w:t>studiVZ</w:t>
      </w:r>
      <w:proofErr w:type="spellEnd"/>
      <w:r w:rsidRPr="00FE225C">
        <w:rPr>
          <w:rFonts w:asciiTheme="majorBidi" w:hAnsiTheme="majorBidi" w:cstheme="majorBidi"/>
        </w:rPr>
        <w:t>: Social Networking in the Surveillance Society</w:t>
      </w:r>
      <w:r w:rsidRPr="00FE225C">
        <w:rPr>
          <w:rFonts w:asciiTheme="majorBidi" w:hAnsiTheme="majorBidi" w:cstheme="majorBidi"/>
          <w:rtl/>
        </w:rPr>
        <w:t xml:space="preserve">. </w:t>
      </w:r>
      <w:r w:rsidRPr="00FE225C">
        <w:rPr>
          <w:rStyle w:val="Emphasis"/>
          <w:rFonts w:asciiTheme="majorBidi" w:hAnsiTheme="majorBidi" w:cstheme="majorBidi"/>
        </w:rPr>
        <w:t>Ethics and Information Technology</w:t>
      </w:r>
      <w:r w:rsidRPr="00FE225C">
        <w:rPr>
          <w:rFonts w:asciiTheme="majorBidi" w:hAnsiTheme="majorBidi" w:cstheme="majorBidi"/>
          <w:rtl/>
        </w:rPr>
        <w:t xml:space="preserve">, </w:t>
      </w:r>
      <w:r w:rsidRPr="00FE225C">
        <w:rPr>
          <w:rStyle w:val="Emphasis"/>
          <w:rFonts w:asciiTheme="majorBidi" w:hAnsiTheme="majorBidi" w:cstheme="majorBidi"/>
          <w:rtl/>
        </w:rPr>
        <w:t>12</w:t>
      </w:r>
      <w:r w:rsidRPr="00FE225C">
        <w:rPr>
          <w:rFonts w:asciiTheme="majorBidi" w:hAnsiTheme="majorBidi" w:cstheme="majorBidi"/>
          <w:rtl/>
        </w:rPr>
        <w:t>, 171-185.</w:t>
      </w:r>
    </w:p>
    <w:p w14:paraId="0EE14007"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proofErr w:type="spellStart"/>
      <w:r w:rsidRPr="00FE225C">
        <w:rPr>
          <w:rFonts w:asciiTheme="majorBidi" w:hAnsiTheme="majorBidi" w:cstheme="majorBidi"/>
        </w:rPr>
        <w:t>FutureLearn</w:t>
      </w:r>
      <w:proofErr w:type="spellEnd"/>
      <w:r w:rsidRPr="00FE225C">
        <w:rPr>
          <w:rFonts w:asciiTheme="majorBidi" w:hAnsiTheme="majorBidi" w:cstheme="majorBidi"/>
        </w:rPr>
        <w:t>. (2020</w:t>
      </w:r>
      <w:r w:rsidRPr="00FE225C">
        <w:rPr>
          <w:rFonts w:asciiTheme="majorBidi" w:hAnsiTheme="majorBidi" w:cstheme="majorBidi"/>
          <w:rtl/>
        </w:rPr>
        <w:t xml:space="preserve">). </w:t>
      </w:r>
      <w:r w:rsidRPr="00FE225C">
        <w:rPr>
          <w:rStyle w:val="Emphasis"/>
          <w:rFonts w:asciiTheme="majorBidi" w:hAnsiTheme="majorBidi" w:cstheme="majorBidi"/>
        </w:rPr>
        <w:t>Digital Skills Frameworks: Enhancing Education Worldwide</w:t>
      </w:r>
      <w:r w:rsidRPr="00FE225C">
        <w:rPr>
          <w:rFonts w:asciiTheme="majorBidi" w:hAnsiTheme="majorBidi" w:cstheme="majorBidi"/>
          <w:rtl/>
        </w:rPr>
        <w:t xml:space="preserve">. </w:t>
      </w:r>
      <w:r w:rsidRPr="00FE225C">
        <w:rPr>
          <w:rFonts w:asciiTheme="majorBidi" w:hAnsiTheme="majorBidi" w:cstheme="majorBidi"/>
        </w:rPr>
        <w:t>Available at</w:t>
      </w:r>
      <w:r w:rsidRPr="00FE225C">
        <w:rPr>
          <w:rFonts w:asciiTheme="majorBidi" w:hAnsiTheme="majorBidi" w:cstheme="majorBidi"/>
          <w:rtl/>
        </w:rPr>
        <w:t xml:space="preserve">: </w:t>
      </w:r>
      <w:hyperlink r:id="rId6" w:tgtFrame="_blank" w:history="1">
        <w:r w:rsidRPr="00FE225C">
          <w:rPr>
            <w:rStyle w:val="Hyperlink"/>
            <w:rFonts w:asciiTheme="majorBidi" w:hAnsiTheme="majorBidi" w:cstheme="majorBidi"/>
          </w:rPr>
          <w:t>https://www.futurelearn.com</w:t>
        </w:r>
      </w:hyperlink>
      <w:r w:rsidRPr="00FE225C">
        <w:rPr>
          <w:rFonts w:asciiTheme="majorBidi" w:hAnsiTheme="majorBidi" w:cstheme="majorBidi"/>
          <w:rtl/>
        </w:rPr>
        <w:t xml:space="preserve"> [</w:t>
      </w:r>
      <w:r w:rsidRPr="00FE225C">
        <w:rPr>
          <w:rFonts w:asciiTheme="majorBidi" w:hAnsiTheme="majorBidi" w:cstheme="majorBidi"/>
        </w:rPr>
        <w:t>Accessed 04 April 2025</w:t>
      </w:r>
      <w:r w:rsidRPr="00FE225C">
        <w:rPr>
          <w:rFonts w:asciiTheme="majorBidi" w:hAnsiTheme="majorBidi" w:cstheme="majorBidi"/>
          <w:rtl/>
        </w:rPr>
        <w:t>].</w:t>
      </w:r>
    </w:p>
    <w:p w14:paraId="726209D5"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Gilster, P. (1997</w:t>
      </w:r>
      <w:r w:rsidRPr="00FE225C">
        <w:rPr>
          <w:rFonts w:asciiTheme="majorBidi" w:hAnsiTheme="majorBidi" w:cstheme="majorBidi"/>
          <w:rtl/>
        </w:rPr>
        <w:t xml:space="preserve">). </w:t>
      </w:r>
      <w:r w:rsidRPr="00FE225C">
        <w:rPr>
          <w:rStyle w:val="Emphasis"/>
          <w:rFonts w:asciiTheme="majorBidi" w:hAnsiTheme="majorBidi" w:cstheme="majorBidi"/>
        </w:rPr>
        <w:t>Digital Literacy</w:t>
      </w:r>
      <w:r w:rsidRPr="00FE225C">
        <w:rPr>
          <w:rFonts w:asciiTheme="majorBidi" w:hAnsiTheme="majorBidi" w:cstheme="majorBidi"/>
          <w:rtl/>
        </w:rPr>
        <w:t xml:space="preserve">. </w:t>
      </w:r>
      <w:r w:rsidRPr="00FE225C">
        <w:rPr>
          <w:rFonts w:asciiTheme="majorBidi" w:hAnsiTheme="majorBidi" w:cstheme="majorBidi"/>
        </w:rPr>
        <w:t>Wiley Publishing</w:t>
      </w:r>
      <w:r w:rsidRPr="00FE225C">
        <w:rPr>
          <w:rFonts w:asciiTheme="majorBidi" w:hAnsiTheme="majorBidi" w:cstheme="majorBidi"/>
          <w:rtl/>
        </w:rPr>
        <w:t>.</w:t>
      </w:r>
    </w:p>
    <w:p w14:paraId="3620208C"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Gomez, R., Smith, A</w:t>
      </w:r>
      <w:r w:rsidRPr="00FE225C">
        <w:rPr>
          <w:rFonts w:asciiTheme="majorBidi" w:hAnsiTheme="majorBidi" w:cstheme="majorBidi"/>
          <w:rtl/>
        </w:rPr>
        <w:t xml:space="preserve">., &amp; </w:t>
      </w:r>
      <w:r w:rsidRPr="00FE225C">
        <w:rPr>
          <w:rFonts w:asciiTheme="majorBidi" w:hAnsiTheme="majorBidi" w:cstheme="majorBidi"/>
        </w:rPr>
        <w:t>Turner, D. (2022). Challenges in Teacher Training for Digital Literacy Integration</w:t>
      </w:r>
      <w:r w:rsidRPr="00FE225C">
        <w:rPr>
          <w:rFonts w:asciiTheme="majorBidi" w:hAnsiTheme="majorBidi" w:cstheme="majorBidi"/>
          <w:rtl/>
        </w:rPr>
        <w:t xml:space="preserve">. </w:t>
      </w:r>
      <w:r w:rsidRPr="00FE225C">
        <w:rPr>
          <w:rStyle w:val="Emphasis"/>
          <w:rFonts w:asciiTheme="majorBidi" w:hAnsiTheme="majorBidi" w:cstheme="majorBidi"/>
        </w:rPr>
        <w:t>Journal of Educational Technology</w:t>
      </w:r>
      <w:r w:rsidRPr="00FE225C">
        <w:rPr>
          <w:rFonts w:asciiTheme="majorBidi" w:hAnsiTheme="majorBidi" w:cstheme="majorBidi"/>
          <w:rtl/>
        </w:rPr>
        <w:t xml:space="preserve">, </w:t>
      </w:r>
      <w:r w:rsidRPr="00FE225C">
        <w:rPr>
          <w:rStyle w:val="Emphasis"/>
          <w:rFonts w:asciiTheme="majorBidi" w:hAnsiTheme="majorBidi" w:cstheme="majorBidi"/>
          <w:rtl/>
        </w:rPr>
        <w:t>8</w:t>
      </w:r>
      <w:r w:rsidRPr="00FE225C">
        <w:rPr>
          <w:rFonts w:asciiTheme="majorBidi" w:hAnsiTheme="majorBidi" w:cstheme="majorBidi"/>
          <w:rtl/>
        </w:rPr>
        <w:t>(2), 45-67.</w:t>
      </w:r>
    </w:p>
    <w:p w14:paraId="098D718E"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Kahne, J., Lee, N. J</w:t>
      </w:r>
      <w:r w:rsidRPr="00FE225C">
        <w:rPr>
          <w:rFonts w:asciiTheme="majorBidi" w:hAnsiTheme="majorBidi" w:cstheme="majorBidi"/>
          <w:rtl/>
        </w:rPr>
        <w:t xml:space="preserve">., &amp; </w:t>
      </w:r>
      <w:r w:rsidRPr="00FE225C">
        <w:rPr>
          <w:rFonts w:asciiTheme="majorBidi" w:hAnsiTheme="majorBidi" w:cstheme="majorBidi"/>
        </w:rPr>
        <w:t>Feezell, J. T. (2012). Digital Media Literacy Education and Online Civic and Political Participation</w:t>
      </w:r>
      <w:r w:rsidRPr="00FE225C">
        <w:rPr>
          <w:rFonts w:asciiTheme="majorBidi" w:hAnsiTheme="majorBidi" w:cstheme="majorBidi"/>
          <w:rtl/>
        </w:rPr>
        <w:t xml:space="preserve">. </w:t>
      </w:r>
      <w:r w:rsidRPr="00FE225C">
        <w:rPr>
          <w:rStyle w:val="Emphasis"/>
          <w:rFonts w:asciiTheme="majorBidi" w:hAnsiTheme="majorBidi" w:cstheme="majorBidi"/>
        </w:rPr>
        <w:t>International Journal of Communication</w:t>
      </w:r>
      <w:r w:rsidRPr="00FE225C">
        <w:rPr>
          <w:rFonts w:asciiTheme="majorBidi" w:hAnsiTheme="majorBidi" w:cstheme="majorBidi"/>
          <w:rtl/>
        </w:rPr>
        <w:t xml:space="preserve">, </w:t>
      </w:r>
      <w:r w:rsidRPr="00FE225C">
        <w:rPr>
          <w:rStyle w:val="Emphasis"/>
          <w:rFonts w:asciiTheme="majorBidi" w:hAnsiTheme="majorBidi" w:cstheme="majorBidi"/>
          <w:rtl/>
        </w:rPr>
        <w:t>6</w:t>
      </w:r>
      <w:r w:rsidRPr="00FE225C">
        <w:rPr>
          <w:rFonts w:asciiTheme="majorBidi" w:hAnsiTheme="majorBidi" w:cstheme="majorBidi"/>
          <w:rtl/>
        </w:rPr>
        <w:t>, 24.</w:t>
      </w:r>
    </w:p>
    <w:p w14:paraId="124A0E22"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 xml:space="preserve">Martin, A. (2005). </w:t>
      </w:r>
      <w:proofErr w:type="spellStart"/>
      <w:r w:rsidRPr="00FE225C">
        <w:rPr>
          <w:rFonts w:asciiTheme="majorBidi" w:hAnsiTheme="majorBidi" w:cstheme="majorBidi"/>
        </w:rPr>
        <w:t>DigEuLit</w:t>
      </w:r>
      <w:proofErr w:type="spellEnd"/>
      <w:r w:rsidRPr="00FE225C">
        <w:rPr>
          <w:rFonts w:asciiTheme="majorBidi" w:hAnsiTheme="majorBidi" w:cstheme="majorBidi"/>
        </w:rPr>
        <w:t>: Concepts and Tools for Digital Literacy Development</w:t>
      </w:r>
      <w:r w:rsidRPr="00FE225C">
        <w:rPr>
          <w:rFonts w:asciiTheme="majorBidi" w:hAnsiTheme="majorBidi" w:cstheme="majorBidi"/>
          <w:rtl/>
        </w:rPr>
        <w:t xml:space="preserve">. </w:t>
      </w:r>
      <w:r w:rsidRPr="00FE225C">
        <w:rPr>
          <w:rStyle w:val="Emphasis"/>
          <w:rFonts w:asciiTheme="majorBidi" w:hAnsiTheme="majorBidi" w:cstheme="majorBidi"/>
        </w:rPr>
        <w:t>Innovation in Teaching and Learning in Information and Computer Sciences</w:t>
      </w:r>
      <w:r w:rsidRPr="00FE225C">
        <w:rPr>
          <w:rFonts w:asciiTheme="majorBidi" w:hAnsiTheme="majorBidi" w:cstheme="majorBidi"/>
          <w:rtl/>
        </w:rPr>
        <w:t xml:space="preserve">, </w:t>
      </w:r>
      <w:r w:rsidRPr="00FE225C">
        <w:rPr>
          <w:rStyle w:val="Emphasis"/>
          <w:rFonts w:asciiTheme="majorBidi" w:hAnsiTheme="majorBidi" w:cstheme="majorBidi"/>
          <w:rtl/>
        </w:rPr>
        <w:t>5</w:t>
      </w:r>
      <w:r w:rsidRPr="00FE225C">
        <w:rPr>
          <w:rFonts w:asciiTheme="majorBidi" w:hAnsiTheme="majorBidi" w:cstheme="majorBidi"/>
          <w:rtl/>
        </w:rPr>
        <w:t>(4), 249-262.</w:t>
      </w:r>
    </w:p>
    <w:p w14:paraId="3E0CF502"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National Literacy Trust. (2018</w:t>
      </w:r>
      <w:r w:rsidRPr="00FE225C">
        <w:rPr>
          <w:rFonts w:asciiTheme="majorBidi" w:hAnsiTheme="majorBidi" w:cstheme="majorBidi"/>
          <w:rtl/>
        </w:rPr>
        <w:t xml:space="preserve">). </w:t>
      </w:r>
      <w:r w:rsidRPr="00FE225C">
        <w:rPr>
          <w:rStyle w:val="Emphasis"/>
          <w:rFonts w:asciiTheme="majorBidi" w:hAnsiTheme="majorBidi" w:cstheme="majorBidi"/>
        </w:rPr>
        <w:t>Fake News and Critical Literacy: The Final Report of the Commission on Fake News and the Teaching of Critical Literacy in Schools</w:t>
      </w:r>
      <w:r w:rsidRPr="00FE225C">
        <w:rPr>
          <w:rFonts w:asciiTheme="majorBidi" w:hAnsiTheme="majorBidi" w:cstheme="majorBidi"/>
          <w:rtl/>
        </w:rPr>
        <w:t xml:space="preserve">. </w:t>
      </w:r>
      <w:r w:rsidRPr="00FE225C">
        <w:rPr>
          <w:rFonts w:asciiTheme="majorBidi" w:hAnsiTheme="majorBidi" w:cstheme="majorBidi"/>
        </w:rPr>
        <w:t>Nat. Lit. Trust</w:t>
      </w:r>
      <w:r w:rsidRPr="00FE225C">
        <w:rPr>
          <w:rFonts w:asciiTheme="majorBidi" w:hAnsiTheme="majorBidi" w:cstheme="majorBidi"/>
          <w:rtl/>
        </w:rPr>
        <w:t>.</w:t>
      </w:r>
    </w:p>
    <w:p w14:paraId="12203295"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proofErr w:type="spellStart"/>
      <w:r w:rsidRPr="00FE225C">
        <w:rPr>
          <w:rFonts w:asciiTheme="majorBidi" w:hAnsiTheme="majorBidi" w:cstheme="majorBidi"/>
        </w:rPr>
        <w:lastRenderedPageBreak/>
        <w:t>OfCom</w:t>
      </w:r>
      <w:proofErr w:type="spellEnd"/>
      <w:r w:rsidRPr="00FE225C">
        <w:rPr>
          <w:rFonts w:asciiTheme="majorBidi" w:hAnsiTheme="majorBidi" w:cstheme="majorBidi"/>
        </w:rPr>
        <w:t>, U. K. (2016</w:t>
      </w:r>
      <w:r w:rsidRPr="00FE225C">
        <w:rPr>
          <w:rFonts w:asciiTheme="majorBidi" w:hAnsiTheme="majorBidi" w:cstheme="majorBidi"/>
          <w:rtl/>
        </w:rPr>
        <w:t xml:space="preserve">). </w:t>
      </w:r>
      <w:r w:rsidRPr="00FE225C">
        <w:rPr>
          <w:rStyle w:val="Emphasis"/>
          <w:rFonts w:asciiTheme="majorBidi" w:hAnsiTheme="majorBidi" w:cstheme="majorBidi"/>
        </w:rPr>
        <w:t>Children and Parents: Media Use and Attitudes Report</w:t>
      </w:r>
      <w:r w:rsidRPr="00FE225C">
        <w:rPr>
          <w:rFonts w:asciiTheme="majorBidi" w:hAnsiTheme="majorBidi" w:cstheme="majorBidi"/>
          <w:rtl/>
        </w:rPr>
        <w:t xml:space="preserve">. </w:t>
      </w:r>
      <w:r w:rsidRPr="00FE225C">
        <w:rPr>
          <w:rFonts w:asciiTheme="majorBidi" w:hAnsiTheme="majorBidi" w:cstheme="majorBidi"/>
        </w:rPr>
        <w:t>London: Office of Communications London</w:t>
      </w:r>
      <w:r w:rsidRPr="00FE225C">
        <w:rPr>
          <w:rFonts w:asciiTheme="majorBidi" w:hAnsiTheme="majorBidi" w:cstheme="majorBidi"/>
          <w:rtl/>
        </w:rPr>
        <w:t>.</w:t>
      </w:r>
    </w:p>
    <w:p w14:paraId="78414455"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OECD. (2020</w:t>
      </w:r>
      <w:r w:rsidRPr="00FE225C">
        <w:rPr>
          <w:rFonts w:asciiTheme="majorBidi" w:hAnsiTheme="majorBidi" w:cstheme="majorBidi"/>
          <w:rtl/>
        </w:rPr>
        <w:t xml:space="preserve">). </w:t>
      </w:r>
      <w:r w:rsidRPr="00FE225C">
        <w:rPr>
          <w:rStyle w:val="Emphasis"/>
          <w:rFonts w:asciiTheme="majorBidi" w:hAnsiTheme="majorBidi" w:cstheme="majorBidi"/>
        </w:rPr>
        <w:t>Policy Frameworks for Bridging the Digital Divide</w:t>
      </w:r>
      <w:r w:rsidRPr="00FE225C">
        <w:rPr>
          <w:rFonts w:asciiTheme="majorBidi" w:hAnsiTheme="majorBidi" w:cstheme="majorBidi"/>
          <w:rtl/>
        </w:rPr>
        <w:t xml:space="preserve">. </w:t>
      </w:r>
      <w:r w:rsidRPr="00FE225C">
        <w:rPr>
          <w:rFonts w:asciiTheme="majorBidi" w:hAnsiTheme="majorBidi" w:cstheme="majorBidi"/>
        </w:rPr>
        <w:t>Available at</w:t>
      </w:r>
      <w:r w:rsidRPr="00FE225C">
        <w:rPr>
          <w:rFonts w:asciiTheme="majorBidi" w:hAnsiTheme="majorBidi" w:cstheme="majorBidi"/>
          <w:rtl/>
        </w:rPr>
        <w:t xml:space="preserve">: </w:t>
      </w:r>
      <w:hyperlink r:id="rId7" w:tgtFrame="_blank" w:history="1">
        <w:r w:rsidRPr="00FE225C">
          <w:rPr>
            <w:rStyle w:val="Hyperlink"/>
            <w:rFonts w:asciiTheme="majorBidi" w:hAnsiTheme="majorBidi" w:cstheme="majorBidi"/>
          </w:rPr>
          <w:t>https://www.oecd.org</w:t>
        </w:r>
      </w:hyperlink>
      <w:r w:rsidRPr="00FE225C">
        <w:rPr>
          <w:rFonts w:asciiTheme="majorBidi" w:hAnsiTheme="majorBidi" w:cstheme="majorBidi"/>
          <w:rtl/>
        </w:rPr>
        <w:t xml:space="preserve"> [</w:t>
      </w:r>
      <w:r w:rsidRPr="00FE225C">
        <w:rPr>
          <w:rFonts w:asciiTheme="majorBidi" w:hAnsiTheme="majorBidi" w:cstheme="majorBidi"/>
        </w:rPr>
        <w:t>Accessed 04 April 2025</w:t>
      </w:r>
      <w:r w:rsidRPr="00FE225C">
        <w:rPr>
          <w:rFonts w:asciiTheme="majorBidi" w:hAnsiTheme="majorBidi" w:cstheme="majorBidi"/>
          <w:rtl/>
        </w:rPr>
        <w:t>].</w:t>
      </w:r>
    </w:p>
    <w:p w14:paraId="7AE778A5"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 xml:space="preserve">Pangrazio, L. (2014). </w:t>
      </w:r>
      <w:proofErr w:type="spellStart"/>
      <w:r w:rsidRPr="00FE225C">
        <w:rPr>
          <w:rFonts w:asciiTheme="majorBidi" w:hAnsiTheme="majorBidi" w:cstheme="majorBidi"/>
        </w:rPr>
        <w:t>Reconceptualising</w:t>
      </w:r>
      <w:proofErr w:type="spellEnd"/>
      <w:r w:rsidRPr="00FE225C">
        <w:rPr>
          <w:rFonts w:asciiTheme="majorBidi" w:hAnsiTheme="majorBidi" w:cstheme="majorBidi"/>
        </w:rPr>
        <w:t xml:space="preserve"> Critical Digital Literacy</w:t>
      </w:r>
      <w:r w:rsidRPr="00FE225C">
        <w:rPr>
          <w:rFonts w:asciiTheme="majorBidi" w:hAnsiTheme="majorBidi" w:cstheme="majorBidi"/>
          <w:rtl/>
        </w:rPr>
        <w:t xml:space="preserve">. </w:t>
      </w:r>
      <w:r w:rsidRPr="00FE225C">
        <w:rPr>
          <w:rStyle w:val="Emphasis"/>
          <w:rFonts w:asciiTheme="majorBidi" w:hAnsiTheme="majorBidi" w:cstheme="majorBidi"/>
        </w:rPr>
        <w:t>Discourse: Studies in the Cultural Politics of Education</w:t>
      </w:r>
      <w:r w:rsidRPr="00FE225C">
        <w:rPr>
          <w:rFonts w:asciiTheme="majorBidi" w:hAnsiTheme="majorBidi" w:cstheme="majorBidi"/>
          <w:rtl/>
        </w:rPr>
        <w:t xml:space="preserve">, </w:t>
      </w:r>
      <w:r w:rsidRPr="00FE225C">
        <w:rPr>
          <w:rStyle w:val="Emphasis"/>
          <w:rFonts w:asciiTheme="majorBidi" w:hAnsiTheme="majorBidi" w:cstheme="majorBidi"/>
          <w:rtl/>
        </w:rPr>
        <w:t>37</w:t>
      </w:r>
      <w:r w:rsidRPr="00FE225C">
        <w:rPr>
          <w:rFonts w:asciiTheme="majorBidi" w:hAnsiTheme="majorBidi" w:cstheme="majorBidi"/>
          <w:rtl/>
        </w:rPr>
        <w:t xml:space="preserve">(2), 163–174. </w:t>
      </w:r>
      <w:hyperlink r:id="rId8" w:tgtFrame="_blank" w:history="1">
        <w:r w:rsidRPr="00FE225C">
          <w:rPr>
            <w:rStyle w:val="Hyperlink"/>
            <w:rFonts w:asciiTheme="majorBidi" w:hAnsiTheme="majorBidi" w:cstheme="majorBidi"/>
          </w:rPr>
          <w:t>https://doi.org/10.1080/01596306.2014.942836</w:t>
        </w:r>
      </w:hyperlink>
    </w:p>
    <w:p w14:paraId="1D0C573E"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Selwyn, N. (2019</w:t>
      </w:r>
      <w:r w:rsidRPr="00FE225C">
        <w:rPr>
          <w:rFonts w:asciiTheme="majorBidi" w:hAnsiTheme="majorBidi" w:cstheme="majorBidi"/>
          <w:rtl/>
        </w:rPr>
        <w:t xml:space="preserve">). </w:t>
      </w:r>
      <w:r w:rsidRPr="00FE225C">
        <w:rPr>
          <w:rStyle w:val="Emphasis"/>
          <w:rFonts w:asciiTheme="majorBidi" w:hAnsiTheme="majorBidi" w:cstheme="majorBidi"/>
        </w:rPr>
        <w:t>Education and Technology: Key Issues and Debates</w:t>
      </w:r>
      <w:r w:rsidRPr="00FE225C">
        <w:rPr>
          <w:rFonts w:asciiTheme="majorBidi" w:hAnsiTheme="majorBidi" w:cstheme="majorBidi"/>
          <w:rtl/>
        </w:rPr>
        <w:t xml:space="preserve">. </w:t>
      </w:r>
      <w:r w:rsidRPr="00FE225C">
        <w:rPr>
          <w:rFonts w:asciiTheme="majorBidi" w:hAnsiTheme="majorBidi" w:cstheme="majorBidi"/>
        </w:rPr>
        <w:t>Bloomsbury Publishing</w:t>
      </w:r>
      <w:r w:rsidRPr="00FE225C">
        <w:rPr>
          <w:rFonts w:asciiTheme="majorBidi" w:hAnsiTheme="majorBidi" w:cstheme="majorBidi"/>
          <w:rtl/>
        </w:rPr>
        <w:t>.</w:t>
      </w:r>
    </w:p>
    <w:p w14:paraId="7D7B9E64"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Stommel, J. (2014). Critical Digital Pedagogy: A Definition</w:t>
      </w:r>
      <w:r w:rsidRPr="00FE225C">
        <w:rPr>
          <w:rFonts w:asciiTheme="majorBidi" w:hAnsiTheme="majorBidi" w:cstheme="majorBidi"/>
          <w:rtl/>
        </w:rPr>
        <w:t xml:space="preserve">. </w:t>
      </w:r>
      <w:r w:rsidRPr="00FE225C">
        <w:rPr>
          <w:rStyle w:val="Emphasis"/>
          <w:rFonts w:asciiTheme="majorBidi" w:hAnsiTheme="majorBidi" w:cstheme="majorBidi"/>
        </w:rPr>
        <w:t>Hybrid Pedagogy</w:t>
      </w:r>
      <w:r w:rsidRPr="00FE225C">
        <w:rPr>
          <w:rFonts w:asciiTheme="majorBidi" w:hAnsiTheme="majorBidi" w:cstheme="majorBidi"/>
          <w:rtl/>
        </w:rPr>
        <w:t xml:space="preserve">. </w:t>
      </w:r>
      <w:r w:rsidRPr="00FE225C">
        <w:rPr>
          <w:rFonts w:asciiTheme="majorBidi" w:hAnsiTheme="majorBidi" w:cstheme="majorBidi"/>
        </w:rPr>
        <w:t>Available at</w:t>
      </w:r>
      <w:r w:rsidRPr="00FE225C">
        <w:rPr>
          <w:rFonts w:asciiTheme="majorBidi" w:hAnsiTheme="majorBidi" w:cstheme="majorBidi"/>
          <w:rtl/>
        </w:rPr>
        <w:t xml:space="preserve">: </w:t>
      </w:r>
      <w:hyperlink r:id="rId9" w:tgtFrame="_blank" w:history="1">
        <w:r w:rsidRPr="00FE225C">
          <w:rPr>
            <w:rStyle w:val="Hyperlink"/>
            <w:rFonts w:asciiTheme="majorBidi" w:hAnsiTheme="majorBidi" w:cstheme="majorBidi"/>
          </w:rPr>
          <w:t>https://hybridpedagogy.org</w:t>
        </w:r>
      </w:hyperlink>
      <w:r w:rsidRPr="00FE225C">
        <w:rPr>
          <w:rFonts w:asciiTheme="majorBidi" w:hAnsiTheme="majorBidi" w:cstheme="majorBidi"/>
          <w:rtl/>
        </w:rPr>
        <w:t xml:space="preserve"> [</w:t>
      </w:r>
      <w:r w:rsidRPr="00FE225C">
        <w:rPr>
          <w:rFonts w:asciiTheme="majorBidi" w:hAnsiTheme="majorBidi" w:cstheme="majorBidi"/>
        </w:rPr>
        <w:t>Accessed 04 April 2025</w:t>
      </w:r>
      <w:r w:rsidRPr="00FE225C">
        <w:rPr>
          <w:rFonts w:asciiTheme="majorBidi" w:hAnsiTheme="majorBidi" w:cstheme="majorBidi"/>
          <w:rtl/>
        </w:rPr>
        <w:t>].</w:t>
      </w:r>
    </w:p>
    <w:p w14:paraId="0A785D5D"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UK Parliament. (2021</w:t>
      </w:r>
      <w:r w:rsidRPr="00FE225C">
        <w:rPr>
          <w:rFonts w:asciiTheme="majorBidi" w:hAnsiTheme="majorBidi" w:cstheme="majorBidi"/>
          <w:rtl/>
        </w:rPr>
        <w:t xml:space="preserve">). </w:t>
      </w:r>
      <w:r w:rsidRPr="00FE225C">
        <w:rPr>
          <w:rStyle w:val="Emphasis"/>
          <w:rFonts w:asciiTheme="majorBidi" w:hAnsiTheme="majorBidi" w:cstheme="majorBidi"/>
        </w:rPr>
        <w:t xml:space="preserve">Budget Allocations for Digital Literacy </w:t>
      </w:r>
      <w:proofErr w:type="spellStart"/>
      <w:r w:rsidRPr="00FE225C">
        <w:rPr>
          <w:rStyle w:val="Emphasis"/>
          <w:rFonts w:asciiTheme="majorBidi" w:hAnsiTheme="majorBidi" w:cstheme="majorBidi"/>
        </w:rPr>
        <w:t>Programmes</w:t>
      </w:r>
      <w:proofErr w:type="spellEnd"/>
      <w:r w:rsidRPr="00FE225C">
        <w:rPr>
          <w:rFonts w:asciiTheme="majorBidi" w:hAnsiTheme="majorBidi" w:cstheme="majorBidi"/>
          <w:rtl/>
        </w:rPr>
        <w:t xml:space="preserve">. </w:t>
      </w:r>
      <w:r w:rsidRPr="00FE225C">
        <w:rPr>
          <w:rFonts w:asciiTheme="majorBidi" w:hAnsiTheme="majorBidi" w:cstheme="majorBidi"/>
        </w:rPr>
        <w:t>Available at</w:t>
      </w:r>
      <w:r w:rsidRPr="00FE225C">
        <w:rPr>
          <w:rFonts w:asciiTheme="majorBidi" w:hAnsiTheme="majorBidi" w:cstheme="majorBidi"/>
          <w:rtl/>
        </w:rPr>
        <w:t xml:space="preserve">: </w:t>
      </w:r>
      <w:hyperlink r:id="rId10" w:tgtFrame="_blank" w:history="1">
        <w:r w:rsidRPr="00FE225C">
          <w:rPr>
            <w:rStyle w:val="Hyperlink"/>
            <w:rFonts w:asciiTheme="majorBidi" w:hAnsiTheme="majorBidi" w:cstheme="majorBidi"/>
          </w:rPr>
          <w:t>https://www.parliament.uk</w:t>
        </w:r>
      </w:hyperlink>
      <w:r w:rsidRPr="00FE225C">
        <w:rPr>
          <w:rFonts w:asciiTheme="majorBidi" w:hAnsiTheme="majorBidi" w:cstheme="majorBidi"/>
          <w:rtl/>
        </w:rPr>
        <w:t xml:space="preserve"> [</w:t>
      </w:r>
      <w:r w:rsidRPr="00FE225C">
        <w:rPr>
          <w:rFonts w:asciiTheme="majorBidi" w:hAnsiTheme="majorBidi" w:cstheme="majorBidi"/>
        </w:rPr>
        <w:t>Accessed 04 April 2025</w:t>
      </w:r>
      <w:r w:rsidRPr="00FE225C">
        <w:rPr>
          <w:rFonts w:asciiTheme="majorBidi" w:hAnsiTheme="majorBidi" w:cstheme="majorBidi"/>
          <w:rtl/>
        </w:rPr>
        <w:t>].</w:t>
      </w:r>
    </w:p>
    <w:p w14:paraId="46A27627"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UNESCO. (2020</w:t>
      </w:r>
      <w:r w:rsidRPr="00FE225C">
        <w:rPr>
          <w:rFonts w:asciiTheme="majorBidi" w:hAnsiTheme="majorBidi" w:cstheme="majorBidi"/>
          <w:rtl/>
        </w:rPr>
        <w:t xml:space="preserve">). </w:t>
      </w:r>
      <w:r w:rsidRPr="00FE225C">
        <w:rPr>
          <w:rStyle w:val="Emphasis"/>
          <w:rFonts w:asciiTheme="majorBidi" w:hAnsiTheme="majorBidi" w:cstheme="majorBidi"/>
        </w:rPr>
        <w:t>Sustainable Development Goals: Quality Education</w:t>
      </w:r>
      <w:r w:rsidRPr="00FE225C">
        <w:rPr>
          <w:rFonts w:asciiTheme="majorBidi" w:hAnsiTheme="majorBidi" w:cstheme="majorBidi"/>
          <w:rtl/>
        </w:rPr>
        <w:t xml:space="preserve">. </w:t>
      </w:r>
      <w:r w:rsidRPr="00FE225C">
        <w:rPr>
          <w:rFonts w:asciiTheme="majorBidi" w:hAnsiTheme="majorBidi" w:cstheme="majorBidi"/>
        </w:rPr>
        <w:t>Available at</w:t>
      </w:r>
      <w:r w:rsidRPr="00FE225C">
        <w:rPr>
          <w:rFonts w:asciiTheme="majorBidi" w:hAnsiTheme="majorBidi" w:cstheme="majorBidi"/>
          <w:rtl/>
        </w:rPr>
        <w:t xml:space="preserve">: </w:t>
      </w:r>
      <w:hyperlink r:id="rId11" w:tgtFrame="_blank" w:history="1">
        <w:r w:rsidRPr="00FE225C">
          <w:rPr>
            <w:rStyle w:val="Hyperlink"/>
            <w:rFonts w:asciiTheme="majorBidi" w:hAnsiTheme="majorBidi" w:cstheme="majorBidi"/>
          </w:rPr>
          <w:t>https://en.unesco.org</w:t>
        </w:r>
      </w:hyperlink>
      <w:r w:rsidRPr="00FE225C">
        <w:rPr>
          <w:rFonts w:asciiTheme="majorBidi" w:hAnsiTheme="majorBidi" w:cstheme="majorBidi"/>
          <w:rtl/>
        </w:rPr>
        <w:t xml:space="preserve"> [</w:t>
      </w:r>
      <w:r w:rsidRPr="00FE225C">
        <w:rPr>
          <w:rFonts w:asciiTheme="majorBidi" w:hAnsiTheme="majorBidi" w:cstheme="majorBidi"/>
        </w:rPr>
        <w:t>Accessed 04 April 2025</w:t>
      </w:r>
      <w:r w:rsidRPr="00FE225C">
        <w:rPr>
          <w:rFonts w:asciiTheme="majorBidi" w:hAnsiTheme="majorBidi" w:cstheme="majorBidi"/>
          <w:rtl/>
        </w:rPr>
        <w:t>].</w:t>
      </w:r>
    </w:p>
    <w:p w14:paraId="619B86F0" w14:textId="77777777" w:rsidR="00FE225C" w:rsidRPr="00FE225C" w:rsidRDefault="00FE225C" w:rsidP="00FE225C">
      <w:pPr>
        <w:numPr>
          <w:ilvl w:val="0"/>
          <w:numId w:val="34"/>
        </w:numPr>
        <w:spacing w:before="100" w:beforeAutospacing="1" w:after="100" w:afterAutospacing="1" w:line="240" w:lineRule="auto"/>
        <w:rPr>
          <w:rFonts w:asciiTheme="majorBidi" w:hAnsiTheme="majorBidi" w:cstheme="majorBidi"/>
          <w:rtl/>
        </w:rPr>
      </w:pPr>
      <w:r w:rsidRPr="00FE225C">
        <w:rPr>
          <w:rFonts w:asciiTheme="majorBidi" w:hAnsiTheme="majorBidi" w:cstheme="majorBidi"/>
        </w:rPr>
        <w:t>Van Deursen, A. J., Helsper, E. J</w:t>
      </w:r>
      <w:r w:rsidRPr="00FE225C">
        <w:rPr>
          <w:rFonts w:asciiTheme="majorBidi" w:hAnsiTheme="majorBidi" w:cstheme="majorBidi"/>
          <w:rtl/>
        </w:rPr>
        <w:t xml:space="preserve">., &amp; </w:t>
      </w:r>
      <w:r w:rsidRPr="00FE225C">
        <w:rPr>
          <w:rFonts w:asciiTheme="majorBidi" w:hAnsiTheme="majorBidi" w:cstheme="majorBidi"/>
        </w:rPr>
        <w:t>Eynon, R. (2016). Development and Validation of the Internet Skills Scale (ISS</w:t>
      </w:r>
      <w:r w:rsidRPr="00FE225C">
        <w:rPr>
          <w:rFonts w:asciiTheme="majorBidi" w:hAnsiTheme="majorBidi" w:cstheme="majorBidi"/>
          <w:rtl/>
        </w:rPr>
        <w:t xml:space="preserve">). </w:t>
      </w:r>
      <w:r w:rsidRPr="00FE225C">
        <w:rPr>
          <w:rStyle w:val="Emphasis"/>
          <w:rFonts w:asciiTheme="majorBidi" w:hAnsiTheme="majorBidi" w:cstheme="majorBidi"/>
        </w:rPr>
        <w:t>Information, Communication</w:t>
      </w:r>
      <w:r w:rsidRPr="00FE225C">
        <w:rPr>
          <w:rStyle w:val="Emphasis"/>
          <w:rFonts w:asciiTheme="majorBidi" w:hAnsiTheme="majorBidi" w:cstheme="majorBidi"/>
          <w:rtl/>
        </w:rPr>
        <w:t xml:space="preserve"> &amp; </w:t>
      </w:r>
      <w:r w:rsidRPr="00FE225C">
        <w:rPr>
          <w:rStyle w:val="Emphasis"/>
          <w:rFonts w:asciiTheme="majorBidi" w:hAnsiTheme="majorBidi" w:cstheme="majorBidi"/>
        </w:rPr>
        <w:t>Society</w:t>
      </w:r>
      <w:r w:rsidRPr="00FE225C">
        <w:rPr>
          <w:rFonts w:asciiTheme="majorBidi" w:hAnsiTheme="majorBidi" w:cstheme="majorBidi"/>
          <w:rtl/>
        </w:rPr>
        <w:t xml:space="preserve">, </w:t>
      </w:r>
      <w:r w:rsidRPr="00FE225C">
        <w:rPr>
          <w:rStyle w:val="Emphasis"/>
          <w:rFonts w:asciiTheme="majorBidi" w:hAnsiTheme="majorBidi" w:cstheme="majorBidi"/>
          <w:rtl/>
        </w:rPr>
        <w:t>19</w:t>
      </w:r>
      <w:r w:rsidRPr="00FE225C">
        <w:rPr>
          <w:rFonts w:asciiTheme="majorBidi" w:hAnsiTheme="majorBidi" w:cstheme="majorBidi"/>
          <w:rtl/>
        </w:rPr>
        <w:t>(6), 804-823.</w:t>
      </w:r>
    </w:p>
    <w:p w14:paraId="26949E0C" w14:textId="77777777" w:rsidR="00051A62" w:rsidRDefault="00051A62" w:rsidP="00FE225C">
      <w:pPr>
        <w:jc w:val="both"/>
      </w:pPr>
    </w:p>
    <w:sectPr w:rsidR="00051A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14CC6"/>
    <w:multiLevelType w:val="multilevel"/>
    <w:tmpl w:val="0F547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33C0D"/>
    <w:multiLevelType w:val="multilevel"/>
    <w:tmpl w:val="EF1A3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F46DBA"/>
    <w:multiLevelType w:val="multilevel"/>
    <w:tmpl w:val="6AFEE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A01AED"/>
    <w:multiLevelType w:val="multilevel"/>
    <w:tmpl w:val="4A4A5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0071F7"/>
    <w:multiLevelType w:val="multilevel"/>
    <w:tmpl w:val="C4885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5408AB"/>
    <w:multiLevelType w:val="multilevel"/>
    <w:tmpl w:val="8542C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3D022D"/>
    <w:multiLevelType w:val="multilevel"/>
    <w:tmpl w:val="6A56B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DE5532"/>
    <w:multiLevelType w:val="multilevel"/>
    <w:tmpl w:val="332EDD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9571F4"/>
    <w:multiLevelType w:val="multilevel"/>
    <w:tmpl w:val="F6827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985195"/>
    <w:multiLevelType w:val="multilevel"/>
    <w:tmpl w:val="EF9A77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AF3F7F"/>
    <w:multiLevelType w:val="multilevel"/>
    <w:tmpl w:val="3592A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1D1B63"/>
    <w:multiLevelType w:val="multilevel"/>
    <w:tmpl w:val="9EE411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4D0686"/>
    <w:multiLevelType w:val="multilevel"/>
    <w:tmpl w:val="C46A9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51600B"/>
    <w:multiLevelType w:val="multilevel"/>
    <w:tmpl w:val="80ACD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D1415B"/>
    <w:multiLevelType w:val="multilevel"/>
    <w:tmpl w:val="037AD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3637379"/>
    <w:multiLevelType w:val="multilevel"/>
    <w:tmpl w:val="761C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351970"/>
    <w:multiLevelType w:val="multilevel"/>
    <w:tmpl w:val="2B86F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C209B6"/>
    <w:multiLevelType w:val="multilevel"/>
    <w:tmpl w:val="5F2A3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206176"/>
    <w:multiLevelType w:val="multilevel"/>
    <w:tmpl w:val="80A01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3D7916"/>
    <w:multiLevelType w:val="multilevel"/>
    <w:tmpl w:val="18DE7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DD7758"/>
    <w:multiLevelType w:val="multilevel"/>
    <w:tmpl w:val="63344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E16BBC"/>
    <w:multiLevelType w:val="multilevel"/>
    <w:tmpl w:val="D77C5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4503FB1"/>
    <w:multiLevelType w:val="multilevel"/>
    <w:tmpl w:val="47E2282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8D2E7F"/>
    <w:multiLevelType w:val="multilevel"/>
    <w:tmpl w:val="0E5E9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E133AD"/>
    <w:multiLevelType w:val="multilevel"/>
    <w:tmpl w:val="7186A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6E3ED5"/>
    <w:multiLevelType w:val="multilevel"/>
    <w:tmpl w:val="5ED45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E15AFB"/>
    <w:multiLevelType w:val="multilevel"/>
    <w:tmpl w:val="3D7AD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137062"/>
    <w:multiLevelType w:val="multilevel"/>
    <w:tmpl w:val="7F9AA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785527"/>
    <w:multiLevelType w:val="multilevel"/>
    <w:tmpl w:val="F84E5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FB54DF"/>
    <w:multiLevelType w:val="multilevel"/>
    <w:tmpl w:val="69487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924795"/>
    <w:multiLevelType w:val="multilevel"/>
    <w:tmpl w:val="E9B0B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9D7F7F"/>
    <w:multiLevelType w:val="multilevel"/>
    <w:tmpl w:val="FB86F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D74901"/>
    <w:multiLevelType w:val="multilevel"/>
    <w:tmpl w:val="EDF8F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8F7E72"/>
    <w:multiLevelType w:val="multilevel"/>
    <w:tmpl w:val="7FA6A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8200102">
    <w:abstractNumId w:val="11"/>
  </w:num>
  <w:num w:numId="2" w16cid:durableId="19866635">
    <w:abstractNumId w:val="10"/>
  </w:num>
  <w:num w:numId="3" w16cid:durableId="1137918884">
    <w:abstractNumId w:val="14"/>
  </w:num>
  <w:num w:numId="4" w16cid:durableId="2010669386">
    <w:abstractNumId w:val="4"/>
  </w:num>
  <w:num w:numId="5" w16cid:durableId="1730375670">
    <w:abstractNumId w:val="21"/>
  </w:num>
  <w:num w:numId="6" w16cid:durableId="2000384556">
    <w:abstractNumId w:val="2"/>
  </w:num>
  <w:num w:numId="7" w16cid:durableId="1104417468">
    <w:abstractNumId w:val="18"/>
  </w:num>
  <w:num w:numId="8" w16cid:durableId="974487545">
    <w:abstractNumId w:val="7"/>
  </w:num>
  <w:num w:numId="9" w16cid:durableId="1848447180">
    <w:abstractNumId w:val="29"/>
  </w:num>
  <w:num w:numId="10" w16cid:durableId="600990634">
    <w:abstractNumId w:val="13"/>
  </w:num>
  <w:num w:numId="11" w16cid:durableId="1593540542">
    <w:abstractNumId w:val="1"/>
  </w:num>
  <w:num w:numId="12" w16cid:durableId="356585038">
    <w:abstractNumId w:val="16"/>
  </w:num>
  <w:num w:numId="13" w16cid:durableId="261959883">
    <w:abstractNumId w:val="30"/>
  </w:num>
  <w:num w:numId="14" w16cid:durableId="1480881619">
    <w:abstractNumId w:val="33"/>
  </w:num>
  <w:num w:numId="15" w16cid:durableId="1355964844">
    <w:abstractNumId w:val="20"/>
  </w:num>
  <w:num w:numId="16" w16cid:durableId="1477532629">
    <w:abstractNumId w:val="27"/>
  </w:num>
  <w:num w:numId="17" w16cid:durableId="1991981052">
    <w:abstractNumId w:val="24"/>
  </w:num>
  <w:num w:numId="18" w16cid:durableId="546570947">
    <w:abstractNumId w:val="17"/>
  </w:num>
  <w:num w:numId="19" w16cid:durableId="618292925">
    <w:abstractNumId w:val="32"/>
  </w:num>
  <w:num w:numId="20" w16cid:durableId="1873690035">
    <w:abstractNumId w:val="31"/>
  </w:num>
  <w:num w:numId="21" w16cid:durableId="1093941074">
    <w:abstractNumId w:val="15"/>
  </w:num>
  <w:num w:numId="22" w16cid:durableId="1796874287">
    <w:abstractNumId w:val="23"/>
  </w:num>
  <w:num w:numId="23" w16cid:durableId="62919531">
    <w:abstractNumId w:val="3"/>
  </w:num>
  <w:num w:numId="24" w16cid:durableId="1118909697">
    <w:abstractNumId w:val="0"/>
  </w:num>
  <w:num w:numId="25" w16cid:durableId="1580169951">
    <w:abstractNumId w:val="8"/>
  </w:num>
  <w:num w:numId="26" w16cid:durableId="1633171004">
    <w:abstractNumId w:val="26"/>
  </w:num>
  <w:num w:numId="27" w16cid:durableId="1106733470">
    <w:abstractNumId w:val="5"/>
  </w:num>
  <w:num w:numId="28" w16cid:durableId="536695773">
    <w:abstractNumId w:val="28"/>
  </w:num>
  <w:num w:numId="29" w16cid:durableId="1009480295">
    <w:abstractNumId w:val="25"/>
  </w:num>
  <w:num w:numId="30" w16cid:durableId="1392848673">
    <w:abstractNumId w:val="19"/>
  </w:num>
  <w:num w:numId="31" w16cid:durableId="1380276968">
    <w:abstractNumId w:val="9"/>
  </w:num>
  <w:num w:numId="32" w16cid:durableId="1318266283">
    <w:abstractNumId w:val="6"/>
  </w:num>
  <w:num w:numId="33" w16cid:durableId="77875230">
    <w:abstractNumId w:val="12"/>
  </w:num>
  <w:num w:numId="34" w16cid:durableId="150905313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1A62"/>
    <w:rsid w:val="000337C9"/>
    <w:rsid w:val="00051A62"/>
    <w:rsid w:val="002166EA"/>
    <w:rsid w:val="002171B5"/>
    <w:rsid w:val="00264443"/>
    <w:rsid w:val="00286E46"/>
    <w:rsid w:val="004F2373"/>
    <w:rsid w:val="005D6F08"/>
    <w:rsid w:val="00850BC1"/>
    <w:rsid w:val="00870573"/>
    <w:rsid w:val="008E52B6"/>
    <w:rsid w:val="00905990"/>
    <w:rsid w:val="00925CDE"/>
    <w:rsid w:val="009D11CB"/>
    <w:rsid w:val="009F385D"/>
    <w:rsid w:val="00BB2240"/>
    <w:rsid w:val="00BE78BA"/>
    <w:rsid w:val="00C93D7C"/>
    <w:rsid w:val="00CA2BA7"/>
    <w:rsid w:val="00D0671E"/>
    <w:rsid w:val="00DE55F3"/>
    <w:rsid w:val="00E13428"/>
    <w:rsid w:val="00ED0940"/>
    <w:rsid w:val="00FE225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81F2E"/>
  <w15:chartTrackingRefBased/>
  <w15:docId w15:val="{614107FB-3712-40B1-95C2-3D2062544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51A6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51A6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51A62"/>
    <w:rPr>
      <w:b/>
      <w:bCs/>
    </w:rPr>
  </w:style>
  <w:style w:type="paragraph" w:styleId="ListParagraph">
    <w:name w:val="List Paragraph"/>
    <w:basedOn w:val="Normal"/>
    <w:uiPriority w:val="34"/>
    <w:qFormat/>
    <w:rsid w:val="00051A62"/>
    <w:pPr>
      <w:ind w:left="720"/>
      <w:contextualSpacing/>
    </w:pPr>
  </w:style>
  <w:style w:type="character" w:customStyle="1" w:styleId="Heading3Char">
    <w:name w:val="Heading 3 Char"/>
    <w:basedOn w:val="DefaultParagraphFont"/>
    <w:link w:val="Heading3"/>
    <w:uiPriority w:val="9"/>
    <w:rsid w:val="00051A62"/>
    <w:rPr>
      <w:rFonts w:ascii="Times New Roman" w:eastAsia="Times New Roman" w:hAnsi="Times New Roman" w:cs="Times New Roman"/>
      <w:b/>
      <w:bCs/>
      <w:sz w:val="27"/>
      <w:szCs w:val="27"/>
    </w:rPr>
  </w:style>
  <w:style w:type="character" w:styleId="Emphasis">
    <w:name w:val="Emphasis"/>
    <w:basedOn w:val="DefaultParagraphFont"/>
    <w:uiPriority w:val="20"/>
    <w:qFormat/>
    <w:rsid w:val="00905990"/>
    <w:rPr>
      <w:i/>
      <w:iCs/>
    </w:rPr>
  </w:style>
  <w:style w:type="character" w:styleId="Hyperlink">
    <w:name w:val="Hyperlink"/>
    <w:basedOn w:val="DefaultParagraphFont"/>
    <w:uiPriority w:val="99"/>
    <w:semiHidden/>
    <w:unhideWhenUsed/>
    <w:rsid w:val="00BB224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436086">
      <w:bodyDiv w:val="1"/>
      <w:marLeft w:val="0"/>
      <w:marRight w:val="0"/>
      <w:marTop w:val="0"/>
      <w:marBottom w:val="0"/>
      <w:divBdr>
        <w:top w:val="none" w:sz="0" w:space="0" w:color="auto"/>
        <w:left w:val="none" w:sz="0" w:space="0" w:color="auto"/>
        <w:bottom w:val="none" w:sz="0" w:space="0" w:color="auto"/>
        <w:right w:val="none" w:sz="0" w:space="0" w:color="auto"/>
      </w:divBdr>
    </w:div>
    <w:div w:id="102724890">
      <w:bodyDiv w:val="1"/>
      <w:marLeft w:val="0"/>
      <w:marRight w:val="0"/>
      <w:marTop w:val="0"/>
      <w:marBottom w:val="0"/>
      <w:divBdr>
        <w:top w:val="none" w:sz="0" w:space="0" w:color="auto"/>
        <w:left w:val="none" w:sz="0" w:space="0" w:color="auto"/>
        <w:bottom w:val="none" w:sz="0" w:space="0" w:color="auto"/>
        <w:right w:val="none" w:sz="0" w:space="0" w:color="auto"/>
      </w:divBdr>
    </w:div>
    <w:div w:id="425735137">
      <w:bodyDiv w:val="1"/>
      <w:marLeft w:val="0"/>
      <w:marRight w:val="0"/>
      <w:marTop w:val="0"/>
      <w:marBottom w:val="0"/>
      <w:divBdr>
        <w:top w:val="none" w:sz="0" w:space="0" w:color="auto"/>
        <w:left w:val="none" w:sz="0" w:space="0" w:color="auto"/>
        <w:bottom w:val="none" w:sz="0" w:space="0" w:color="auto"/>
        <w:right w:val="none" w:sz="0" w:space="0" w:color="auto"/>
      </w:divBdr>
    </w:div>
    <w:div w:id="437481595">
      <w:bodyDiv w:val="1"/>
      <w:marLeft w:val="0"/>
      <w:marRight w:val="0"/>
      <w:marTop w:val="0"/>
      <w:marBottom w:val="0"/>
      <w:divBdr>
        <w:top w:val="none" w:sz="0" w:space="0" w:color="auto"/>
        <w:left w:val="none" w:sz="0" w:space="0" w:color="auto"/>
        <w:bottom w:val="none" w:sz="0" w:space="0" w:color="auto"/>
        <w:right w:val="none" w:sz="0" w:space="0" w:color="auto"/>
      </w:divBdr>
      <w:divsChild>
        <w:div w:id="1080836605">
          <w:marLeft w:val="0"/>
          <w:marRight w:val="0"/>
          <w:marTop w:val="0"/>
          <w:marBottom w:val="0"/>
          <w:divBdr>
            <w:top w:val="none" w:sz="0" w:space="0" w:color="auto"/>
            <w:left w:val="none" w:sz="0" w:space="0" w:color="auto"/>
            <w:bottom w:val="none" w:sz="0" w:space="0" w:color="auto"/>
            <w:right w:val="none" w:sz="0" w:space="0" w:color="auto"/>
          </w:divBdr>
          <w:divsChild>
            <w:div w:id="2034335151">
              <w:marLeft w:val="0"/>
              <w:marRight w:val="0"/>
              <w:marTop w:val="0"/>
              <w:marBottom w:val="0"/>
              <w:divBdr>
                <w:top w:val="none" w:sz="0" w:space="0" w:color="auto"/>
                <w:left w:val="none" w:sz="0" w:space="0" w:color="auto"/>
                <w:bottom w:val="none" w:sz="0" w:space="0" w:color="auto"/>
                <w:right w:val="none" w:sz="0" w:space="0" w:color="auto"/>
              </w:divBdr>
              <w:divsChild>
                <w:div w:id="324359514">
                  <w:marLeft w:val="0"/>
                  <w:marRight w:val="0"/>
                  <w:marTop w:val="0"/>
                  <w:marBottom w:val="0"/>
                  <w:divBdr>
                    <w:top w:val="none" w:sz="0" w:space="0" w:color="auto"/>
                    <w:left w:val="none" w:sz="0" w:space="0" w:color="auto"/>
                    <w:bottom w:val="none" w:sz="0" w:space="0" w:color="auto"/>
                    <w:right w:val="none" w:sz="0" w:space="0" w:color="auto"/>
                  </w:divBdr>
                  <w:divsChild>
                    <w:div w:id="135692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195540">
      <w:bodyDiv w:val="1"/>
      <w:marLeft w:val="0"/>
      <w:marRight w:val="0"/>
      <w:marTop w:val="0"/>
      <w:marBottom w:val="0"/>
      <w:divBdr>
        <w:top w:val="none" w:sz="0" w:space="0" w:color="auto"/>
        <w:left w:val="none" w:sz="0" w:space="0" w:color="auto"/>
        <w:bottom w:val="none" w:sz="0" w:space="0" w:color="auto"/>
        <w:right w:val="none" w:sz="0" w:space="0" w:color="auto"/>
      </w:divBdr>
    </w:div>
    <w:div w:id="600795854">
      <w:bodyDiv w:val="1"/>
      <w:marLeft w:val="0"/>
      <w:marRight w:val="0"/>
      <w:marTop w:val="0"/>
      <w:marBottom w:val="0"/>
      <w:divBdr>
        <w:top w:val="none" w:sz="0" w:space="0" w:color="auto"/>
        <w:left w:val="none" w:sz="0" w:space="0" w:color="auto"/>
        <w:bottom w:val="none" w:sz="0" w:space="0" w:color="auto"/>
        <w:right w:val="none" w:sz="0" w:space="0" w:color="auto"/>
      </w:divBdr>
    </w:div>
    <w:div w:id="713819163">
      <w:bodyDiv w:val="1"/>
      <w:marLeft w:val="0"/>
      <w:marRight w:val="0"/>
      <w:marTop w:val="0"/>
      <w:marBottom w:val="0"/>
      <w:divBdr>
        <w:top w:val="none" w:sz="0" w:space="0" w:color="auto"/>
        <w:left w:val="none" w:sz="0" w:space="0" w:color="auto"/>
        <w:bottom w:val="none" w:sz="0" w:space="0" w:color="auto"/>
        <w:right w:val="none" w:sz="0" w:space="0" w:color="auto"/>
      </w:divBdr>
    </w:div>
    <w:div w:id="840311681">
      <w:bodyDiv w:val="1"/>
      <w:marLeft w:val="0"/>
      <w:marRight w:val="0"/>
      <w:marTop w:val="0"/>
      <w:marBottom w:val="0"/>
      <w:divBdr>
        <w:top w:val="none" w:sz="0" w:space="0" w:color="auto"/>
        <w:left w:val="none" w:sz="0" w:space="0" w:color="auto"/>
        <w:bottom w:val="none" w:sz="0" w:space="0" w:color="auto"/>
        <w:right w:val="none" w:sz="0" w:space="0" w:color="auto"/>
      </w:divBdr>
    </w:div>
    <w:div w:id="874538621">
      <w:bodyDiv w:val="1"/>
      <w:marLeft w:val="0"/>
      <w:marRight w:val="0"/>
      <w:marTop w:val="0"/>
      <w:marBottom w:val="0"/>
      <w:divBdr>
        <w:top w:val="none" w:sz="0" w:space="0" w:color="auto"/>
        <w:left w:val="none" w:sz="0" w:space="0" w:color="auto"/>
        <w:bottom w:val="none" w:sz="0" w:space="0" w:color="auto"/>
        <w:right w:val="none" w:sz="0" w:space="0" w:color="auto"/>
      </w:divBdr>
    </w:div>
    <w:div w:id="1005787570">
      <w:bodyDiv w:val="1"/>
      <w:marLeft w:val="0"/>
      <w:marRight w:val="0"/>
      <w:marTop w:val="0"/>
      <w:marBottom w:val="0"/>
      <w:divBdr>
        <w:top w:val="none" w:sz="0" w:space="0" w:color="auto"/>
        <w:left w:val="none" w:sz="0" w:space="0" w:color="auto"/>
        <w:bottom w:val="none" w:sz="0" w:space="0" w:color="auto"/>
        <w:right w:val="none" w:sz="0" w:space="0" w:color="auto"/>
      </w:divBdr>
      <w:divsChild>
        <w:div w:id="634995191">
          <w:marLeft w:val="0"/>
          <w:marRight w:val="0"/>
          <w:marTop w:val="0"/>
          <w:marBottom w:val="0"/>
          <w:divBdr>
            <w:top w:val="none" w:sz="0" w:space="0" w:color="auto"/>
            <w:left w:val="none" w:sz="0" w:space="0" w:color="auto"/>
            <w:bottom w:val="none" w:sz="0" w:space="0" w:color="auto"/>
            <w:right w:val="none" w:sz="0" w:space="0" w:color="auto"/>
          </w:divBdr>
          <w:divsChild>
            <w:div w:id="149792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45818">
      <w:bodyDiv w:val="1"/>
      <w:marLeft w:val="0"/>
      <w:marRight w:val="0"/>
      <w:marTop w:val="0"/>
      <w:marBottom w:val="0"/>
      <w:divBdr>
        <w:top w:val="none" w:sz="0" w:space="0" w:color="auto"/>
        <w:left w:val="none" w:sz="0" w:space="0" w:color="auto"/>
        <w:bottom w:val="none" w:sz="0" w:space="0" w:color="auto"/>
        <w:right w:val="none" w:sz="0" w:space="0" w:color="auto"/>
      </w:divBdr>
    </w:div>
    <w:div w:id="1053427594">
      <w:bodyDiv w:val="1"/>
      <w:marLeft w:val="0"/>
      <w:marRight w:val="0"/>
      <w:marTop w:val="0"/>
      <w:marBottom w:val="0"/>
      <w:divBdr>
        <w:top w:val="none" w:sz="0" w:space="0" w:color="auto"/>
        <w:left w:val="none" w:sz="0" w:space="0" w:color="auto"/>
        <w:bottom w:val="none" w:sz="0" w:space="0" w:color="auto"/>
        <w:right w:val="none" w:sz="0" w:space="0" w:color="auto"/>
      </w:divBdr>
    </w:div>
    <w:div w:id="1056009909">
      <w:bodyDiv w:val="1"/>
      <w:marLeft w:val="0"/>
      <w:marRight w:val="0"/>
      <w:marTop w:val="0"/>
      <w:marBottom w:val="0"/>
      <w:divBdr>
        <w:top w:val="none" w:sz="0" w:space="0" w:color="auto"/>
        <w:left w:val="none" w:sz="0" w:space="0" w:color="auto"/>
        <w:bottom w:val="none" w:sz="0" w:space="0" w:color="auto"/>
        <w:right w:val="none" w:sz="0" w:space="0" w:color="auto"/>
      </w:divBdr>
    </w:div>
    <w:div w:id="1157652826">
      <w:bodyDiv w:val="1"/>
      <w:marLeft w:val="0"/>
      <w:marRight w:val="0"/>
      <w:marTop w:val="0"/>
      <w:marBottom w:val="0"/>
      <w:divBdr>
        <w:top w:val="none" w:sz="0" w:space="0" w:color="auto"/>
        <w:left w:val="none" w:sz="0" w:space="0" w:color="auto"/>
        <w:bottom w:val="none" w:sz="0" w:space="0" w:color="auto"/>
        <w:right w:val="none" w:sz="0" w:space="0" w:color="auto"/>
      </w:divBdr>
    </w:div>
    <w:div w:id="1165632271">
      <w:bodyDiv w:val="1"/>
      <w:marLeft w:val="0"/>
      <w:marRight w:val="0"/>
      <w:marTop w:val="0"/>
      <w:marBottom w:val="0"/>
      <w:divBdr>
        <w:top w:val="none" w:sz="0" w:space="0" w:color="auto"/>
        <w:left w:val="none" w:sz="0" w:space="0" w:color="auto"/>
        <w:bottom w:val="none" w:sz="0" w:space="0" w:color="auto"/>
        <w:right w:val="none" w:sz="0" w:space="0" w:color="auto"/>
      </w:divBdr>
    </w:div>
    <w:div w:id="1171145135">
      <w:bodyDiv w:val="1"/>
      <w:marLeft w:val="0"/>
      <w:marRight w:val="0"/>
      <w:marTop w:val="0"/>
      <w:marBottom w:val="0"/>
      <w:divBdr>
        <w:top w:val="none" w:sz="0" w:space="0" w:color="auto"/>
        <w:left w:val="none" w:sz="0" w:space="0" w:color="auto"/>
        <w:bottom w:val="none" w:sz="0" w:space="0" w:color="auto"/>
        <w:right w:val="none" w:sz="0" w:space="0" w:color="auto"/>
      </w:divBdr>
    </w:div>
    <w:div w:id="1182016625">
      <w:bodyDiv w:val="1"/>
      <w:marLeft w:val="0"/>
      <w:marRight w:val="0"/>
      <w:marTop w:val="0"/>
      <w:marBottom w:val="0"/>
      <w:divBdr>
        <w:top w:val="none" w:sz="0" w:space="0" w:color="auto"/>
        <w:left w:val="none" w:sz="0" w:space="0" w:color="auto"/>
        <w:bottom w:val="none" w:sz="0" w:space="0" w:color="auto"/>
        <w:right w:val="none" w:sz="0" w:space="0" w:color="auto"/>
      </w:divBdr>
    </w:div>
    <w:div w:id="1197083210">
      <w:bodyDiv w:val="1"/>
      <w:marLeft w:val="0"/>
      <w:marRight w:val="0"/>
      <w:marTop w:val="0"/>
      <w:marBottom w:val="0"/>
      <w:divBdr>
        <w:top w:val="none" w:sz="0" w:space="0" w:color="auto"/>
        <w:left w:val="none" w:sz="0" w:space="0" w:color="auto"/>
        <w:bottom w:val="none" w:sz="0" w:space="0" w:color="auto"/>
        <w:right w:val="none" w:sz="0" w:space="0" w:color="auto"/>
      </w:divBdr>
    </w:div>
    <w:div w:id="1321353046">
      <w:bodyDiv w:val="1"/>
      <w:marLeft w:val="0"/>
      <w:marRight w:val="0"/>
      <w:marTop w:val="0"/>
      <w:marBottom w:val="0"/>
      <w:divBdr>
        <w:top w:val="none" w:sz="0" w:space="0" w:color="auto"/>
        <w:left w:val="none" w:sz="0" w:space="0" w:color="auto"/>
        <w:bottom w:val="none" w:sz="0" w:space="0" w:color="auto"/>
        <w:right w:val="none" w:sz="0" w:space="0" w:color="auto"/>
      </w:divBdr>
    </w:div>
    <w:div w:id="1477795888">
      <w:bodyDiv w:val="1"/>
      <w:marLeft w:val="0"/>
      <w:marRight w:val="0"/>
      <w:marTop w:val="0"/>
      <w:marBottom w:val="0"/>
      <w:divBdr>
        <w:top w:val="none" w:sz="0" w:space="0" w:color="auto"/>
        <w:left w:val="none" w:sz="0" w:space="0" w:color="auto"/>
        <w:bottom w:val="none" w:sz="0" w:space="0" w:color="auto"/>
        <w:right w:val="none" w:sz="0" w:space="0" w:color="auto"/>
      </w:divBdr>
    </w:div>
    <w:div w:id="1602372312">
      <w:bodyDiv w:val="1"/>
      <w:marLeft w:val="0"/>
      <w:marRight w:val="0"/>
      <w:marTop w:val="0"/>
      <w:marBottom w:val="0"/>
      <w:divBdr>
        <w:top w:val="none" w:sz="0" w:space="0" w:color="auto"/>
        <w:left w:val="none" w:sz="0" w:space="0" w:color="auto"/>
        <w:bottom w:val="none" w:sz="0" w:space="0" w:color="auto"/>
        <w:right w:val="none" w:sz="0" w:space="0" w:color="auto"/>
      </w:divBdr>
    </w:div>
    <w:div w:id="1649701935">
      <w:bodyDiv w:val="1"/>
      <w:marLeft w:val="0"/>
      <w:marRight w:val="0"/>
      <w:marTop w:val="0"/>
      <w:marBottom w:val="0"/>
      <w:divBdr>
        <w:top w:val="none" w:sz="0" w:space="0" w:color="auto"/>
        <w:left w:val="none" w:sz="0" w:space="0" w:color="auto"/>
        <w:bottom w:val="none" w:sz="0" w:space="0" w:color="auto"/>
        <w:right w:val="none" w:sz="0" w:space="0" w:color="auto"/>
      </w:divBdr>
    </w:div>
    <w:div w:id="1702318650">
      <w:bodyDiv w:val="1"/>
      <w:marLeft w:val="0"/>
      <w:marRight w:val="0"/>
      <w:marTop w:val="0"/>
      <w:marBottom w:val="0"/>
      <w:divBdr>
        <w:top w:val="none" w:sz="0" w:space="0" w:color="auto"/>
        <w:left w:val="none" w:sz="0" w:space="0" w:color="auto"/>
        <w:bottom w:val="none" w:sz="0" w:space="0" w:color="auto"/>
        <w:right w:val="none" w:sz="0" w:space="0" w:color="auto"/>
      </w:divBdr>
    </w:div>
    <w:div w:id="1734423257">
      <w:bodyDiv w:val="1"/>
      <w:marLeft w:val="0"/>
      <w:marRight w:val="0"/>
      <w:marTop w:val="0"/>
      <w:marBottom w:val="0"/>
      <w:divBdr>
        <w:top w:val="none" w:sz="0" w:space="0" w:color="auto"/>
        <w:left w:val="none" w:sz="0" w:space="0" w:color="auto"/>
        <w:bottom w:val="none" w:sz="0" w:space="0" w:color="auto"/>
        <w:right w:val="none" w:sz="0" w:space="0" w:color="auto"/>
      </w:divBdr>
    </w:div>
    <w:div w:id="1778065353">
      <w:bodyDiv w:val="1"/>
      <w:marLeft w:val="0"/>
      <w:marRight w:val="0"/>
      <w:marTop w:val="0"/>
      <w:marBottom w:val="0"/>
      <w:divBdr>
        <w:top w:val="none" w:sz="0" w:space="0" w:color="auto"/>
        <w:left w:val="none" w:sz="0" w:space="0" w:color="auto"/>
        <w:bottom w:val="none" w:sz="0" w:space="0" w:color="auto"/>
        <w:right w:val="none" w:sz="0" w:space="0" w:color="auto"/>
      </w:divBdr>
    </w:div>
    <w:div w:id="1810980286">
      <w:bodyDiv w:val="1"/>
      <w:marLeft w:val="0"/>
      <w:marRight w:val="0"/>
      <w:marTop w:val="0"/>
      <w:marBottom w:val="0"/>
      <w:divBdr>
        <w:top w:val="none" w:sz="0" w:space="0" w:color="auto"/>
        <w:left w:val="none" w:sz="0" w:space="0" w:color="auto"/>
        <w:bottom w:val="none" w:sz="0" w:space="0" w:color="auto"/>
        <w:right w:val="none" w:sz="0" w:space="0" w:color="auto"/>
      </w:divBdr>
    </w:div>
    <w:div w:id="2129741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1596306.2014.94283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oecd.or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uturelearn.com" TargetMode="External"/><Relationship Id="rId11" Type="http://schemas.openxmlformats.org/officeDocument/2006/relationships/hyperlink" Target="https://en.unesco.org" TargetMode="External"/><Relationship Id="rId5" Type="http://schemas.openxmlformats.org/officeDocument/2006/relationships/hyperlink" Target="https://www.gov.uk" TargetMode="External"/><Relationship Id="rId10" Type="http://schemas.openxmlformats.org/officeDocument/2006/relationships/hyperlink" Target="https://www.parliament.uk" TargetMode="External"/><Relationship Id="rId4" Type="http://schemas.openxmlformats.org/officeDocument/2006/relationships/webSettings" Target="webSettings.xml"/><Relationship Id="rId9" Type="http://schemas.openxmlformats.org/officeDocument/2006/relationships/hyperlink" Target="https://hybridpedagog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4869</Words>
  <Characters>27756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Vista Gostar</dc:creator>
  <cp:keywords/>
  <dc:description/>
  <cp:lastModifiedBy>roya barati</cp:lastModifiedBy>
  <cp:revision>2</cp:revision>
  <dcterms:created xsi:type="dcterms:W3CDTF">2025-04-08T09:18:00Z</dcterms:created>
  <dcterms:modified xsi:type="dcterms:W3CDTF">2025-04-08T09:18:00Z</dcterms:modified>
</cp:coreProperties>
</file>