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38929809"/>
        <w:docPartObj>
          <w:docPartGallery w:val="Cover Pages"/>
          <w:docPartUnique/>
        </w:docPartObj>
      </w:sdtPr>
      <w:sdtEndPr>
        <w:rPr>
          <w:rFonts w:ascii="Arial" w:eastAsia="Arial" w:hAnsi="Arial" w:cs="Arial"/>
          <w:sz w:val="16"/>
          <w:szCs w:val="16"/>
        </w:rPr>
      </w:sdtEndPr>
      <w:sdtContent>
        <w:p w14:paraId="42624F94" w14:textId="061E906A" w:rsidR="00BE61AB" w:rsidRDefault="00BE61AB">
          <w:r>
            <w:rPr>
              <w:noProof/>
            </w:rPr>
            <mc:AlternateContent>
              <mc:Choice Requires="wpg">
                <w:drawing>
                  <wp:anchor distT="0" distB="0" distL="114300" distR="114300" simplePos="0" relativeHeight="251662336" behindDoc="0" locked="0" layoutInCell="1" allowOverlap="1" wp14:anchorId="5093C325" wp14:editId="4FB24F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E42CBD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583EC4E" wp14:editId="5D96EC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F8FC52" w14:textId="77777777" w:rsidR="00BE61AB" w:rsidRDefault="00BE61AB">
                                <w:pPr>
                                  <w:pStyle w:val="NoSpacing"/>
                                  <w:jc w:val="right"/>
                                  <w:rPr>
                                    <w:color w:val="156082" w:themeColor="accent1"/>
                                    <w:sz w:val="28"/>
                                    <w:szCs w:val="28"/>
                                  </w:rPr>
                                </w:pPr>
                              </w:p>
                              <w:p w14:paraId="5660BD41" w14:textId="18E4BB32" w:rsidR="00BE61AB" w:rsidRDefault="00BE61AB">
                                <w:pPr>
                                  <w:pStyle w:val="NoSpacing"/>
                                  <w:jc w:val="right"/>
                                  <w:rPr>
                                    <w:color w:val="156082" w:themeColor="accent1"/>
                                    <w:sz w:val="28"/>
                                    <w:szCs w:val="28"/>
                                  </w:rPr>
                                </w:pPr>
                                <w:r>
                                  <w:rPr>
                                    <w:color w:val="156082" w:themeColor="accent1"/>
                                    <w:sz w:val="28"/>
                                    <w:szCs w:val="28"/>
                                  </w:rPr>
                                  <w:t>Dilara Begum: Student ID: 2017884</w:t>
                                </w:r>
                              </w:p>
                              <w:p w14:paraId="1298FC01" w14:textId="2E238117" w:rsidR="00BE61AB" w:rsidRDefault="00BE61AB">
                                <w:pPr>
                                  <w:pStyle w:val="NoSpacing"/>
                                  <w:jc w:val="right"/>
                                  <w:rPr>
                                    <w:color w:val="156082" w:themeColor="accent1"/>
                                    <w:sz w:val="28"/>
                                    <w:szCs w:val="28"/>
                                  </w:rPr>
                                </w:pPr>
                                <w:r>
                                  <w:rPr>
                                    <w:color w:val="156082" w:themeColor="accent1"/>
                                    <w:sz w:val="28"/>
                                    <w:szCs w:val="28"/>
                                  </w:rPr>
                                  <w:t xml:space="preserve">Lecturer: Danielle Dunne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8495787" w14:textId="63693714" w:rsidR="00BE61AB" w:rsidRDefault="00BE61AB">
                                    <w:pPr>
                                      <w:pStyle w:val="NoSpacing"/>
                                      <w:jc w:val="right"/>
                                      <w:rPr>
                                        <w:color w:val="595959" w:themeColor="text1" w:themeTint="A6"/>
                                        <w:sz w:val="20"/>
                                        <w:szCs w:val="20"/>
                                      </w:rPr>
                                    </w:pP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583EC4E"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BF8FC52" w14:textId="77777777" w:rsidR="00BE61AB" w:rsidRDefault="00BE61AB">
                          <w:pPr>
                            <w:pStyle w:val="NoSpacing"/>
                            <w:jc w:val="right"/>
                            <w:rPr>
                              <w:color w:val="156082" w:themeColor="accent1"/>
                              <w:sz w:val="28"/>
                              <w:szCs w:val="28"/>
                            </w:rPr>
                          </w:pPr>
                        </w:p>
                        <w:p w14:paraId="5660BD41" w14:textId="18E4BB32" w:rsidR="00BE61AB" w:rsidRDefault="00BE61AB">
                          <w:pPr>
                            <w:pStyle w:val="NoSpacing"/>
                            <w:jc w:val="right"/>
                            <w:rPr>
                              <w:color w:val="156082" w:themeColor="accent1"/>
                              <w:sz w:val="28"/>
                              <w:szCs w:val="28"/>
                            </w:rPr>
                          </w:pPr>
                          <w:r>
                            <w:rPr>
                              <w:color w:val="156082" w:themeColor="accent1"/>
                              <w:sz w:val="28"/>
                              <w:szCs w:val="28"/>
                            </w:rPr>
                            <w:t>Dilara Begum: Student ID: 2017884</w:t>
                          </w:r>
                        </w:p>
                        <w:p w14:paraId="1298FC01" w14:textId="2E238117" w:rsidR="00BE61AB" w:rsidRDefault="00BE61AB">
                          <w:pPr>
                            <w:pStyle w:val="NoSpacing"/>
                            <w:jc w:val="right"/>
                            <w:rPr>
                              <w:color w:val="156082" w:themeColor="accent1"/>
                              <w:sz w:val="28"/>
                              <w:szCs w:val="28"/>
                            </w:rPr>
                          </w:pPr>
                          <w:r>
                            <w:rPr>
                              <w:color w:val="156082" w:themeColor="accent1"/>
                              <w:sz w:val="28"/>
                              <w:szCs w:val="28"/>
                            </w:rPr>
                            <w:t xml:space="preserve">Lecturer: Danielle Dunne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8495787" w14:textId="63693714" w:rsidR="00BE61AB" w:rsidRDefault="00BE61AB">
                              <w:pPr>
                                <w:pStyle w:val="NoSpacing"/>
                                <w:jc w:val="right"/>
                                <w:rPr>
                                  <w:color w:val="595959" w:themeColor="text1" w:themeTint="A6"/>
                                  <w:sz w:val="20"/>
                                  <w:szCs w:val="20"/>
                                </w:rPr>
                              </w:pP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A2C2FD" wp14:editId="1A1F52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13247" w14:textId="35C4E0D3" w:rsidR="00BE61A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61AB">
                                      <w:rPr>
                                        <w:caps/>
                                        <w:color w:val="156082" w:themeColor="accent1"/>
                                        <w:sz w:val="64"/>
                                        <w:szCs w:val="64"/>
                                      </w:rPr>
                                      <w:t>independent pROJECT BMHP6020</w:t>
                                    </w:r>
                                  </w:sdtContent>
                                </w:sdt>
                              </w:p>
                              <w:sdt>
                                <w:sdtPr>
                                  <w:rPr>
                                    <w:rFonts w:ascii="Arial" w:eastAsia="Arial" w:hAnsi="Arial" w:cs="Arial"/>
                                    <w:b/>
                                    <w:bCs/>
                                    <w:color w:val="222222"/>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29C51" w14:textId="12DA465E" w:rsidR="00BE61AB" w:rsidRDefault="00BE61AB">
                                    <w:pPr>
                                      <w:jc w:val="right"/>
                                      <w:rPr>
                                        <w:smallCaps/>
                                        <w:color w:val="404040" w:themeColor="text1" w:themeTint="BF"/>
                                        <w:sz w:val="36"/>
                                        <w:szCs w:val="36"/>
                                      </w:rPr>
                                    </w:pPr>
                                    <w:r w:rsidRPr="00BE61AB">
                                      <w:rPr>
                                        <w:rFonts w:ascii="Arial" w:eastAsia="Arial" w:hAnsi="Arial" w:cs="Arial"/>
                                        <w:b/>
                                        <w:bCs/>
                                        <w:color w:val="222222"/>
                                        <w:sz w:val="22"/>
                                        <w:szCs w:val="22"/>
                                      </w:rPr>
                                      <w:t>To explore the barriers and challenges affecting ethnic minorities’ access to mental health services in the UK, with a focus on social, cultural, and systemic influences</w:t>
                                    </w:r>
                                    <w:r>
                                      <w:rPr>
                                        <w:rFonts w:ascii="Arial" w:eastAsia="Arial" w:hAnsi="Arial" w:cs="Arial"/>
                                        <w:b/>
                                        <w:bCs/>
                                        <w:color w:val="222222"/>
                                        <w:sz w:val="22"/>
                                        <w:szCs w:val="22"/>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A2C2F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3313247" w14:textId="35C4E0D3" w:rsidR="00BE61A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61AB">
                                <w:rPr>
                                  <w:caps/>
                                  <w:color w:val="156082" w:themeColor="accent1"/>
                                  <w:sz w:val="64"/>
                                  <w:szCs w:val="64"/>
                                </w:rPr>
                                <w:t>independent pROJECT BMHP6020</w:t>
                              </w:r>
                            </w:sdtContent>
                          </w:sdt>
                        </w:p>
                        <w:sdt>
                          <w:sdtPr>
                            <w:rPr>
                              <w:rFonts w:ascii="Arial" w:eastAsia="Arial" w:hAnsi="Arial" w:cs="Arial"/>
                              <w:b/>
                              <w:bCs/>
                              <w:color w:val="222222"/>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29C51" w14:textId="12DA465E" w:rsidR="00BE61AB" w:rsidRDefault="00BE61AB">
                              <w:pPr>
                                <w:jc w:val="right"/>
                                <w:rPr>
                                  <w:smallCaps/>
                                  <w:color w:val="404040" w:themeColor="text1" w:themeTint="BF"/>
                                  <w:sz w:val="36"/>
                                  <w:szCs w:val="36"/>
                                </w:rPr>
                              </w:pPr>
                              <w:r w:rsidRPr="00BE61AB">
                                <w:rPr>
                                  <w:rFonts w:ascii="Arial" w:eastAsia="Arial" w:hAnsi="Arial" w:cs="Arial"/>
                                  <w:b/>
                                  <w:bCs/>
                                  <w:color w:val="222222"/>
                                  <w:sz w:val="22"/>
                                  <w:szCs w:val="22"/>
                                </w:rPr>
                                <w:t>To explore the barriers and challenges affecting ethnic minorities’ access to mental health services in the UK, with a focus on social, cultural, and systemic influences</w:t>
                              </w:r>
                              <w:r>
                                <w:rPr>
                                  <w:rFonts w:ascii="Arial" w:eastAsia="Arial" w:hAnsi="Arial" w:cs="Arial"/>
                                  <w:b/>
                                  <w:bCs/>
                                  <w:color w:val="222222"/>
                                  <w:sz w:val="22"/>
                                  <w:szCs w:val="22"/>
                                </w:rPr>
                                <w:t>.</w:t>
                              </w:r>
                            </w:p>
                          </w:sdtContent>
                        </w:sdt>
                      </w:txbxContent>
                    </v:textbox>
                    <w10:wrap type="square" anchorx="page" anchory="page"/>
                  </v:shape>
                </w:pict>
              </mc:Fallback>
            </mc:AlternateContent>
          </w:r>
        </w:p>
        <w:p w14:paraId="1B90C491" w14:textId="65F91524" w:rsidR="4B3CCB66" w:rsidRPr="00DD1539" w:rsidRDefault="00BE61AB" w:rsidP="00DD1539">
          <w:pPr>
            <w:rPr>
              <w:rFonts w:ascii="Arial" w:eastAsia="Arial" w:hAnsi="Arial" w:cs="Arial"/>
              <w:sz w:val="16"/>
              <w:szCs w:val="16"/>
            </w:rPr>
          </w:pPr>
          <w:r>
            <w:rPr>
              <w:rFonts w:ascii="Arial" w:eastAsia="Arial" w:hAnsi="Arial" w:cs="Arial"/>
              <w:sz w:val="16"/>
              <w:szCs w:val="16"/>
            </w:rPr>
            <w:br w:type="page"/>
          </w:r>
          <w:r>
            <w:rPr>
              <w:noProof/>
            </w:rPr>
            <w:drawing>
              <wp:anchor distT="0" distB="0" distL="114300" distR="114300" simplePos="0" relativeHeight="251664384" behindDoc="1" locked="0" layoutInCell="1" allowOverlap="1" wp14:anchorId="5EDBF88D" wp14:editId="37DB1BE7">
                <wp:simplePos x="0" y="0"/>
                <wp:positionH relativeFrom="page">
                  <wp:posOffset>914400</wp:posOffset>
                </wp:positionH>
                <wp:positionV relativeFrom="paragraph">
                  <wp:posOffset>235585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4">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sdtContent>
    </w:sdt>
    <w:p w14:paraId="6BC3C380" w14:textId="120E5E2A" w:rsidR="00E07C02" w:rsidRPr="00BE61AB" w:rsidRDefault="7F4B8DE8" w:rsidP="00BE61AB">
      <w:pPr>
        <w:spacing w:before="120" w:after="120" w:line="360" w:lineRule="auto"/>
        <w:jc w:val="center"/>
        <w:rPr>
          <w:rFonts w:ascii="Arial" w:eastAsia="Arial" w:hAnsi="Arial" w:cs="Arial"/>
          <w:sz w:val="22"/>
          <w:szCs w:val="22"/>
        </w:rPr>
      </w:pPr>
      <w:r w:rsidRPr="4B3CCB66">
        <w:rPr>
          <w:rFonts w:ascii="Arial" w:eastAsia="Arial" w:hAnsi="Arial" w:cs="Arial"/>
          <w:b/>
          <w:bCs/>
          <w:sz w:val="22"/>
          <w:szCs w:val="22"/>
        </w:rPr>
        <w:lastRenderedPageBreak/>
        <w:t xml:space="preserve">Title: </w:t>
      </w:r>
      <w:r w:rsidR="4FD317E5" w:rsidRPr="4B3CCB66">
        <w:rPr>
          <w:rFonts w:ascii="Arial" w:eastAsia="Arial" w:hAnsi="Arial" w:cs="Arial"/>
          <w:b/>
          <w:bCs/>
          <w:color w:val="222222"/>
          <w:sz w:val="22"/>
          <w:szCs w:val="22"/>
        </w:rPr>
        <w:t>To explore the barriers and challenges affecting ethnic minorities’ access to mental health services in the UK, with a focus on social, cultural, and systemic influences.</w:t>
      </w:r>
    </w:p>
    <w:p w14:paraId="25335274" w14:textId="449EEA09" w:rsidR="00E07C02" w:rsidRPr="00BE61AB" w:rsidRDefault="5086D0D8" w:rsidP="00BE61AB">
      <w:pPr>
        <w:spacing w:before="240" w:after="240" w:line="360" w:lineRule="auto"/>
        <w:jc w:val="center"/>
        <w:rPr>
          <w:rFonts w:ascii="Arial" w:eastAsia="Arial" w:hAnsi="Arial" w:cs="Arial"/>
          <w:color w:val="000000" w:themeColor="text1"/>
          <w:sz w:val="22"/>
          <w:szCs w:val="22"/>
        </w:rPr>
      </w:pPr>
      <w:r w:rsidRPr="77176F4C">
        <w:rPr>
          <w:rFonts w:ascii="Arial" w:eastAsia="Arial" w:hAnsi="Arial" w:cs="Arial"/>
          <w:color w:val="000000" w:themeColor="text1"/>
          <w:sz w:val="22"/>
          <w:szCs w:val="22"/>
        </w:rPr>
        <w:t>Dissertation submitted as part of the requirements for the award BSc (Hons) Health and Social Care</w:t>
      </w:r>
      <w:r w:rsidR="44DE0165" w:rsidRPr="77176F4C">
        <w:rPr>
          <w:rFonts w:ascii="Arial" w:eastAsia="Arial" w:hAnsi="Arial" w:cs="Arial"/>
          <w:color w:val="000000" w:themeColor="text1"/>
          <w:sz w:val="22"/>
          <w:szCs w:val="22"/>
        </w:rPr>
        <w:t>.</w:t>
      </w:r>
      <w:r w:rsidRPr="77176F4C">
        <w:rPr>
          <w:rFonts w:ascii="Arial" w:eastAsia="Arial" w:hAnsi="Arial" w:cs="Arial"/>
          <w:color w:val="000000" w:themeColor="text1"/>
          <w:sz w:val="22"/>
          <w:szCs w:val="22"/>
        </w:rPr>
        <w:t xml:space="preserve"> </w:t>
      </w:r>
    </w:p>
    <w:p w14:paraId="2CFF8BC1" w14:textId="0904B14B" w:rsidR="00E07C02" w:rsidRDefault="6A6A2517" w:rsidP="77176F4C">
      <w:pPr>
        <w:pStyle w:val="Heading1"/>
        <w:spacing w:before="0" w:line="360" w:lineRule="auto"/>
        <w:rPr>
          <w:rFonts w:ascii="Arial" w:eastAsia="Arial" w:hAnsi="Arial" w:cs="Arial"/>
          <w:b/>
          <w:bCs/>
          <w:color w:val="000000" w:themeColor="text1"/>
          <w:sz w:val="22"/>
          <w:szCs w:val="22"/>
        </w:rPr>
      </w:pPr>
      <w:r w:rsidRPr="77176F4C">
        <w:rPr>
          <w:rFonts w:ascii="Arial" w:eastAsia="Arial" w:hAnsi="Arial" w:cs="Arial"/>
          <w:b/>
          <w:bCs/>
          <w:color w:val="000000" w:themeColor="text1"/>
          <w:sz w:val="22"/>
          <w:szCs w:val="22"/>
        </w:rPr>
        <w:t>Disclaimer</w:t>
      </w:r>
    </w:p>
    <w:p w14:paraId="5D508228" w14:textId="1F0C2A05" w:rsidR="00E07C02" w:rsidRDefault="6A6A2517" w:rsidP="77176F4C">
      <w:pPr>
        <w:spacing w:before="62" w:line="360" w:lineRule="auto"/>
        <w:ind w:right="96"/>
        <w:jc w:val="both"/>
        <w:rPr>
          <w:rFonts w:ascii="Arial" w:eastAsia="Arial" w:hAnsi="Arial" w:cs="Arial"/>
          <w:sz w:val="22"/>
          <w:szCs w:val="22"/>
        </w:rPr>
      </w:pPr>
      <w:r w:rsidRPr="77176F4C">
        <w:rPr>
          <w:rFonts w:ascii="Arial" w:eastAsia="Arial" w:hAnsi="Arial" w:cs="Arial"/>
          <w:sz w:val="22"/>
          <w:szCs w:val="22"/>
        </w:rPr>
        <w:t xml:space="preserve">This document was correct at the time of publication. The Module Coordinator reserves the right to modify any </w:t>
      </w:r>
      <w:r w:rsidR="002F4485" w:rsidRPr="77176F4C">
        <w:rPr>
          <w:rFonts w:ascii="Arial" w:eastAsia="Arial" w:hAnsi="Arial" w:cs="Arial"/>
          <w:sz w:val="22"/>
          <w:szCs w:val="22"/>
        </w:rPr>
        <w:t>statement,</w:t>
      </w:r>
      <w:r w:rsidRPr="77176F4C">
        <w:rPr>
          <w:rFonts w:ascii="Arial" w:eastAsia="Arial" w:hAnsi="Arial" w:cs="Arial"/>
          <w:sz w:val="22"/>
          <w:szCs w:val="22"/>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478A755" w14:textId="5A56343D" w:rsidR="00E07C02" w:rsidRDefault="6A6A2517" w:rsidP="77176F4C">
      <w:pPr>
        <w:spacing w:line="360" w:lineRule="auto"/>
        <w:jc w:val="both"/>
        <w:rPr>
          <w:rFonts w:ascii="Arial" w:eastAsia="Arial" w:hAnsi="Arial" w:cs="Arial"/>
          <w:b/>
          <w:bCs/>
          <w:sz w:val="22"/>
          <w:szCs w:val="22"/>
        </w:rPr>
      </w:pPr>
      <w:r w:rsidRPr="77176F4C">
        <w:rPr>
          <w:rFonts w:ascii="Arial" w:eastAsia="Arial" w:hAnsi="Arial" w:cs="Arial"/>
          <w:b/>
          <w:bCs/>
          <w:sz w:val="22"/>
          <w:szCs w:val="22"/>
        </w:rPr>
        <w:t>DECLARATION</w:t>
      </w:r>
    </w:p>
    <w:p w14:paraId="795B62D9" w14:textId="432395FC"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This work has not previously been accepted in substance for any degree and is not being concurrently submitted in candidature for any degree</w:t>
      </w:r>
    </w:p>
    <w:p w14:paraId="17211ED0" w14:textId="6B6779F2" w:rsidR="00E92A37" w:rsidRPr="00E92A37" w:rsidRDefault="6A6A2517" w:rsidP="00E92A37">
      <w:pPr>
        <w:spacing w:line="360" w:lineRule="auto"/>
        <w:jc w:val="both"/>
        <w:rPr>
          <w:rFonts w:ascii="Arial" w:eastAsia="Arial" w:hAnsi="Arial" w:cs="Arial"/>
          <w:sz w:val="22"/>
          <w:szCs w:val="22"/>
        </w:rPr>
      </w:pPr>
      <w:r w:rsidRPr="77176F4C">
        <w:rPr>
          <w:rFonts w:ascii="Arial" w:eastAsia="Arial" w:hAnsi="Arial" w:cs="Arial"/>
          <w:sz w:val="22"/>
          <w:szCs w:val="22"/>
        </w:rPr>
        <w:t>Signed</w:t>
      </w:r>
      <w:r w:rsidR="00E92A37">
        <w:rPr>
          <w:rFonts w:ascii="Arial" w:eastAsia="Arial" w:hAnsi="Arial" w:cs="Arial"/>
          <w:sz w:val="22"/>
          <w:szCs w:val="22"/>
        </w:rPr>
        <w:t xml:space="preserve"> </w:t>
      </w:r>
      <w:r w:rsidRPr="77176F4C">
        <w:rPr>
          <w:rFonts w:ascii="Arial" w:eastAsia="Arial" w:hAnsi="Arial" w:cs="Arial"/>
          <w:sz w:val="22"/>
          <w:szCs w:val="22"/>
        </w:rPr>
        <w:t>…</w:t>
      </w:r>
      <w:r w:rsidR="00E92A37" w:rsidRPr="00E92A37">
        <w:rPr>
          <w:rFonts w:ascii="Arial" w:eastAsia="Arial" w:hAnsi="Arial" w:cs="Arial"/>
          <w:noProof/>
          <w:sz w:val="22"/>
          <w:szCs w:val="22"/>
        </w:rPr>
        <w:drawing>
          <wp:inline distT="0" distB="0" distL="0" distR="0" wp14:anchorId="7BBE2D33" wp14:editId="27350859">
            <wp:extent cx="1104900" cy="406400"/>
            <wp:effectExtent l="0" t="0" r="0" b="0"/>
            <wp:docPr id="18181884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4334" cy="409870"/>
                    </a:xfrm>
                    <a:prstGeom prst="rect">
                      <a:avLst/>
                    </a:prstGeom>
                    <a:noFill/>
                    <a:ln>
                      <a:noFill/>
                    </a:ln>
                  </pic:spPr>
                </pic:pic>
              </a:graphicData>
            </a:graphic>
          </wp:inline>
        </w:drawing>
      </w:r>
      <w:r w:rsidR="00E92A37" w:rsidRPr="00E92A37">
        <w:rPr>
          <w:rFonts w:ascii="Times New Roman" w:eastAsia="Times New Roman" w:hAnsi="Times New Roman" w:cs="Times New Roman"/>
          <w:lang w:eastAsia="en-GB"/>
        </w:rPr>
        <w:t xml:space="preserve"> </w:t>
      </w:r>
    </w:p>
    <w:p w14:paraId="65CAF676" w14:textId="6CA7C124"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w:t>
      </w:r>
    </w:p>
    <w:p w14:paraId="5E99E3DA" w14:textId="5D314452" w:rsidR="00E07C02" w:rsidRPr="00DD1539"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Date…</w:t>
      </w:r>
      <w:r w:rsidR="00CE5FC0">
        <w:rPr>
          <w:rFonts w:ascii="Arial" w:eastAsia="Arial" w:hAnsi="Arial" w:cs="Arial"/>
          <w:sz w:val="22"/>
          <w:szCs w:val="22"/>
        </w:rPr>
        <w:t>16/03/2026</w:t>
      </w:r>
      <w:r w:rsidRPr="77176F4C">
        <w:rPr>
          <w:rFonts w:ascii="Arial" w:eastAsia="Arial" w:hAnsi="Arial" w:cs="Arial"/>
          <w:sz w:val="22"/>
          <w:szCs w:val="22"/>
        </w:rPr>
        <w:t>……………………………………………</w:t>
      </w:r>
    </w:p>
    <w:p w14:paraId="4DE7AE02" w14:textId="12B955B4" w:rsidR="00E07C02" w:rsidRDefault="6A6A2517" w:rsidP="77176F4C">
      <w:pPr>
        <w:spacing w:line="360" w:lineRule="auto"/>
        <w:jc w:val="both"/>
        <w:rPr>
          <w:rFonts w:ascii="Arial" w:eastAsia="Arial" w:hAnsi="Arial" w:cs="Arial"/>
          <w:b/>
          <w:bCs/>
          <w:sz w:val="22"/>
          <w:szCs w:val="22"/>
        </w:rPr>
      </w:pPr>
      <w:r w:rsidRPr="77176F4C">
        <w:rPr>
          <w:rFonts w:ascii="Arial" w:eastAsia="Arial" w:hAnsi="Arial" w:cs="Arial"/>
          <w:b/>
          <w:bCs/>
          <w:sz w:val="22"/>
          <w:szCs w:val="22"/>
        </w:rPr>
        <w:t xml:space="preserve">STATEMENT 1 </w:t>
      </w:r>
    </w:p>
    <w:p w14:paraId="1002B98E" w14:textId="53337F43"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This dissertation is being submitted in partial fulfilment of the requirements for the degree of BSc.</w:t>
      </w:r>
    </w:p>
    <w:p w14:paraId="03D0C366" w14:textId="22D9AC4C"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Signed………</w:t>
      </w:r>
      <w:r w:rsidR="00CE5FC0" w:rsidRPr="00E92A37">
        <w:rPr>
          <w:rFonts w:ascii="Arial" w:eastAsia="Arial" w:hAnsi="Arial" w:cs="Arial"/>
          <w:noProof/>
          <w:sz w:val="22"/>
          <w:szCs w:val="22"/>
        </w:rPr>
        <w:drawing>
          <wp:inline distT="0" distB="0" distL="0" distR="0" wp14:anchorId="707CFA8A" wp14:editId="3BEF84B6">
            <wp:extent cx="1073785" cy="426708"/>
            <wp:effectExtent l="0" t="0" r="0" b="0"/>
            <wp:docPr id="17387922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90183" cy="433225"/>
                    </a:xfrm>
                    <a:prstGeom prst="rect">
                      <a:avLst/>
                    </a:prstGeom>
                    <a:noFill/>
                    <a:ln>
                      <a:noFill/>
                    </a:ln>
                  </pic:spPr>
                </pic:pic>
              </a:graphicData>
            </a:graphic>
          </wp:inline>
        </w:drawing>
      </w:r>
      <w:r w:rsidRPr="77176F4C">
        <w:rPr>
          <w:rFonts w:ascii="Arial" w:eastAsia="Arial" w:hAnsi="Arial" w:cs="Arial"/>
          <w:sz w:val="22"/>
          <w:szCs w:val="22"/>
        </w:rPr>
        <w:t xml:space="preserve">…………………… </w:t>
      </w:r>
    </w:p>
    <w:p w14:paraId="447A6A7D" w14:textId="3543018C"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Date………</w:t>
      </w:r>
      <w:r w:rsidR="00CE5FC0">
        <w:rPr>
          <w:rFonts w:ascii="Arial" w:eastAsia="Arial" w:hAnsi="Arial" w:cs="Arial"/>
          <w:sz w:val="22"/>
          <w:szCs w:val="22"/>
        </w:rPr>
        <w:t>16/03/2026</w:t>
      </w:r>
      <w:r w:rsidRPr="77176F4C">
        <w:rPr>
          <w:rFonts w:ascii="Arial" w:eastAsia="Arial" w:hAnsi="Arial" w:cs="Arial"/>
          <w:sz w:val="22"/>
          <w:szCs w:val="22"/>
        </w:rPr>
        <w:t>………………………………………</w:t>
      </w:r>
    </w:p>
    <w:p w14:paraId="63A2776E" w14:textId="0E93764B" w:rsidR="00E07C02" w:rsidRDefault="6A6A2517" w:rsidP="77176F4C">
      <w:pPr>
        <w:spacing w:line="360" w:lineRule="auto"/>
        <w:jc w:val="both"/>
        <w:rPr>
          <w:rFonts w:ascii="Arial" w:eastAsia="Arial" w:hAnsi="Arial" w:cs="Arial"/>
          <w:b/>
          <w:bCs/>
          <w:sz w:val="22"/>
          <w:szCs w:val="22"/>
        </w:rPr>
      </w:pPr>
      <w:r w:rsidRPr="77176F4C">
        <w:rPr>
          <w:rFonts w:ascii="Arial" w:eastAsia="Arial" w:hAnsi="Arial" w:cs="Arial"/>
          <w:b/>
          <w:bCs/>
          <w:sz w:val="22"/>
          <w:szCs w:val="22"/>
        </w:rPr>
        <w:t>STATEMENT 2</w:t>
      </w:r>
    </w:p>
    <w:p w14:paraId="258DA17C" w14:textId="68A4E525"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This dissertation is the result of my own independent work/investigation, except where otherwise stated. Other sources are acknowledged by footnotes giving explicit references.  A bibliography is appended.</w:t>
      </w:r>
    </w:p>
    <w:p w14:paraId="00995BDD" w14:textId="77777777" w:rsidR="00CE5FC0" w:rsidRDefault="00CE5FC0" w:rsidP="77176F4C">
      <w:pPr>
        <w:spacing w:line="360" w:lineRule="auto"/>
        <w:jc w:val="both"/>
        <w:rPr>
          <w:rFonts w:ascii="Arial" w:eastAsia="Arial" w:hAnsi="Arial" w:cs="Arial"/>
          <w:sz w:val="22"/>
          <w:szCs w:val="22"/>
        </w:rPr>
      </w:pPr>
    </w:p>
    <w:p w14:paraId="34C5E423" w14:textId="6CE0D64C"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lastRenderedPageBreak/>
        <w:t>Signed……</w:t>
      </w:r>
      <w:r w:rsidR="00CE5FC0" w:rsidRPr="00E92A37">
        <w:rPr>
          <w:rFonts w:ascii="Arial" w:eastAsia="Arial" w:hAnsi="Arial" w:cs="Arial"/>
          <w:noProof/>
          <w:sz w:val="22"/>
          <w:szCs w:val="22"/>
        </w:rPr>
        <w:drawing>
          <wp:inline distT="0" distB="0" distL="0" distR="0" wp14:anchorId="5ED3000C" wp14:editId="032B1799">
            <wp:extent cx="1104900" cy="406400"/>
            <wp:effectExtent l="0" t="0" r="0" b="0"/>
            <wp:docPr id="12395686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4334" cy="409870"/>
                    </a:xfrm>
                    <a:prstGeom prst="rect">
                      <a:avLst/>
                    </a:prstGeom>
                    <a:noFill/>
                    <a:ln>
                      <a:noFill/>
                    </a:ln>
                  </pic:spPr>
                </pic:pic>
              </a:graphicData>
            </a:graphic>
          </wp:inline>
        </w:drawing>
      </w:r>
      <w:r w:rsidRPr="77176F4C">
        <w:rPr>
          <w:rFonts w:ascii="Arial" w:eastAsia="Arial" w:hAnsi="Arial" w:cs="Arial"/>
          <w:sz w:val="22"/>
          <w:szCs w:val="22"/>
        </w:rPr>
        <w:t>…………</w:t>
      </w:r>
    </w:p>
    <w:p w14:paraId="262DBA49" w14:textId="39ACF160"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Date…</w:t>
      </w:r>
      <w:r w:rsidR="00CE5FC0">
        <w:rPr>
          <w:rFonts w:ascii="Arial" w:eastAsia="Arial" w:hAnsi="Arial" w:cs="Arial"/>
          <w:sz w:val="22"/>
          <w:szCs w:val="22"/>
        </w:rPr>
        <w:t>16/03/2026</w:t>
      </w:r>
      <w:r w:rsidRPr="77176F4C">
        <w:rPr>
          <w:rFonts w:ascii="Arial" w:eastAsia="Arial" w:hAnsi="Arial" w:cs="Arial"/>
          <w:sz w:val="22"/>
          <w:szCs w:val="22"/>
        </w:rPr>
        <w:t xml:space="preserve">…………………………………………… </w:t>
      </w:r>
    </w:p>
    <w:p w14:paraId="006811FC" w14:textId="77777777" w:rsidR="00DD1539" w:rsidRDefault="00DD1539" w:rsidP="77176F4C">
      <w:pPr>
        <w:spacing w:line="360" w:lineRule="auto"/>
        <w:jc w:val="both"/>
        <w:rPr>
          <w:rFonts w:ascii="Arial" w:eastAsia="Arial" w:hAnsi="Arial" w:cs="Arial"/>
          <w:b/>
          <w:bCs/>
          <w:sz w:val="22"/>
          <w:szCs w:val="22"/>
        </w:rPr>
      </w:pPr>
    </w:p>
    <w:p w14:paraId="31102F72" w14:textId="4A8C38B3" w:rsidR="00E07C02" w:rsidRDefault="6A6A2517" w:rsidP="77176F4C">
      <w:pPr>
        <w:spacing w:line="360" w:lineRule="auto"/>
        <w:jc w:val="both"/>
        <w:rPr>
          <w:rFonts w:ascii="Arial" w:eastAsia="Arial" w:hAnsi="Arial" w:cs="Arial"/>
          <w:b/>
          <w:bCs/>
          <w:sz w:val="22"/>
          <w:szCs w:val="22"/>
        </w:rPr>
      </w:pPr>
      <w:r w:rsidRPr="77176F4C">
        <w:rPr>
          <w:rFonts w:ascii="Arial" w:eastAsia="Arial" w:hAnsi="Arial" w:cs="Arial"/>
          <w:b/>
          <w:bCs/>
          <w:sz w:val="22"/>
          <w:szCs w:val="22"/>
        </w:rPr>
        <w:t>STATEMENT 3</w:t>
      </w:r>
    </w:p>
    <w:p w14:paraId="06D8DE63" w14:textId="3E8038E5"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I hereby give consent for my dissertation, if accepted, to be available for photocopying and for interlibrary loan, and for the title and summary to be made available to outside organisations.</w:t>
      </w:r>
    </w:p>
    <w:p w14:paraId="37802F6A" w14:textId="3AB4C19F"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Signed……</w:t>
      </w:r>
      <w:r w:rsidR="00E92A37" w:rsidRPr="00E92A37">
        <w:rPr>
          <w:rFonts w:ascii="Arial" w:eastAsia="Arial" w:hAnsi="Arial" w:cs="Arial"/>
          <w:noProof/>
          <w:sz w:val="22"/>
          <w:szCs w:val="22"/>
        </w:rPr>
        <w:drawing>
          <wp:inline distT="0" distB="0" distL="0" distR="0" wp14:anchorId="08CE97B6" wp14:editId="7671B49E">
            <wp:extent cx="1104900" cy="406400"/>
            <wp:effectExtent l="0" t="0" r="0" b="0"/>
            <wp:docPr id="16471697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4334" cy="409870"/>
                    </a:xfrm>
                    <a:prstGeom prst="rect">
                      <a:avLst/>
                    </a:prstGeom>
                    <a:noFill/>
                    <a:ln>
                      <a:noFill/>
                    </a:ln>
                  </pic:spPr>
                </pic:pic>
              </a:graphicData>
            </a:graphic>
          </wp:inline>
        </w:drawing>
      </w:r>
      <w:r w:rsidRPr="77176F4C">
        <w:rPr>
          <w:rFonts w:ascii="Arial" w:eastAsia="Arial" w:hAnsi="Arial" w:cs="Arial"/>
          <w:sz w:val="22"/>
          <w:szCs w:val="22"/>
        </w:rPr>
        <w:t>…………………………………</w:t>
      </w:r>
    </w:p>
    <w:p w14:paraId="0D4BF1E0" w14:textId="6E9FC243" w:rsidR="00E07C02" w:rsidRDefault="6A6A2517" w:rsidP="77176F4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22"/>
          <w:szCs w:val="22"/>
        </w:rPr>
      </w:pPr>
      <w:r w:rsidRPr="77176F4C">
        <w:rPr>
          <w:rFonts w:ascii="Arial" w:eastAsia="Arial" w:hAnsi="Arial" w:cs="Arial"/>
          <w:sz w:val="22"/>
          <w:szCs w:val="22"/>
        </w:rPr>
        <w:t>Date……</w:t>
      </w:r>
      <w:r w:rsidR="00CE5FC0">
        <w:rPr>
          <w:rFonts w:ascii="Arial" w:eastAsia="Arial" w:hAnsi="Arial" w:cs="Arial"/>
          <w:sz w:val="22"/>
          <w:szCs w:val="22"/>
        </w:rPr>
        <w:t>16/03/2026</w:t>
      </w:r>
      <w:r w:rsidRPr="77176F4C">
        <w:rPr>
          <w:rFonts w:ascii="Arial" w:eastAsia="Arial" w:hAnsi="Arial" w:cs="Arial"/>
          <w:sz w:val="22"/>
          <w:szCs w:val="22"/>
        </w:rPr>
        <w:t>……………………………………………</w:t>
      </w:r>
    </w:p>
    <w:p w14:paraId="6991A46A" w14:textId="2AEAB441" w:rsidR="00E07C02" w:rsidRDefault="6A6A2517" w:rsidP="77176F4C">
      <w:pPr>
        <w:spacing w:line="360" w:lineRule="auto"/>
        <w:jc w:val="both"/>
        <w:rPr>
          <w:rFonts w:ascii="Arial" w:eastAsia="Arial" w:hAnsi="Arial" w:cs="Arial"/>
          <w:b/>
          <w:bCs/>
          <w:sz w:val="22"/>
          <w:szCs w:val="22"/>
        </w:rPr>
      </w:pPr>
      <w:r w:rsidRPr="77176F4C">
        <w:rPr>
          <w:rFonts w:ascii="Arial" w:eastAsia="Arial" w:hAnsi="Arial" w:cs="Arial"/>
          <w:b/>
          <w:bCs/>
          <w:sz w:val="22"/>
          <w:szCs w:val="22"/>
        </w:rPr>
        <w:t>STATEMENT 4</w:t>
      </w:r>
    </w:p>
    <w:p w14:paraId="28CAFC9A" w14:textId="74274A24"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I hereby give consent for my dissertation, if accepted, to be available on the university’s IT system to those who have consent to use the system.</w:t>
      </w:r>
    </w:p>
    <w:p w14:paraId="720A1677" w14:textId="671290AB" w:rsidR="00E07C02" w:rsidRDefault="6A6A2517" w:rsidP="77176F4C">
      <w:pPr>
        <w:spacing w:line="360" w:lineRule="auto"/>
        <w:jc w:val="both"/>
        <w:rPr>
          <w:rFonts w:ascii="Arial" w:eastAsia="Arial" w:hAnsi="Arial" w:cs="Arial"/>
          <w:sz w:val="22"/>
          <w:szCs w:val="22"/>
        </w:rPr>
      </w:pPr>
      <w:r w:rsidRPr="77176F4C">
        <w:rPr>
          <w:rFonts w:ascii="Arial" w:eastAsia="Arial" w:hAnsi="Arial" w:cs="Arial"/>
          <w:sz w:val="22"/>
          <w:szCs w:val="22"/>
        </w:rPr>
        <w:t>Signed…</w:t>
      </w:r>
      <w:r w:rsidR="00E92A37" w:rsidRPr="00E92A37">
        <w:rPr>
          <w:rFonts w:ascii="Arial" w:eastAsia="Arial" w:hAnsi="Arial" w:cs="Arial"/>
          <w:noProof/>
          <w:sz w:val="22"/>
          <w:szCs w:val="22"/>
        </w:rPr>
        <w:drawing>
          <wp:inline distT="0" distB="0" distL="0" distR="0" wp14:anchorId="4E44E9A7" wp14:editId="2022E9D8">
            <wp:extent cx="1104900" cy="406400"/>
            <wp:effectExtent l="0" t="0" r="0" b="0"/>
            <wp:docPr id="9900884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4334" cy="409870"/>
                    </a:xfrm>
                    <a:prstGeom prst="rect">
                      <a:avLst/>
                    </a:prstGeom>
                    <a:noFill/>
                    <a:ln>
                      <a:noFill/>
                    </a:ln>
                  </pic:spPr>
                </pic:pic>
              </a:graphicData>
            </a:graphic>
          </wp:inline>
        </w:drawing>
      </w:r>
      <w:r w:rsidRPr="77176F4C">
        <w:rPr>
          <w:rFonts w:ascii="Arial" w:eastAsia="Arial" w:hAnsi="Arial" w:cs="Arial"/>
          <w:sz w:val="22"/>
          <w:szCs w:val="22"/>
        </w:rPr>
        <w:t>……………………………………………</w:t>
      </w:r>
    </w:p>
    <w:p w14:paraId="709222D3" w14:textId="4F707B02" w:rsidR="00E07C02" w:rsidRDefault="6A6A2517" w:rsidP="77176F4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22"/>
          <w:szCs w:val="22"/>
        </w:rPr>
      </w:pPr>
      <w:r w:rsidRPr="77176F4C">
        <w:rPr>
          <w:rFonts w:ascii="Arial" w:eastAsia="Arial" w:hAnsi="Arial" w:cs="Arial"/>
          <w:sz w:val="22"/>
          <w:szCs w:val="22"/>
        </w:rPr>
        <w:t>Date………</w:t>
      </w:r>
      <w:r w:rsidR="00CE5FC0">
        <w:rPr>
          <w:rFonts w:ascii="Arial" w:eastAsia="Arial" w:hAnsi="Arial" w:cs="Arial"/>
          <w:sz w:val="22"/>
          <w:szCs w:val="22"/>
        </w:rPr>
        <w:t>16/03/2026</w:t>
      </w:r>
      <w:r w:rsidRPr="77176F4C">
        <w:rPr>
          <w:rFonts w:ascii="Arial" w:eastAsia="Arial" w:hAnsi="Arial" w:cs="Arial"/>
          <w:sz w:val="22"/>
          <w:szCs w:val="22"/>
        </w:rPr>
        <w:t>…………………………………………</w:t>
      </w:r>
    </w:p>
    <w:p w14:paraId="24128A6A" w14:textId="23E8E796" w:rsidR="00E07C02" w:rsidRDefault="00E07C02" w:rsidP="77176F4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rial" w:eastAsia="Arial" w:hAnsi="Arial" w:cs="Arial"/>
          <w:sz w:val="22"/>
          <w:szCs w:val="22"/>
        </w:rPr>
      </w:pPr>
    </w:p>
    <w:p w14:paraId="08E79F97" w14:textId="086ACF93" w:rsidR="00E07C02" w:rsidRDefault="00E07C02" w:rsidP="77176F4C">
      <w:pPr>
        <w:spacing w:line="360" w:lineRule="auto"/>
        <w:jc w:val="both"/>
        <w:rPr>
          <w:rFonts w:ascii="Arial" w:eastAsia="Arial" w:hAnsi="Arial" w:cs="Arial"/>
          <w:sz w:val="22"/>
          <w:szCs w:val="22"/>
        </w:rPr>
      </w:pPr>
    </w:p>
    <w:p w14:paraId="5E5787A5" w14:textId="2535A0F9" w:rsidR="00E07C02" w:rsidRDefault="00E07C02" w:rsidP="00BE61AB">
      <w:pPr>
        <w:spacing w:line="360" w:lineRule="auto"/>
        <w:rPr>
          <w:rFonts w:ascii="Arial" w:eastAsia="Arial" w:hAnsi="Arial" w:cs="Arial"/>
          <w:sz w:val="22"/>
          <w:szCs w:val="22"/>
        </w:rPr>
      </w:pPr>
    </w:p>
    <w:p w14:paraId="0FA35FDE" w14:textId="69A22346" w:rsidR="77176F4C" w:rsidRDefault="77176F4C" w:rsidP="77176F4C">
      <w:pPr>
        <w:spacing w:line="360" w:lineRule="auto"/>
        <w:rPr>
          <w:rFonts w:ascii="Arial" w:eastAsia="Arial" w:hAnsi="Arial" w:cs="Arial"/>
          <w:sz w:val="22"/>
          <w:szCs w:val="22"/>
        </w:rPr>
      </w:pPr>
    </w:p>
    <w:p w14:paraId="6AF298D0" w14:textId="2F1D6500" w:rsidR="77176F4C" w:rsidRDefault="77176F4C" w:rsidP="77176F4C">
      <w:pPr>
        <w:spacing w:line="360" w:lineRule="auto"/>
        <w:rPr>
          <w:rFonts w:ascii="Arial" w:eastAsia="Arial" w:hAnsi="Arial" w:cs="Arial"/>
          <w:sz w:val="22"/>
          <w:szCs w:val="22"/>
        </w:rPr>
      </w:pPr>
    </w:p>
    <w:p w14:paraId="4CDCA80C" w14:textId="77777777" w:rsidR="00DD1539" w:rsidRDefault="00DD1539" w:rsidP="77176F4C">
      <w:pPr>
        <w:spacing w:line="360" w:lineRule="auto"/>
        <w:rPr>
          <w:rFonts w:ascii="Arial" w:eastAsia="Arial" w:hAnsi="Arial" w:cs="Arial"/>
          <w:sz w:val="22"/>
          <w:szCs w:val="22"/>
        </w:rPr>
      </w:pPr>
    </w:p>
    <w:p w14:paraId="3410BAAF" w14:textId="77777777" w:rsidR="00DD1539" w:rsidRDefault="00DD1539" w:rsidP="77176F4C">
      <w:pPr>
        <w:spacing w:line="360" w:lineRule="auto"/>
        <w:rPr>
          <w:rFonts w:ascii="Arial" w:eastAsia="Arial" w:hAnsi="Arial" w:cs="Arial"/>
          <w:sz w:val="22"/>
          <w:szCs w:val="22"/>
        </w:rPr>
      </w:pPr>
    </w:p>
    <w:p w14:paraId="45B163E3" w14:textId="77777777" w:rsidR="00DD1539" w:rsidRDefault="00DD1539" w:rsidP="77176F4C">
      <w:pPr>
        <w:spacing w:line="360" w:lineRule="auto"/>
        <w:rPr>
          <w:rFonts w:ascii="Arial" w:eastAsia="Arial" w:hAnsi="Arial" w:cs="Arial"/>
          <w:sz w:val="22"/>
          <w:szCs w:val="22"/>
        </w:rPr>
      </w:pPr>
    </w:p>
    <w:p w14:paraId="7AF27429" w14:textId="77777777" w:rsidR="00DD1539" w:rsidRDefault="00DD1539" w:rsidP="77176F4C">
      <w:pPr>
        <w:spacing w:line="360" w:lineRule="auto"/>
        <w:rPr>
          <w:rFonts w:ascii="Arial" w:eastAsia="Arial" w:hAnsi="Arial" w:cs="Arial"/>
          <w:sz w:val="22"/>
          <w:szCs w:val="22"/>
        </w:rPr>
      </w:pPr>
    </w:p>
    <w:p w14:paraId="59ACD69F" w14:textId="77777777" w:rsidR="00DD1539" w:rsidRDefault="00DD1539" w:rsidP="77176F4C">
      <w:pPr>
        <w:spacing w:line="360" w:lineRule="auto"/>
        <w:rPr>
          <w:rFonts w:ascii="Arial" w:eastAsia="Arial" w:hAnsi="Arial" w:cs="Arial"/>
          <w:sz w:val="22"/>
          <w:szCs w:val="22"/>
        </w:rPr>
      </w:pPr>
    </w:p>
    <w:p w14:paraId="51708C8F" w14:textId="77777777" w:rsidR="00DD1539" w:rsidRDefault="00DD1539" w:rsidP="77176F4C">
      <w:pPr>
        <w:spacing w:line="360" w:lineRule="auto"/>
        <w:rPr>
          <w:rFonts w:ascii="Arial" w:eastAsia="Arial" w:hAnsi="Arial" w:cs="Arial"/>
          <w:sz w:val="22"/>
          <w:szCs w:val="22"/>
        </w:rPr>
      </w:pPr>
    </w:p>
    <w:p w14:paraId="25851C1E" w14:textId="20A36834" w:rsidR="77176F4C" w:rsidRDefault="77176F4C" w:rsidP="77176F4C">
      <w:pPr>
        <w:spacing w:line="360" w:lineRule="auto"/>
        <w:rPr>
          <w:rFonts w:ascii="Arial" w:eastAsia="Arial" w:hAnsi="Arial" w:cs="Arial"/>
          <w:sz w:val="22"/>
          <w:szCs w:val="22"/>
        </w:rPr>
      </w:pPr>
    </w:p>
    <w:p w14:paraId="2A8CA295" w14:textId="0C059699" w:rsidR="001C06F3" w:rsidRPr="00BE61AB" w:rsidRDefault="3FBB8233" w:rsidP="4B3CCB66">
      <w:pPr>
        <w:spacing w:line="360" w:lineRule="auto"/>
        <w:rPr>
          <w:rFonts w:ascii="Arial" w:eastAsia="Arial" w:hAnsi="Arial" w:cs="Arial"/>
          <w:b/>
          <w:bCs/>
          <w:sz w:val="22"/>
          <w:szCs w:val="22"/>
        </w:rPr>
      </w:pPr>
      <w:r w:rsidRPr="4B3CCB66">
        <w:rPr>
          <w:rFonts w:ascii="Arial" w:eastAsia="Arial" w:hAnsi="Arial" w:cs="Arial"/>
          <w:b/>
          <w:bCs/>
          <w:sz w:val="22"/>
          <w:szCs w:val="22"/>
        </w:rPr>
        <w:t xml:space="preserve">Table </w:t>
      </w:r>
      <w:r w:rsidR="3EF83005" w:rsidRPr="4B3CCB66">
        <w:rPr>
          <w:rFonts w:ascii="Arial" w:eastAsia="Arial" w:hAnsi="Arial" w:cs="Arial"/>
          <w:b/>
          <w:bCs/>
          <w:sz w:val="22"/>
          <w:szCs w:val="22"/>
        </w:rPr>
        <w:t>o</w:t>
      </w:r>
      <w:r w:rsidRPr="4B3CCB66">
        <w:rPr>
          <w:rFonts w:ascii="Arial" w:eastAsia="Arial" w:hAnsi="Arial" w:cs="Arial"/>
          <w:b/>
          <w:bCs/>
          <w:sz w:val="22"/>
          <w:szCs w:val="22"/>
        </w:rPr>
        <w:t xml:space="preserve">f contents </w:t>
      </w:r>
    </w:p>
    <w:sdt>
      <w:sdtPr>
        <w:rPr>
          <w:rStyle w:val="Hyperlink"/>
          <w:rFonts w:ascii="Arial" w:eastAsia="Arial" w:hAnsi="Arial" w:cs="Arial"/>
          <w:sz w:val="22"/>
          <w:szCs w:val="22"/>
        </w:rPr>
        <w:id w:val="1016917996"/>
        <w:docPartObj>
          <w:docPartGallery w:val="Table of Contents"/>
          <w:docPartUnique/>
        </w:docPartObj>
      </w:sdtPr>
      <w:sdtContent>
        <w:p w14:paraId="0E9E3DAB" w14:textId="6D025171" w:rsidR="67BAD222" w:rsidRDefault="67BAD222" w:rsidP="67BAD222">
          <w:pPr>
            <w:pStyle w:val="TOC1"/>
            <w:tabs>
              <w:tab w:val="right" w:leader="dot" w:pos="9015"/>
            </w:tabs>
            <w:rPr>
              <w:rStyle w:val="Hyperlink"/>
              <w:rFonts w:ascii="Arial" w:eastAsia="Arial" w:hAnsi="Arial" w:cs="Arial"/>
              <w:sz w:val="22"/>
              <w:szCs w:val="22"/>
            </w:rPr>
          </w:pPr>
          <w:r>
            <w:fldChar w:fldCharType="begin"/>
          </w:r>
          <w:r>
            <w:instrText>TOC \o \z \u \h</w:instrText>
          </w:r>
          <w:r>
            <w:fldChar w:fldCharType="separate"/>
          </w:r>
          <w:hyperlink w:anchor="_Toc597174722">
            <w:r w:rsidR="6C121CDF" w:rsidRPr="24E26AF7">
              <w:rPr>
                <w:rStyle w:val="Hyperlink"/>
                <w:rFonts w:ascii="Arial" w:eastAsia="Arial" w:hAnsi="Arial" w:cs="Arial"/>
                <w:sz w:val="22"/>
                <w:szCs w:val="22"/>
              </w:rPr>
              <w:t>Abstract</w:t>
            </w:r>
            <w:r>
              <w:tab/>
            </w:r>
            <w:r>
              <w:fldChar w:fldCharType="begin"/>
            </w:r>
            <w:r>
              <w:instrText>PAGEREF _Toc597174722 \h</w:instrText>
            </w:r>
            <w:r>
              <w:fldChar w:fldCharType="separate"/>
            </w:r>
            <w:r w:rsidR="6C121CDF" w:rsidRPr="24E26AF7">
              <w:rPr>
                <w:rStyle w:val="Hyperlink"/>
                <w:rFonts w:ascii="Arial" w:eastAsia="Arial" w:hAnsi="Arial" w:cs="Arial"/>
                <w:sz w:val="22"/>
                <w:szCs w:val="22"/>
              </w:rPr>
              <w:t>3</w:t>
            </w:r>
            <w:r>
              <w:fldChar w:fldCharType="end"/>
            </w:r>
          </w:hyperlink>
        </w:p>
        <w:p w14:paraId="548FDE64" w14:textId="487058E6" w:rsidR="67BAD222" w:rsidRDefault="6C121CDF" w:rsidP="67BAD222">
          <w:pPr>
            <w:pStyle w:val="TOC1"/>
            <w:tabs>
              <w:tab w:val="left" w:pos="480"/>
              <w:tab w:val="right" w:leader="dot" w:pos="9015"/>
            </w:tabs>
            <w:rPr>
              <w:rStyle w:val="Hyperlink"/>
              <w:rFonts w:ascii="Arial" w:eastAsia="Arial" w:hAnsi="Arial" w:cs="Arial"/>
              <w:sz w:val="22"/>
              <w:szCs w:val="22"/>
            </w:rPr>
          </w:pPr>
          <w:hyperlink w:anchor="_Toc499056894">
            <w:r w:rsidRPr="24E26AF7">
              <w:rPr>
                <w:rStyle w:val="Hyperlink"/>
                <w:rFonts w:ascii="Arial" w:eastAsia="Arial" w:hAnsi="Arial" w:cs="Arial"/>
                <w:sz w:val="22"/>
                <w:szCs w:val="22"/>
              </w:rPr>
              <w:t>1.1</w:t>
            </w:r>
            <w:r w:rsidR="67BAD222">
              <w:tab/>
            </w:r>
            <w:r w:rsidRPr="24E26AF7">
              <w:rPr>
                <w:rStyle w:val="Hyperlink"/>
                <w:rFonts w:ascii="Arial" w:eastAsia="Arial" w:hAnsi="Arial" w:cs="Arial"/>
                <w:sz w:val="22"/>
                <w:szCs w:val="22"/>
              </w:rPr>
              <w:t>Introduction</w:t>
            </w:r>
            <w:r w:rsidR="67BAD222">
              <w:tab/>
            </w:r>
            <w:r w:rsidR="67BAD222">
              <w:fldChar w:fldCharType="begin"/>
            </w:r>
            <w:r w:rsidR="67BAD222">
              <w:instrText>PAGEREF _Toc499056894 \h</w:instrText>
            </w:r>
            <w:r w:rsidR="67BAD222">
              <w:fldChar w:fldCharType="separate"/>
            </w:r>
            <w:r w:rsidRPr="24E26AF7">
              <w:rPr>
                <w:rStyle w:val="Hyperlink"/>
                <w:rFonts w:ascii="Arial" w:eastAsia="Arial" w:hAnsi="Arial" w:cs="Arial"/>
                <w:sz w:val="22"/>
                <w:szCs w:val="22"/>
              </w:rPr>
              <w:t>5</w:t>
            </w:r>
            <w:r w:rsidR="67BAD222">
              <w:fldChar w:fldCharType="end"/>
            </w:r>
          </w:hyperlink>
        </w:p>
        <w:p w14:paraId="67B59CF7" w14:textId="43BC6300" w:rsidR="67BAD222" w:rsidRDefault="6C121CDF" w:rsidP="67BAD222">
          <w:pPr>
            <w:pStyle w:val="TOC2"/>
            <w:tabs>
              <w:tab w:val="right" w:leader="dot" w:pos="9015"/>
            </w:tabs>
            <w:rPr>
              <w:rStyle w:val="Hyperlink"/>
              <w:rFonts w:ascii="Arial" w:eastAsia="Arial" w:hAnsi="Arial" w:cs="Arial"/>
              <w:sz w:val="22"/>
              <w:szCs w:val="22"/>
            </w:rPr>
          </w:pPr>
          <w:hyperlink w:anchor="_Toc1453460882">
            <w:r w:rsidRPr="24E26AF7">
              <w:rPr>
                <w:rStyle w:val="Hyperlink"/>
                <w:rFonts w:ascii="Arial" w:eastAsia="Arial" w:hAnsi="Arial" w:cs="Arial"/>
                <w:sz w:val="22"/>
                <w:szCs w:val="22"/>
              </w:rPr>
              <w:t>1.2 Definitions and Terminology</w:t>
            </w:r>
            <w:r w:rsidR="67BAD222">
              <w:tab/>
            </w:r>
            <w:r w:rsidR="67BAD222">
              <w:fldChar w:fldCharType="begin"/>
            </w:r>
            <w:r w:rsidR="67BAD222">
              <w:instrText>PAGEREF _Toc1453460882 \h</w:instrText>
            </w:r>
            <w:r w:rsidR="67BAD222">
              <w:fldChar w:fldCharType="separate"/>
            </w:r>
            <w:r w:rsidRPr="24E26AF7">
              <w:rPr>
                <w:rStyle w:val="Hyperlink"/>
                <w:rFonts w:ascii="Arial" w:eastAsia="Arial" w:hAnsi="Arial" w:cs="Arial"/>
                <w:sz w:val="22"/>
                <w:szCs w:val="22"/>
              </w:rPr>
              <w:t>6</w:t>
            </w:r>
            <w:r w:rsidR="67BAD222">
              <w:fldChar w:fldCharType="end"/>
            </w:r>
          </w:hyperlink>
        </w:p>
        <w:p w14:paraId="42F4B5ED" w14:textId="00066260" w:rsidR="67BAD222" w:rsidRDefault="6C121CDF" w:rsidP="67BAD222">
          <w:pPr>
            <w:pStyle w:val="TOC2"/>
            <w:tabs>
              <w:tab w:val="right" w:leader="dot" w:pos="9015"/>
            </w:tabs>
            <w:rPr>
              <w:rStyle w:val="Hyperlink"/>
              <w:rFonts w:ascii="Arial" w:eastAsia="Arial" w:hAnsi="Arial" w:cs="Arial"/>
              <w:sz w:val="22"/>
              <w:szCs w:val="22"/>
            </w:rPr>
          </w:pPr>
          <w:hyperlink w:anchor="_Toc1335606000">
            <w:r w:rsidRPr="24E26AF7">
              <w:rPr>
                <w:rStyle w:val="Hyperlink"/>
                <w:rFonts w:ascii="Arial" w:eastAsia="Arial" w:hAnsi="Arial" w:cs="Arial"/>
                <w:sz w:val="22"/>
                <w:szCs w:val="22"/>
              </w:rPr>
              <w:t>1.3 Rationale for Research</w:t>
            </w:r>
            <w:r w:rsidR="67BAD222">
              <w:tab/>
            </w:r>
            <w:r w:rsidR="67BAD222">
              <w:fldChar w:fldCharType="begin"/>
            </w:r>
            <w:r w:rsidR="67BAD222">
              <w:instrText>PAGEREF _Toc1335606000 \h</w:instrText>
            </w:r>
            <w:r w:rsidR="67BAD222">
              <w:fldChar w:fldCharType="separate"/>
            </w:r>
            <w:r w:rsidRPr="24E26AF7">
              <w:rPr>
                <w:rStyle w:val="Hyperlink"/>
                <w:rFonts w:ascii="Arial" w:eastAsia="Arial" w:hAnsi="Arial" w:cs="Arial"/>
                <w:sz w:val="22"/>
                <w:szCs w:val="22"/>
              </w:rPr>
              <w:t>7</w:t>
            </w:r>
            <w:r w:rsidR="67BAD222">
              <w:fldChar w:fldCharType="end"/>
            </w:r>
          </w:hyperlink>
        </w:p>
        <w:p w14:paraId="256EE121" w14:textId="6D8F87EC" w:rsidR="67BAD222" w:rsidRDefault="6C121CDF" w:rsidP="67BAD222">
          <w:pPr>
            <w:pStyle w:val="TOC2"/>
            <w:tabs>
              <w:tab w:val="right" w:leader="dot" w:pos="9015"/>
            </w:tabs>
            <w:rPr>
              <w:rStyle w:val="Hyperlink"/>
              <w:rFonts w:ascii="Arial" w:eastAsia="Arial" w:hAnsi="Arial" w:cs="Arial"/>
              <w:sz w:val="22"/>
              <w:szCs w:val="22"/>
            </w:rPr>
          </w:pPr>
          <w:hyperlink w:anchor="_Toc821295540">
            <w:r w:rsidRPr="24E26AF7">
              <w:rPr>
                <w:rStyle w:val="Hyperlink"/>
                <w:rFonts w:ascii="Arial" w:eastAsia="Arial" w:hAnsi="Arial" w:cs="Arial"/>
                <w:sz w:val="22"/>
                <w:szCs w:val="22"/>
              </w:rPr>
              <w:t>1.4 Aim and Objectives</w:t>
            </w:r>
            <w:r w:rsidR="67BAD222">
              <w:tab/>
            </w:r>
            <w:r w:rsidR="67BAD222">
              <w:fldChar w:fldCharType="begin"/>
            </w:r>
            <w:r w:rsidR="67BAD222">
              <w:instrText>PAGEREF _Toc821295540 \h</w:instrText>
            </w:r>
            <w:r w:rsidR="67BAD222">
              <w:fldChar w:fldCharType="separate"/>
            </w:r>
            <w:r w:rsidRPr="24E26AF7">
              <w:rPr>
                <w:rStyle w:val="Hyperlink"/>
                <w:rFonts w:ascii="Arial" w:eastAsia="Arial" w:hAnsi="Arial" w:cs="Arial"/>
                <w:sz w:val="22"/>
                <w:szCs w:val="22"/>
              </w:rPr>
              <w:t>7</w:t>
            </w:r>
            <w:r w:rsidR="67BAD222">
              <w:fldChar w:fldCharType="end"/>
            </w:r>
          </w:hyperlink>
        </w:p>
        <w:p w14:paraId="123201B2" w14:textId="5EF3E857" w:rsidR="67BAD222" w:rsidRDefault="6C121CDF" w:rsidP="67BAD222">
          <w:pPr>
            <w:pStyle w:val="TOC2"/>
            <w:tabs>
              <w:tab w:val="right" w:leader="dot" w:pos="9015"/>
            </w:tabs>
            <w:rPr>
              <w:rStyle w:val="Hyperlink"/>
              <w:rFonts w:ascii="Arial" w:eastAsia="Arial" w:hAnsi="Arial" w:cs="Arial"/>
              <w:sz w:val="22"/>
              <w:szCs w:val="22"/>
            </w:rPr>
          </w:pPr>
          <w:hyperlink w:anchor="_Toc1553828723">
            <w:r w:rsidRPr="24E26AF7">
              <w:rPr>
                <w:rStyle w:val="Hyperlink"/>
                <w:rFonts w:ascii="Arial" w:eastAsia="Arial" w:hAnsi="Arial" w:cs="Arial"/>
                <w:sz w:val="22"/>
                <w:szCs w:val="22"/>
              </w:rPr>
              <w:t>1.5 Conclusion</w:t>
            </w:r>
            <w:r w:rsidR="67BAD222">
              <w:tab/>
            </w:r>
            <w:r w:rsidR="67BAD222">
              <w:fldChar w:fldCharType="begin"/>
            </w:r>
            <w:r w:rsidR="67BAD222">
              <w:instrText>PAGEREF _Toc1553828723 \h</w:instrText>
            </w:r>
            <w:r w:rsidR="67BAD222">
              <w:fldChar w:fldCharType="separate"/>
            </w:r>
            <w:r w:rsidRPr="24E26AF7">
              <w:rPr>
                <w:rStyle w:val="Hyperlink"/>
                <w:rFonts w:ascii="Arial" w:eastAsia="Arial" w:hAnsi="Arial" w:cs="Arial"/>
                <w:sz w:val="22"/>
                <w:szCs w:val="22"/>
              </w:rPr>
              <w:t>8</w:t>
            </w:r>
            <w:r w:rsidR="67BAD222">
              <w:fldChar w:fldCharType="end"/>
            </w:r>
          </w:hyperlink>
        </w:p>
        <w:p w14:paraId="3D6BF08F" w14:textId="777ADB34" w:rsidR="67BAD222" w:rsidRDefault="6C121CDF" w:rsidP="67BAD222">
          <w:pPr>
            <w:pStyle w:val="TOC1"/>
            <w:tabs>
              <w:tab w:val="right" w:leader="dot" w:pos="9015"/>
            </w:tabs>
            <w:rPr>
              <w:rStyle w:val="Hyperlink"/>
              <w:rFonts w:ascii="Arial" w:eastAsia="Arial" w:hAnsi="Arial" w:cs="Arial"/>
              <w:sz w:val="22"/>
              <w:szCs w:val="22"/>
            </w:rPr>
          </w:pPr>
          <w:hyperlink w:anchor="_Toc745001679">
            <w:r w:rsidRPr="24E26AF7">
              <w:rPr>
                <w:rStyle w:val="Hyperlink"/>
                <w:rFonts w:ascii="Arial" w:eastAsia="Arial" w:hAnsi="Arial" w:cs="Arial"/>
                <w:sz w:val="22"/>
                <w:szCs w:val="22"/>
              </w:rPr>
              <w:t>CHAPTER 2 – Background Information and Analysis</w:t>
            </w:r>
            <w:r w:rsidR="67BAD222">
              <w:tab/>
            </w:r>
            <w:r w:rsidR="67BAD222">
              <w:fldChar w:fldCharType="begin"/>
            </w:r>
            <w:r w:rsidR="67BAD222">
              <w:instrText>PAGEREF _Toc745001679 \h</w:instrText>
            </w:r>
            <w:r w:rsidR="67BAD222">
              <w:fldChar w:fldCharType="separate"/>
            </w:r>
            <w:r w:rsidRPr="24E26AF7">
              <w:rPr>
                <w:rStyle w:val="Hyperlink"/>
                <w:rFonts w:ascii="Arial" w:eastAsia="Arial" w:hAnsi="Arial" w:cs="Arial"/>
                <w:sz w:val="22"/>
                <w:szCs w:val="22"/>
              </w:rPr>
              <w:t>9</w:t>
            </w:r>
            <w:r w:rsidR="67BAD222">
              <w:fldChar w:fldCharType="end"/>
            </w:r>
          </w:hyperlink>
        </w:p>
        <w:p w14:paraId="2F0E1619" w14:textId="6855E2A8" w:rsidR="67BAD222" w:rsidRDefault="6C121CDF" w:rsidP="67BAD222">
          <w:pPr>
            <w:pStyle w:val="TOC2"/>
            <w:tabs>
              <w:tab w:val="right" w:leader="dot" w:pos="9015"/>
            </w:tabs>
            <w:rPr>
              <w:rStyle w:val="Hyperlink"/>
              <w:rFonts w:ascii="Arial" w:eastAsia="Arial" w:hAnsi="Arial" w:cs="Arial"/>
              <w:sz w:val="22"/>
              <w:szCs w:val="22"/>
            </w:rPr>
          </w:pPr>
          <w:hyperlink w:anchor="_Toc1608414445">
            <w:r w:rsidRPr="24E26AF7">
              <w:rPr>
                <w:rStyle w:val="Hyperlink"/>
                <w:rFonts w:ascii="Arial" w:eastAsia="Arial" w:hAnsi="Arial" w:cs="Arial"/>
                <w:sz w:val="22"/>
                <w:szCs w:val="22"/>
              </w:rPr>
              <w:t>2.1 Introduction</w:t>
            </w:r>
            <w:r w:rsidR="67BAD222">
              <w:tab/>
            </w:r>
            <w:r w:rsidR="67BAD222">
              <w:fldChar w:fldCharType="begin"/>
            </w:r>
            <w:r w:rsidR="67BAD222">
              <w:instrText>PAGEREF _Toc1608414445 \h</w:instrText>
            </w:r>
            <w:r w:rsidR="67BAD222">
              <w:fldChar w:fldCharType="separate"/>
            </w:r>
            <w:r w:rsidRPr="24E26AF7">
              <w:rPr>
                <w:rStyle w:val="Hyperlink"/>
                <w:rFonts w:ascii="Arial" w:eastAsia="Arial" w:hAnsi="Arial" w:cs="Arial"/>
                <w:sz w:val="22"/>
                <w:szCs w:val="22"/>
              </w:rPr>
              <w:t>10</w:t>
            </w:r>
            <w:r w:rsidR="67BAD222">
              <w:fldChar w:fldCharType="end"/>
            </w:r>
          </w:hyperlink>
        </w:p>
        <w:p w14:paraId="2131DEB1" w14:textId="77AF39D6" w:rsidR="67BAD222" w:rsidRDefault="6C121CDF" w:rsidP="67BAD222">
          <w:pPr>
            <w:pStyle w:val="TOC2"/>
            <w:tabs>
              <w:tab w:val="right" w:leader="dot" w:pos="9015"/>
            </w:tabs>
            <w:rPr>
              <w:rStyle w:val="Hyperlink"/>
              <w:rFonts w:ascii="Arial" w:eastAsia="Arial" w:hAnsi="Arial" w:cs="Arial"/>
              <w:sz w:val="22"/>
              <w:szCs w:val="22"/>
            </w:rPr>
          </w:pPr>
          <w:hyperlink w:anchor="_Toc1454699225">
            <w:r w:rsidRPr="24E26AF7">
              <w:rPr>
                <w:rStyle w:val="Hyperlink"/>
                <w:rFonts w:ascii="Arial" w:eastAsia="Arial" w:hAnsi="Arial" w:cs="Arial"/>
                <w:sz w:val="22"/>
                <w:szCs w:val="22"/>
              </w:rPr>
              <w:t>2.2 Historical Background</w:t>
            </w:r>
            <w:r w:rsidR="67BAD222">
              <w:tab/>
            </w:r>
            <w:r w:rsidR="67BAD222">
              <w:fldChar w:fldCharType="begin"/>
            </w:r>
            <w:r w:rsidR="67BAD222">
              <w:instrText>PAGEREF _Toc1454699225 \h</w:instrText>
            </w:r>
            <w:r w:rsidR="67BAD222">
              <w:fldChar w:fldCharType="separate"/>
            </w:r>
            <w:r w:rsidRPr="24E26AF7">
              <w:rPr>
                <w:rStyle w:val="Hyperlink"/>
                <w:rFonts w:ascii="Arial" w:eastAsia="Arial" w:hAnsi="Arial" w:cs="Arial"/>
                <w:sz w:val="22"/>
                <w:szCs w:val="22"/>
              </w:rPr>
              <w:t>10</w:t>
            </w:r>
            <w:r w:rsidR="67BAD222">
              <w:fldChar w:fldCharType="end"/>
            </w:r>
          </w:hyperlink>
        </w:p>
        <w:p w14:paraId="697CB47B" w14:textId="235B371D" w:rsidR="67BAD222" w:rsidRDefault="6C121CDF" w:rsidP="67BAD222">
          <w:pPr>
            <w:pStyle w:val="TOC2"/>
            <w:tabs>
              <w:tab w:val="right" w:leader="dot" w:pos="9015"/>
            </w:tabs>
            <w:rPr>
              <w:rStyle w:val="Hyperlink"/>
              <w:rFonts w:ascii="Arial" w:eastAsia="Arial" w:hAnsi="Arial" w:cs="Arial"/>
              <w:sz w:val="22"/>
              <w:szCs w:val="22"/>
            </w:rPr>
          </w:pPr>
          <w:hyperlink w:anchor="_Toc1674411520">
            <w:r w:rsidRPr="24E26AF7">
              <w:rPr>
                <w:rStyle w:val="Hyperlink"/>
                <w:rFonts w:ascii="Arial" w:eastAsia="Arial" w:hAnsi="Arial" w:cs="Arial"/>
                <w:sz w:val="22"/>
                <w:szCs w:val="22"/>
              </w:rPr>
              <w:t>2.3 Theoretical Background</w:t>
            </w:r>
            <w:r w:rsidR="67BAD222">
              <w:tab/>
            </w:r>
            <w:r w:rsidR="67BAD222">
              <w:fldChar w:fldCharType="begin"/>
            </w:r>
            <w:r w:rsidR="67BAD222">
              <w:instrText>PAGEREF _Toc1674411520 \h</w:instrText>
            </w:r>
            <w:r w:rsidR="67BAD222">
              <w:fldChar w:fldCharType="separate"/>
            </w:r>
            <w:r w:rsidRPr="24E26AF7">
              <w:rPr>
                <w:rStyle w:val="Hyperlink"/>
                <w:rFonts w:ascii="Arial" w:eastAsia="Arial" w:hAnsi="Arial" w:cs="Arial"/>
                <w:sz w:val="22"/>
                <w:szCs w:val="22"/>
              </w:rPr>
              <w:t>12</w:t>
            </w:r>
            <w:r w:rsidR="67BAD222">
              <w:fldChar w:fldCharType="end"/>
            </w:r>
          </w:hyperlink>
        </w:p>
        <w:p w14:paraId="5DE63F78" w14:textId="7D5C5CB5" w:rsidR="67BAD222" w:rsidRDefault="6C121CDF" w:rsidP="67BAD222">
          <w:pPr>
            <w:pStyle w:val="TOC2"/>
            <w:tabs>
              <w:tab w:val="right" w:leader="dot" w:pos="9015"/>
            </w:tabs>
            <w:rPr>
              <w:rStyle w:val="Hyperlink"/>
              <w:rFonts w:ascii="Arial" w:eastAsia="Arial" w:hAnsi="Arial" w:cs="Arial"/>
              <w:sz w:val="22"/>
              <w:szCs w:val="22"/>
            </w:rPr>
          </w:pPr>
          <w:hyperlink w:anchor="_Toc2039571528">
            <w:r w:rsidRPr="24E26AF7">
              <w:rPr>
                <w:rStyle w:val="Hyperlink"/>
                <w:rFonts w:ascii="Arial" w:eastAsia="Arial" w:hAnsi="Arial" w:cs="Arial"/>
                <w:sz w:val="22"/>
                <w:szCs w:val="22"/>
              </w:rPr>
              <w:t>2.4 International Context</w:t>
            </w:r>
            <w:r w:rsidR="67BAD222">
              <w:tab/>
            </w:r>
            <w:r w:rsidR="67BAD222">
              <w:fldChar w:fldCharType="begin"/>
            </w:r>
            <w:r w:rsidR="67BAD222">
              <w:instrText>PAGEREF _Toc2039571528 \h</w:instrText>
            </w:r>
            <w:r w:rsidR="67BAD222">
              <w:fldChar w:fldCharType="separate"/>
            </w:r>
            <w:r w:rsidRPr="24E26AF7">
              <w:rPr>
                <w:rStyle w:val="Hyperlink"/>
                <w:rFonts w:ascii="Arial" w:eastAsia="Arial" w:hAnsi="Arial" w:cs="Arial"/>
                <w:sz w:val="22"/>
                <w:szCs w:val="22"/>
              </w:rPr>
              <w:t>15</w:t>
            </w:r>
            <w:r w:rsidR="67BAD222">
              <w:fldChar w:fldCharType="end"/>
            </w:r>
          </w:hyperlink>
        </w:p>
        <w:p w14:paraId="1034DD78" w14:textId="440D6687" w:rsidR="67BAD222" w:rsidRDefault="6C121CDF" w:rsidP="67BAD222">
          <w:pPr>
            <w:pStyle w:val="TOC2"/>
            <w:tabs>
              <w:tab w:val="right" w:leader="dot" w:pos="9015"/>
            </w:tabs>
            <w:rPr>
              <w:rStyle w:val="Hyperlink"/>
              <w:rFonts w:ascii="Arial" w:eastAsia="Arial" w:hAnsi="Arial" w:cs="Arial"/>
              <w:sz w:val="22"/>
              <w:szCs w:val="22"/>
            </w:rPr>
          </w:pPr>
          <w:hyperlink w:anchor="_Toc582232532">
            <w:r w:rsidRPr="24E26AF7">
              <w:rPr>
                <w:rStyle w:val="Hyperlink"/>
                <w:rFonts w:ascii="Arial" w:eastAsia="Arial" w:hAnsi="Arial" w:cs="Arial"/>
                <w:sz w:val="22"/>
                <w:szCs w:val="22"/>
              </w:rPr>
              <w:t>2.5 National/Local UK Context</w:t>
            </w:r>
            <w:r w:rsidR="67BAD222">
              <w:tab/>
            </w:r>
            <w:r w:rsidR="67BAD222">
              <w:fldChar w:fldCharType="begin"/>
            </w:r>
            <w:r w:rsidR="67BAD222">
              <w:instrText>PAGEREF _Toc582232532 \h</w:instrText>
            </w:r>
            <w:r w:rsidR="67BAD222">
              <w:fldChar w:fldCharType="separate"/>
            </w:r>
            <w:r w:rsidRPr="24E26AF7">
              <w:rPr>
                <w:rStyle w:val="Hyperlink"/>
                <w:rFonts w:ascii="Arial" w:eastAsia="Arial" w:hAnsi="Arial" w:cs="Arial"/>
                <w:sz w:val="22"/>
                <w:szCs w:val="22"/>
              </w:rPr>
              <w:t>16</w:t>
            </w:r>
            <w:r w:rsidR="67BAD222">
              <w:fldChar w:fldCharType="end"/>
            </w:r>
          </w:hyperlink>
        </w:p>
        <w:p w14:paraId="5D0CA7F3" w14:textId="36B06754" w:rsidR="67BAD222" w:rsidRDefault="6C121CDF" w:rsidP="67BAD222">
          <w:pPr>
            <w:pStyle w:val="TOC2"/>
            <w:tabs>
              <w:tab w:val="right" w:leader="dot" w:pos="9015"/>
            </w:tabs>
            <w:rPr>
              <w:rStyle w:val="Hyperlink"/>
              <w:rFonts w:ascii="Arial" w:eastAsia="Arial" w:hAnsi="Arial" w:cs="Arial"/>
              <w:sz w:val="22"/>
              <w:szCs w:val="22"/>
            </w:rPr>
          </w:pPr>
          <w:hyperlink w:anchor="_Toc1964630043">
            <w:r w:rsidRPr="24E26AF7">
              <w:rPr>
                <w:rStyle w:val="Hyperlink"/>
                <w:rFonts w:ascii="Arial" w:eastAsia="Arial" w:hAnsi="Arial" w:cs="Arial"/>
                <w:sz w:val="22"/>
                <w:szCs w:val="22"/>
              </w:rPr>
              <w:t>2.6 Conclusion</w:t>
            </w:r>
            <w:r w:rsidR="67BAD222">
              <w:tab/>
            </w:r>
            <w:r w:rsidR="67BAD222">
              <w:fldChar w:fldCharType="begin"/>
            </w:r>
            <w:r w:rsidR="67BAD222">
              <w:instrText>PAGEREF _Toc1964630043 \h</w:instrText>
            </w:r>
            <w:r w:rsidR="67BAD222">
              <w:fldChar w:fldCharType="separate"/>
            </w:r>
            <w:r w:rsidRPr="24E26AF7">
              <w:rPr>
                <w:rStyle w:val="Hyperlink"/>
                <w:rFonts w:ascii="Arial" w:eastAsia="Arial" w:hAnsi="Arial" w:cs="Arial"/>
                <w:sz w:val="22"/>
                <w:szCs w:val="22"/>
              </w:rPr>
              <w:t>17</w:t>
            </w:r>
            <w:r w:rsidR="67BAD222">
              <w:fldChar w:fldCharType="end"/>
            </w:r>
          </w:hyperlink>
        </w:p>
        <w:p w14:paraId="6805CDE3" w14:textId="4FBE04A4" w:rsidR="67BAD222" w:rsidRDefault="6C121CDF" w:rsidP="67BAD222">
          <w:pPr>
            <w:pStyle w:val="TOC1"/>
            <w:tabs>
              <w:tab w:val="right" w:leader="dot" w:pos="9015"/>
            </w:tabs>
            <w:rPr>
              <w:rStyle w:val="Hyperlink"/>
              <w:rFonts w:ascii="Arial" w:eastAsia="Arial" w:hAnsi="Arial" w:cs="Arial"/>
              <w:sz w:val="22"/>
              <w:szCs w:val="22"/>
            </w:rPr>
          </w:pPr>
          <w:hyperlink w:anchor="_Toc978835477">
            <w:r w:rsidRPr="24E26AF7">
              <w:rPr>
                <w:rStyle w:val="Hyperlink"/>
                <w:rFonts w:ascii="Arial" w:eastAsia="Arial" w:hAnsi="Arial" w:cs="Arial"/>
                <w:sz w:val="22"/>
                <w:szCs w:val="22"/>
              </w:rPr>
              <w:t>CHAPTER 3 – Methods and Search Strategy</w:t>
            </w:r>
            <w:r w:rsidR="67BAD222">
              <w:tab/>
            </w:r>
            <w:r w:rsidR="67BAD222">
              <w:fldChar w:fldCharType="begin"/>
            </w:r>
            <w:r w:rsidR="67BAD222">
              <w:instrText>PAGEREF _Toc978835477 \h</w:instrText>
            </w:r>
            <w:r w:rsidR="67BAD222">
              <w:fldChar w:fldCharType="separate"/>
            </w:r>
            <w:r w:rsidRPr="24E26AF7">
              <w:rPr>
                <w:rStyle w:val="Hyperlink"/>
                <w:rFonts w:ascii="Arial" w:eastAsia="Arial" w:hAnsi="Arial" w:cs="Arial"/>
                <w:sz w:val="22"/>
                <w:szCs w:val="22"/>
              </w:rPr>
              <w:t>18</w:t>
            </w:r>
            <w:r w:rsidR="67BAD222">
              <w:fldChar w:fldCharType="end"/>
            </w:r>
          </w:hyperlink>
        </w:p>
        <w:p w14:paraId="2621E4C2" w14:textId="7AD9F56B" w:rsidR="67BAD222" w:rsidRDefault="6C121CDF" w:rsidP="67BAD222">
          <w:pPr>
            <w:pStyle w:val="TOC2"/>
            <w:tabs>
              <w:tab w:val="right" w:leader="dot" w:pos="9015"/>
            </w:tabs>
            <w:rPr>
              <w:rStyle w:val="Hyperlink"/>
              <w:rFonts w:ascii="Arial" w:eastAsia="Arial" w:hAnsi="Arial" w:cs="Arial"/>
              <w:sz w:val="22"/>
              <w:szCs w:val="22"/>
            </w:rPr>
          </w:pPr>
          <w:hyperlink w:anchor="_Toc1740891799">
            <w:r w:rsidRPr="24E26AF7">
              <w:rPr>
                <w:rStyle w:val="Hyperlink"/>
                <w:rFonts w:ascii="Arial" w:eastAsia="Arial" w:hAnsi="Arial" w:cs="Arial"/>
                <w:sz w:val="22"/>
                <w:szCs w:val="22"/>
              </w:rPr>
              <w:t>3.1 Introduction</w:t>
            </w:r>
            <w:r w:rsidR="67BAD222">
              <w:tab/>
            </w:r>
            <w:r w:rsidR="67BAD222">
              <w:fldChar w:fldCharType="begin"/>
            </w:r>
            <w:r w:rsidR="67BAD222">
              <w:instrText>PAGEREF _Toc1740891799 \h</w:instrText>
            </w:r>
            <w:r w:rsidR="67BAD222">
              <w:fldChar w:fldCharType="separate"/>
            </w:r>
            <w:r w:rsidRPr="24E26AF7">
              <w:rPr>
                <w:rStyle w:val="Hyperlink"/>
                <w:rFonts w:ascii="Arial" w:eastAsia="Arial" w:hAnsi="Arial" w:cs="Arial"/>
                <w:sz w:val="22"/>
                <w:szCs w:val="22"/>
              </w:rPr>
              <w:t>18</w:t>
            </w:r>
            <w:r w:rsidR="67BAD222">
              <w:fldChar w:fldCharType="end"/>
            </w:r>
          </w:hyperlink>
        </w:p>
        <w:p w14:paraId="5ED4FDB7" w14:textId="7203D6D7" w:rsidR="67BAD222" w:rsidRDefault="6C121CDF" w:rsidP="67BAD222">
          <w:pPr>
            <w:pStyle w:val="TOC2"/>
            <w:tabs>
              <w:tab w:val="right" w:leader="dot" w:pos="9015"/>
            </w:tabs>
            <w:rPr>
              <w:rStyle w:val="Hyperlink"/>
              <w:rFonts w:ascii="Arial" w:eastAsia="Arial" w:hAnsi="Arial" w:cs="Arial"/>
              <w:sz w:val="22"/>
              <w:szCs w:val="22"/>
            </w:rPr>
          </w:pPr>
          <w:hyperlink w:anchor="_Toc1273913172">
            <w:r w:rsidRPr="24E26AF7">
              <w:rPr>
                <w:rStyle w:val="Hyperlink"/>
                <w:rFonts w:ascii="Arial" w:eastAsia="Arial" w:hAnsi="Arial" w:cs="Arial"/>
                <w:sz w:val="22"/>
                <w:szCs w:val="22"/>
              </w:rPr>
              <w:t>3.2 Search Strategy</w:t>
            </w:r>
            <w:r w:rsidR="67BAD222">
              <w:tab/>
            </w:r>
            <w:r w:rsidR="67BAD222">
              <w:fldChar w:fldCharType="begin"/>
            </w:r>
            <w:r w:rsidR="67BAD222">
              <w:instrText>PAGEREF _Toc1273913172 \h</w:instrText>
            </w:r>
            <w:r w:rsidR="67BAD222">
              <w:fldChar w:fldCharType="separate"/>
            </w:r>
            <w:r w:rsidRPr="24E26AF7">
              <w:rPr>
                <w:rStyle w:val="Hyperlink"/>
                <w:rFonts w:ascii="Arial" w:eastAsia="Arial" w:hAnsi="Arial" w:cs="Arial"/>
                <w:sz w:val="22"/>
                <w:szCs w:val="22"/>
              </w:rPr>
              <w:t>19</w:t>
            </w:r>
            <w:r w:rsidR="67BAD222">
              <w:fldChar w:fldCharType="end"/>
            </w:r>
          </w:hyperlink>
        </w:p>
        <w:p w14:paraId="3D14B8CD" w14:textId="4D4689E1" w:rsidR="67BAD222" w:rsidRDefault="6C121CDF" w:rsidP="67BAD222">
          <w:pPr>
            <w:pStyle w:val="TOC2"/>
            <w:tabs>
              <w:tab w:val="right" w:leader="dot" w:pos="9015"/>
            </w:tabs>
            <w:rPr>
              <w:rStyle w:val="Hyperlink"/>
              <w:rFonts w:ascii="Arial" w:eastAsia="Arial" w:hAnsi="Arial" w:cs="Arial"/>
              <w:sz w:val="22"/>
              <w:szCs w:val="22"/>
            </w:rPr>
          </w:pPr>
          <w:hyperlink w:anchor="_Toc574280150">
            <w:r w:rsidRPr="24E26AF7">
              <w:rPr>
                <w:rStyle w:val="Hyperlink"/>
                <w:rFonts w:ascii="Arial" w:eastAsia="Arial" w:hAnsi="Arial" w:cs="Arial"/>
                <w:sz w:val="22"/>
                <w:szCs w:val="22"/>
              </w:rPr>
              <w:t>3.3 Databases and Platforms</w:t>
            </w:r>
            <w:r w:rsidR="67BAD222">
              <w:tab/>
            </w:r>
            <w:r w:rsidR="67BAD222">
              <w:fldChar w:fldCharType="begin"/>
            </w:r>
            <w:r w:rsidR="67BAD222">
              <w:instrText>PAGEREF _Toc574280150 \h</w:instrText>
            </w:r>
            <w:r w:rsidR="67BAD222">
              <w:fldChar w:fldCharType="separate"/>
            </w:r>
            <w:r w:rsidRPr="24E26AF7">
              <w:rPr>
                <w:rStyle w:val="Hyperlink"/>
                <w:rFonts w:ascii="Arial" w:eastAsia="Arial" w:hAnsi="Arial" w:cs="Arial"/>
                <w:sz w:val="22"/>
                <w:szCs w:val="22"/>
              </w:rPr>
              <w:t>19</w:t>
            </w:r>
            <w:r w:rsidR="67BAD222">
              <w:fldChar w:fldCharType="end"/>
            </w:r>
          </w:hyperlink>
        </w:p>
        <w:p w14:paraId="4B8DF081" w14:textId="09D086FC" w:rsidR="67BAD222" w:rsidRDefault="6C121CDF" w:rsidP="67BAD222">
          <w:pPr>
            <w:pStyle w:val="TOC2"/>
            <w:tabs>
              <w:tab w:val="right" w:leader="dot" w:pos="9015"/>
            </w:tabs>
            <w:rPr>
              <w:rStyle w:val="Hyperlink"/>
              <w:rFonts w:ascii="Arial" w:eastAsia="Arial" w:hAnsi="Arial" w:cs="Arial"/>
              <w:sz w:val="22"/>
              <w:szCs w:val="22"/>
            </w:rPr>
          </w:pPr>
          <w:hyperlink w:anchor="_Toc1578611206">
            <w:r w:rsidRPr="24E26AF7">
              <w:rPr>
                <w:rStyle w:val="Hyperlink"/>
                <w:rFonts w:ascii="Arial" w:eastAsia="Arial" w:hAnsi="Arial" w:cs="Arial"/>
                <w:sz w:val="22"/>
                <w:szCs w:val="22"/>
              </w:rPr>
              <w:t>3.4 Research Validation</w:t>
            </w:r>
            <w:r w:rsidR="67BAD222">
              <w:tab/>
            </w:r>
            <w:r w:rsidR="67BAD222">
              <w:fldChar w:fldCharType="begin"/>
            </w:r>
            <w:r w:rsidR="67BAD222">
              <w:instrText>PAGEREF _Toc1578611206 \h</w:instrText>
            </w:r>
            <w:r w:rsidR="67BAD222">
              <w:fldChar w:fldCharType="separate"/>
            </w:r>
            <w:r w:rsidRPr="24E26AF7">
              <w:rPr>
                <w:rStyle w:val="Hyperlink"/>
                <w:rFonts w:ascii="Arial" w:eastAsia="Arial" w:hAnsi="Arial" w:cs="Arial"/>
                <w:sz w:val="22"/>
                <w:szCs w:val="22"/>
              </w:rPr>
              <w:t>20</w:t>
            </w:r>
            <w:r w:rsidR="67BAD222">
              <w:fldChar w:fldCharType="end"/>
            </w:r>
          </w:hyperlink>
        </w:p>
        <w:p w14:paraId="40EF4281" w14:textId="4F14840C" w:rsidR="67BAD222" w:rsidRDefault="6C121CDF" w:rsidP="67BAD222">
          <w:pPr>
            <w:pStyle w:val="TOC2"/>
            <w:tabs>
              <w:tab w:val="right" w:leader="dot" w:pos="9015"/>
            </w:tabs>
            <w:rPr>
              <w:rStyle w:val="Hyperlink"/>
              <w:rFonts w:ascii="Arial" w:eastAsia="Arial" w:hAnsi="Arial" w:cs="Arial"/>
              <w:sz w:val="22"/>
              <w:szCs w:val="22"/>
            </w:rPr>
          </w:pPr>
          <w:hyperlink w:anchor="_Toc2011999118">
            <w:r w:rsidRPr="24E26AF7">
              <w:rPr>
                <w:rStyle w:val="Hyperlink"/>
                <w:rFonts w:ascii="Arial" w:eastAsia="Arial" w:hAnsi="Arial" w:cs="Arial"/>
                <w:sz w:val="22"/>
                <w:szCs w:val="22"/>
              </w:rPr>
              <w:t>3.5 Inclusion and Exclusion Criteria</w:t>
            </w:r>
            <w:r w:rsidR="67BAD222">
              <w:tab/>
            </w:r>
            <w:r w:rsidR="67BAD222">
              <w:fldChar w:fldCharType="begin"/>
            </w:r>
            <w:r w:rsidR="67BAD222">
              <w:instrText>PAGEREF _Toc2011999118 \h</w:instrText>
            </w:r>
            <w:r w:rsidR="67BAD222">
              <w:fldChar w:fldCharType="separate"/>
            </w:r>
            <w:r w:rsidRPr="24E26AF7">
              <w:rPr>
                <w:rStyle w:val="Hyperlink"/>
                <w:rFonts w:ascii="Arial" w:eastAsia="Arial" w:hAnsi="Arial" w:cs="Arial"/>
                <w:sz w:val="22"/>
                <w:szCs w:val="22"/>
              </w:rPr>
              <w:t>21</w:t>
            </w:r>
            <w:r w:rsidR="67BAD222">
              <w:fldChar w:fldCharType="end"/>
            </w:r>
          </w:hyperlink>
        </w:p>
        <w:p w14:paraId="4FC3B2C7" w14:textId="6C351527" w:rsidR="67BAD222" w:rsidRDefault="6C121CDF" w:rsidP="67BAD222">
          <w:pPr>
            <w:pStyle w:val="TOC2"/>
            <w:tabs>
              <w:tab w:val="right" w:leader="dot" w:pos="9015"/>
            </w:tabs>
            <w:rPr>
              <w:rStyle w:val="Hyperlink"/>
              <w:rFonts w:ascii="Arial" w:eastAsia="Arial" w:hAnsi="Arial" w:cs="Arial"/>
              <w:sz w:val="22"/>
              <w:szCs w:val="22"/>
            </w:rPr>
          </w:pPr>
          <w:hyperlink w:anchor="_Toc915278951">
            <w:r w:rsidRPr="24E26AF7">
              <w:rPr>
                <w:rStyle w:val="Hyperlink"/>
                <w:rFonts w:ascii="Arial" w:eastAsia="Arial" w:hAnsi="Arial" w:cs="Arial"/>
                <w:sz w:val="22"/>
                <w:szCs w:val="22"/>
              </w:rPr>
              <w:t>3.6 Analysing Research</w:t>
            </w:r>
            <w:r w:rsidR="67BAD222">
              <w:tab/>
            </w:r>
            <w:r w:rsidR="67BAD222">
              <w:fldChar w:fldCharType="begin"/>
            </w:r>
            <w:r w:rsidR="67BAD222">
              <w:instrText>PAGEREF _Toc915278951 \h</w:instrText>
            </w:r>
            <w:r w:rsidR="67BAD222">
              <w:fldChar w:fldCharType="separate"/>
            </w:r>
            <w:r w:rsidRPr="24E26AF7">
              <w:rPr>
                <w:rStyle w:val="Hyperlink"/>
                <w:rFonts w:ascii="Arial" w:eastAsia="Arial" w:hAnsi="Arial" w:cs="Arial"/>
                <w:sz w:val="22"/>
                <w:szCs w:val="22"/>
              </w:rPr>
              <w:t>21</w:t>
            </w:r>
            <w:r w:rsidR="67BAD222">
              <w:fldChar w:fldCharType="end"/>
            </w:r>
          </w:hyperlink>
        </w:p>
        <w:p w14:paraId="6259E072" w14:textId="480D1A47" w:rsidR="67BAD222" w:rsidRDefault="6C121CDF" w:rsidP="67BAD222">
          <w:pPr>
            <w:pStyle w:val="TOC2"/>
            <w:tabs>
              <w:tab w:val="right" w:leader="dot" w:pos="9015"/>
            </w:tabs>
            <w:rPr>
              <w:rStyle w:val="Hyperlink"/>
              <w:rFonts w:ascii="Arial" w:eastAsia="Arial" w:hAnsi="Arial" w:cs="Arial"/>
              <w:sz w:val="22"/>
              <w:szCs w:val="22"/>
            </w:rPr>
          </w:pPr>
          <w:hyperlink w:anchor="_Toc616226481">
            <w:r w:rsidRPr="24E26AF7">
              <w:rPr>
                <w:rStyle w:val="Hyperlink"/>
                <w:rFonts w:ascii="Arial" w:eastAsia="Arial" w:hAnsi="Arial" w:cs="Arial"/>
                <w:sz w:val="22"/>
                <w:szCs w:val="22"/>
              </w:rPr>
              <w:t>3.7 Ethical Considerations</w:t>
            </w:r>
            <w:r w:rsidR="67BAD222">
              <w:tab/>
            </w:r>
            <w:r w:rsidR="67BAD222">
              <w:fldChar w:fldCharType="begin"/>
            </w:r>
            <w:r w:rsidR="67BAD222">
              <w:instrText>PAGEREF _Toc616226481 \h</w:instrText>
            </w:r>
            <w:r w:rsidR="67BAD222">
              <w:fldChar w:fldCharType="separate"/>
            </w:r>
            <w:r w:rsidRPr="24E26AF7">
              <w:rPr>
                <w:rStyle w:val="Hyperlink"/>
                <w:rFonts w:ascii="Arial" w:eastAsia="Arial" w:hAnsi="Arial" w:cs="Arial"/>
                <w:sz w:val="22"/>
                <w:szCs w:val="22"/>
              </w:rPr>
              <w:t>22</w:t>
            </w:r>
            <w:r w:rsidR="67BAD222">
              <w:fldChar w:fldCharType="end"/>
            </w:r>
          </w:hyperlink>
        </w:p>
        <w:p w14:paraId="3D6E5385" w14:textId="024E856A" w:rsidR="67BAD222" w:rsidRDefault="6C121CDF" w:rsidP="67BAD222">
          <w:pPr>
            <w:pStyle w:val="TOC2"/>
            <w:tabs>
              <w:tab w:val="right" w:leader="dot" w:pos="9015"/>
            </w:tabs>
            <w:rPr>
              <w:rStyle w:val="Hyperlink"/>
              <w:rFonts w:ascii="Arial" w:eastAsia="Arial" w:hAnsi="Arial" w:cs="Arial"/>
              <w:sz w:val="22"/>
              <w:szCs w:val="22"/>
            </w:rPr>
          </w:pPr>
          <w:hyperlink w:anchor="_Toc640608987">
            <w:r w:rsidRPr="24E26AF7">
              <w:rPr>
                <w:rStyle w:val="Hyperlink"/>
                <w:rFonts w:ascii="Arial" w:eastAsia="Arial" w:hAnsi="Arial" w:cs="Arial"/>
                <w:sz w:val="22"/>
                <w:szCs w:val="22"/>
              </w:rPr>
              <w:t>3.8 Chapter Conclusion</w:t>
            </w:r>
            <w:r w:rsidR="67BAD222">
              <w:tab/>
            </w:r>
            <w:r w:rsidR="67BAD222">
              <w:fldChar w:fldCharType="begin"/>
            </w:r>
            <w:r w:rsidR="67BAD222">
              <w:instrText>PAGEREF _Toc640608987 \h</w:instrText>
            </w:r>
            <w:r w:rsidR="67BAD222">
              <w:fldChar w:fldCharType="separate"/>
            </w:r>
            <w:r w:rsidRPr="24E26AF7">
              <w:rPr>
                <w:rStyle w:val="Hyperlink"/>
                <w:rFonts w:ascii="Arial" w:eastAsia="Arial" w:hAnsi="Arial" w:cs="Arial"/>
                <w:sz w:val="22"/>
                <w:szCs w:val="22"/>
              </w:rPr>
              <w:t>23</w:t>
            </w:r>
            <w:r w:rsidR="67BAD222">
              <w:fldChar w:fldCharType="end"/>
            </w:r>
          </w:hyperlink>
        </w:p>
        <w:p w14:paraId="1EB4665C" w14:textId="27453FBE" w:rsidR="67BAD222" w:rsidRDefault="6C121CDF" w:rsidP="67BAD222">
          <w:pPr>
            <w:pStyle w:val="TOC1"/>
            <w:tabs>
              <w:tab w:val="right" w:leader="dot" w:pos="9015"/>
            </w:tabs>
            <w:rPr>
              <w:rStyle w:val="Hyperlink"/>
              <w:rFonts w:ascii="Arial" w:eastAsia="Arial" w:hAnsi="Arial" w:cs="Arial"/>
              <w:sz w:val="22"/>
              <w:szCs w:val="22"/>
            </w:rPr>
          </w:pPr>
          <w:hyperlink w:anchor="_Toc173837141">
            <w:r w:rsidRPr="24E26AF7">
              <w:rPr>
                <w:rStyle w:val="Hyperlink"/>
                <w:rFonts w:ascii="Arial" w:eastAsia="Arial" w:hAnsi="Arial" w:cs="Arial"/>
                <w:sz w:val="22"/>
                <w:szCs w:val="22"/>
              </w:rPr>
              <w:t>CHAPTER 4 – Findings and Discussion</w:t>
            </w:r>
            <w:r w:rsidR="67BAD222">
              <w:tab/>
            </w:r>
            <w:r w:rsidR="67BAD222">
              <w:fldChar w:fldCharType="begin"/>
            </w:r>
            <w:r w:rsidR="67BAD222">
              <w:instrText>PAGEREF _Toc173837141 \h</w:instrText>
            </w:r>
            <w:r w:rsidR="67BAD222">
              <w:fldChar w:fldCharType="separate"/>
            </w:r>
            <w:r w:rsidRPr="24E26AF7">
              <w:rPr>
                <w:rStyle w:val="Hyperlink"/>
                <w:rFonts w:ascii="Arial" w:eastAsia="Arial" w:hAnsi="Arial" w:cs="Arial"/>
                <w:sz w:val="22"/>
                <w:szCs w:val="22"/>
              </w:rPr>
              <w:t>23</w:t>
            </w:r>
            <w:r w:rsidR="67BAD222">
              <w:fldChar w:fldCharType="end"/>
            </w:r>
          </w:hyperlink>
        </w:p>
        <w:p w14:paraId="7FDACB10" w14:textId="098D38CA" w:rsidR="67BAD222" w:rsidRDefault="6C121CDF" w:rsidP="67BAD222">
          <w:pPr>
            <w:pStyle w:val="TOC2"/>
            <w:tabs>
              <w:tab w:val="right" w:leader="dot" w:pos="9015"/>
            </w:tabs>
            <w:rPr>
              <w:rStyle w:val="Hyperlink"/>
              <w:rFonts w:ascii="Arial" w:eastAsia="Arial" w:hAnsi="Arial" w:cs="Arial"/>
              <w:sz w:val="22"/>
              <w:szCs w:val="22"/>
            </w:rPr>
          </w:pPr>
          <w:hyperlink w:anchor="_Toc1688192061">
            <w:r w:rsidRPr="24E26AF7">
              <w:rPr>
                <w:rStyle w:val="Hyperlink"/>
                <w:rFonts w:ascii="Arial" w:eastAsia="Arial" w:hAnsi="Arial" w:cs="Arial"/>
                <w:sz w:val="22"/>
                <w:szCs w:val="22"/>
              </w:rPr>
              <w:t>4.1 Introduction</w:t>
            </w:r>
            <w:r w:rsidR="67BAD222">
              <w:tab/>
            </w:r>
            <w:r w:rsidR="67BAD222">
              <w:fldChar w:fldCharType="begin"/>
            </w:r>
            <w:r w:rsidR="67BAD222">
              <w:instrText>PAGEREF _Toc1688192061 \h</w:instrText>
            </w:r>
            <w:r w:rsidR="67BAD222">
              <w:fldChar w:fldCharType="separate"/>
            </w:r>
            <w:r w:rsidRPr="24E26AF7">
              <w:rPr>
                <w:rStyle w:val="Hyperlink"/>
                <w:rFonts w:ascii="Arial" w:eastAsia="Arial" w:hAnsi="Arial" w:cs="Arial"/>
                <w:sz w:val="22"/>
                <w:szCs w:val="22"/>
              </w:rPr>
              <w:t>23</w:t>
            </w:r>
            <w:r w:rsidR="67BAD222">
              <w:fldChar w:fldCharType="end"/>
            </w:r>
          </w:hyperlink>
        </w:p>
        <w:p w14:paraId="439A7F16" w14:textId="1A595CCA" w:rsidR="67BAD222" w:rsidRDefault="6C121CDF" w:rsidP="67BAD222">
          <w:pPr>
            <w:pStyle w:val="TOC2"/>
            <w:tabs>
              <w:tab w:val="right" w:leader="dot" w:pos="9015"/>
            </w:tabs>
            <w:rPr>
              <w:rStyle w:val="Hyperlink"/>
              <w:rFonts w:ascii="Arial" w:eastAsia="Arial" w:hAnsi="Arial" w:cs="Arial"/>
              <w:sz w:val="22"/>
              <w:szCs w:val="22"/>
            </w:rPr>
          </w:pPr>
          <w:hyperlink w:anchor="_Toc1472792997">
            <w:r w:rsidRPr="24E26AF7">
              <w:rPr>
                <w:rStyle w:val="Hyperlink"/>
                <w:rFonts w:ascii="Arial" w:eastAsia="Arial" w:hAnsi="Arial" w:cs="Arial"/>
                <w:sz w:val="22"/>
                <w:szCs w:val="22"/>
              </w:rPr>
              <w:t>4.2 Thematic Analysis</w:t>
            </w:r>
            <w:r w:rsidR="67BAD222">
              <w:tab/>
            </w:r>
            <w:r w:rsidR="67BAD222">
              <w:fldChar w:fldCharType="begin"/>
            </w:r>
            <w:r w:rsidR="67BAD222">
              <w:instrText>PAGEREF _Toc1472792997 \h</w:instrText>
            </w:r>
            <w:r w:rsidR="67BAD222">
              <w:fldChar w:fldCharType="separate"/>
            </w:r>
            <w:r w:rsidRPr="24E26AF7">
              <w:rPr>
                <w:rStyle w:val="Hyperlink"/>
                <w:rFonts w:ascii="Arial" w:eastAsia="Arial" w:hAnsi="Arial" w:cs="Arial"/>
                <w:sz w:val="22"/>
                <w:szCs w:val="22"/>
              </w:rPr>
              <w:t>24</w:t>
            </w:r>
            <w:r w:rsidR="67BAD222">
              <w:fldChar w:fldCharType="end"/>
            </w:r>
          </w:hyperlink>
        </w:p>
        <w:p w14:paraId="034B4A62" w14:textId="6D63B613" w:rsidR="67BAD222" w:rsidRDefault="6C121CDF" w:rsidP="67BAD222">
          <w:pPr>
            <w:pStyle w:val="TOC2"/>
            <w:tabs>
              <w:tab w:val="right" w:leader="dot" w:pos="9015"/>
            </w:tabs>
            <w:rPr>
              <w:rStyle w:val="Hyperlink"/>
              <w:rFonts w:ascii="Arial" w:eastAsia="Arial" w:hAnsi="Arial" w:cs="Arial"/>
              <w:sz w:val="22"/>
              <w:szCs w:val="22"/>
            </w:rPr>
          </w:pPr>
          <w:hyperlink w:anchor="_Toc1426821000">
            <w:r w:rsidRPr="24E26AF7">
              <w:rPr>
                <w:rStyle w:val="Hyperlink"/>
                <w:rFonts w:ascii="Arial" w:eastAsia="Arial" w:hAnsi="Arial" w:cs="Arial"/>
                <w:sz w:val="22"/>
                <w:szCs w:val="22"/>
              </w:rPr>
              <w:t>4.3 Theme 1 – Structural Inequality and Socioeconomic Disadvantage</w:t>
            </w:r>
            <w:r w:rsidR="67BAD222">
              <w:tab/>
            </w:r>
            <w:r w:rsidR="67BAD222">
              <w:fldChar w:fldCharType="begin"/>
            </w:r>
            <w:r w:rsidR="67BAD222">
              <w:instrText>PAGEREF _Toc1426821000 \h</w:instrText>
            </w:r>
            <w:r w:rsidR="67BAD222">
              <w:fldChar w:fldCharType="separate"/>
            </w:r>
            <w:r w:rsidRPr="24E26AF7">
              <w:rPr>
                <w:rStyle w:val="Hyperlink"/>
                <w:rFonts w:ascii="Arial" w:eastAsia="Arial" w:hAnsi="Arial" w:cs="Arial"/>
                <w:sz w:val="22"/>
                <w:szCs w:val="22"/>
              </w:rPr>
              <w:t>24</w:t>
            </w:r>
            <w:r w:rsidR="67BAD222">
              <w:fldChar w:fldCharType="end"/>
            </w:r>
          </w:hyperlink>
        </w:p>
        <w:p w14:paraId="7AC77FCA" w14:textId="07FD606C" w:rsidR="67BAD222" w:rsidRDefault="6C121CDF" w:rsidP="67BAD222">
          <w:pPr>
            <w:pStyle w:val="TOC2"/>
            <w:tabs>
              <w:tab w:val="right" w:leader="dot" w:pos="9015"/>
            </w:tabs>
            <w:rPr>
              <w:rStyle w:val="Hyperlink"/>
              <w:rFonts w:ascii="Arial" w:eastAsia="Arial" w:hAnsi="Arial" w:cs="Arial"/>
              <w:sz w:val="22"/>
              <w:szCs w:val="22"/>
            </w:rPr>
          </w:pPr>
          <w:hyperlink w:anchor="_Toc400771989">
            <w:r w:rsidRPr="24E26AF7">
              <w:rPr>
                <w:rStyle w:val="Hyperlink"/>
                <w:rFonts w:ascii="Arial" w:eastAsia="Arial" w:hAnsi="Arial" w:cs="Arial"/>
                <w:sz w:val="22"/>
                <w:szCs w:val="22"/>
              </w:rPr>
              <w:t>4.4 Theme 2 – Cultural Beliefs, Stigma, and Mistrust</w:t>
            </w:r>
            <w:r w:rsidR="67BAD222">
              <w:tab/>
            </w:r>
            <w:r w:rsidR="67BAD222">
              <w:fldChar w:fldCharType="begin"/>
            </w:r>
            <w:r w:rsidR="67BAD222">
              <w:instrText>PAGEREF _Toc400771989 \h</w:instrText>
            </w:r>
            <w:r w:rsidR="67BAD222">
              <w:fldChar w:fldCharType="separate"/>
            </w:r>
            <w:r w:rsidRPr="24E26AF7">
              <w:rPr>
                <w:rStyle w:val="Hyperlink"/>
                <w:rFonts w:ascii="Arial" w:eastAsia="Arial" w:hAnsi="Arial" w:cs="Arial"/>
                <w:sz w:val="22"/>
                <w:szCs w:val="22"/>
              </w:rPr>
              <w:t>27</w:t>
            </w:r>
            <w:r w:rsidR="67BAD222">
              <w:fldChar w:fldCharType="end"/>
            </w:r>
          </w:hyperlink>
        </w:p>
        <w:p w14:paraId="4C46F602" w14:textId="79512E73" w:rsidR="67BAD222" w:rsidRDefault="6C121CDF" w:rsidP="67BAD222">
          <w:pPr>
            <w:pStyle w:val="TOC2"/>
            <w:tabs>
              <w:tab w:val="right" w:leader="dot" w:pos="9015"/>
            </w:tabs>
            <w:rPr>
              <w:rStyle w:val="Hyperlink"/>
              <w:rFonts w:ascii="Arial" w:eastAsia="Arial" w:hAnsi="Arial" w:cs="Arial"/>
              <w:sz w:val="22"/>
              <w:szCs w:val="22"/>
            </w:rPr>
          </w:pPr>
          <w:hyperlink w:anchor="_Toc899682693">
            <w:r w:rsidRPr="24E26AF7">
              <w:rPr>
                <w:rStyle w:val="Hyperlink"/>
                <w:rFonts w:ascii="Arial" w:eastAsia="Arial" w:hAnsi="Arial" w:cs="Arial"/>
                <w:sz w:val="22"/>
                <w:szCs w:val="22"/>
              </w:rPr>
              <w:t>4.5 Theme 3 – Institutional and Systemic Barriers</w:t>
            </w:r>
            <w:r w:rsidR="67BAD222">
              <w:tab/>
            </w:r>
            <w:r w:rsidR="67BAD222">
              <w:fldChar w:fldCharType="begin"/>
            </w:r>
            <w:r w:rsidR="67BAD222">
              <w:instrText>PAGEREF _Toc899682693 \h</w:instrText>
            </w:r>
            <w:r w:rsidR="67BAD222">
              <w:fldChar w:fldCharType="separate"/>
            </w:r>
            <w:r w:rsidRPr="24E26AF7">
              <w:rPr>
                <w:rStyle w:val="Hyperlink"/>
                <w:rFonts w:ascii="Arial" w:eastAsia="Arial" w:hAnsi="Arial" w:cs="Arial"/>
                <w:sz w:val="22"/>
                <w:szCs w:val="22"/>
              </w:rPr>
              <w:t>29</w:t>
            </w:r>
            <w:r w:rsidR="67BAD222">
              <w:fldChar w:fldCharType="end"/>
            </w:r>
          </w:hyperlink>
        </w:p>
        <w:p w14:paraId="193576A4" w14:textId="022EA966" w:rsidR="67BAD222" w:rsidRDefault="6C121CDF" w:rsidP="67BAD222">
          <w:pPr>
            <w:pStyle w:val="TOC2"/>
            <w:tabs>
              <w:tab w:val="right" w:leader="dot" w:pos="9015"/>
            </w:tabs>
            <w:rPr>
              <w:rStyle w:val="Hyperlink"/>
              <w:rFonts w:ascii="Arial" w:eastAsia="Arial" w:hAnsi="Arial" w:cs="Arial"/>
              <w:sz w:val="22"/>
              <w:szCs w:val="22"/>
            </w:rPr>
          </w:pPr>
          <w:hyperlink w:anchor="_Toc1386548347">
            <w:r w:rsidRPr="24E26AF7">
              <w:rPr>
                <w:rStyle w:val="Hyperlink"/>
                <w:rFonts w:ascii="Arial" w:eastAsia="Arial" w:hAnsi="Arial" w:cs="Arial"/>
                <w:sz w:val="22"/>
                <w:szCs w:val="22"/>
              </w:rPr>
              <w:t>4.6 Chapter Summary</w:t>
            </w:r>
            <w:r w:rsidR="67BAD222">
              <w:tab/>
            </w:r>
            <w:r w:rsidR="67BAD222">
              <w:fldChar w:fldCharType="begin"/>
            </w:r>
            <w:r w:rsidR="67BAD222">
              <w:instrText>PAGEREF _Toc1386548347 \h</w:instrText>
            </w:r>
            <w:r w:rsidR="67BAD222">
              <w:fldChar w:fldCharType="separate"/>
            </w:r>
            <w:r w:rsidRPr="24E26AF7">
              <w:rPr>
                <w:rStyle w:val="Hyperlink"/>
                <w:rFonts w:ascii="Arial" w:eastAsia="Arial" w:hAnsi="Arial" w:cs="Arial"/>
                <w:sz w:val="22"/>
                <w:szCs w:val="22"/>
              </w:rPr>
              <w:t>32</w:t>
            </w:r>
            <w:r w:rsidR="67BAD222">
              <w:fldChar w:fldCharType="end"/>
            </w:r>
          </w:hyperlink>
        </w:p>
        <w:p w14:paraId="121E61CD" w14:textId="4995DBDC" w:rsidR="67BAD222" w:rsidRDefault="6C121CDF" w:rsidP="67BAD222">
          <w:pPr>
            <w:pStyle w:val="TOC2"/>
            <w:tabs>
              <w:tab w:val="right" w:leader="dot" w:pos="9015"/>
            </w:tabs>
            <w:rPr>
              <w:rStyle w:val="Hyperlink"/>
              <w:rFonts w:ascii="Arial" w:eastAsia="Arial" w:hAnsi="Arial" w:cs="Arial"/>
              <w:sz w:val="22"/>
              <w:szCs w:val="22"/>
            </w:rPr>
          </w:pPr>
          <w:hyperlink w:anchor="_Toc1781661983">
            <w:r w:rsidRPr="24E26AF7">
              <w:rPr>
                <w:rStyle w:val="Hyperlink"/>
                <w:rFonts w:ascii="Arial" w:eastAsia="Arial" w:hAnsi="Arial" w:cs="Arial"/>
                <w:sz w:val="22"/>
                <w:szCs w:val="22"/>
              </w:rPr>
              <w:t>Appendix A: Results Summary Table</w:t>
            </w:r>
            <w:r w:rsidR="67BAD222">
              <w:tab/>
            </w:r>
            <w:r w:rsidR="67BAD222">
              <w:fldChar w:fldCharType="begin"/>
            </w:r>
            <w:r w:rsidR="67BAD222">
              <w:instrText>PAGEREF _Toc1781661983 \h</w:instrText>
            </w:r>
            <w:r w:rsidR="67BAD222">
              <w:fldChar w:fldCharType="separate"/>
            </w:r>
            <w:r w:rsidRPr="24E26AF7">
              <w:rPr>
                <w:rStyle w:val="Hyperlink"/>
                <w:rFonts w:ascii="Arial" w:eastAsia="Arial" w:hAnsi="Arial" w:cs="Arial"/>
                <w:sz w:val="22"/>
                <w:szCs w:val="22"/>
              </w:rPr>
              <w:t>32</w:t>
            </w:r>
            <w:r w:rsidR="67BAD222">
              <w:fldChar w:fldCharType="end"/>
            </w:r>
          </w:hyperlink>
        </w:p>
        <w:p w14:paraId="2F84C01F" w14:textId="02BFEDBC" w:rsidR="67BAD222" w:rsidRDefault="6C121CDF" w:rsidP="67BAD222">
          <w:pPr>
            <w:pStyle w:val="TOC2"/>
            <w:tabs>
              <w:tab w:val="right" w:leader="dot" w:pos="9015"/>
            </w:tabs>
            <w:rPr>
              <w:rStyle w:val="Hyperlink"/>
              <w:rFonts w:ascii="Arial" w:eastAsia="Arial" w:hAnsi="Arial" w:cs="Arial"/>
              <w:sz w:val="22"/>
              <w:szCs w:val="22"/>
            </w:rPr>
          </w:pPr>
          <w:hyperlink w:anchor="_Toc875032651">
            <w:r w:rsidRPr="24E26AF7">
              <w:rPr>
                <w:rStyle w:val="Hyperlink"/>
                <w:rFonts w:ascii="Arial" w:eastAsia="Arial" w:hAnsi="Arial" w:cs="Arial"/>
                <w:sz w:val="22"/>
                <w:szCs w:val="22"/>
              </w:rPr>
              <w:t>Appendix B: Source Tracking Table</w:t>
            </w:r>
            <w:r w:rsidR="67BAD222">
              <w:tab/>
            </w:r>
            <w:r w:rsidR="67BAD222">
              <w:fldChar w:fldCharType="begin"/>
            </w:r>
            <w:r w:rsidR="67BAD222">
              <w:instrText>PAGEREF _Toc875032651 \h</w:instrText>
            </w:r>
            <w:r w:rsidR="67BAD222">
              <w:fldChar w:fldCharType="separate"/>
            </w:r>
            <w:r w:rsidRPr="24E26AF7">
              <w:rPr>
                <w:rStyle w:val="Hyperlink"/>
                <w:rFonts w:ascii="Arial" w:eastAsia="Arial" w:hAnsi="Arial" w:cs="Arial"/>
                <w:sz w:val="22"/>
                <w:szCs w:val="22"/>
              </w:rPr>
              <w:t>34</w:t>
            </w:r>
            <w:r w:rsidR="67BAD222">
              <w:fldChar w:fldCharType="end"/>
            </w:r>
          </w:hyperlink>
        </w:p>
        <w:p w14:paraId="7387D765" w14:textId="4A3179F9" w:rsidR="67BAD222" w:rsidRDefault="6C121CDF" w:rsidP="67BAD222">
          <w:pPr>
            <w:pStyle w:val="TOC2"/>
            <w:tabs>
              <w:tab w:val="right" w:leader="dot" w:pos="9015"/>
            </w:tabs>
            <w:rPr>
              <w:rStyle w:val="Hyperlink"/>
              <w:rFonts w:ascii="Arial" w:eastAsia="Arial" w:hAnsi="Arial" w:cs="Arial"/>
              <w:sz w:val="22"/>
              <w:szCs w:val="22"/>
            </w:rPr>
          </w:pPr>
          <w:hyperlink w:anchor="_Toc1745274359">
            <w:r w:rsidRPr="24E26AF7">
              <w:rPr>
                <w:rStyle w:val="Hyperlink"/>
                <w:rFonts w:ascii="Arial" w:eastAsia="Arial" w:hAnsi="Arial" w:cs="Arial"/>
                <w:sz w:val="22"/>
                <w:szCs w:val="22"/>
              </w:rPr>
              <w:t>Appendix C: Thematic Evidence Map</w:t>
            </w:r>
            <w:r w:rsidR="67BAD222">
              <w:tab/>
            </w:r>
            <w:r w:rsidR="67BAD222">
              <w:fldChar w:fldCharType="begin"/>
            </w:r>
            <w:r w:rsidR="67BAD222">
              <w:instrText>PAGEREF _Toc1745274359 \h</w:instrText>
            </w:r>
            <w:r w:rsidR="67BAD222">
              <w:fldChar w:fldCharType="separate"/>
            </w:r>
            <w:r w:rsidRPr="24E26AF7">
              <w:rPr>
                <w:rStyle w:val="Hyperlink"/>
                <w:rFonts w:ascii="Arial" w:eastAsia="Arial" w:hAnsi="Arial" w:cs="Arial"/>
                <w:sz w:val="22"/>
                <w:szCs w:val="22"/>
              </w:rPr>
              <w:t>34</w:t>
            </w:r>
            <w:r w:rsidR="67BAD222">
              <w:fldChar w:fldCharType="end"/>
            </w:r>
          </w:hyperlink>
        </w:p>
        <w:p w14:paraId="0225F395" w14:textId="51D6E2A0" w:rsidR="67BAD222" w:rsidRDefault="6C121CDF" w:rsidP="67BAD222">
          <w:pPr>
            <w:pStyle w:val="TOC1"/>
            <w:tabs>
              <w:tab w:val="right" w:leader="dot" w:pos="9015"/>
            </w:tabs>
            <w:rPr>
              <w:rStyle w:val="Hyperlink"/>
              <w:rFonts w:ascii="Arial" w:eastAsia="Arial" w:hAnsi="Arial" w:cs="Arial"/>
              <w:sz w:val="22"/>
              <w:szCs w:val="22"/>
            </w:rPr>
          </w:pPr>
          <w:hyperlink w:anchor="_Toc772281594">
            <w:r w:rsidRPr="24E26AF7">
              <w:rPr>
                <w:rStyle w:val="Hyperlink"/>
                <w:rFonts w:ascii="Arial" w:eastAsia="Arial" w:hAnsi="Arial" w:cs="Arial"/>
                <w:sz w:val="22"/>
                <w:szCs w:val="22"/>
              </w:rPr>
              <w:t>CHAPTER 5 – Conclusion and Recommendations</w:t>
            </w:r>
            <w:r w:rsidR="67BAD222">
              <w:tab/>
            </w:r>
            <w:r w:rsidR="67BAD222">
              <w:fldChar w:fldCharType="begin"/>
            </w:r>
            <w:r w:rsidR="67BAD222">
              <w:instrText>PAGEREF _Toc772281594 \h</w:instrText>
            </w:r>
            <w:r w:rsidR="67BAD222">
              <w:fldChar w:fldCharType="separate"/>
            </w:r>
            <w:r w:rsidRPr="24E26AF7">
              <w:rPr>
                <w:rStyle w:val="Hyperlink"/>
                <w:rFonts w:ascii="Arial" w:eastAsia="Arial" w:hAnsi="Arial" w:cs="Arial"/>
                <w:sz w:val="22"/>
                <w:szCs w:val="22"/>
              </w:rPr>
              <w:t>35</w:t>
            </w:r>
            <w:r w:rsidR="67BAD222">
              <w:fldChar w:fldCharType="end"/>
            </w:r>
          </w:hyperlink>
        </w:p>
        <w:p w14:paraId="7D81DE83" w14:textId="233968D1" w:rsidR="67BAD222" w:rsidRDefault="6C121CDF" w:rsidP="67BAD222">
          <w:pPr>
            <w:pStyle w:val="TOC2"/>
            <w:tabs>
              <w:tab w:val="right" w:leader="dot" w:pos="9015"/>
            </w:tabs>
            <w:rPr>
              <w:rStyle w:val="Hyperlink"/>
              <w:rFonts w:ascii="Arial" w:eastAsia="Arial" w:hAnsi="Arial" w:cs="Arial"/>
              <w:sz w:val="22"/>
              <w:szCs w:val="22"/>
            </w:rPr>
          </w:pPr>
          <w:hyperlink w:anchor="_Toc2062194292">
            <w:r w:rsidRPr="24E26AF7">
              <w:rPr>
                <w:rStyle w:val="Hyperlink"/>
                <w:rFonts w:ascii="Arial" w:eastAsia="Arial" w:hAnsi="Arial" w:cs="Arial"/>
                <w:sz w:val="22"/>
                <w:szCs w:val="22"/>
              </w:rPr>
              <w:t>5.1 Overall Conclusion</w:t>
            </w:r>
            <w:r w:rsidR="67BAD222">
              <w:tab/>
            </w:r>
            <w:r w:rsidR="67BAD222">
              <w:fldChar w:fldCharType="begin"/>
            </w:r>
            <w:r w:rsidR="67BAD222">
              <w:instrText>PAGEREF _Toc2062194292 \h</w:instrText>
            </w:r>
            <w:r w:rsidR="67BAD222">
              <w:fldChar w:fldCharType="separate"/>
            </w:r>
            <w:r w:rsidRPr="24E26AF7">
              <w:rPr>
                <w:rStyle w:val="Hyperlink"/>
                <w:rFonts w:ascii="Arial" w:eastAsia="Arial" w:hAnsi="Arial" w:cs="Arial"/>
                <w:sz w:val="22"/>
                <w:szCs w:val="22"/>
              </w:rPr>
              <w:t>35</w:t>
            </w:r>
            <w:r w:rsidR="67BAD222">
              <w:fldChar w:fldCharType="end"/>
            </w:r>
          </w:hyperlink>
        </w:p>
        <w:p w14:paraId="09A221A8" w14:textId="00BC6E31" w:rsidR="67BAD222" w:rsidRDefault="6C121CDF" w:rsidP="67BAD222">
          <w:pPr>
            <w:pStyle w:val="TOC2"/>
            <w:tabs>
              <w:tab w:val="right" w:leader="dot" w:pos="9015"/>
            </w:tabs>
            <w:rPr>
              <w:rStyle w:val="Hyperlink"/>
              <w:rFonts w:ascii="Arial" w:eastAsia="Arial" w:hAnsi="Arial" w:cs="Arial"/>
              <w:sz w:val="22"/>
              <w:szCs w:val="22"/>
            </w:rPr>
          </w:pPr>
          <w:hyperlink w:anchor="_Toc1573460235">
            <w:r w:rsidRPr="24E26AF7">
              <w:rPr>
                <w:rStyle w:val="Hyperlink"/>
                <w:rFonts w:ascii="Arial" w:eastAsia="Arial" w:hAnsi="Arial" w:cs="Arial"/>
                <w:sz w:val="22"/>
                <w:szCs w:val="22"/>
              </w:rPr>
              <w:t>5.2.1 Recommendations</w:t>
            </w:r>
            <w:r w:rsidR="67BAD222">
              <w:tab/>
            </w:r>
            <w:r w:rsidR="67BAD222">
              <w:fldChar w:fldCharType="begin"/>
            </w:r>
            <w:r w:rsidR="67BAD222">
              <w:instrText>PAGEREF _Toc1573460235 \h</w:instrText>
            </w:r>
            <w:r w:rsidR="67BAD222">
              <w:fldChar w:fldCharType="separate"/>
            </w:r>
            <w:r w:rsidRPr="24E26AF7">
              <w:rPr>
                <w:rStyle w:val="Hyperlink"/>
                <w:rFonts w:ascii="Arial" w:eastAsia="Arial" w:hAnsi="Arial" w:cs="Arial"/>
                <w:sz w:val="22"/>
                <w:szCs w:val="22"/>
              </w:rPr>
              <w:t>36</w:t>
            </w:r>
            <w:r w:rsidR="67BAD222">
              <w:fldChar w:fldCharType="end"/>
            </w:r>
          </w:hyperlink>
        </w:p>
        <w:p w14:paraId="7AA6F899" w14:textId="60D92E96" w:rsidR="67BAD222" w:rsidRDefault="6C121CDF" w:rsidP="67BAD222">
          <w:pPr>
            <w:pStyle w:val="TOC2"/>
            <w:tabs>
              <w:tab w:val="right" w:leader="dot" w:pos="9015"/>
            </w:tabs>
            <w:rPr>
              <w:rStyle w:val="Hyperlink"/>
              <w:rFonts w:ascii="Arial" w:eastAsia="Arial" w:hAnsi="Arial" w:cs="Arial"/>
              <w:sz w:val="22"/>
              <w:szCs w:val="22"/>
            </w:rPr>
          </w:pPr>
          <w:hyperlink w:anchor="_Toc561928264">
            <w:r w:rsidRPr="24E26AF7">
              <w:rPr>
                <w:rStyle w:val="Hyperlink"/>
                <w:rFonts w:ascii="Arial" w:eastAsia="Arial" w:hAnsi="Arial" w:cs="Arial"/>
                <w:sz w:val="22"/>
                <w:szCs w:val="22"/>
              </w:rPr>
              <w:t>5.2.2 Recommendation 2: Address Structural Barriers Through Cross-Sector Collaboration</w:t>
            </w:r>
            <w:r w:rsidR="67BAD222">
              <w:tab/>
            </w:r>
            <w:r w:rsidR="67BAD222">
              <w:fldChar w:fldCharType="begin"/>
            </w:r>
            <w:r w:rsidR="67BAD222">
              <w:instrText>PAGEREF _Toc561928264 \h</w:instrText>
            </w:r>
            <w:r w:rsidR="67BAD222">
              <w:fldChar w:fldCharType="separate"/>
            </w:r>
            <w:r w:rsidRPr="24E26AF7">
              <w:rPr>
                <w:rStyle w:val="Hyperlink"/>
                <w:rFonts w:ascii="Arial" w:eastAsia="Arial" w:hAnsi="Arial" w:cs="Arial"/>
                <w:sz w:val="22"/>
                <w:szCs w:val="22"/>
              </w:rPr>
              <w:t>37</w:t>
            </w:r>
            <w:r w:rsidR="67BAD222">
              <w:fldChar w:fldCharType="end"/>
            </w:r>
          </w:hyperlink>
        </w:p>
        <w:p w14:paraId="5A2DFE96" w14:textId="00D5C772" w:rsidR="67BAD222" w:rsidRDefault="6C121CDF" w:rsidP="67BAD222">
          <w:pPr>
            <w:pStyle w:val="TOC2"/>
            <w:tabs>
              <w:tab w:val="right" w:leader="dot" w:pos="9015"/>
            </w:tabs>
            <w:rPr>
              <w:rStyle w:val="Hyperlink"/>
              <w:rFonts w:ascii="Arial" w:eastAsia="Arial" w:hAnsi="Arial" w:cs="Arial"/>
              <w:sz w:val="22"/>
              <w:szCs w:val="22"/>
            </w:rPr>
          </w:pPr>
          <w:hyperlink w:anchor="_Toc120724822">
            <w:r w:rsidRPr="24E26AF7">
              <w:rPr>
                <w:rStyle w:val="Hyperlink"/>
                <w:rFonts w:ascii="Arial" w:eastAsia="Arial" w:hAnsi="Arial" w:cs="Arial"/>
                <w:sz w:val="22"/>
                <w:szCs w:val="22"/>
              </w:rPr>
              <w:t>5.2.3 Recommendation 3: Improve Accountability and Monitoring of Ethnic Inequalities</w:t>
            </w:r>
            <w:r w:rsidR="67BAD222">
              <w:tab/>
            </w:r>
            <w:r w:rsidR="67BAD222">
              <w:fldChar w:fldCharType="begin"/>
            </w:r>
            <w:r w:rsidR="67BAD222">
              <w:instrText>PAGEREF _Toc120724822 \h</w:instrText>
            </w:r>
            <w:r w:rsidR="67BAD222">
              <w:fldChar w:fldCharType="separate"/>
            </w:r>
            <w:r w:rsidRPr="24E26AF7">
              <w:rPr>
                <w:rStyle w:val="Hyperlink"/>
                <w:rFonts w:ascii="Arial" w:eastAsia="Arial" w:hAnsi="Arial" w:cs="Arial"/>
                <w:sz w:val="22"/>
                <w:szCs w:val="22"/>
              </w:rPr>
              <w:t>38</w:t>
            </w:r>
            <w:r w:rsidR="67BAD222">
              <w:fldChar w:fldCharType="end"/>
            </w:r>
          </w:hyperlink>
        </w:p>
        <w:p w14:paraId="505E62F2" w14:textId="70E60C89" w:rsidR="67BAD222" w:rsidRDefault="6C121CDF" w:rsidP="67BAD222">
          <w:pPr>
            <w:pStyle w:val="TOC1"/>
            <w:tabs>
              <w:tab w:val="right" w:leader="dot" w:pos="9015"/>
            </w:tabs>
            <w:rPr>
              <w:rStyle w:val="Hyperlink"/>
              <w:rFonts w:ascii="Arial" w:eastAsia="Arial" w:hAnsi="Arial" w:cs="Arial"/>
              <w:sz w:val="22"/>
              <w:szCs w:val="22"/>
            </w:rPr>
          </w:pPr>
          <w:hyperlink w:anchor="_Toc402229931">
            <w:r w:rsidRPr="24E26AF7">
              <w:rPr>
                <w:rStyle w:val="Hyperlink"/>
                <w:rFonts w:ascii="Arial" w:eastAsia="Arial" w:hAnsi="Arial" w:cs="Arial"/>
                <w:sz w:val="22"/>
                <w:szCs w:val="22"/>
              </w:rPr>
              <w:t>CHAPTER 6 – References and Appendices</w:t>
            </w:r>
            <w:r w:rsidR="67BAD222">
              <w:tab/>
            </w:r>
            <w:r w:rsidR="67BAD222">
              <w:fldChar w:fldCharType="begin"/>
            </w:r>
            <w:r w:rsidR="67BAD222">
              <w:instrText>PAGEREF _Toc402229931 \h</w:instrText>
            </w:r>
            <w:r w:rsidR="67BAD222">
              <w:fldChar w:fldCharType="separate"/>
            </w:r>
            <w:r w:rsidRPr="24E26AF7">
              <w:rPr>
                <w:rStyle w:val="Hyperlink"/>
                <w:rFonts w:ascii="Arial" w:eastAsia="Arial" w:hAnsi="Arial" w:cs="Arial"/>
                <w:sz w:val="22"/>
                <w:szCs w:val="22"/>
              </w:rPr>
              <w:t>39</w:t>
            </w:r>
            <w:r w:rsidR="67BAD222">
              <w:fldChar w:fldCharType="end"/>
            </w:r>
          </w:hyperlink>
        </w:p>
        <w:p w14:paraId="0475183A" w14:textId="15B54BEA" w:rsidR="67BAD222" w:rsidRDefault="6C121CDF" w:rsidP="67BAD222">
          <w:pPr>
            <w:pStyle w:val="TOC2"/>
            <w:tabs>
              <w:tab w:val="right" w:leader="dot" w:pos="9015"/>
            </w:tabs>
            <w:rPr>
              <w:rStyle w:val="Hyperlink"/>
              <w:rFonts w:ascii="Arial" w:eastAsia="Arial" w:hAnsi="Arial" w:cs="Arial"/>
              <w:sz w:val="22"/>
              <w:szCs w:val="22"/>
            </w:rPr>
          </w:pPr>
          <w:hyperlink w:anchor="_Toc609778631">
            <w:r w:rsidRPr="24E26AF7">
              <w:rPr>
                <w:rStyle w:val="Hyperlink"/>
                <w:rFonts w:ascii="Arial" w:eastAsia="Arial" w:hAnsi="Arial" w:cs="Arial"/>
                <w:sz w:val="22"/>
                <w:szCs w:val="22"/>
              </w:rPr>
              <w:t>6.1 References</w:t>
            </w:r>
            <w:r w:rsidR="67BAD222">
              <w:tab/>
            </w:r>
            <w:r w:rsidR="67BAD222">
              <w:fldChar w:fldCharType="begin"/>
            </w:r>
            <w:r w:rsidR="67BAD222">
              <w:instrText>PAGEREF _Toc609778631 \h</w:instrText>
            </w:r>
            <w:r w:rsidR="67BAD222">
              <w:fldChar w:fldCharType="separate"/>
            </w:r>
            <w:r w:rsidRPr="24E26AF7">
              <w:rPr>
                <w:rStyle w:val="Hyperlink"/>
                <w:rFonts w:ascii="Arial" w:eastAsia="Arial" w:hAnsi="Arial" w:cs="Arial"/>
                <w:sz w:val="22"/>
                <w:szCs w:val="22"/>
              </w:rPr>
              <w:t>39</w:t>
            </w:r>
            <w:r w:rsidR="67BAD222">
              <w:fldChar w:fldCharType="end"/>
            </w:r>
          </w:hyperlink>
        </w:p>
        <w:p w14:paraId="0325D66D" w14:textId="76AC3C76" w:rsidR="67BAD222" w:rsidRDefault="6C121CDF" w:rsidP="67BAD222">
          <w:pPr>
            <w:pStyle w:val="TOC2"/>
            <w:tabs>
              <w:tab w:val="right" w:leader="dot" w:pos="9015"/>
            </w:tabs>
            <w:rPr>
              <w:rStyle w:val="Hyperlink"/>
              <w:rFonts w:ascii="Arial" w:eastAsia="Arial" w:hAnsi="Arial" w:cs="Arial"/>
              <w:sz w:val="22"/>
              <w:szCs w:val="22"/>
            </w:rPr>
          </w:pPr>
          <w:hyperlink w:anchor="_Toc1618348700">
            <w:r w:rsidRPr="24E26AF7">
              <w:rPr>
                <w:rStyle w:val="Hyperlink"/>
                <w:rFonts w:ascii="Arial" w:eastAsia="Arial" w:hAnsi="Arial" w:cs="Arial"/>
                <w:sz w:val="22"/>
                <w:szCs w:val="22"/>
              </w:rPr>
              <w:t>6.2 Appendices</w:t>
            </w:r>
            <w:r w:rsidR="67BAD222">
              <w:tab/>
            </w:r>
            <w:r w:rsidR="67BAD222">
              <w:fldChar w:fldCharType="begin"/>
            </w:r>
            <w:r w:rsidR="67BAD222">
              <w:instrText>PAGEREF _Toc1618348700 \h</w:instrText>
            </w:r>
            <w:r w:rsidR="67BAD222">
              <w:fldChar w:fldCharType="separate"/>
            </w:r>
            <w:r w:rsidRPr="24E26AF7">
              <w:rPr>
                <w:rStyle w:val="Hyperlink"/>
                <w:rFonts w:ascii="Arial" w:eastAsia="Arial" w:hAnsi="Arial" w:cs="Arial"/>
                <w:sz w:val="22"/>
                <w:szCs w:val="22"/>
              </w:rPr>
              <w:t>40</w:t>
            </w:r>
            <w:r w:rsidR="67BAD222">
              <w:fldChar w:fldCharType="end"/>
            </w:r>
          </w:hyperlink>
        </w:p>
        <w:p w14:paraId="557F5AFA" w14:textId="20C63D3A" w:rsidR="67BAD222" w:rsidRDefault="6C121CDF" w:rsidP="67BAD222">
          <w:pPr>
            <w:pStyle w:val="TOC1"/>
            <w:tabs>
              <w:tab w:val="right" w:leader="dot" w:pos="9015"/>
            </w:tabs>
            <w:rPr>
              <w:rStyle w:val="Hyperlink"/>
              <w:rFonts w:ascii="Arial" w:eastAsia="Arial" w:hAnsi="Arial" w:cs="Arial"/>
              <w:sz w:val="22"/>
              <w:szCs w:val="22"/>
            </w:rPr>
          </w:pPr>
          <w:hyperlink w:anchor="_Toc319260525">
            <w:r w:rsidRPr="24E26AF7">
              <w:rPr>
                <w:rStyle w:val="Hyperlink"/>
                <w:rFonts w:ascii="Arial" w:eastAsia="Arial" w:hAnsi="Arial" w:cs="Arial"/>
                <w:sz w:val="22"/>
                <w:szCs w:val="22"/>
              </w:rPr>
              <w:t>References</w:t>
            </w:r>
            <w:r w:rsidR="67BAD222">
              <w:tab/>
            </w:r>
            <w:r w:rsidR="67BAD222">
              <w:fldChar w:fldCharType="begin"/>
            </w:r>
            <w:r w:rsidR="67BAD222">
              <w:instrText>PAGEREF _Toc319260525 \h</w:instrText>
            </w:r>
            <w:r w:rsidR="67BAD222">
              <w:fldChar w:fldCharType="separate"/>
            </w:r>
            <w:r w:rsidRPr="24E26AF7">
              <w:rPr>
                <w:rStyle w:val="Hyperlink"/>
                <w:rFonts w:ascii="Arial" w:eastAsia="Arial" w:hAnsi="Arial" w:cs="Arial"/>
                <w:sz w:val="22"/>
                <w:szCs w:val="22"/>
              </w:rPr>
              <w:t>40</w:t>
            </w:r>
            <w:r w:rsidR="67BAD222">
              <w:fldChar w:fldCharType="end"/>
            </w:r>
          </w:hyperlink>
          <w:r w:rsidR="67BAD222">
            <w:fldChar w:fldCharType="end"/>
          </w:r>
        </w:p>
      </w:sdtContent>
    </w:sdt>
    <w:p w14:paraId="20869F89" w14:textId="44AA6FE6" w:rsidR="67BAD222" w:rsidRDefault="67BAD222" w:rsidP="67BAD222">
      <w:pPr>
        <w:spacing w:line="360" w:lineRule="auto"/>
        <w:rPr>
          <w:rFonts w:ascii="Arial" w:hAnsi="Arial" w:cs="Arial"/>
          <w:b/>
          <w:bCs/>
          <w:sz w:val="22"/>
          <w:szCs w:val="22"/>
        </w:rPr>
      </w:pPr>
    </w:p>
    <w:p w14:paraId="501CAA8F" w14:textId="2B2231C8" w:rsidR="67BAD222" w:rsidRDefault="67BAD222" w:rsidP="67BAD222">
      <w:pPr>
        <w:spacing w:line="360" w:lineRule="auto"/>
        <w:rPr>
          <w:rFonts w:ascii="Arial" w:hAnsi="Arial" w:cs="Arial"/>
          <w:b/>
          <w:bCs/>
          <w:sz w:val="22"/>
          <w:szCs w:val="22"/>
        </w:rPr>
      </w:pPr>
    </w:p>
    <w:p w14:paraId="0F21BCF7" w14:textId="6E3503EE" w:rsidR="67BAD222" w:rsidRDefault="67BAD222" w:rsidP="67BAD222">
      <w:pPr>
        <w:spacing w:line="360" w:lineRule="auto"/>
        <w:rPr>
          <w:rFonts w:ascii="Arial" w:hAnsi="Arial" w:cs="Arial"/>
          <w:b/>
          <w:bCs/>
          <w:sz w:val="22"/>
          <w:szCs w:val="22"/>
        </w:rPr>
      </w:pPr>
    </w:p>
    <w:p w14:paraId="075F7CE2" w14:textId="6D7C5127" w:rsidR="001C06F3" w:rsidRPr="00BE61AB" w:rsidRDefault="001C06F3" w:rsidP="001C06F3">
      <w:pPr>
        <w:rPr>
          <w:rFonts w:ascii="Arial" w:hAnsi="Arial" w:cs="Arial"/>
          <w:sz w:val="22"/>
          <w:szCs w:val="22"/>
        </w:rPr>
      </w:pPr>
      <w:r w:rsidRPr="67BAD222">
        <w:rPr>
          <w:rFonts w:ascii="Arial" w:hAnsi="Arial" w:cs="Arial"/>
          <w:sz w:val="22"/>
          <w:szCs w:val="22"/>
        </w:rPr>
        <w:br w:type="page"/>
      </w:r>
    </w:p>
    <w:p w14:paraId="47C391FB" w14:textId="06C726C8" w:rsidR="031B1EBE" w:rsidRDefault="031B1EBE" w:rsidP="67BAD222">
      <w:pPr>
        <w:pStyle w:val="Heading1"/>
        <w:rPr>
          <w:rFonts w:ascii="Arial" w:eastAsia="Arial" w:hAnsi="Arial" w:cs="Arial"/>
          <w:b/>
          <w:bCs/>
          <w:color w:val="000000" w:themeColor="text1"/>
          <w:sz w:val="22"/>
          <w:szCs w:val="22"/>
        </w:rPr>
      </w:pPr>
      <w:bookmarkStart w:id="0" w:name="_Toc597174722"/>
      <w:r w:rsidRPr="67BAD222">
        <w:rPr>
          <w:rFonts w:ascii="Arial" w:eastAsia="Arial" w:hAnsi="Arial" w:cs="Arial"/>
          <w:b/>
          <w:bCs/>
          <w:color w:val="000000" w:themeColor="text1"/>
          <w:sz w:val="22"/>
          <w:szCs w:val="22"/>
        </w:rPr>
        <w:lastRenderedPageBreak/>
        <w:t>Abstract</w:t>
      </w:r>
      <w:bookmarkEnd w:id="0"/>
    </w:p>
    <w:p w14:paraId="3319A222" w14:textId="04B9D8C6" w:rsidR="3ABA51F5" w:rsidRDefault="3ABA51F5" w:rsidP="67BAD222">
      <w:pPr>
        <w:spacing w:before="120" w:after="120" w:line="360" w:lineRule="auto"/>
      </w:pPr>
      <w:r w:rsidRPr="67BAD222">
        <w:rPr>
          <w:rFonts w:ascii="Arial" w:eastAsia="Arial" w:hAnsi="Arial" w:cs="Arial"/>
          <w:sz w:val="22"/>
          <w:szCs w:val="22"/>
        </w:rPr>
        <w:t xml:space="preserve">This dissertation examines the barriers affecting ethnic minorities’ access to mental health services in the United Kingdom, focusing on structural, cultural, and institutional influences. Despite longstanding policy efforts to reduce health inequalities, disparities in service access and outcomes persist (Marmot, 2020; Nazroo and Bhui, 2021). The study analyses existing literature, identifies key mechanisms shaping inequitable access, and evaluates the effectiveness of policy and service responses. Equitable mental health provision is central to reducing wider health disparities and improving population wellbeing. </w:t>
      </w:r>
    </w:p>
    <w:p w14:paraId="573FF270" w14:textId="539035DA" w:rsidR="3ABA51F5" w:rsidRDefault="3ABA51F5" w:rsidP="67BAD222">
      <w:pPr>
        <w:spacing w:before="120" w:after="120" w:line="360" w:lineRule="auto"/>
      </w:pPr>
      <w:r w:rsidRPr="67BAD222">
        <w:rPr>
          <w:rFonts w:ascii="Arial" w:eastAsia="Arial" w:hAnsi="Arial" w:cs="Arial"/>
          <w:sz w:val="22"/>
          <w:szCs w:val="22"/>
        </w:rPr>
        <w:t xml:space="preserve">The research employed a desk-based secondary research design. A structured search of peer-reviewed academic databases and official policy sources was conducted, followed by thematic analysis to identify recurring patterns within the literature (Braun and Clarke, 2006). This approach synthesised empirical studies, theoretical perspectives, and national reports while maintaining analytical depth and methodological transparency. </w:t>
      </w:r>
    </w:p>
    <w:p w14:paraId="7EA7B86B" w14:textId="7893DE16" w:rsidR="3ABA51F5" w:rsidRDefault="3ABA51F5" w:rsidP="67BAD222">
      <w:pPr>
        <w:spacing w:before="120" w:after="120" w:line="360" w:lineRule="auto"/>
      </w:pPr>
      <w:r w:rsidRPr="67BAD222">
        <w:rPr>
          <w:rFonts w:ascii="Arial" w:eastAsia="Arial" w:hAnsi="Arial" w:cs="Arial"/>
          <w:sz w:val="22"/>
          <w:szCs w:val="22"/>
        </w:rPr>
        <w:t xml:space="preserve">Three interrelated themes emerged: structural inequality and socioeconomic disadvantage, cultural stigma and mistrust, and institutional and systemic barriers within mental health services. The evidence shows that disparities result from the interaction of socioeconomic deprivation, discrimination, and differential treatment pathways, including disproportionate detention under mental health legislation (Care Quality Commission, 2022). The findings indicate that inequalities are embedded within broader social systems rather than arising solely from individual behaviour. </w:t>
      </w:r>
    </w:p>
    <w:p w14:paraId="483C92F7" w14:textId="1D8F5AD7" w:rsidR="3ABA51F5" w:rsidRDefault="3ABA51F5" w:rsidP="67BAD222">
      <w:pPr>
        <w:spacing w:before="120" w:after="120" w:line="360" w:lineRule="auto"/>
      </w:pPr>
      <w:r w:rsidRPr="67BAD222">
        <w:rPr>
          <w:rFonts w:ascii="Arial" w:eastAsia="Arial" w:hAnsi="Arial" w:cs="Arial"/>
          <w:sz w:val="22"/>
          <w:szCs w:val="22"/>
        </w:rPr>
        <w:t>The study’s limitations include reliance on secondary data and variation in ethnic classification across studies, which may affect comparability. The research recommends strengthening culturally responsive practice, addressing social determinants through cross-sector collaboration, and improving accountability mechanisms to monitor ethnic inequalities. This work contributes to understanding how mental health systems in the UK can move towards greater equity and inclusion.</w:t>
      </w:r>
    </w:p>
    <w:p w14:paraId="658C5D1F" w14:textId="71443B2A" w:rsidR="67BAD222" w:rsidRDefault="67BAD222" w:rsidP="67BAD222">
      <w:pPr>
        <w:spacing w:before="240" w:after="240" w:line="360" w:lineRule="auto"/>
        <w:rPr>
          <w:rFonts w:ascii="Arial" w:eastAsia="Arial" w:hAnsi="Arial" w:cs="Arial"/>
          <w:sz w:val="22"/>
          <w:szCs w:val="22"/>
        </w:rPr>
      </w:pPr>
    </w:p>
    <w:p w14:paraId="00F5A481" w14:textId="14094F2F" w:rsidR="67BAD222" w:rsidRDefault="67BAD222" w:rsidP="67BAD222">
      <w:pPr>
        <w:spacing w:before="120" w:after="120" w:line="360" w:lineRule="auto"/>
        <w:rPr>
          <w:rFonts w:ascii="Arial" w:eastAsia="Arial" w:hAnsi="Arial" w:cs="Arial"/>
          <w:sz w:val="22"/>
          <w:szCs w:val="22"/>
        </w:rPr>
      </w:pPr>
    </w:p>
    <w:p w14:paraId="6A14514E" w14:textId="457F8753" w:rsidR="001C06F3" w:rsidRDefault="001C06F3" w:rsidP="24E26AF7">
      <w:pPr>
        <w:spacing w:line="360" w:lineRule="auto"/>
        <w:rPr>
          <w:rFonts w:ascii="Arial" w:hAnsi="Arial" w:cs="Arial"/>
          <w:sz w:val="22"/>
          <w:szCs w:val="22"/>
        </w:rPr>
      </w:pPr>
    </w:p>
    <w:p w14:paraId="76B4D75E" w14:textId="77777777" w:rsidR="00DD1539" w:rsidRDefault="00DD1539" w:rsidP="24E26AF7">
      <w:pPr>
        <w:spacing w:line="360" w:lineRule="auto"/>
        <w:rPr>
          <w:rFonts w:ascii="Arial" w:hAnsi="Arial" w:cs="Arial"/>
          <w:sz w:val="22"/>
          <w:szCs w:val="22"/>
        </w:rPr>
      </w:pPr>
    </w:p>
    <w:p w14:paraId="262E711F" w14:textId="4ED3CD54" w:rsidR="001C06F3" w:rsidRPr="001C06F3" w:rsidRDefault="001C06F3" w:rsidP="67BAD222">
      <w:pPr>
        <w:spacing w:line="360" w:lineRule="auto"/>
        <w:rPr>
          <w:rFonts w:ascii="Arial" w:hAnsi="Arial" w:cs="Arial"/>
          <w:sz w:val="22"/>
          <w:szCs w:val="22"/>
        </w:rPr>
      </w:pPr>
    </w:p>
    <w:p w14:paraId="129C4EA3" w14:textId="26E32AC7" w:rsidR="6B0ACE94" w:rsidRPr="001C06F3" w:rsidRDefault="1AB74A04" w:rsidP="00BE61AB">
      <w:pPr>
        <w:spacing w:before="240" w:after="240" w:line="360" w:lineRule="auto"/>
        <w:jc w:val="center"/>
        <w:rPr>
          <w:rFonts w:ascii="Arial" w:eastAsia="Arial" w:hAnsi="Arial" w:cs="Arial"/>
          <w:b/>
          <w:bCs/>
          <w:color w:val="000000" w:themeColor="text1"/>
          <w:sz w:val="22"/>
          <w:szCs w:val="22"/>
        </w:rPr>
      </w:pPr>
      <w:r w:rsidRPr="001C06F3">
        <w:rPr>
          <w:rFonts w:ascii="Arial" w:eastAsia="Arial" w:hAnsi="Arial" w:cs="Arial"/>
          <w:b/>
          <w:bCs/>
          <w:sz w:val="22"/>
          <w:szCs w:val="22"/>
        </w:rPr>
        <w:lastRenderedPageBreak/>
        <w:t xml:space="preserve">Title: </w:t>
      </w:r>
      <w:r w:rsidR="1369B6F1" w:rsidRPr="001C06F3">
        <w:rPr>
          <w:rFonts w:ascii="Arial" w:eastAsia="Arial" w:hAnsi="Arial" w:cs="Arial"/>
          <w:b/>
          <w:bCs/>
          <w:color w:val="222222"/>
          <w:sz w:val="22"/>
          <w:szCs w:val="22"/>
        </w:rPr>
        <w:t>To explore the barriers and challenges affecting ethnic minorities’ access to mental health services in the UK, with a focus on social, cultural, and systemic influences.</w:t>
      </w:r>
    </w:p>
    <w:p w14:paraId="7BB636B1" w14:textId="09EF2F77" w:rsidR="00BE61AB" w:rsidRPr="00BE61AB" w:rsidRDefault="49D576B2" w:rsidP="67BAD222">
      <w:pPr>
        <w:pStyle w:val="Heading1"/>
        <w:numPr>
          <w:ilvl w:val="1"/>
          <w:numId w:val="13"/>
        </w:numPr>
        <w:spacing w:line="360" w:lineRule="auto"/>
        <w:rPr>
          <w:rFonts w:ascii="Arial" w:eastAsia="Arial" w:hAnsi="Arial" w:cs="Arial"/>
          <w:b/>
          <w:bCs/>
          <w:color w:val="auto"/>
          <w:sz w:val="22"/>
          <w:szCs w:val="22"/>
        </w:rPr>
      </w:pPr>
      <w:bookmarkStart w:id="1" w:name="_Toc220934967"/>
      <w:bookmarkStart w:id="2" w:name="_Toc499056894"/>
      <w:r w:rsidRPr="67BAD222">
        <w:rPr>
          <w:rFonts w:ascii="Arial" w:eastAsia="Arial" w:hAnsi="Arial" w:cs="Arial"/>
          <w:b/>
          <w:bCs/>
          <w:color w:val="auto"/>
          <w:sz w:val="22"/>
          <w:szCs w:val="22"/>
        </w:rPr>
        <w:t>Introduction</w:t>
      </w:r>
      <w:bookmarkEnd w:id="1"/>
      <w:bookmarkEnd w:id="2"/>
    </w:p>
    <w:p w14:paraId="4BC7FA0D" w14:textId="0C5F2630" w:rsidR="0B33FCA2" w:rsidRDefault="0B33FCA2" w:rsidP="67BAD222">
      <w:pPr>
        <w:spacing w:before="120" w:after="120" w:line="360" w:lineRule="auto"/>
      </w:pPr>
      <w:r w:rsidRPr="67BAD222">
        <w:rPr>
          <w:rFonts w:ascii="Arial" w:eastAsia="Arial" w:hAnsi="Arial" w:cs="Arial"/>
          <w:sz w:val="22"/>
          <w:szCs w:val="22"/>
        </w:rPr>
        <w:t xml:space="preserve">Mental health represents a significant public health concern in the United Kingdom, affecting individuals across age groups, genders, and socioeconomic backgrounds. Approximately one in four adults in England experiences a mental health problem each year, reflecting the widespread prevalence of psychological distress within the population (Mental Health Foundation, 2023). Despite sustained national efforts and policy initiatives aimed at promoting inclusivity and reducing health inequalities, marked disparities remain in how different ethnic groups access and experience mental health services (Nazroo and Bhui, 2021). Individuals from minority ethnic backgrounds are less likely to seek help during the early stages of distress, more likely to delay treatment until crisis points, and frequently report receiving lower-quality care compared to their White British counterparts (NHS England, 2022; Williams, Lawrence, and Davis, 2022). These disparities raise important questions regarding equity, social justice, and the capacity of existing service delivery models to meet the needs of an increasingly diverse population. </w:t>
      </w:r>
    </w:p>
    <w:p w14:paraId="1A77A807" w14:textId="70E84C05" w:rsidR="0B33FCA2" w:rsidRDefault="0B33FCA2" w:rsidP="67BAD222">
      <w:pPr>
        <w:spacing w:before="120" w:after="120" w:line="360" w:lineRule="auto"/>
      </w:pPr>
      <w:r w:rsidRPr="67BAD222">
        <w:rPr>
          <w:rFonts w:ascii="Arial" w:eastAsia="Arial" w:hAnsi="Arial" w:cs="Arial"/>
          <w:sz w:val="22"/>
          <w:szCs w:val="22"/>
        </w:rPr>
        <w:t xml:space="preserve">Differences in mental health outcomes and service experiences across ethnic groups are well documented. Black Caribbean individuals, for example, are four times more likely to be detained under the Mental Health Act compared to White British individuals, suggesting potential inequalities in crisis response and compulsory treatment pathways (Care Quality Commission, 2022). Asian and Black adults are approximately half as likely to access psychological therapies, such as cognitive behavioural therapy or counselling, indicating barriers at the point of referral and engagement (NHS Digital, 2023). Satisfaction levels also reveal disparities, with only 59% of ethnic minority service users reporting positive experiences of care, compared to 75% of White British users (NHS England, 2022). These patterns reflect differences not only in access but also in the quality, cultural responsiveness, and appropriateness of care received. Such findings suggest systemic challenges that extend beyond individual health-seeking behaviours and point toward structural and institutional factors requiring critical examination. </w:t>
      </w:r>
    </w:p>
    <w:p w14:paraId="6FBA142A" w14:textId="3D385E7B" w:rsidR="0786B938" w:rsidRDefault="24A91847"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The causes of these inequalities are complex and interrelated, encompassing social, cultural, and systemic influences operating at multiple levels. Stigma surrounding mental illness, experiences of discrimination within healthcare settings, language barriers, and insufficient culturally responsive services have all been identified as significant barriers to access (Bhui et al., 2018; Mind, 2023). Socioeconomic disadvantage, mistrust of statutory </w:t>
      </w:r>
      <w:r w:rsidRPr="24E26AF7">
        <w:rPr>
          <w:rFonts w:ascii="Arial" w:eastAsia="Arial" w:hAnsi="Arial" w:cs="Arial"/>
          <w:sz w:val="22"/>
          <w:szCs w:val="22"/>
        </w:rPr>
        <w:lastRenderedPageBreak/>
        <w:t xml:space="preserve">services rooted in historical experiences of racism, and institutional biases within mental health systems further compound these challenges. Addressing these issues requires analysing both community-level factors and the broader structural and policy environments that shape service provision. This </w:t>
      </w:r>
      <w:r w:rsidR="2E44B8F7" w:rsidRPr="24E26AF7">
        <w:rPr>
          <w:rFonts w:ascii="Arial" w:eastAsia="Arial" w:hAnsi="Arial" w:cs="Arial"/>
          <w:sz w:val="22"/>
          <w:szCs w:val="22"/>
        </w:rPr>
        <w:t>dissertation,</w:t>
      </w:r>
      <w:r w:rsidRPr="24E26AF7">
        <w:rPr>
          <w:rFonts w:ascii="Arial" w:eastAsia="Arial" w:hAnsi="Arial" w:cs="Arial"/>
          <w:sz w:val="22"/>
          <w:szCs w:val="22"/>
        </w:rPr>
        <w:t xml:space="preserve"> therefore, explores the specific barriers faced by ethnic minorities when seeking mental health support in the UK. Drawing upon existing academic research and policy evidence, it aims to provide a comprehensive analysis of these inequalities and to propose evidence-informed recommendations to enhance fairness, inclusivity, and responsiveness within mental health services.</w:t>
      </w:r>
    </w:p>
    <w:p w14:paraId="4F467A14" w14:textId="57B079AC" w:rsidR="0786B938" w:rsidRDefault="0786B938" w:rsidP="24E26AF7">
      <w:pPr>
        <w:pStyle w:val="Heading2"/>
        <w:rPr>
          <w:rFonts w:ascii="Arial" w:eastAsia="Arial" w:hAnsi="Arial" w:cs="Arial"/>
          <w:b/>
          <w:bCs/>
          <w:color w:val="auto"/>
          <w:sz w:val="22"/>
          <w:szCs w:val="22"/>
        </w:rPr>
      </w:pPr>
    </w:p>
    <w:p w14:paraId="6A62E4D4" w14:textId="24E7A353" w:rsidR="0786B938" w:rsidRDefault="0786B938" w:rsidP="24E26AF7">
      <w:pPr>
        <w:pStyle w:val="Heading2"/>
        <w:rPr>
          <w:rFonts w:ascii="Arial" w:eastAsia="Arial" w:hAnsi="Arial" w:cs="Arial"/>
          <w:b/>
          <w:bCs/>
          <w:color w:val="auto"/>
          <w:sz w:val="22"/>
          <w:szCs w:val="22"/>
        </w:rPr>
      </w:pPr>
    </w:p>
    <w:p w14:paraId="6B52771E" w14:textId="084F54C0" w:rsidR="0786B938" w:rsidRDefault="0786B938" w:rsidP="24E26AF7">
      <w:r>
        <w:br w:type="page"/>
      </w:r>
    </w:p>
    <w:p w14:paraId="73A27E71" w14:textId="7FC172E8" w:rsidR="0786B938" w:rsidRDefault="251D982E" w:rsidP="24E26AF7">
      <w:pPr>
        <w:pStyle w:val="Heading2"/>
        <w:spacing w:line="360" w:lineRule="auto"/>
        <w:rPr>
          <w:rFonts w:ascii="Arial" w:eastAsia="Arial" w:hAnsi="Arial" w:cs="Arial"/>
          <w:b/>
          <w:bCs/>
          <w:color w:val="auto"/>
          <w:sz w:val="22"/>
          <w:szCs w:val="22"/>
        </w:rPr>
      </w:pPr>
      <w:bookmarkStart w:id="3" w:name="_Toc1453460882"/>
      <w:r w:rsidRPr="24E26AF7">
        <w:rPr>
          <w:rFonts w:ascii="Arial" w:eastAsia="Arial" w:hAnsi="Arial" w:cs="Arial"/>
          <w:b/>
          <w:bCs/>
          <w:color w:val="auto"/>
          <w:sz w:val="22"/>
          <w:szCs w:val="22"/>
        </w:rPr>
        <w:lastRenderedPageBreak/>
        <w:t>1.2 Definitions and Terminology</w:t>
      </w:r>
      <w:bookmarkEnd w:id="3"/>
    </w:p>
    <w:p w14:paraId="5F58A01F" w14:textId="11207651" w:rsidR="1195A290" w:rsidRDefault="29B4318B"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This section outlines key terms and concepts used throughout the dissertation. Clear definitions ensure conceptual precision when examining the barriers affecting ethnic minorities’ access to mental health services in the United Kingdom. </w:t>
      </w:r>
    </w:p>
    <w:p w14:paraId="0DA732E5" w14:textId="7ED5D959" w:rsidR="1195A290" w:rsidRDefault="29B4318B" w:rsidP="24E26AF7">
      <w:pPr>
        <w:spacing w:before="120" w:after="120" w:line="360" w:lineRule="auto"/>
        <w:rPr>
          <w:rFonts w:ascii="Arial" w:eastAsia="Arial" w:hAnsi="Arial" w:cs="Arial"/>
          <w:sz w:val="22"/>
          <w:szCs w:val="22"/>
        </w:rPr>
      </w:pPr>
      <w:r w:rsidRPr="4B3CCB66">
        <w:rPr>
          <w:rFonts w:ascii="Arial" w:eastAsia="Arial" w:hAnsi="Arial" w:cs="Arial"/>
          <w:sz w:val="22"/>
          <w:szCs w:val="22"/>
        </w:rPr>
        <w:t>Mental Health refers to an individual’s emotional, psychological, and social well</w:t>
      </w:r>
      <w:r w:rsidR="630F9EBC" w:rsidRPr="4B3CCB66">
        <w:rPr>
          <w:rFonts w:ascii="Arial" w:eastAsia="Arial" w:hAnsi="Arial" w:cs="Arial"/>
          <w:sz w:val="22"/>
          <w:szCs w:val="22"/>
        </w:rPr>
        <w:t>-</w:t>
      </w:r>
      <w:r w:rsidRPr="4B3CCB66">
        <w:rPr>
          <w:rFonts w:ascii="Arial" w:eastAsia="Arial" w:hAnsi="Arial" w:cs="Arial"/>
          <w:sz w:val="22"/>
          <w:szCs w:val="22"/>
        </w:rPr>
        <w:t xml:space="preserve">being, influencing how they think, feel, and behave in everyday life (World Health Organisation, 2022). It encompasses the absence of mental illness and the presence of positive functioning, including the ability to cope with stress, maintain relationships, work productively, and contribute to society. Mental health exists on a continuum and may fluctuate in response to life circumstances and access to support. </w:t>
      </w:r>
      <w:r w:rsidR="73ECDF83" w:rsidRPr="4B3CCB66">
        <w:rPr>
          <w:rFonts w:ascii="Arial" w:eastAsia="Arial" w:hAnsi="Arial" w:cs="Arial"/>
          <w:sz w:val="22"/>
          <w:szCs w:val="22"/>
        </w:rPr>
        <w:t>well-being</w:t>
      </w:r>
    </w:p>
    <w:p w14:paraId="41E95480" w14:textId="6680BF3C" w:rsidR="1195A290" w:rsidRDefault="29B4318B"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Access to Mental Health Services refers to an individual’s ability to obtain appropriate, timely, and effective mental health support without encountering systemic, cultural, financial, or geographical barriers (NHS England, 2022). Access includes service availability, physical accessibility, affordability, cultural acceptability, and awareness of support options. Equitable access implies that individuals can obtain care proportional to their needs. </w:t>
      </w:r>
    </w:p>
    <w:p w14:paraId="62CB9AC3" w14:textId="1D7DDACD" w:rsidR="1195A290" w:rsidRDefault="29B4318B"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Health Inequalities are systematic, avoidable, and unjust differences in health outcomes and access to healthcare between population groups (Marmot, 2020). In mental health, these inequalities manifest as disparities in illness prevalence, service engagement, treatment quality, and long-term outcomes across ethnic groups. </w:t>
      </w:r>
    </w:p>
    <w:p w14:paraId="425C49E0" w14:textId="0D132F22" w:rsidR="67BAD222" w:rsidRDefault="29B4318B"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Cultural Competence refers to the capacity of healthcare professionals and organisations to deliver services that are respectful of and responsive to diverse cultural, linguistic, and social needs (Bhui et al., 2018). This involves self-awareness, knowledge of cultural differences, and adaptation of clinical practice to improve communication, trust, and treatment effectiveness.</w:t>
      </w:r>
    </w:p>
    <w:p w14:paraId="2C20CC93" w14:textId="6D873B61" w:rsidR="14DC3E51" w:rsidRDefault="2A3F702E" w:rsidP="67BAD222">
      <w:pPr>
        <w:spacing w:before="240" w:after="240" w:line="360" w:lineRule="auto"/>
        <w:rPr>
          <w:rFonts w:ascii="Arial" w:eastAsia="Arial" w:hAnsi="Arial" w:cs="Arial"/>
          <w:b/>
          <w:bCs/>
          <w:sz w:val="22"/>
          <w:szCs w:val="22"/>
        </w:rPr>
      </w:pPr>
      <w:r w:rsidRPr="24E26AF7">
        <w:rPr>
          <w:rFonts w:ascii="Arial" w:eastAsia="Arial" w:hAnsi="Arial" w:cs="Arial"/>
          <w:b/>
          <w:bCs/>
          <w:sz w:val="22"/>
          <w:szCs w:val="22"/>
        </w:rPr>
        <w:t>Acronyms and Abbreviations</w:t>
      </w:r>
    </w:p>
    <w:p w14:paraId="29CC730E" w14:textId="59086881" w:rsidR="17E06378" w:rsidRDefault="17E06378" w:rsidP="24E26AF7">
      <w:pPr>
        <w:spacing w:before="120" w:after="120" w:line="360" w:lineRule="auto"/>
        <w:rPr>
          <w:rFonts w:ascii="Arial" w:eastAsia="Arial" w:hAnsi="Arial" w:cs="Arial"/>
          <w:sz w:val="22"/>
          <w:szCs w:val="22"/>
        </w:rPr>
      </w:pPr>
      <w:r w:rsidRPr="24E26AF7">
        <w:rPr>
          <w:rFonts w:ascii="Arial" w:eastAsia="Arial" w:hAnsi="Arial" w:cs="Arial"/>
          <w:b/>
          <w:bCs/>
          <w:sz w:val="22"/>
          <w:szCs w:val="22"/>
        </w:rPr>
        <w:t>BAME</w:t>
      </w:r>
      <w:r w:rsidRPr="24E26AF7">
        <w:rPr>
          <w:rFonts w:ascii="Arial" w:eastAsia="Arial" w:hAnsi="Arial" w:cs="Arial"/>
          <w:sz w:val="22"/>
          <w:szCs w:val="22"/>
        </w:rPr>
        <w:t xml:space="preserve"> – Black, Asian, and Minority Ethnic</w:t>
      </w:r>
      <w:r>
        <w:br/>
      </w:r>
      <w:r w:rsidRPr="24E26AF7">
        <w:rPr>
          <w:rFonts w:ascii="Arial" w:eastAsia="Arial" w:hAnsi="Arial" w:cs="Arial"/>
          <w:b/>
          <w:bCs/>
          <w:sz w:val="22"/>
          <w:szCs w:val="22"/>
        </w:rPr>
        <w:t>NHS</w:t>
      </w:r>
      <w:r w:rsidRPr="24E26AF7">
        <w:rPr>
          <w:rFonts w:ascii="Arial" w:eastAsia="Arial" w:hAnsi="Arial" w:cs="Arial"/>
          <w:sz w:val="22"/>
          <w:szCs w:val="22"/>
        </w:rPr>
        <w:t xml:space="preserve"> – National Health Service</w:t>
      </w:r>
      <w:r>
        <w:br/>
      </w:r>
      <w:r w:rsidRPr="24E26AF7">
        <w:rPr>
          <w:rFonts w:ascii="Arial" w:eastAsia="Arial" w:hAnsi="Arial" w:cs="Arial"/>
          <w:b/>
          <w:bCs/>
          <w:sz w:val="22"/>
          <w:szCs w:val="22"/>
        </w:rPr>
        <w:t>ONS</w:t>
      </w:r>
      <w:r w:rsidRPr="24E26AF7">
        <w:rPr>
          <w:rFonts w:ascii="Arial" w:eastAsia="Arial" w:hAnsi="Arial" w:cs="Arial"/>
          <w:sz w:val="22"/>
          <w:szCs w:val="22"/>
        </w:rPr>
        <w:t xml:space="preserve"> – Office for National Statistics</w:t>
      </w:r>
      <w:r>
        <w:br/>
      </w:r>
      <w:r w:rsidRPr="24E26AF7">
        <w:rPr>
          <w:rFonts w:ascii="Arial" w:eastAsia="Arial" w:hAnsi="Arial" w:cs="Arial"/>
          <w:b/>
          <w:bCs/>
          <w:sz w:val="22"/>
          <w:szCs w:val="22"/>
        </w:rPr>
        <w:t>WHO</w:t>
      </w:r>
      <w:r w:rsidRPr="24E26AF7">
        <w:rPr>
          <w:rFonts w:ascii="Arial" w:eastAsia="Arial" w:hAnsi="Arial" w:cs="Arial"/>
          <w:sz w:val="22"/>
          <w:szCs w:val="22"/>
        </w:rPr>
        <w:t xml:space="preserve"> – World Health Organisation</w:t>
      </w:r>
    </w:p>
    <w:p w14:paraId="47558783" w14:textId="7D9E6F13" w:rsidR="24E26AF7" w:rsidRDefault="24E26AF7" w:rsidP="24E26AF7">
      <w:pPr>
        <w:spacing w:before="120" w:after="120" w:line="360" w:lineRule="auto"/>
        <w:rPr>
          <w:rFonts w:ascii="Arial" w:eastAsia="Arial" w:hAnsi="Arial" w:cs="Arial"/>
          <w:sz w:val="22"/>
          <w:szCs w:val="22"/>
        </w:rPr>
      </w:pPr>
    </w:p>
    <w:p w14:paraId="2DC9C875" w14:textId="18DA03FA" w:rsidR="24E26AF7" w:rsidRDefault="24E26AF7" w:rsidP="24E26AF7">
      <w:pPr>
        <w:pStyle w:val="Heading2"/>
        <w:rPr>
          <w:rFonts w:ascii="Arial" w:eastAsia="Arial" w:hAnsi="Arial" w:cs="Arial"/>
          <w:b/>
          <w:bCs/>
          <w:color w:val="auto"/>
          <w:sz w:val="22"/>
          <w:szCs w:val="22"/>
        </w:rPr>
      </w:pPr>
    </w:p>
    <w:p w14:paraId="55FAAAAE" w14:textId="22CDBC23" w:rsidR="06D4A028" w:rsidRDefault="0D592672" w:rsidP="24E26AF7">
      <w:pPr>
        <w:pStyle w:val="Heading2"/>
        <w:spacing w:line="360" w:lineRule="auto"/>
        <w:rPr>
          <w:rFonts w:ascii="Arial" w:eastAsia="Arial" w:hAnsi="Arial" w:cs="Arial"/>
          <w:b/>
          <w:bCs/>
          <w:color w:val="auto"/>
          <w:sz w:val="22"/>
          <w:szCs w:val="22"/>
        </w:rPr>
      </w:pPr>
      <w:bookmarkStart w:id="4" w:name="_Toc1335606000"/>
      <w:r w:rsidRPr="24E26AF7">
        <w:rPr>
          <w:rFonts w:ascii="Arial" w:eastAsia="Arial" w:hAnsi="Arial" w:cs="Arial"/>
          <w:b/>
          <w:bCs/>
          <w:color w:val="auto"/>
          <w:sz w:val="22"/>
          <w:szCs w:val="22"/>
        </w:rPr>
        <w:t>1.3 Rationale for Research</w:t>
      </w:r>
      <w:bookmarkEnd w:id="4"/>
    </w:p>
    <w:p w14:paraId="5FF06ECB" w14:textId="0EBD90F7" w:rsidR="4E514738" w:rsidRDefault="4E514738"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This research responds to persistent inequalities in access to mental health services among ethnic minority populations in the United Kingdom. Despite national policy initiatives and targeted reform efforts, individuals from minority ethnic backgrounds continue to experience reduced access to early intervention, lower satisfaction with care, and poorer long-term outcomes compared to White British populations (Nazroo and Bhui, 2021; NHS England, 2022). </w:t>
      </w:r>
    </w:p>
    <w:p w14:paraId="38D58130" w14:textId="55DB8397" w:rsidR="4E514738" w:rsidRDefault="4E514738"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Demographic change heightens the urgency of this issue. The 2021 Census shows that ethnic minority groups now comprise approximately 18% of the population in England and Wales. As the UK becomes increasingly diverse, healthcare systems must ensure that service provision reflects population needs in both design and delivery. Failure to address these disparities risks reinforcing systemic inequality within publicly funded healthcare. </w:t>
      </w:r>
    </w:p>
    <w:p w14:paraId="771D9A23" w14:textId="26998CE1" w:rsidR="4E514738" w:rsidRDefault="4E514738"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Although strategies aimed at reducing mental health inequalities have been implemented, disparities persist. Policy reform alone may be insufficient where deeper structural, cultural, and institutional barriers remain embedded within service systems. Structural racism, socioeconomic disadvantage, mistrust of statutory services, and limited cultural responsiveness within clinical practice all contribute to delayed help-seeking and differential treatment pathways (Williams, Lawrence, and Davis, 2022). </w:t>
      </w:r>
    </w:p>
    <w:p w14:paraId="48634E6A" w14:textId="129CA2B7" w:rsidR="67BAD222" w:rsidRDefault="58500C75"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This dissertation systematically examines existing academic literature, policy documentation, and national reports to enhance understanding of the structural, cultural, and systemic mechanisms that shape inequitable access to mental health services. Through secondary research and thematic analysis, the study synthesises current evidence and contributes to informed policy and practice development, supporting the broader goal of improving mental health equity in the United Kingdom.</w:t>
      </w:r>
    </w:p>
    <w:p w14:paraId="1865BFAB" w14:textId="43F92E3D" w:rsidR="0EAA3C05" w:rsidRPr="00BE61AB" w:rsidRDefault="3BDECEF0" w:rsidP="24E26AF7">
      <w:pPr>
        <w:pStyle w:val="Heading2"/>
        <w:spacing w:line="360" w:lineRule="auto"/>
        <w:rPr>
          <w:rFonts w:ascii="Arial" w:eastAsia="Arial" w:hAnsi="Arial" w:cs="Arial"/>
          <w:b/>
          <w:bCs/>
          <w:color w:val="auto"/>
          <w:sz w:val="22"/>
          <w:szCs w:val="22"/>
        </w:rPr>
      </w:pPr>
      <w:bookmarkStart w:id="5" w:name="_Toc220934969"/>
      <w:bookmarkStart w:id="6" w:name="_Toc821295540"/>
      <w:r w:rsidRPr="24E26AF7">
        <w:rPr>
          <w:rFonts w:ascii="Arial" w:eastAsia="Arial" w:hAnsi="Arial" w:cs="Arial"/>
          <w:b/>
          <w:bCs/>
          <w:color w:val="auto"/>
          <w:sz w:val="22"/>
          <w:szCs w:val="22"/>
        </w:rPr>
        <w:t>1.</w:t>
      </w:r>
      <w:r w:rsidR="1D128556" w:rsidRPr="24E26AF7">
        <w:rPr>
          <w:rFonts w:ascii="Arial" w:eastAsia="Arial" w:hAnsi="Arial" w:cs="Arial"/>
          <w:b/>
          <w:bCs/>
          <w:color w:val="auto"/>
          <w:sz w:val="22"/>
          <w:szCs w:val="22"/>
        </w:rPr>
        <w:t>4</w:t>
      </w:r>
      <w:r w:rsidRPr="24E26AF7">
        <w:rPr>
          <w:rFonts w:ascii="Arial" w:eastAsia="Arial" w:hAnsi="Arial" w:cs="Arial"/>
          <w:b/>
          <w:bCs/>
          <w:color w:val="auto"/>
          <w:sz w:val="22"/>
          <w:szCs w:val="22"/>
        </w:rPr>
        <w:t xml:space="preserve"> Aim and Objectives</w:t>
      </w:r>
      <w:bookmarkEnd w:id="5"/>
      <w:bookmarkEnd w:id="6"/>
    </w:p>
    <w:p w14:paraId="323F6BA7" w14:textId="653B7F34" w:rsidR="02459FA0" w:rsidRDefault="62A97FAD"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This dissertation aims to explore the barriers and challenges affecting ethnic minorities’ access to mental health services in the United Kingdom, with particular attention to social, cultural, and systemic influences. The study contributes to the development of mental health services that are more inclusive, equitable, and culturally responsive (Nazroo and Bhui, 2021).</w:t>
      </w:r>
    </w:p>
    <w:p w14:paraId="603781E9" w14:textId="4C6BDEC5" w:rsidR="00223A55" w:rsidRPr="00BE61AB" w:rsidRDefault="00223A55" w:rsidP="24E26AF7">
      <w:pPr>
        <w:spacing w:line="360" w:lineRule="auto"/>
        <w:rPr>
          <w:rFonts w:ascii="Arial" w:eastAsia="Arial" w:hAnsi="Arial" w:cs="Arial"/>
          <w:b/>
          <w:bCs/>
          <w:sz w:val="22"/>
          <w:szCs w:val="22"/>
        </w:rPr>
      </w:pPr>
    </w:p>
    <w:p w14:paraId="599151C5" w14:textId="409ECDC1" w:rsidR="00223A55" w:rsidRPr="00BE61AB" w:rsidRDefault="00223A55" w:rsidP="24E26AF7">
      <w:pPr>
        <w:rPr>
          <w:rFonts w:ascii="Arial" w:eastAsia="Arial" w:hAnsi="Arial" w:cs="Arial"/>
          <w:b/>
          <w:bCs/>
          <w:sz w:val="22"/>
          <w:szCs w:val="22"/>
        </w:rPr>
      </w:pPr>
    </w:p>
    <w:p w14:paraId="0B874AED" w14:textId="246543CD" w:rsidR="00223A55" w:rsidRPr="00BE61AB" w:rsidRDefault="00223A55" w:rsidP="24E26AF7">
      <w:pPr>
        <w:rPr>
          <w:rFonts w:ascii="Arial" w:eastAsia="Arial" w:hAnsi="Arial" w:cs="Arial"/>
          <w:b/>
          <w:bCs/>
          <w:sz w:val="22"/>
          <w:szCs w:val="22"/>
        </w:rPr>
      </w:pPr>
    </w:p>
    <w:p w14:paraId="4C799C2D" w14:textId="3B5E1DBE" w:rsidR="00223A55" w:rsidRPr="00BE61AB" w:rsidRDefault="529602A1" w:rsidP="24E26AF7">
      <w:pPr>
        <w:spacing w:line="360" w:lineRule="auto"/>
        <w:rPr>
          <w:rFonts w:ascii="Arial" w:eastAsia="Arial" w:hAnsi="Arial" w:cs="Arial"/>
          <w:b/>
          <w:bCs/>
          <w:sz w:val="22"/>
          <w:szCs w:val="22"/>
        </w:rPr>
      </w:pPr>
      <w:bookmarkStart w:id="7" w:name="_Toc220934970"/>
      <w:r w:rsidRPr="24E26AF7">
        <w:rPr>
          <w:rFonts w:ascii="Arial" w:eastAsia="Arial" w:hAnsi="Arial" w:cs="Arial"/>
          <w:b/>
          <w:bCs/>
          <w:sz w:val="22"/>
          <w:szCs w:val="22"/>
        </w:rPr>
        <w:lastRenderedPageBreak/>
        <w:t>Research Objectives:</w:t>
      </w:r>
      <w:bookmarkEnd w:id="7"/>
    </w:p>
    <w:p w14:paraId="027E417D" w14:textId="70693D97" w:rsidR="6B0ACE94" w:rsidRPr="001C06F3" w:rsidRDefault="07825970"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To achieve this aim, the following objectives have been established: </w:t>
      </w:r>
    </w:p>
    <w:p w14:paraId="71F2D68A" w14:textId="44DE8147" w:rsidR="2DCCA076" w:rsidRPr="001C06F3" w:rsidRDefault="22A08A64" w:rsidP="00BE61AB">
      <w:pPr>
        <w:pStyle w:val="ListParagraph"/>
        <w:keepNext/>
        <w:keepLines/>
        <w:numPr>
          <w:ilvl w:val="0"/>
          <w:numId w:val="9"/>
        </w:numPr>
        <w:spacing w:after="0" w:line="360" w:lineRule="auto"/>
        <w:rPr>
          <w:rFonts w:ascii="Arial" w:eastAsia="Arial" w:hAnsi="Arial" w:cs="Arial"/>
          <w:sz w:val="22"/>
          <w:szCs w:val="22"/>
        </w:rPr>
      </w:pPr>
      <w:r w:rsidRPr="67BAD222">
        <w:rPr>
          <w:rFonts w:ascii="Arial" w:eastAsia="Arial" w:hAnsi="Arial" w:cs="Arial"/>
          <w:b/>
          <w:bCs/>
          <w:sz w:val="22"/>
          <w:szCs w:val="22"/>
        </w:rPr>
        <w:t>Objective 1:</w:t>
      </w:r>
      <w:r w:rsidR="40765CC2" w:rsidRPr="67BAD222">
        <w:rPr>
          <w:rFonts w:ascii="Arial" w:eastAsia="Arial" w:hAnsi="Arial" w:cs="Arial"/>
          <w:sz w:val="22"/>
          <w:szCs w:val="22"/>
        </w:rPr>
        <w:t xml:space="preserve"> To analyse current academic literature and national data relating to ethnic inequalities in access to mental health services in the United Kingdom.</w:t>
      </w:r>
      <w:r w:rsidRPr="67BAD222">
        <w:rPr>
          <w:rFonts w:ascii="Arial" w:eastAsia="Arial" w:hAnsi="Arial" w:cs="Arial"/>
          <w:sz w:val="22"/>
          <w:szCs w:val="22"/>
        </w:rPr>
        <w:t xml:space="preserve"> </w:t>
      </w:r>
    </w:p>
    <w:p w14:paraId="06B5C452" w14:textId="77777777" w:rsidR="001C06F3" w:rsidRPr="001C06F3" w:rsidRDefault="001C06F3" w:rsidP="00BE61AB">
      <w:pPr>
        <w:pStyle w:val="ListParagraph"/>
        <w:keepNext/>
        <w:keepLines/>
        <w:spacing w:after="0" w:line="360" w:lineRule="auto"/>
        <w:rPr>
          <w:rFonts w:ascii="Arial" w:eastAsia="Arial" w:hAnsi="Arial" w:cs="Arial"/>
          <w:sz w:val="22"/>
          <w:szCs w:val="22"/>
        </w:rPr>
      </w:pPr>
    </w:p>
    <w:p w14:paraId="7B55BDCF" w14:textId="62D17BAA" w:rsidR="6B0ACE94" w:rsidRPr="001C06F3" w:rsidRDefault="22A08A64" w:rsidP="00BE61AB">
      <w:pPr>
        <w:pStyle w:val="ListParagraph"/>
        <w:keepNext/>
        <w:keepLines/>
        <w:numPr>
          <w:ilvl w:val="0"/>
          <w:numId w:val="9"/>
        </w:numPr>
        <w:spacing w:after="0" w:line="360" w:lineRule="auto"/>
        <w:rPr>
          <w:rFonts w:ascii="Arial" w:eastAsia="Arial" w:hAnsi="Arial" w:cs="Arial"/>
          <w:sz w:val="22"/>
          <w:szCs w:val="22"/>
        </w:rPr>
      </w:pPr>
      <w:r w:rsidRPr="67BAD222">
        <w:rPr>
          <w:rFonts w:ascii="Arial" w:eastAsia="Arial" w:hAnsi="Arial" w:cs="Arial"/>
          <w:b/>
          <w:bCs/>
          <w:sz w:val="22"/>
          <w:szCs w:val="22"/>
        </w:rPr>
        <w:t>Objective 2:</w:t>
      </w:r>
      <w:r w:rsidR="40765CC2" w:rsidRPr="67BAD222">
        <w:rPr>
          <w:rFonts w:ascii="Arial" w:eastAsia="Arial" w:hAnsi="Arial" w:cs="Arial"/>
          <w:sz w:val="22"/>
          <w:szCs w:val="22"/>
        </w:rPr>
        <w:t xml:space="preserve"> To explore the social, cultural, and systemic factors that influence how ethnic minority groups access and experience mental health services.</w:t>
      </w:r>
    </w:p>
    <w:p w14:paraId="34DBC0A6" w14:textId="407E549D" w:rsidR="2DCCA076" w:rsidRPr="001C06F3" w:rsidRDefault="2DCCA076" w:rsidP="00BE61AB">
      <w:pPr>
        <w:pStyle w:val="ListParagraph"/>
        <w:keepNext/>
        <w:keepLines/>
        <w:spacing w:after="0" w:line="360" w:lineRule="auto"/>
        <w:rPr>
          <w:rFonts w:ascii="Arial" w:eastAsia="Arial" w:hAnsi="Arial" w:cs="Arial"/>
          <w:sz w:val="22"/>
          <w:szCs w:val="22"/>
        </w:rPr>
      </w:pPr>
    </w:p>
    <w:p w14:paraId="22E3CCEA" w14:textId="20650173" w:rsidR="6B0ACE94" w:rsidRPr="001C06F3" w:rsidRDefault="22A08A64" w:rsidP="00BE61AB">
      <w:pPr>
        <w:pStyle w:val="ListParagraph"/>
        <w:keepNext/>
        <w:keepLines/>
        <w:numPr>
          <w:ilvl w:val="0"/>
          <w:numId w:val="9"/>
        </w:numPr>
        <w:spacing w:after="0" w:line="360" w:lineRule="auto"/>
        <w:rPr>
          <w:rFonts w:ascii="Arial" w:eastAsia="Arial" w:hAnsi="Arial" w:cs="Arial"/>
          <w:sz w:val="22"/>
          <w:szCs w:val="22"/>
        </w:rPr>
      </w:pPr>
      <w:r w:rsidRPr="67BAD222">
        <w:rPr>
          <w:rFonts w:ascii="Arial" w:eastAsia="Arial" w:hAnsi="Arial" w:cs="Arial"/>
          <w:b/>
          <w:bCs/>
          <w:sz w:val="22"/>
          <w:szCs w:val="22"/>
        </w:rPr>
        <w:t xml:space="preserve">Objective 3: </w:t>
      </w:r>
      <w:r w:rsidR="0C81676E" w:rsidRPr="67BAD222">
        <w:rPr>
          <w:rFonts w:ascii="Arial" w:eastAsia="Arial" w:hAnsi="Arial" w:cs="Arial"/>
          <w:sz w:val="22"/>
          <w:szCs w:val="22"/>
        </w:rPr>
        <w:t>To evaluate, through thematic analysis of secondary research, the effectiveness of existing mental health policies and interventions in improving access and outcomes for ethnic minority populations.</w:t>
      </w:r>
    </w:p>
    <w:p w14:paraId="05F7A50C" w14:textId="00B888FD" w:rsidR="2DCCA076" w:rsidRPr="001C06F3" w:rsidRDefault="2DCCA076" w:rsidP="00BE61AB">
      <w:pPr>
        <w:pStyle w:val="ListParagraph"/>
        <w:keepNext/>
        <w:keepLines/>
        <w:spacing w:after="0" w:line="360" w:lineRule="auto"/>
        <w:rPr>
          <w:rFonts w:ascii="Arial" w:eastAsia="Arial" w:hAnsi="Arial" w:cs="Arial"/>
          <w:sz w:val="22"/>
          <w:szCs w:val="22"/>
        </w:rPr>
      </w:pPr>
    </w:p>
    <w:p w14:paraId="624B02F5" w14:textId="08EDA00A" w:rsidR="001701DD" w:rsidRPr="001C06F3" w:rsidRDefault="07825970" w:rsidP="00BE61AB">
      <w:pPr>
        <w:pStyle w:val="ListParagraph"/>
        <w:keepNext/>
        <w:keepLines/>
        <w:numPr>
          <w:ilvl w:val="0"/>
          <w:numId w:val="9"/>
        </w:numPr>
        <w:spacing w:after="0" w:line="360" w:lineRule="auto"/>
        <w:rPr>
          <w:rFonts w:ascii="Arial" w:eastAsia="Arial" w:hAnsi="Arial" w:cs="Arial"/>
          <w:sz w:val="22"/>
          <w:szCs w:val="22"/>
        </w:rPr>
      </w:pPr>
      <w:r w:rsidRPr="67BAD222">
        <w:rPr>
          <w:rFonts w:ascii="Arial" w:eastAsia="Arial" w:hAnsi="Arial" w:cs="Arial"/>
          <w:b/>
          <w:bCs/>
          <w:sz w:val="22"/>
          <w:szCs w:val="22"/>
        </w:rPr>
        <w:t>Objective 4</w:t>
      </w:r>
      <w:r w:rsidR="0C81676E" w:rsidRPr="67BAD222">
        <w:rPr>
          <w:rFonts w:ascii="Arial" w:eastAsia="Arial" w:hAnsi="Arial" w:cs="Arial"/>
          <w:b/>
          <w:bCs/>
          <w:sz w:val="22"/>
          <w:szCs w:val="22"/>
        </w:rPr>
        <w:t xml:space="preserve">: </w:t>
      </w:r>
      <w:r w:rsidR="0C81676E" w:rsidRPr="67BAD222">
        <w:rPr>
          <w:rFonts w:ascii="Arial" w:eastAsia="Arial" w:hAnsi="Arial" w:cs="Arial"/>
          <w:sz w:val="22"/>
          <w:szCs w:val="22"/>
        </w:rPr>
        <w:t>To identify and recommend strategies that may improve inclusivity, cultural responsiveness, and equity within UK mental health services (Bhui et al., 2018).</w:t>
      </w:r>
    </w:p>
    <w:p w14:paraId="5F8647ED" w14:textId="77777777" w:rsidR="001701DD" w:rsidRPr="001C06F3" w:rsidRDefault="001701DD" w:rsidP="00BE61AB">
      <w:pPr>
        <w:keepNext/>
        <w:keepLines/>
        <w:spacing w:after="0" w:line="360" w:lineRule="auto"/>
        <w:rPr>
          <w:rFonts w:ascii="Arial" w:eastAsia="Arial" w:hAnsi="Arial" w:cs="Arial"/>
          <w:sz w:val="22"/>
          <w:szCs w:val="22"/>
        </w:rPr>
      </w:pPr>
    </w:p>
    <w:p w14:paraId="18B4D06F" w14:textId="52224C55" w:rsidR="67BAD222" w:rsidRDefault="01CC6139"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This dissertation uses a secondary research approach, drawing on existing academic literature, policy documents, and national reports. Thematic analysis identifies recurring patterns and themes relating to social, cultural, and systemic barriers affecting ethnic minorities’ access to mental health services. This approach enables critical synthesis of existing evidence and supports in-depth exploration of inequalities within the UK mental health system.</w:t>
      </w:r>
    </w:p>
    <w:p w14:paraId="08FEAF1A" w14:textId="18F6F5C6" w:rsidR="7177ED11" w:rsidRPr="00BE61AB" w:rsidRDefault="7E43D33F" w:rsidP="00BE61AB">
      <w:pPr>
        <w:pStyle w:val="Heading2"/>
        <w:spacing w:line="360" w:lineRule="auto"/>
        <w:rPr>
          <w:rFonts w:ascii="Arial" w:hAnsi="Arial" w:cs="Arial"/>
          <w:b/>
          <w:bCs/>
          <w:color w:val="auto"/>
          <w:sz w:val="22"/>
          <w:szCs w:val="22"/>
        </w:rPr>
      </w:pPr>
      <w:bookmarkStart w:id="8" w:name="_Toc220934971"/>
      <w:bookmarkStart w:id="9" w:name="_Toc1553828723"/>
      <w:r w:rsidRPr="67BAD222">
        <w:rPr>
          <w:rFonts w:ascii="Arial" w:hAnsi="Arial" w:cs="Arial"/>
          <w:b/>
          <w:bCs/>
          <w:color w:val="auto"/>
          <w:sz w:val="22"/>
          <w:szCs w:val="22"/>
        </w:rPr>
        <w:t>1.</w:t>
      </w:r>
      <w:r w:rsidR="625B3CB5" w:rsidRPr="67BAD222">
        <w:rPr>
          <w:rFonts w:ascii="Arial" w:hAnsi="Arial" w:cs="Arial"/>
          <w:b/>
          <w:bCs/>
          <w:color w:val="auto"/>
          <w:sz w:val="22"/>
          <w:szCs w:val="22"/>
        </w:rPr>
        <w:t>5</w:t>
      </w:r>
      <w:r w:rsidRPr="67BAD222">
        <w:rPr>
          <w:rFonts w:ascii="Arial" w:hAnsi="Arial" w:cs="Arial"/>
          <w:b/>
          <w:bCs/>
          <w:color w:val="auto"/>
          <w:sz w:val="22"/>
          <w:szCs w:val="22"/>
        </w:rPr>
        <w:t xml:space="preserve"> Conclusion</w:t>
      </w:r>
      <w:bookmarkEnd w:id="8"/>
      <w:bookmarkEnd w:id="9"/>
    </w:p>
    <w:p w14:paraId="4B209BA5" w14:textId="7BE9ADDB" w:rsidR="40BEF3AD" w:rsidRDefault="40BEF3AD" w:rsidP="67BAD222">
      <w:pPr>
        <w:spacing w:before="120" w:after="120" w:line="360" w:lineRule="auto"/>
      </w:pPr>
      <w:r w:rsidRPr="67BAD222">
        <w:rPr>
          <w:rFonts w:ascii="Arial" w:eastAsia="Arial" w:hAnsi="Arial" w:cs="Arial"/>
          <w:sz w:val="22"/>
          <w:szCs w:val="22"/>
        </w:rPr>
        <w:t xml:space="preserve">This chapter has introduced the central focus of the dissertation by outlining the persistent inequalities faced by ethnic minority groups in accessing mental health services in the United Kingdom. It has highlighted the importance of addressing social, cultural, and systemic barriers that continue to shape disparities in service access and outcomes (Nazroo and Bhui, 2021; NHS England, 2022). By defining key concepts, presenting a clear research aim, and establishing structured objectives, this chapter provides a foundation for the study. The following chapter examines the historical context, theoretical frameworks, and policy responses that underpin </w:t>
      </w:r>
      <w:r w:rsidR="00DD1539">
        <w:rPr>
          <w:rFonts w:ascii="Arial" w:eastAsia="Arial" w:hAnsi="Arial" w:cs="Arial"/>
          <w:sz w:val="22"/>
          <w:szCs w:val="22"/>
        </w:rPr>
        <w:t xml:space="preserve">the </w:t>
      </w:r>
      <w:r w:rsidRPr="67BAD222">
        <w:rPr>
          <w:rFonts w:ascii="Arial" w:eastAsia="Arial" w:hAnsi="Arial" w:cs="Arial"/>
          <w:sz w:val="22"/>
          <w:szCs w:val="22"/>
        </w:rPr>
        <w:t>current understanding of ethnic inequalities in mental health care.</w:t>
      </w:r>
    </w:p>
    <w:p w14:paraId="40C98E15" w14:textId="705D217E" w:rsidR="67BAD222" w:rsidRDefault="67BAD222" w:rsidP="67BAD222">
      <w:pPr>
        <w:spacing w:before="120" w:after="120" w:line="360" w:lineRule="auto"/>
        <w:rPr>
          <w:rFonts w:ascii="Arial" w:eastAsia="Arial" w:hAnsi="Arial" w:cs="Arial"/>
          <w:sz w:val="22"/>
          <w:szCs w:val="22"/>
        </w:rPr>
      </w:pPr>
    </w:p>
    <w:p w14:paraId="57CF3541" w14:textId="29AF9534" w:rsidR="00BE61AB" w:rsidRPr="00BE61AB" w:rsidRDefault="00BE61AB" w:rsidP="67BAD222">
      <w:pPr>
        <w:pStyle w:val="Heading1"/>
        <w:spacing w:line="360" w:lineRule="auto"/>
        <w:rPr>
          <w:rFonts w:ascii="Arial" w:eastAsia="Arial" w:hAnsi="Arial" w:cs="Arial"/>
          <w:b/>
          <w:bCs/>
          <w:color w:val="auto"/>
          <w:sz w:val="22"/>
          <w:szCs w:val="22"/>
        </w:rPr>
      </w:pPr>
      <w:bookmarkStart w:id="10" w:name="_Toc745001679"/>
      <w:r>
        <w:br w:type="page"/>
      </w:r>
      <w:r w:rsidR="047CBA5D" w:rsidRPr="67BAD222">
        <w:rPr>
          <w:rFonts w:ascii="Arial" w:eastAsia="Arial" w:hAnsi="Arial" w:cs="Arial"/>
          <w:b/>
          <w:bCs/>
          <w:color w:val="auto"/>
          <w:sz w:val="22"/>
          <w:szCs w:val="22"/>
        </w:rPr>
        <w:lastRenderedPageBreak/>
        <w:t>CHAPTER 2 – Background Information and Analysis</w:t>
      </w:r>
      <w:bookmarkEnd w:id="10"/>
    </w:p>
    <w:p w14:paraId="08B64E9A" w14:textId="563417A5" w:rsidR="67BAD222" w:rsidRDefault="67BAD222" w:rsidP="67BAD222">
      <w:pPr>
        <w:spacing w:line="360" w:lineRule="auto"/>
        <w:rPr>
          <w:rFonts w:ascii="Arial" w:eastAsia="Arial" w:hAnsi="Arial" w:cs="Arial"/>
          <w:sz w:val="22"/>
          <w:szCs w:val="22"/>
        </w:rPr>
      </w:pPr>
    </w:p>
    <w:p w14:paraId="43A5AAC7" w14:textId="45957314" w:rsidR="00BE61AB" w:rsidRPr="00BE61AB" w:rsidRDefault="7E4912E3" w:rsidP="00BE61AB">
      <w:pPr>
        <w:pStyle w:val="Heading2"/>
        <w:spacing w:line="360" w:lineRule="auto"/>
        <w:rPr>
          <w:rFonts w:ascii="Arial" w:eastAsia="Arial" w:hAnsi="Arial" w:cs="Arial"/>
          <w:b/>
          <w:bCs/>
          <w:color w:val="auto"/>
          <w:sz w:val="22"/>
          <w:szCs w:val="22"/>
        </w:rPr>
      </w:pPr>
      <w:bookmarkStart w:id="11" w:name="_Toc220934972"/>
      <w:bookmarkStart w:id="12" w:name="_Toc1608414445"/>
      <w:r w:rsidRPr="67BAD222">
        <w:rPr>
          <w:rFonts w:ascii="Arial" w:eastAsia="Arial" w:hAnsi="Arial" w:cs="Arial"/>
          <w:b/>
          <w:bCs/>
          <w:color w:val="auto"/>
          <w:sz w:val="22"/>
          <w:szCs w:val="22"/>
        </w:rPr>
        <w:t>2.1 Introduction</w:t>
      </w:r>
      <w:bookmarkEnd w:id="11"/>
      <w:bookmarkEnd w:id="12"/>
    </w:p>
    <w:p w14:paraId="20849485" w14:textId="528FEF9E" w:rsidR="38F0E7D8" w:rsidRDefault="38F0E7D8"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This chapter reviews the existing literature examining the barriers and challenges faced by ethnic minorities in accessing mental health services in the United Kingdom. It situates the research topic within its broader historical, theoretical, and policy contexts, developing a comprehensive understanding of how ethnic inequalities in mental health care have developed and persisted over time. The chapter evaluates key conceptual frameworks and empirical evidence that illuminate disparities in access, treatment pathways, and outcomes across ethnic groups (Nazroo and Bhui, 2021). </w:t>
      </w:r>
    </w:p>
    <w:p w14:paraId="0C516D2C" w14:textId="0295DD24" w:rsidR="38F0E7D8" w:rsidRDefault="38F0E7D8"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Drawing upon academic studies, government reports, and theoretical perspectives, this review analyses the structural, cultural, and institutional factors shaping mental health service provision. The chapter identifies areas of convergence and tension within the literature and highlights gaps that warrant further exploration. This analytical foundation provides the contextual grounding for interpreting the thematic findings presented in Chapter 4, particularly in relation to systemic inequality and policy effectiveness (NHS England, 2022).</w:t>
      </w:r>
    </w:p>
    <w:p w14:paraId="5DB0E9F4" w14:textId="11E9BF9A" w:rsidR="67BAD222" w:rsidRDefault="67BAD222" w:rsidP="67BAD222">
      <w:pPr>
        <w:spacing w:before="240" w:after="240" w:line="360" w:lineRule="auto"/>
        <w:rPr>
          <w:rFonts w:ascii="Arial" w:eastAsia="Arial" w:hAnsi="Arial" w:cs="Arial"/>
          <w:sz w:val="22"/>
          <w:szCs w:val="22"/>
        </w:rPr>
      </w:pPr>
    </w:p>
    <w:p w14:paraId="74D408E2" w14:textId="5537134B" w:rsidR="67BAD222" w:rsidRDefault="67BAD222" w:rsidP="67BAD222">
      <w:pPr>
        <w:spacing w:before="120" w:after="120" w:line="360" w:lineRule="auto"/>
        <w:rPr>
          <w:rFonts w:ascii="Arial" w:eastAsia="Arial" w:hAnsi="Arial" w:cs="Arial"/>
          <w:sz w:val="22"/>
          <w:szCs w:val="22"/>
        </w:rPr>
      </w:pPr>
    </w:p>
    <w:p w14:paraId="427B303F" w14:textId="77777777" w:rsidR="001C06F3" w:rsidRDefault="001C06F3" w:rsidP="001C06F3">
      <w:pPr>
        <w:spacing w:before="120" w:after="120" w:line="360" w:lineRule="auto"/>
        <w:rPr>
          <w:rFonts w:ascii="Arial" w:eastAsia="Arial" w:hAnsi="Arial" w:cs="Arial"/>
          <w:sz w:val="22"/>
          <w:szCs w:val="22"/>
        </w:rPr>
      </w:pPr>
    </w:p>
    <w:p w14:paraId="3391FAD6" w14:textId="77777777" w:rsidR="001C06F3" w:rsidRDefault="001C06F3" w:rsidP="001C06F3">
      <w:pPr>
        <w:spacing w:before="120" w:after="120" w:line="360" w:lineRule="auto"/>
        <w:rPr>
          <w:rFonts w:ascii="Arial" w:eastAsia="Arial" w:hAnsi="Arial" w:cs="Arial"/>
          <w:sz w:val="22"/>
          <w:szCs w:val="22"/>
        </w:rPr>
      </w:pPr>
    </w:p>
    <w:p w14:paraId="6D803A91" w14:textId="77777777" w:rsidR="001C06F3" w:rsidRDefault="001C06F3" w:rsidP="001C06F3">
      <w:pPr>
        <w:spacing w:before="120" w:after="120" w:line="360" w:lineRule="auto"/>
        <w:rPr>
          <w:rFonts w:ascii="Arial" w:eastAsia="Arial" w:hAnsi="Arial" w:cs="Arial"/>
          <w:sz w:val="22"/>
          <w:szCs w:val="22"/>
        </w:rPr>
      </w:pPr>
    </w:p>
    <w:p w14:paraId="078BEC24" w14:textId="77777777" w:rsidR="001C06F3" w:rsidRDefault="001C06F3" w:rsidP="001C06F3">
      <w:pPr>
        <w:spacing w:before="120" w:after="120" w:line="360" w:lineRule="auto"/>
        <w:rPr>
          <w:rFonts w:ascii="Arial" w:eastAsia="Arial" w:hAnsi="Arial" w:cs="Arial"/>
          <w:sz w:val="22"/>
          <w:szCs w:val="22"/>
        </w:rPr>
      </w:pPr>
    </w:p>
    <w:p w14:paraId="6DFB61A7" w14:textId="77777777" w:rsidR="001C06F3" w:rsidRDefault="001C06F3" w:rsidP="001C06F3">
      <w:pPr>
        <w:spacing w:before="120" w:after="120" w:line="360" w:lineRule="auto"/>
        <w:rPr>
          <w:rFonts w:ascii="Arial" w:eastAsia="Arial" w:hAnsi="Arial" w:cs="Arial"/>
          <w:sz w:val="22"/>
          <w:szCs w:val="22"/>
        </w:rPr>
      </w:pPr>
    </w:p>
    <w:p w14:paraId="6ACDAB8D" w14:textId="77777777" w:rsidR="001C06F3" w:rsidRDefault="001C06F3" w:rsidP="001C06F3">
      <w:pPr>
        <w:spacing w:before="120" w:after="120" w:line="360" w:lineRule="auto"/>
        <w:rPr>
          <w:rFonts w:ascii="Arial" w:eastAsia="Arial" w:hAnsi="Arial" w:cs="Arial"/>
          <w:sz w:val="22"/>
          <w:szCs w:val="22"/>
        </w:rPr>
      </w:pPr>
    </w:p>
    <w:p w14:paraId="1DBACD3C" w14:textId="77777777" w:rsidR="00DD1539" w:rsidRDefault="00DD1539" w:rsidP="001C06F3">
      <w:pPr>
        <w:spacing w:before="120" w:after="120" w:line="360" w:lineRule="auto"/>
        <w:rPr>
          <w:rFonts w:ascii="Arial" w:eastAsia="Arial" w:hAnsi="Arial" w:cs="Arial"/>
          <w:sz w:val="22"/>
          <w:szCs w:val="22"/>
        </w:rPr>
      </w:pPr>
    </w:p>
    <w:p w14:paraId="60DD7319" w14:textId="77777777" w:rsidR="00DD1539" w:rsidRDefault="00DD1539" w:rsidP="001C06F3">
      <w:pPr>
        <w:spacing w:before="120" w:after="120" w:line="360" w:lineRule="auto"/>
        <w:rPr>
          <w:rFonts w:ascii="Arial" w:eastAsia="Arial" w:hAnsi="Arial" w:cs="Arial"/>
          <w:sz w:val="22"/>
          <w:szCs w:val="22"/>
        </w:rPr>
      </w:pPr>
    </w:p>
    <w:p w14:paraId="6DFEFBFD" w14:textId="03C105F5" w:rsidR="001C06F3" w:rsidRDefault="001C06F3" w:rsidP="24E26AF7">
      <w:pPr>
        <w:spacing w:before="120" w:after="120" w:line="360" w:lineRule="auto"/>
        <w:rPr>
          <w:rFonts w:ascii="Arial" w:eastAsia="Arial" w:hAnsi="Arial" w:cs="Arial"/>
          <w:sz w:val="22"/>
          <w:szCs w:val="22"/>
        </w:rPr>
      </w:pPr>
    </w:p>
    <w:p w14:paraId="51751374" w14:textId="61D38D88" w:rsidR="001C06F3" w:rsidRPr="001C06F3" w:rsidRDefault="001C06F3" w:rsidP="67BAD222">
      <w:pPr>
        <w:spacing w:before="120" w:after="120" w:line="360" w:lineRule="auto"/>
        <w:rPr>
          <w:rFonts w:ascii="Arial" w:eastAsia="Arial" w:hAnsi="Arial" w:cs="Arial"/>
          <w:sz w:val="22"/>
          <w:szCs w:val="22"/>
        </w:rPr>
      </w:pPr>
    </w:p>
    <w:p w14:paraId="6247F937" w14:textId="6C8AF056" w:rsidR="001C06F3" w:rsidRPr="001C06F3" w:rsidRDefault="7E4912E3" w:rsidP="67BAD222">
      <w:pPr>
        <w:pStyle w:val="Heading2"/>
        <w:spacing w:line="360" w:lineRule="auto"/>
        <w:rPr>
          <w:rFonts w:ascii="Arial" w:eastAsia="Arial" w:hAnsi="Arial" w:cs="Arial"/>
          <w:b/>
          <w:bCs/>
          <w:color w:val="auto"/>
          <w:sz w:val="22"/>
          <w:szCs w:val="22"/>
        </w:rPr>
      </w:pPr>
      <w:bookmarkStart w:id="13" w:name="_Toc1454699225"/>
      <w:r w:rsidRPr="67BAD222">
        <w:rPr>
          <w:rFonts w:ascii="Arial" w:eastAsia="Arial" w:hAnsi="Arial" w:cs="Arial"/>
          <w:b/>
          <w:bCs/>
          <w:color w:val="auto"/>
          <w:sz w:val="22"/>
          <w:szCs w:val="22"/>
        </w:rPr>
        <w:lastRenderedPageBreak/>
        <w:t>2.2 Historical Background</w:t>
      </w:r>
      <w:bookmarkEnd w:id="13"/>
    </w:p>
    <w:p w14:paraId="394487F8" w14:textId="538DC3F3" w:rsidR="001C06F3" w:rsidRPr="001C06F3" w:rsidRDefault="3E051DBD" w:rsidP="67BAD222">
      <w:pPr>
        <w:spacing w:before="120" w:after="120" w:line="360" w:lineRule="auto"/>
      </w:pPr>
      <w:r w:rsidRPr="67BAD222">
        <w:rPr>
          <w:rFonts w:ascii="Arial" w:eastAsia="Arial" w:hAnsi="Arial" w:cs="Arial"/>
          <w:sz w:val="22"/>
          <w:szCs w:val="22"/>
        </w:rPr>
        <w:t xml:space="preserve">The historical development of mental health services in the United Kingdom has been shaped by evolving societal attitudes, policy reform, and advances in psychiatric knowledge. During the nineteenth and early twentieth centuries, mental health care was largely delivered within asylums and psychiatric institutions, reflecting an institutional model that prioritised containment and social control over therapeutic intervention (Porter, 2002). There was minimal recognition of cultural or ethnic diversity in service provision at this time. Prevailing medical frameworks were grounded in universalist assumptions that failed to consider how cultural context influences the experience and expression of mental distress. </w:t>
      </w:r>
    </w:p>
    <w:p w14:paraId="11ED7275" w14:textId="6D446E8A" w:rsidR="001C06F3" w:rsidRPr="001C06F3" w:rsidRDefault="3E051DBD" w:rsidP="67BAD222">
      <w:pPr>
        <w:spacing w:before="120" w:after="120" w:line="360" w:lineRule="auto"/>
      </w:pPr>
      <w:r w:rsidRPr="67BAD222">
        <w:rPr>
          <w:rFonts w:ascii="Arial" w:eastAsia="Arial" w:hAnsi="Arial" w:cs="Arial"/>
          <w:sz w:val="22"/>
          <w:szCs w:val="22"/>
        </w:rPr>
        <w:t xml:space="preserve">The establishment of the National Health Service (NHS) in 1948 marked a significant shift toward universal healthcare provision. Subsequent deinstitutionalisation policies promoted community-based care and emphasised patients’ rights. However, while these reforms expanded access in principle, evidence suggests that access remained uneven in practice, particularly for newly arrived migrant communities who faced linguistic, cultural, and administrative barriers (Pilgrim and Rogers, 2019). Structural inequalities were reproduced within the transition from institutional to community care. </w:t>
      </w:r>
    </w:p>
    <w:p w14:paraId="0254E6B4" w14:textId="123DE6BC" w:rsidR="001C06F3" w:rsidRPr="001C06F3" w:rsidRDefault="3E051DBD" w:rsidP="67BAD222">
      <w:pPr>
        <w:spacing w:before="120" w:after="120" w:line="360" w:lineRule="auto"/>
      </w:pPr>
      <w:r w:rsidRPr="67BAD222">
        <w:rPr>
          <w:rFonts w:ascii="Arial" w:eastAsia="Arial" w:hAnsi="Arial" w:cs="Arial"/>
          <w:sz w:val="22"/>
          <w:szCs w:val="22"/>
        </w:rPr>
        <w:t xml:space="preserve">Post-war migration from Commonwealth countries significantly diversified the UK population, bringing varied cultural understandings of health and wellbeing. Despite this demographic shift, mental health services were slow to adapt. Fernando (2010) argues that institutional frameworks continued to reflect Eurocentric assumptions, contributing to misdiagnosis and culturally inappropriate treatment. Early research by Littlewood and Lipsedge (1989) highlighted disproportionately high rates of involuntary psychiatric hospitalisation among Black Caribbean men, representing one of the earliest documented indicators of racial inequality within British mental health systems. These findings challenged biological explanations of disparity and instead pointed towards systemic bias and differential pathways to care. </w:t>
      </w:r>
    </w:p>
    <w:p w14:paraId="1DCBB5A0" w14:textId="2A956278" w:rsidR="001C06F3" w:rsidRPr="001C06F3" w:rsidRDefault="3E051DBD" w:rsidP="67BAD222">
      <w:pPr>
        <w:spacing w:before="120" w:after="120" w:line="360" w:lineRule="auto"/>
      </w:pPr>
      <w:r w:rsidRPr="67BAD222">
        <w:rPr>
          <w:rFonts w:ascii="Arial" w:eastAsia="Arial" w:hAnsi="Arial" w:cs="Arial"/>
          <w:sz w:val="22"/>
          <w:szCs w:val="22"/>
        </w:rPr>
        <w:t xml:space="preserve">In response to growing concern, policy initiatives addressing ethnic inequalities emerged in the early 2000s. The Delivering Race Equality in Mental Health Care (DRE) programme (Department of Health, 2005) represented the first national strategy explicitly targeting disparities in access and outcomes. Its objectives included reducing compulsory admissions, strengthening community engagement, and promoting cultural competence within the workforce. While the DRE marked </w:t>
      </w:r>
      <w:r w:rsidR="00DD1539">
        <w:rPr>
          <w:rFonts w:ascii="Arial" w:eastAsia="Arial" w:hAnsi="Arial" w:cs="Arial"/>
          <w:sz w:val="22"/>
          <w:szCs w:val="22"/>
        </w:rPr>
        <w:t xml:space="preserve">a </w:t>
      </w:r>
      <w:r w:rsidRPr="67BAD222">
        <w:rPr>
          <w:rFonts w:ascii="Arial" w:eastAsia="Arial" w:hAnsi="Arial" w:cs="Arial"/>
          <w:sz w:val="22"/>
          <w:szCs w:val="22"/>
        </w:rPr>
        <w:t xml:space="preserve">significant acknowledgement of institutional responsibility, evaluations concluded that its long-term impact was limited due to inconsistent implementation, insufficient funding, weak accountability mechanisms, and limited sustained community involvement (Keating, Robertson, and Kotecha, 2012). This gap between policy </w:t>
      </w:r>
      <w:r w:rsidRPr="67BAD222">
        <w:rPr>
          <w:rFonts w:ascii="Arial" w:eastAsia="Arial" w:hAnsi="Arial" w:cs="Arial"/>
          <w:sz w:val="22"/>
          <w:szCs w:val="22"/>
        </w:rPr>
        <w:lastRenderedPageBreak/>
        <w:t xml:space="preserve">ambition and operational practice has remained a recurring feature of subsequent reform efforts. </w:t>
      </w:r>
    </w:p>
    <w:p w14:paraId="402FB6E9" w14:textId="0D8AA642" w:rsidR="001C06F3" w:rsidRPr="001C06F3" w:rsidRDefault="3E051DBD" w:rsidP="67BAD222">
      <w:pPr>
        <w:spacing w:before="120" w:after="120" w:line="360" w:lineRule="auto"/>
      </w:pPr>
      <w:r w:rsidRPr="67BAD222">
        <w:rPr>
          <w:rFonts w:ascii="Arial" w:eastAsia="Arial" w:hAnsi="Arial" w:cs="Arial"/>
          <w:sz w:val="22"/>
          <w:szCs w:val="22"/>
        </w:rPr>
        <w:t xml:space="preserve">More recent strategies, including the NHS Long Term Plan (2019) and the Core20PLUS5 framework (NHS England, 2022), continue to emphasise reducing health inequalities. The establishment of the NHS Race and Health Observatory in 2020 further reflects recognition of persistent ethnic disparities. Third-sector organisations such as Mind and the Race Equality Foundation have also played a critical role in advocacy and community engagement (Mind, 2023). However, contemporary data continue to demonstrate disproportionate detention rates and unequal service experiences, indicating that historical patterns of inequality have not been fully resolved. </w:t>
      </w:r>
    </w:p>
    <w:p w14:paraId="26EE8ED0" w14:textId="76845B3D" w:rsidR="001C06F3" w:rsidRPr="001C06F3" w:rsidRDefault="3E051DBD" w:rsidP="67BAD222">
      <w:pPr>
        <w:spacing w:before="120" w:after="120" w:line="360" w:lineRule="auto"/>
      </w:pPr>
      <w:r w:rsidRPr="67BAD222">
        <w:rPr>
          <w:rFonts w:ascii="Arial" w:eastAsia="Arial" w:hAnsi="Arial" w:cs="Arial"/>
          <w:sz w:val="22"/>
          <w:szCs w:val="22"/>
        </w:rPr>
        <w:t>Overall, the historical trajectory of mental health policy in the UK reveals progressive rhetorical commitment to equality yet limited structural transformation. The persistence of ethnic disparities suggests that reforms have often addressed symptoms rather than underlying systemic mechanisms. Understanding this historical continuity is essential for interpreting present-day inequalities and assessing the effectiveness of current policy responses.</w:t>
      </w:r>
    </w:p>
    <w:p w14:paraId="76FB3899" w14:textId="4FD0476A" w:rsidR="1C6AFAD3" w:rsidRPr="00BE61AB" w:rsidRDefault="0A30DE7F" w:rsidP="00BE61AB">
      <w:pPr>
        <w:pStyle w:val="Heading2"/>
        <w:spacing w:line="360" w:lineRule="auto"/>
        <w:rPr>
          <w:rFonts w:ascii="Arial" w:eastAsia="Arial" w:hAnsi="Arial" w:cs="Arial"/>
          <w:b/>
          <w:bCs/>
          <w:color w:val="auto"/>
          <w:sz w:val="22"/>
          <w:szCs w:val="22"/>
        </w:rPr>
      </w:pPr>
      <w:bookmarkStart w:id="14" w:name="_Toc1674411520"/>
      <w:r w:rsidRPr="67BAD222">
        <w:rPr>
          <w:rFonts w:ascii="Arial" w:eastAsia="Arial" w:hAnsi="Arial" w:cs="Arial"/>
          <w:b/>
          <w:bCs/>
          <w:color w:val="auto"/>
          <w:sz w:val="22"/>
          <w:szCs w:val="22"/>
        </w:rPr>
        <w:t>2.3 Theoretical Background</w:t>
      </w:r>
      <w:bookmarkEnd w:id="14"/>
    </w:p>
    <w:p w14:paraId="7D9877E4" w14:textId="1150C764" w:rsidR="3299F34D" w:rsidRDefault="3299F34D" w:rsidP="67BAD222">
      <w:pPr>
        <w:spacing w:before="120" w:after="120" w:line="360" w:lineRule="auto"/>
      </w:pPr>
      <w:r w:rsidRPr="67BAD222">
        <w:rPr>
          <w:rFonts w:ascii="Arial" w:eastAsia="Arial" w:hAnsi="Arial" w:cs="Arial"/>
          <w:sz w:val="22"/>
          <w:szCs w:val="22"/>
        </w:rPr>
        <w:t xml:space="preserve">Understanding the barriers faced by ethnic minorities in accessing mental health services in the United Kingdom requires engagement with multiple interconnected theoretical frameworks. This dissertation draws upon the Social Determinants of Health (SDH) framework, Cultural Competence Theory, and Critical Race Theory (CRT). These perspectives provide a multi-level analysis of how structural, cultural, and systemic factors shape mental health outcomes and service accessibility. </w:t>
      </w:r>
    </w:p>
    <w:p w14:paraId="50D4BE4B" w14:textId="38DB4189" w:rsidR="3299F34D" w:rsidRDefault="3299F34D" w:rsidP="67BAD222">
      <w:pPr>
        <w:spacing w:before="120" w:after="120" w:line="360" w:lineRule="auto"/>
      </w:pPr>
      <w:r w:rsidRPr="67BAD222">
        <w:rPr>
          <w:rFonts w:ascii="Arial" w:eastAsia="Arial" w:hAnsi="Arial" w:cs="Arial"/>
          <w:sz w:val="22"/>
          <w:szCs w:val="22"/>
        </w:rPr>
        <w:t xml:space="preserve">The Social Determinants of Health framework, popularised through the work of Marmot (2020), emphasises that health outcomes are shaped by social and economic conditions rather than individual behaviour alone. Determinants such as income, education, housing quality, employment security, and social capital significantly influence patterns of illness and access to care. In mental health research, the SDH model demonstrates how socioeconomic disadvantage and marginalisation contribute to increased prevalence of mental distress and reduced engagement with services (World Health Organisation, 2022). In the UK context, ethnic minority populations are disproportionately affected by poverty, insecure employment, and housing instability, all of which are strongly associated with elevated risk of depression, anxiety, and trauma-related conditions (Nazroo and Bhui, 2021). The SDH framework is central to understanding how structural inequality produces uneven mental health outcomes. </w:t>
      </w:r>
      <w:r w:rsidRPr="67BAD222">
        <w:rPr>
          <w:rFonts w:ascii="Arial" w:eastAsia="Arial" w:hAnsi="Arial" w:cs="Arial"/>
          <w:sz w:val="22"/>
          <w:szCs w:val="22"/>
        </w:rPr>
        <w:lastRenderedPageBreak/>
        <w:t xml:space="preserve">However, while it effectively explains socioeconomic gradients, it may insufficiently account for the specific role of racialised discrimination within institutional systems. </w:t>
      </w:r>
    </w:p>
    <w:p w14:paraId="351B4B93" w14:textId="5C2C31A6" w:rsidR="3299F34D" w:rsidRDefault="3299F34D" w:rsidP="67BAD222">
      <w:pPr>
        <w:spacing w:before="120" w:after="120" w:line="360" w:lineRule="auto"/>
      </w:pPr>
      <w:r w:rsidRPr="67BAD222">
        <w:rPr>
          <w:rFonts w:ascii="Arial" w:eastAsia="Arial" w:hAnsi="Arial" w:cs="Arial"/>
          <w:sz w:val="22"/>
          <w:szCs w:val="22"/>
        </w:rPr>
        <w:t xml:space="preserve">Cultural Competence Theory emerged within multicultural counselling and healthcare literature during the late twentieth century (Sue et al., 2009). It proposes that effective care requires professionals to develop cultural awareness, cultural knowledge, and culturally responsive skills. Within mental health practice, this involves recognising how cultural beliefs and social norms shape perceptions of distress, help-seeking behaviour, and treatment preferences (Fernando, 2010). Limited cultural competence can lead to miscommunication, inappropriate clinical assessment, and disengagement from services among ethnic minority service users (Bhui et al., 2018). While this framework highlights the importance of culturally responsive practice, it has been criticised for focusing predominantly on individual practitioner behaviour. Critics argue that training initiatives alone cannot resolve inequalities rooted in structural and institutional systems. </w:t>
      </w:r>
    </w:p>
    <w:p w14:paraId="3B444980" w14:textId="497B18AE" w:rsidR="3299F34D" w:rsidRDefault="3299F34D" w:rsidP="67BAD222">
      <w:pPr>
        <w:spacing w:before="120" w:after="120" w:line="360" w:lineRule="auto"/>
      </w:pPr>
      <w:r w:rsidRPr="67BAD222">
        <w:rPr>
          <w:rFonts w:ascii="Arial" w:eastAsia="Arial" w:hAnsi="Arial" w:cs="Arial"/>
          <w:sz w:val="22"/>
          <w:szCs w:val="22"/>
        </w:rPr>
        <w:t xml:space="preserve">Critical Race Theory offers a more explicitly structural lens. Originating in legal scholarship, CRT posits that racism is embedded within social institutions and reproduced through policies, practices, and power relations. Applied to mental health services, CRT suggests that disparities in detention rates, diagnostic pathways, and treatment outcomes reflect systemic bias rather than isolated incidents. Unlike SDH, which centres socioeconomic disadvantage, or Cultural Competence Theory, which emphasises interpersonal interactions, CRT foregrounds institutional power and structural racism as fundamental drivers of inequality. </w:t>
      </w:r>
    </w:p>
    <w:p w14:paraId="2D3656B0" w14:textId="311BBF2B" w:rsidR="67BAD222" w:rsidRDefault="38FCEC5A" w:rsidP="24E26AF7">
      <w:pPr>
        <w:spacing w:before="120" w:after="120" w:line="360" w:lineRule="auto"/>
      </w:pPr>
      <w:r w:rsidRPr="24E26AF7">
        <w:rPr>
          <w:rFonts w:ascii="Arial" w:eastAsia="Arial" w:hAnsi="Arial" w:cs="Arial"/>
          <w:sz w:val="22"/>
          <w:szCs w:val="22"/>
        </w:rPr>
        <w:t>Collectively, these frameworks provide a layered understanding of ethnic disparities in mental health access. The SDH model explains how socioeconomic conditions create vulnerability; Cultural Competence Theory highlights how service-level interactions affect engagement; and Critical Race Theory interrogates the structural and institutional mechanisms sustaining inequality. However, tensions remain between them. SDH may underemphasise racialised power dynamics, Cultural Competence Theory risks individualising systemic problems, and CRT, while structurally robust, can be criticised for offering limited practical implementation guidance. Integrating these perspectives enables a more comprehensive analysis that recognises the interaction between social conditions, cultural processes, and institutional power structures in shaping access to mental health services.</w:t>
      </w:r>
    </w:p>
    <w:p w14:paraId="22EFFAA9" w14:textId="59915352" w:rsidR="24E26AF7" w:rsidRDefault="24E26AF7" w:rsidP="24E26AF7">
      <w:pPr>
        <w:spacing w:before="120" w:after="120" w:line="360" w:lineRule="auto"/>
        <w:rPr>
          <w:rFonts w:ascii="Arial" w:eastAsia="Arial" w:hAnsi="Arial" w:cs="Arial"/>
          <w:sz w:val="22"/>
          <w:szCs w:val="22"/>
        </w:rPr>
      </w:pPr>
    </w:p>
    <w:p w14:paraId="35B42913" w14:textId="2CC5895D" w:rsidR="24E26AF7" w:rsidRDefault="24E26AF7" w:rsidP="24E26AF7">
      <w:pPr>
        <w:spacing w:before="120" w:after="120" w:line="360" w:lineRule="auto"/>
        <w:rPr>
          <w:rFonts w:ascii="Arial" w:eastAsia="Arial" w:hAnsi="Arial" w:cs="Arial"/>
          <w:sz w:val="22"/>
          <w:szCs w:val="22"/>
        </w:rPr>
      </w:pPr>
    </w:p>
    <w:p w14:paraId="632D249F" w14:textId="2EEB72EC" w:rsidR="4B3CCB66" w:rsidRDefault="4B3CCB66" w:rsidP="4B3CCB66">
      <w:pPr>
        <w:spacing w:before="120" w:after="120" w:line="360" w:lineRule="auto"/>
        <w:rPr>
          <w:rFonts w:ascii="Arial" w:eastAsia="Arial" w:hAnsi="Arial" w:cs="Arial"/>
          <w:sz w:val="22"/>
          <w:szCs w:val="22"/>
        </w:rPr>
      </w:pPr>
    </w:p>
    <w:p w14:paraId="4D2E5313" w14:textId="67977473" w:rsidR="001C06F3" w:rsidRPr="00BE61AB" w:rsidRDefault="3988C252" w:rsidP="00BE61AB">
      <w:pPr>
        <w:spacing w:line="360" w:lineRule="auto"/>
        <w:rPr>
          <w:rFonts w:ascii="Arial" w:eastAsia="Arial" w:hAnsi="Arial" w:cs="Arial"/>
          <w:b/>
          <w:bCs/>
          <w:sz w:val="22"/>
          <w:szCs w:val="22"/>
        </w:rPr>
      </w:pPr>
      <w:r w:rsidRPr="67BAD222">
        <w:rPr>
          <w:rFonts w:ascii="Arial" w:eastAsia="Arial" w:hAnsi="Arial" w:cs="Arial"/>
          <w:b/>
          <w:bCs/>
          <w:sz w:val="22"/>
          <w:szCs w:val="22"/>
        </w:rPr>
        <w:lastRenderedPageBreak/>
        <w:t xml:space="preserve">Critical Race Theory (CRT) </w:t>
      </w:r>
    </w:p>
    <w:p w14:paraId="5F783B49" w14:textId="630C9676" w:rsidR="24E26AF7" w:rsidRPr="00DD1539" w:rsidRDefault="589FD5EE" w:rsidP="24E26AF7">
      <w:pPr>
        <w:spacing w:before="120" w:after="120" w:line="360" w:lineRule="auto"/>
      </w:pPr>
      <w:r w:rsidRPr="24E26AF7">
        <w:rPr>
          <w:rFonts w:ascii="Arial" w:eastAsia="Arial" w:hAnsi="Arial" w:cs="Arial"/>
          <w:sz w:val="22"/>
          <w:szCs w:val="22"/>
        </w:rPr>
        <w:t>Critical Race Theory (CRT) provides a structural lens for examining how institutional racism and systemic inequalities shape access to mental health services (Delgado and Stefancic, 2017). CRT asserts that racism is not merely the result of individual prejudice but is embedded within social, legal, and organisational systems, including healthcare institutions. Within the context of UK mental health services, this perspective highlights how racialised assumptions, implicit biases, and historically rooted power imbalances influence clinical decision-making, risk assessment, and treatment pathways. Empirical research has drawn upon CRT to explain the disproportionate rates of compulsory detention and diagnostic disparities experienced by Black and Asian individuals (Keating, Robertson, and Kotecha, 2012; Williams, Lawrence, and Davis, 2022). Rather than attributing these patterns to cultural difference or biological variation, CRT situates them within broader structures of systemic discrimination, shifting the focus from individual behaviour to institutional accountability.</w:t>
      </w:r>
    </w:p>
    <w:p w14:paraId="322A9CEF" w14:textId="27D347D4" w:rsidR="0082608F" w:rsidRPr="001C06F3" w:rsidRDefault="0082608F" w:rsidP="00E66F26">
      <w:pPr>
        <w:spacing w:before="120" w:after="120" w:line="360" w:lineRule="auto"/>
        <w:rPr>
          <w:rFonts w:ascii="Arial" w:hAnsi="Arial" w:cs="Arial"/>
          <w:sz w:val="16"/>
          <w:szCs w:val="16"/>
        </w:rPr>
      </w:pPr>
      <w:r w:rsidRPr="001C06F3">
        <w:rPr>
          <w:rFonts w:ascii="Arial" w:hAnsi="Arial" w:cs="Arial"/>
          <w:b/>
          <w:bCs/>
          <w:sz w:val="22"/>
          <w:szCs w:val="22"/>
        </w:rPr>
        <w:t>Table 1: Comparison of Theoretical Frameworks Used to Understand Ethnic Inequalities in Access to Mental Health Services</w:t>
      </w:r>
      <w:r w:rsidRPr="001C06F3">
        <w:rPr>
          <w:rFonts w:ascii="Arial" w:hAnsi="Arial" w:cs="Arial"/>
          <w:sz w:val="16"/>
          <w:szCs w:val="16"/>
        </w:rPr>
        <w:t xml:space="preserve">.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624"/>
        <w:gridCol w:w="1911"/>
        <w:gridCol w:w="1729"/>
        <w:gridCol w:w="1616"/>
        <w:gridCol w:w="2130"/>
      </w:tblGrid>
      <w:tr w:rsidR="001C06F3" w:rsidRPr="001C06F3" w14:paraId="5C98CE30" w14:textId="77777777" w:rsidTr="67BAD222">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76961C9C"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Theory</w:t>
            </w:r>
          </w:p>
        </w:tc>
        <w:tc>
          <w:tcPr>
            <w:tcW w:w="2250" w:type="dxa"/>
            <w:tcBorders>
              <w:top w:val="single" w:sz="6" w:space="0" w:color="E0E0E0"/>
              <w:left w:val="single" w:sz="6" w:space="0" w:color="E0E0E0"/>
              <w:bottom w:val="single" w:sz="6" w:space="0" w:color="E0E0E0"/>
              <w:right w:val="single" w:sz="6" w:space="0" w:color="E0E0E0"/>
            </w:tcBorders>
            <w:hideMark/>
          </w:tcPr>
          <w:p w14:paraId="77D48C92"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Key Focus</w:t>
            </w:r>
          </w:p>
        </w:tc>
        <w:tc>
          <w:tcPr>
            <w:tcW w:w="2250" w:type="dxa"/>
            <w:tcBorders>
              <w:top w:val="single" w:sz="6" w:space="0" w:color="E0E0E0"/>
              <w:left w:val="single" w:sz="6" w:space="0" w:color="E0E0E0"/>
              <w:bottom w:val="single" w:sz="6" w:space="0" w:color="E0E0E0"/>
              <w:right w:val="single" w:sz="6" w:space="0" w:color="E0E0E0"/>
            </w:tcBorders>
            <w:hideMark/>
          </w:tcPr>
          <w:p w14:paraId="3021BFA4"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Strengths</w:t>
            </w:r>
          </w:p>
        </w:tc>
        <w:tc>
          <w:tcPr>
            <w:tcW w:w="2250" w:type="dxa"/>
            <w:tcBorders>
              <w:top w:val="single" w:sz="6" w:space="0" w:color="E0E0E0"/>
              <w:left w:val="single" w:sz="6" w:space="0" w:color="E0E0E0"/>
              <w:bottom w:val="single" w:sz="6" w:space="0" w:color="E0E0E0"/>
              <w:right w:val="single" w:sz="6" w:space="0" w:color="E0E0E0"/>
            </w:tcBorders>
            <w:hideMark/>
          </w:tcPr>
          <w:p w14:paraId="19C1C122"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Limitations</w:t>
            </w:r>
          </w:p>
        </w:tc>
        <w:tc>
          <w:tcPr>
            <w:tcW w:w="2250" w:type="dxa"/>
            <w:tcBorders>
              <w:top w:val="single" w:sz="6" w:space="0" w:color="E0E0E0"/>
              <w:left w:val="single" w:sz="6" w:space="0" w:color="E0E0E0"/>
              <w:bottom w:val="single" w:sz="6" w:space="0" w:color="E0E0E0"/>
              <w:right w:val="single" w:sz="6" w:space="0" w:color="E0E0E0"/>
            </w:tcBorders>
            <w:hideMark/>
          </w:tcPr>
          <w:p w14:paraId="391B04ED"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Relevance</w:t>
            </w:r>
          </w:p>
        </w:tc>
      </w:tr>
      <w:tr w:rsidR="001C06F3" w:rsidRPr="001C06F3" w14:paraId="2C41512A" w14:textId="77777777" w:rsidTr="67BAD222">
        <w:trPr>
          <w:trHeight w:val="540"/>
        </w:trPr>
        <w:tc>
          <w:tcPr>
            <w:tcW w:w="0" w:type="auto"/>
            <w:tcBorders>
              <w:top w:val="nil"/>
              <w:left w:val="single" w:sz="6" w:space="0" w:color="E0E0E0"/>
              <w:bottom w:val="single" w:sz="6" w:space="0" w:color="E0E0E0"/>
              <w:right w:val="single" w:sz="6" w:space="0" w:color="E0E0E0"/>
            </w:tcBorders>
            <w:hideMark/>
          </w:tcPr>
          <w:p w14:paraId="6D2AFC53"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Social Determinants of Health</w:t>
            </w:r>
          </w:p>
        </w:tc>
        <w:tc>
          <w:tcPr>
            <w:tcW w:w="0" w:type="auto"/>
            <w:tcBorders>
              <w:top w:val="nil"/>
              <w:left w:val="single" w:sz="6" w:space="0" w:color="E0E0E0"/>
              <w:bottom w:val="single" w:sz="6" w:space="0" w:color="E0E0E0"/>
              <w:right w:val="single" w:sz="6" w:space="0" w:color="E0E0E0"/>
            </w:tcBorders>
            <w:hideMark/>
          </w:tcPr>
          <w:p w14:paraId="251EE3C8"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Socioeconomic conditions shaping health</w:t>
            </w:r>
          </w:p>
        </w:tc>
        <w:tc>
          <w:tcPr>
            <w:tcW w:w="0" w:type="auto"/>
            <w:tcBorders>
              <w:top w:val="nil"/>
              <w:left w:val="single" w:sz="6" w:space="0" w:color="E0E0E0"/>
              <w:bottom w:val="single" w:sz="6" w:space="0" w:color="E0E0E0"/>
              <w:right w:val="single" w:sz="6" w:space="0" w:color="E0E0E0"/>
            </w:tcBorders>
            <w:hideMark/>
          </w:tcPr>
          <w:p w14:paraId="2D152B3A"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Highlights structural inequality</w:t>
            </w:r>
          </w:p>
        </w:tc>
        <w:tc>
          <w:tcPr>
            <w:tcW w:w="0" w:type="auto"/>
            <w:tcBorders>
              <w:top w:val="nil"/>
              <w:left w:val="single" w:sz="6" w:space="0" w:color="E0E0E0"/>
              <w:bottom w:val="single" w:sz="6" w:space="0" w:color="E0E0E0"/>
              <w:right w:val="single" w:sz="6" w:space="0" w:color="E0E0E0"/>
            </w:tcBorders>
            <w:hideMark/>
          </w:tcPr>
          <w:p w14:paraId="2028130F"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May underplay race/culture</w:t>
            </w:r>
          </w:p>
        </w:tc>
        <w:tc>
          <w:tcPr>
            <w:tcW w:w="0" w:type="auto"/>
            <w:tcBorders>
              <w:top w:val="nil"/>
              <w:left w:val="single" w:sz="6" w:space="0" w:color="E0E0E0"/>
              <w:bottom w:val="single" w:sz="6" w:space="0" w:color="E0E0E0"/>
              <w:right w:val="single" w:sz="6" w:space="0" w:color="E0E0E0"/>
            </w:tcBorders>
            <w:hideMark/>
          </w:tcPr>
          <w:p w14:paraId="3C6FE8C3"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Explains deprivation and access barriers</w:t>
            </w:r>
          </w:p>
        </w:tc>
      </w:tr>
      <w:tr w:rsidR="001C06F3" w:rsidRPr="001C06F3" w14:paraId="4CFCEF9F" w14:textId="77777777" w:rsidTr="67BAD222">
        <w:trPr>
          <w:trHeight w:val="540"/>
        </w:trPr>
        <w:tc>
          <w:tcPr>
            <w:tcW w:w="0" w:type="auto"/>
            <w:tcBorders>
              <w:top w:val="nil"/>
              <w:left w:val="single" w:sz="6" w:space="0" w:color="E0E0E0"/>
              <w:bottom w:val="single" w:sz="6" w:space="0" w:color="E0E0E0"/>
              <w:right w:val="single" w:sz="6" w:space="0" w:color="E0E0E0"/>
            </w:tcBorders>
            <w:hideMark/>
          </w:tcPr>
          <w:p w14:paraId="60D3874E"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Cultural Competence Theory</w:t>
            </w:r>
          </w:p>
        </w:tc>
        <w:tc>
          <w:tcPr>
            <w:tcW w:w="0" w:type="auto"/>
            <w:tcBorders>
              <w:top w:val="nil"/>
              <w:left w:val="single" w:sz="6" w:space="0" w:color="E0E0E0"/>
              <w:bottom w:val="single" w:sz="6" w:space="0" w:color="E0E0E0"/>
              <w:right w:val="single" w:sz="6" w:space="0" w:color="E0E0E0"/>
            </w:tcBorders>
            <w:hideMark/>
          </w:tcPr>
          <w:p w14:paraId="2DFAAD61"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Culturally appropriate service delivery</w:t>
            </w:r>
          </w:p>
        </w:tc>
        <w:tc>
          <w:tcPr>
            <w:tcW w:w="0" w:type="auto"/>
            <w:tcBorders>
              <w:top w:val="nil"/>
              <w:left w:val="single" w:sz="6" w:space="0" w:color="E0E0E0"/>
              <w:bottom w:val="single" w:sz="6" w:space="0" w:color="E0E0E0"/>
              <w:right w:val="single" w:sz="6" w:space="0" w:color="E0E0E0"/>
            </w:tcBorders>
            <w:hideMark/>
          </w:tcPr>
          <w:p w14:paraId="04DA2740"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Improves communication and trust</w:t>
            </w:r>
          </w:p>
        </w:tc>
        <w:tc>
          <w:tcPr>
            <w:tcW w:w="0" w:type="auto"/>
            <w:tcBorders>
              <w:top w:val="nil"/>
              <w:left w:val="single" w:sz="6" w:space="0" w:color="E0E0E0"/>
              <w:bottom w:val="single" w:sz="6" w:space="0" w:color="E0E0E0"/>
              <w:right w:val="single" w:sz="6" w:space="0" w:color="E0E0E0"/>
            </w:tcBorders>
            <w:hideMark/>
          </w:tcPr>
          <w:p w14:paraId="402080E4"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Focuses on individuals over systems</w:t>
            </w:r>
          </w:p>
        </w:tc>
        <w:tc>
          <w:tcPr>
            <w:tcW w:w="0" w:type="auto"/>
            <w:tcBorders>
              <w:top w:val="nil"/>
              <w:left w:val="single" w:sz="6" w:space="0" w:color="E0E0E0"/>
              <w:bottom w:val="single" w:sz="6" w:space="0" w:color="E0E0E0"/>
              <w:right w:val="single" w:sz="6" w:space="0" w:color="E0E0E0"/>
            </w:tcBorders>
            <w:hideMark/>
          </w:tcPr>
          <w:p w14:paraId="39FD7EF9"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Explains stigma and disengagement</w:t>
            </w:r>
          </w:p>
        </w:tc>
      </w:tr>
      <w:tr w:rsidR="001C06F3" w:rsidRPr="001C06F3" w14:paraId="478B3E05" w14:textId="77777777" w:rsidTr="67BAD222">
        <w:trPr>
          <w:trHeight w:val="540"/>
        </w:trPr>
        <w:tc>
          <w:tcPr>
            <w:tcW w:w="0" w:type="auto"/>
            <w:tcBorders>
              <w:top w:val="nil"/>
              <w:left w:val="single" w:sz="6" w:space="0" w:color="E0E0E0"/>
              <w:bottom w:val="single" w:sz="6" w:space="0" w:color="E0E0E0"/>
              <w:right w:val="single" w:sz="6" w:space="0" w:color="E0E0E0"/>
            </w:tcBorders>
            <w:hideMark/>
          </w:tcPr>
          <w:p w14:paraId="1E818673" w14:textId="77777777" w:rsidR="00EE3DBA" w:rsidRPr="00EE3DBA" w:rsidRDefault="00EE3DBA" w:rsidP="00A74447">
            <w:pPr>
              <w:spacing w:before="120" w:after="120" w:line="360" w:lineRule="auto"/>
              <w:rPr>
                <w:rFonts w:ascii="Arial" w:eastAsia="Arial" w:hAnsi="Arial" w:cs="Arial"/>
                <w:b/>
                <w:bCs/>
                <w:sz w:val="18"/>
                <w:szCs w:val="18"/>
              </w:rPr>
            </w:pPr>
            <w:r w:rsidRPr="00EE3DBA">
              <w:rPr>
                <w:rFonts w:ascii="Arial" w:eastAsia="Arial" w:hAnsi="Arial" w:cs="Arial"/>
                <w:b/>
                <w:bCs/>
                <w:sz w:val="18"/>
                <w:szCs w:val="18"/>
              </w:rPr>
              <w:t>Critical Race Theory</w:t>
            </w:r>
          </w:p>
        </w:tc>
        <w:tc>
          <w:tcPr>
            <w:tcW w:w="0" w:type="auto"/>
            <w:tcBorders>
              <w:top w:val="nil"/>
              <w:left w:val="single" w:sz="6" w:space="0" w:color="E0E0E0"/>
              <w:bottom w:val="single" w:sz="6" w:space="0" w:color="E0E0E0"/>
              <w:right w:val="single" w:sz="6" w:space="0" w:color="E0E0E0"/>
            </w:tcBorders>
            <w:hideMark/>
          </w:tcPr>
          <w:p w14:paraId="6A0F9B87"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Institutional racism and power structures</w:t>
            </w:r>
          </w:p>
        </w:tc>
        <w:tc>
          <w:tcPr>
            <w:tcW w:w="0" w:type="auto"/>
            <w:tcBorders>
              <w:top w:val="nil"/>
              <w:left w:val="single" w:sz="6" w:space="0" w:color="E0E0E0"/>
              <w:bottom w:val="single" w:sz="6" w:space="0" w:color="E0E0E0"/>
              <w:right w:val="single" w:sz="6" w:space="0" w:color="E0E0E0"/>
            </w:tcBorders>
            <w:hideMark/>
          </w:tcPr>
          <w:p w14:paraId="73CE7B42"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Addresses systemic bias</w:t>
            </w:r>
          </w:p>
        </w:tc>
        <w:tc>
          <w:tcPr>
            <w:tcW w:w="0" w:type="auto"/>
            <w:tcBorders>
              <w:top w:val="nil"/>
              <w:left w:val="single" w:sz="6" w:space="0" w:color="E0E0E0"/>
              <w:bottom w:val="single" w:sz="6" w:space="0" w:color="E0E0E0"/>
              <w:right w:val="single" w:sz="6" w:space="0" w:color="E0E0E0"/>
            </w:tcBorders>
            <w:hideMark/>
          </w:tcPr>
          <w:p w14:paraId="535B7E6C"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Less practical focus</w:t>
            </w:r>
          </w:p>
        </w:tc>
        <w:tc>
          <w:tcPr>
            <w:tcW w:w="0" w:type="auto"/>
            <w:tcBorders>
              <w:top w:val="nil"/>
              <w:left w:val="single" w:sz="6" w:space="0" w:color="E0E0E0"/>
              <w:bottom w:val="single" w:sz="6" w:space="0" w:color="E0E0E0"/>
              <w:right w:val="single" w:sz="6" w:space="0" w:color="E0E0E0"/>
            </w:tcBorders>
            <w:hideMark/>
          </w:tcPr>
          <w:p w14:paraId="780DE15A" w14:textId="77777777" w:rsidR="00EE3DBA" w:rsidRPr="00EE3DBA" w:rsidRDefault="00EE3DBA" w:rsidP="00A74447">
            <w:pPr>
              <w:spacing w:before="120" w:after="120" w:line="360" w:lineRule="auto"/>
              <w:rPr>
                <w:rFonts w:ascii="Arial" w:eastAsia="Arial" w:hAnsi="Arial" w:cs="Arial"/>
                <w:sz w:val="18"/>
                <w:szCs w:val="18"/>
              </w:rPr>
            </w:pPr>
            <w:r w:rsidRPr="00EE3DBA">
              <w:rPr>
                <w:rFonts w:ascii="Arial" w:eastAsia="Arial" w:hAnsi="Arial" w:cs="Arial"/>
                <w:sz w:val="18"/>
                <w:szCs w:val="18"/>
              </w:rPr>
              <w:t>Explains detention disparities and service inequity</w:t>
            </w:r>
          </w:p>
        </w:tc>
      </w:tr>
    </w:tbl>
    <w:p w14:paraId="775738F4" w14:textId="2A4699BE" w:rsidR="2DCCA076" w:rsidRPr="001C06F3" w:rsidRDefault="2DCCA076" w:rsidP="67BAD222">
      <w:pPr>
        <w:spacing w:before="120" w:after="120" w:line="360" w:lineRule="auto"/>
        <w:rPr>
          <w:rFonts w:ascii="Arial" w:eastAsia="Arial" w:hAnsi="Arial" w:cs="Arial"/>
          <w:sz w:val="22"/>
          <w:szCs w:val="22"/>
        </w:rPr>
      </w:pPr>
    </w:p>
    <w:p w14:paraId="1B311A1A" w14:textId="338682D3" w:rsidR="2DCCA076" w:rsidRPr="001C06F3" w:rsidRDefault="5246C6B5" w:rsidP="67BAD222">
      <w:pPr>
        <w:spacing w:before="120" w:after="120" w:line="360" w:lineRule="auto"/>
      </w:pPr>
      <w:r w:rsidRPr="67BAD222">
        <w:rPr>
          <w:rFonts w:ascii="Arial" w:eastAsia="Arial" w:hAnsi="Arial" w:cs="Arial"/>
          <w:sz w:val="22"/>
          <w:szCs w:val="22"/>
        </w:rPr>
        <w:t xml:space="preserve">Comparing these theoretical frameworks shows that no single theory is sufficient to explain the persistence of ethnic inequalities in access to mental health services. The Social Determinants of Health framework provides a valuable macro-level explanation of how longstanding socioeconomic disadvantage has historically positioned many ethnic minority communities at increased risk of poor mental health and reduced service access. However, this perspective does not fully account for why disparities persist over time, even as broader social conditions and policy initiatives have evolved. Cultural Competence Theory offers </w:t>
      </w:r>
      <w:r w:rsidRPr="67BAD222">
        <w:rPr>
          <w:rFonts w:ascii="Arial" w:eastAsia="Arial" w:hAnsi="Arial" w:cs="Arial"/>
          <w:sz w:val="22"/>
          <w:szCs w:val="22"/>
        </w:rPr>
        <w:lastRenderedPageBreak/>
        <w:t>insight into how historically limited recognition of cultural diversity within mental health services has shaped present-day challenges, including communication barriers, stigma, and mistrust, which continue to influence help-seeking behaviours among ethnic minority groups. In contrast, Critical Race Theory foregrounds the enduring impact of institutional racism embedded within mental health systems, helping to explain why historically documented patterns such as the disproportionate detention of Black individuals under mental health legislation remain evident in contemporary practice. Applied collectively, these frameworks enable a nuanced analysis that connects historical patterns of inequality to present-day outcomes, capturing the interaction between structural disadvantage, service-level processes, and systemic bias. This integrated approach strengthens the dissertation’s conceptual foundation and provides a comprehensive explanation for the persistence of ethnic disparities in mental health access despite ongoing policy reform.</w:t>
      </w:r>
    </w:p>
    <w:p w14:paraId="03610C48" w14:textId="3C1A7F8D" w:rsidR="09B799BF" w:rsidRPr="00BE61AB" w:rsidRDefault="09528F71" w:rsidP="00BE61AB">
      <w:pPr>
        <w:pStyle w:val="Heading2"/>
        <w:spacing w:line="360" w:lineRule="auto"/>
        <w:rPr>
          <w:rFonts w:ascii="Arial" w:eastAsia="Arial" w:hAnsi="Arial" w:cs="Arial"/>
          <w:b/>
          <w:bCs/>
          <w:color w:val="auto"/>
          <w:sz w:val="22"/>
          <w:szCs w:val="22"/>
        </w:rPr>
      </w:pPr>
      <w:bookmarkStart w:id="15" w:name="_Toc2039571528"/>
      <w:r w:rsidRPr="67BAD222">
        <w:rPr>
          <w:rFonts w:ascii="Arial" w:eastAsia="Arial" w:hAnsi="Arial" w:cs="Arial"/>
          <w:b/>
          <w:bCs/>
          <w:color w:val="auto"/>
          <w:sz w:val="22"/>
          <w:szCs w:val="22"/>
        </w:rPr>
        <w:t xml:space="preserve">2.4 </w:t>
      </w:r>
      <w:r w:rsidR="05571243" w:rsidRPr="67BAD222">
        <w:rPr>
          <w:rFonts w:ascii="Arial" w:eastAsia="Arial" w:hAnsi="Arial" w:cs="Arial"/>
          <w:b/>
          <w:bCs/>
          <w:color w:val="auto"/>
          <w:sz w:val="22"/>
          <w:szCs w:val="22"/>
        </w:rPr>
        <w:t>International</w:t>
      </w:r>
      <w:r w:rsidRPr="67BAD222">
        <w:rPr>
          <w:rFonts w:ascii="Arial" w:eastAsia="Arial" w:hAnsi="Arial" w:cs="Arial"/>
          <w:b/>
          <w:bCs/>
          <w:color w:val="auto"/>
          <w:sz w:val="22"/>
          <w:szCs w:val="22"/>
        </w:rPr>
        <w:t xml:space="preserve"> Context</w:t>
      </w:r>
      <w:bookmarkEnd w:id="15"/>
    </w:p>
    <w:p w14:paraId="448171A4" w14:textId="08EC062B" w:rsidR="134229FE" w:rsidRDefault="134229FE" w:rsidP="67BAD222">
      <w:pPr>
        <w:spacing w:before="120" w:after="120" w:line="360" w:lineRule="auto"/>
      </w:pPr>
      <w:r w:rsidRPr="67BAD222">
        <w:rPr>
          <w:rFonts w:ascii="Arial" w:eastAsia="Arial" w:hAnsi="Arial" w:cs="Arial"/>
          <w:sz w:val="22"/>
          <w:szCs w:val="22"/>
        </w:rPr>
        <w:t xml:space="preserve">Unequal access to mental health services among ethnic and cultural minority groups is not limited to the United Kingdom but is recognised globally as a significant public health concern. Across many countries, disparities persist in how minority populations access, engage with, and benefit from mental health care, often reflecting overlapping social, cultural, and systemic barriers (World Health Organisation, 2022). At an international level, the World Health Organisation has called for the development of culturally responsive and equitable mental health systems through its Comprehensive Mental Health Action Plan 2013 to 2030, emphasising human rights, accessibility, and community-based approaches (World Health Organisation, 2022). </w:t>
      </w:r>
    </w:p>
    <w:p w14:paraId="0869B50C" w14:textId="738BC946" w:rsidR="134229FE" w:rsidRDefault="134229FE" w:rsidP="67BAD222">
      <w:pPr>
        <w:spacing w:before="120" w:after="120" w:line="360" w:lineRule="auto"/>
      </w:pPr>
      <w:r w:rsidRPr="67BAD222">
        <w:rPr>
          <w:rFonts w:ascii="Arial" w:eastAsia="Arial" w:hAnsi="Arial" w:cs="Arial"/>
          <w:sz w:val="22"/>
          <w:szCs w:val="22"/>
        </w:rPr>
        <w:t xml:space="preserve">In the United States, extensive research has documented racial and ethnic disparities in mental health service access that mirror patterns observed in the UK. African American, Hispanic, Latino, Asian American, and Native American populations remain underrepresented in treatment statistics and are more likely to access services at crisis points (Williams and Mohammed, 2013). Contributing factors include socioeconomic inequality, cultural stigma, language barriers, uneven geographical distribution of services, and structural discrimination within healthcare systems. Policy initiatives such as the National CLAS Standards aim to promote culturally and linguistically appropriate services and improve provider responsiveness (Office of Minority Health, 2018). However, despite these frameworks, disparities in service utilisation and treatment outcomes persist, suggesting that policy reform without structural change and consistent implementation has limited long-term impact. </w:t>
      </w:r>
    </w:p>
    <w:p w14:paraId="204335A7" w14:textId="39062E3B" w:rsidR="134229FE" w:rsidRDefault="134229FE" w:rsidP="67BAD222">
      <w:pPr>
        <w:spacing w:before="120" w:after="120" w:line="360" w:lineRule="auto"/>
      </w:pPr>
      <w:r w:rsidRPr="67BAD222">
        <w:rPr>
          <w:rFonts w:ascii="Arial" w:eastAsia="Arial" w:hAnsi="Arial" w:cs="Arial"/>
          <w:sz w:val="22"/>
          <w:szCs w:val="22"/>
        </w:rPr>
        <w:lastRenderedPageBreak/>
        <w:t xml:space="preserve">In Canada, the Mental Health Strategy for Canada highlights the importance of cultural safety, cultural humility, and community partnership, particularly for Indigenous and migrant populations (Mental Health Commission of Canada, 2012). Efforts have included culturally adapted interventions and collaboration with community organisations, as well as recognition of traditional healing practices (Kirmayer et al., 2018). The concept of cultural safety extends beyond cultural competence by explicitly addressing power imbalances and institutional responsibility. Systemic challenges remain, including fragmented service provision across provinces, limited funding stability, and underrepresentation of minority professionals within the workforce. These barriers demonstrate the ongoing difficulty of translating inclusive policy principles into sustained practice reform. </w:t>
      </w:r>
    </w:p>
    <w:p w14:paraId="2236BC81" w14:textId="396D0852" w:rsidR="134229FE" w:rsidRDefault="134229FE" w:rsidP="67BAD222">
      <w:pPr>
        <w:spacing w:before="120" w:after="120" w:line="360" w:lineRule="auto"/>
      </w:pPr>
      <w:r w:rsidRPr="67BAD222">
        <w:rPr>
          <w:rFonts w:ascii="Arial" w:eastAsia="Arial" w:hAnsi="Arial" w:cs="Arial"/>
          <w:sz w:val="22"/>
          <w:szCs w:val="22"/>
        </w:rPr>
        <w:t xml:space="preserve">Australia provides another relevant example. Aboriginal and Torres Strait Islander populations experience disproportionately high levels of psychological distress and suicide, shaped by the long-term effects of colonisation, dispossession, and intergenerational trauma (Australian Government, 2013). National strategies have prioritised culturally grounded, community-led approaches that integrate Indigenous understandings of social and emotional wellbeing and address wider social determinants such as housing and employment. While community-controlled models have demonstrated positive outcomes in certain regions, implementation challenges remain, particularly regarding workforce shortages, funding continuity, and structural inequality. </w:t>
      </w:r>
    </w:p>
    <w:p w14:paraId="3CE8E39F" w14:textId="21AC5B70" w:rsidR="134229FE" w:rsidRDefault="134229FE" w:rsidP="67BAD222">
      <w:pPr>
        <w:spacing w:before="120" w:after="120" w:line="360" w:lineRule="auto"/>
      </w:pPr>
      <w:r w:rsidRPr="67BAD222">
        <w:rPr>
          <w:rFonts w:ascii="Arial" w:eastAsia="Arial" w:hAnsi="Arial" w:cs="Arial"/>
          <w:sz w:val="22"/>
          <w:szCs w:val="22"/>
        </w:rPr>
        <w:t>Collectively, international evidence demonstrates that disparities in mental health access are not unique to the UK but reflect broader structural patterns. Although policy initiatives across countries emphasise cultural responsiveness and equity, persistent inequalities indicate that sustainable progress requires systemic reform, long-term investment, and meaningful community partnership. These global examples provide valuable comparative insights and reinforce the argument that structural, cultural, and institutional mechanisms must be addressed concurrently to achieve equity within the United Kingdom's mental health systems.</w:t>
      </w:r>
    </w:p>
    <w:p w14:paraId="27DCABD9" w14:textId="13F37286" w:rsidR="001C06F3" w:rsidRPr="001C06F3" w:rsidRDefault="1A961A22" w:rsidP="67BAD222">
      <w:pPr>
        <w:pStyle w:val="Heading2"/>
        <w:spacing w:line="360" w:lineRule="auto"/>
        <w:rPr>
          <w:rFonts w:ascii="Arial" w:eastAsia="Arial" w:hAnsi="Arial" w:cs="Arial"/>
          <w:b/>
          <w:bCs/>
          <w:color w:val="auto"/>
          <w:sz w:val="22"/>
          <w:szCs w:val="22"/>
        </w:rPr>
      </w:pPr>
      <w:bookmarkStart w:id="16" w:name="_Toc582232532"/>
      <w:r w:rsidRPr="67BAD222">
        <w:rPr>
          <w:rFonts w:ascii="Arial" w:eastAsia="Arial" w:hAnsi="Arial" w:cs="Arial"/>
          <w:b/>
          <w:bCs/>
          <w:color w:val="auto"/>
          <w:sz w:val="22"/>
          <w:szCs w:val="22"/>
        </w:rPr>
        <w:t>2.5 National/Local UK Context</w:t>
      </w:r>
      <w:bookmarkEnd w:id="16"/>
    </w:p>
    <w:p w14:paraId="282375BE" w14:textId="11144C63" w:rsidR="001C06F3" w:rsidRPr="001C06F3" w:rsidRDefault="523A075F" w:rsidP="67BAD222">
      <w:pPr>
        <w:spacing w:before="120" w:after="120" w:line="360" w:lineRule="auto"/>
      </w:pPr>
      <w:r w:rsidRPr="67BAD222">
        <w:rPr>
          <w:rFonts w:ascii="Arial" w:eastAsia="Arial" w:hAnsi="Arial" w:cs="Arial"/>
          <w:sz w:val="22"/>
          <w:szCs w:val="22"/>
        </w:rPr>
        <w:t xml:space="preserve">Unequal access to mental health services among ethnic minority communities in the United Kingdom is widely recognised as both a public health concern and a social justice issue. Despite increased investment in mental health provision, including expansion of the Improving Access to Psychological Therapies programme and commitments to strengthen community-based care, evidence continues to demonstrate persistent disparities in access and outcomes. Individuals from Black, Asian, and other minority ethnic backgrounds encounter barriers including cultural stigma, language difficulties, limited availability of </w:t>
      </w:r>
      <w:r w:rsidRPr="67BAD222">
        <w:rPr>
          <w:rFonts w:ascii="Arial" w:eastAsia="Arial" w:hAnsi="Arial" w:cs="Arial"/>
          <w:sz w:val="22"/>
          <w:szCs w:val="22"/>
        </w:rPr>
        <w:lastRenderedPageBreak/>
        <w:t xml:space="preserve">culturally adapted interventions, and mistrust of statutory services shaped by experiences of discrimination (Nazroo and Bhui, 2021; Mind, 2023). National datasets indicate that minority ethnic groups are more likely to experience psychological distress yet are less likely to access early intervention services and more likely to enter care through crisis or compulsory pathways (NHS England, 2022). These patterns suggest that service expansion alone does not guarantee equitable access. </w:t>
      </w:r>
    </w:p>
    <w:p w14:paraId="1B371631" w14:textId="140497C6" w:rsidR="001C06F3" w:rsidRPr="001C06F3" w:rsidRDefault="523A075F" w:rsidP="67BAD222">
      <w:pPr>
        <w:spacing w:before="120" w:after="120" w:line="360" w:lineRule="auto"/>
      </w:pPr>
      <w:r w:rsidRPr="67BAD222">
        <w:rPr>
          <w:rFonts w:ascii="Arial" w:eastAsia="Arial" w:hAnsi="Arial" w:cs="Arial"/>
          <w:sz w:val="22"/>
          <w:szCs w:val="22"/>
        </w:rPr>
        <w:t xml:space="preserve">Several policy initiatives have sought to address these disparities at the national level. The Delivering Race Equality programme represented the first coordinated strategy to reduce ethnic inequalities in mental health care (Department of Health, 2005). While it increased awareness and introduced cultural competence training, evaluations found limited long-term structural impact due to inconsistent implementation and weak accountability mechanisms (Keating, Robertson, and Kotecha, 2012). More recent strategies, including the NHS Long Term Plan and the Core20PLUS5 framework, aim to embed inequality reduction within service planning and monitoring processes (NHS England, 2022). However, the persistence of disparities raises questions about the effectiveness of policy translation into frontline practice. </w:t>
      </w:r>
    </w:p>
    <w:p w14:paraId="1DE9317B" w14:textId="5E0DF1C6" w:rsidR="001C06F3" w:rsidRPr="001C06F3" w:rsidRDefault="523A075F" w:rsidP="67BAD222">
      <w:pPr>
        <w:spacing w:before="120" w:after="120" w:line="360" w:lineRule="auto"/>
      </w:pPr>
      <w:r w:rsidRPr="67BAD222">
        <w:rPr>
          <w:rFonts w:ascii="Arial" w:eastAsia="Arial" w:hAnsi="Arial" w:cs="Arial"/>
          <w:sz w:val="22"/>
          <w:szCs w:val="22"/>
        </w:rPr>
        <w:t xml:space="preserve">Legislative frameworks such as the Equality Act 2010 and the Mental Health Act 1983, amended in 2007, provide legal safeguards intended to promote fairness and prevent discrimination. However, disproportionate detention rates among ethnic minority groups remain evident, suggesting that legal protections have not fully addressed systemic bias within clinical decision-making and crisis response pathways (Pilgrim and Rogers, 2019). This gap between statutory protection and lived experience reflects broader institutional challenges. At the local level, targeted initiatives aim to address inequality through community engagement. The Black Thrive Partnership in Lambeth adopts a community-led approach to improving outcomes for Black communities (Black Thrive, 2021). Similarly, Greater Manchester’s Reducing Health Inequalities Strategy integrates local authorities, NHS services, and voluntary organisations to develop culturally responsive outreach initiatives (GMCA, 2021). While such programmes represent positive developments, their impact is often dependent on sustained funding, leadership continuity, and effective data monitoring. Without these structural supports, local innovation risks remaining fragmented rather than transformative. </w:t>
      </w:r>
    </w:p>
    <w:p w14:paraId="779BA62E" w14:textId="7239EA33" w:rsidR="001C06F3" w:rsidRPr="001C06F3" w:rsidRDefault="523A075F" w:rsidP="67BAD222">
      <w:pPr>
        <w:spacing w:before="120" w:after="120" w:line="360" w:lineRule="auto"/>
      </w:pPr>
      <w:r w:rsidRPr="67BAD222">
        <w:rPr>
          <w:rFonts w:ascii="Arial" w:eastAsia="Arial" w:hAnsi="Arial" w:cs="Arial"/>
          <w:sz w:val="22"/>
          <w:szCs w:val="22"/>
        </w:rPr>
        <w:t>The national and local landscape reveals sustained rhetorical commitment to equity but uneven structural change. Although policy frameworks acknowledge ethnic disparities, persistent inequalities indicate that reform efforts require stronger implementation mechanisms, improved accountability, and deeper structural transformation to achieve meaningful and lasting impact.</w:t>
      </w:r>
    </w:p>
    <w:p w14:paraId="3A7A74E9" w14:textId="65D72445" w:rsidR="7DE54D67" w:rsidRPr="00BE61AB" w:rsidRDefault="78DC98E6" w:rsidP="00BE61AB">
      <w:pPr>
        <w:pStyle w:val="Heading2"/>
        <w:spacing w:line="360" w:lineRule="auto"/>
        <w:rPr>
          <w:rFonts w:ascii="Arial" w:eastAsia="Arial" w:hAnsi="Arial" w:cs="Arial"/>
          <w:b/>
          <w:bCs/>
          <w:color w:val="auto"/>
          <w:sz w:val="22"/>
          <w:szCs w:val="22"/>
        </w:rPr>
      </w:pPr>
      <w:bookmarkStart w:id="17" w:name="_Toc1964630043"/>
      <w:r w:rsidRPr="67BAD222">
        <w:rPr>
          <w:rFonts w:ascii="Arial" w:eastAsia="Arial" w:hAnsi="Arial" w:cs="Arial"/>
          <w:b/>
          <w:bCs/>
          <w:color w:val="auto"/>
          <w:sz w:val="22"/>
          <w:szCs w:val="22"/>
        </w:rPr>
        <w:lastRenderedPageBreak/>
        <w:t>2.6 Conclusion</w:t>
      </w:r>
      <w:bookmarkEnd w:id="17"/>
    </w:p>
    <w:p w14:paraId="4C676E92" w14:textId="023A98BF" w:rsidR="050CA71D" w:rsidRDefault="050CA71D" w:rsidP="67BAD222">
      <w:pPr>
        <w:spacing w:before="120" w:after="120" w:line="360" w:lineRule="auto"/>
      </w:pPr>
      <w:r w:rsidRPr="67BAD222">
        <w:rPr>
          <w:rFonts w:ascii="Arial" w:eastAsia="Arial" w:hAnsi="Arial" w:cs="Arial"/>
          <w:sz w:val="22"/>
          <w:szCs w:val="22"/>
        </w:rPr>
        <w:t xml:space="preserve">This chapter has provided an overview of the literature concerning ethnic disparities in mental health services in the United Kingdom. It has examined the historical development of mental health care, analysed key theoretical frameworks including the Social Determinants of Health, Cultural Competence Theory, and Critical Race Theory, and evaluated both international and national policy responses. The analysis demonstrates that, despite sustained reform efforts, persistent structural, cultural, and institutional barriers continue to limit equitable access to mental health services for ethnic minority groups. </w:t>
      </w:r>
    </w:p>
    <w:p w14:paraId="4C07CA59" w14:textId="14B36A66" w:rsidR="050CA71D" w:rsidRDefault="050CA71D" w:rsidP="67BAD222">
      <w:pPr>
        <w:spacing w:before="120" w:after="120" w:line="360" w:lineRule="auto"/>
      </w:pPr>
      <w:r w:rsidRPr="67BAD222">
        <w:rPr>
          <w:rFonts w:ascii="Arial" w:eastAsia="Arial" w:hAnsi="Arial" w:cs="Arial"/>
          <w:sz w:val="22"/>
          <w:szCs w:val="22"/>
        </w:rPr>
        <w:t xml:space="preserve">By integrating historical, theoretical, and policy perspectives, this chapter has established a robust conceptual foundation for the dissertation. It has highlighted the interaction between socioeconomic disadvantage, service level practices, and systemic bias, illustrating the complexity of ethnic inequalities in mental health access. The theoretical frameworks discussed here also inform the thematic analysis undertaken in later stages of the study. Concepts derived from the Social Determinants of Health framework guide analysis of structural inequality and deprivation. Cultural Competence Theory informs examination of communication barriers, stigma, and culturally inappropriate service provision. Critical Race Theory underpins the analysis of institutional bias and systemic discrimination within mental health systems. </w:t>
      </w:r>
    </w:p>
    <w:p w14:paraId="6EC77D87" w14:textId="70343673" w:rsidR="050CA71D" w:rsidRDefault="050CA71D" w:rsidP="67BAD222">
      <w:pPr>
        <w:spacing w:before="120" w:after="120" w:line="360" w:lineRule="auto"/>
      </w:pPr>
      <w:r w:rsidRPr="67BAD222">
        <w:rPr>
          <w:rFonts w:ascii="Arial" w:eastAsia="Arial" w:hAnsi="Arial" w:cs="Arial"/>
          <w:sz w:val="22"/>
          <w:szCs w:val="22"/>
        </w:rPr>
        <w:t>The following chapter outlines the methodological approach adopted for this research, including the secondary research design, search strategy, inclusion criteria, and thematic analysis process. This methodological framework ensures alignment with the dissertation’s aims and objectives and supports systematic examination of the barriers identified within the literature.</w:t>
      </w:r>
    </w:p>
    <w:p w14:paraId="29182053" w14:textId="2B770B83" w:rsidR="67BAD222" w:rsidRDefault="67BAD222" w:rsidP="67BAD222">
      <w:pPr>
        <w:spacing w:before="240" w:after="240" w:line="360" w:lineRule="auto"/>
        <w:rPr>
          <w:rFonts w:ascii="Arial" w:eastAsia="Arial" w:hAnsi="Arial" w:cs="Arial"/>
          <w:sz w:val="22"/>
          <w:szCs w:val="22"/>
        </w:rPr>
      </w:pPr>
    </w:p>
    <w:p w14:paraId="343527D1" w14:textId="358CA02E" w:rsidR="67BAD222" w:rsidRDefault="67BAD222" w:rsidP="67BAD222">
      <w:pPr>
        <w:spacing w:before="120" w:after="120" w:line="360" w:lineRule="auto"/>
        <w:rPr>
          <w:rFonts w:ascii="Arial" w:eastAsia="Arial" w:hAnsi="Arial" w:cs="Arial"/>
          <w:sz w:val="22"/>
          <w:szCs w:val="22"/>
        </w:rPr>
      </w:pPr>
    </w:p>
    <w:p w14:paraId="3E000FE1" w14:textId="77777777" w:rsidR="001C06F3" w:rsidRDefault="001C06F3" w:rsidP="65B8AAFC">
      <w:pPr>
        <w:spacing w:before="120" w:after="120" w:line="360" w:lineRule="auto"/>
        <w:rPr>
          <w:rFonts w:ascii="Arial" w:eastAsia="Arial" w:hAnsi="Arial" w:cs="Arial"/>
          <w:sz w:val="22"/>
          <w:szCs w:val="22"/>
        </w:rPr>
      </w:pPr>
    </w:p>
    <w:p w14:paraId="4B79788E" w14:textId="77777777" w:rsidR="001C06F3" w:rsidRDefault="001C06F3" w:rsidP="65B8AAFC">
      <w:pPr>
        <w:spacing w:before="120" w:after="120" w:line="360" w:lineRule="auto"/>
        <w:rPr>
          <w:rFonts w:ascii="Arial" w:eastAsia="Arial" w:hAnsi="Arial" w:cs="Arial"/>
          <w:sz w:val="22"/>
          <w:szCs w:val="22"/>
        </w:rPr>
      </w:pPr>
    </w:p>
    <w:p w14:paraId="55424FDA" w14:textId="413F38AD" w:rsidR="67BAD222" w:rsidRDefault="67BAD222" w:rsidP="24E26AF7">
      <w:pPr>
        <w:spacing w:before="120" w:after="120" w:line="360" w:lineRule="auto"/>
        <w:rPr>
          <w:rFonts w:ascii="Arial" w:eastAsia="Arial" w:hAnsi="Arial" w:cs="Arial"/>
          <w:sz w:val="22"/>
          <w:szCs w:val="22"/>
        </w:rPr>
      </w:pPr>
    </w:p>
    <w:p w14:paraId="0C179401" w14:textId="6820031D" w:rsidR="67BAD222" w:rsidRDefault="67BAD222" w:rsidP="24E26AF7">
      <w:pPr>
        <w:spacing w:before="120" w:after="120" w:line="360" w:lineRule="auto"/>
        <w:rPr>
          <w:rFonts w:ascii="Arial" w:eastAsia="Arial" w:hAnsi="Arial" w:cs="Arial"/>
          <w:sz w:val="22"/>
          <w:szCs w:val="22"/>
        </w:rPr>
      </w:pPr>
    </w:p>
    <w:p w14:paraId="777F529C" w14:textId="30A7E0D8" w:rsidR="67BAD222" w:rsidRDefault="67BAD222" w:rsidP="24E26AF7">
      <w:pPr>
        <w:pStyle w:val="Heading1"/>
        <w:spacing w:before="120" w:after="120" w:line="360" w:lineRule="auto"/>
        <w:rPr>
          <w:rFonts w:ascii="Arial" w:eastAsia="Arial" w:hAnsi="Arial" w:cs="Arial"/>
          <w:b/>
          <w:bCs/>
          <w:color w:val="auto"/>
          <w:sz w:val="22"/>
          <w:szCs w:val="22"/>
        </w:rPr>
      </w:pPr>
    </w:p>
    <w:p w14:paraId="7B702CFC" w14:textId="77777777" w:rsidR="00DD1539" w:rsidRPr="00DD1539" w:rsidRDefault="00DD1539" w:rsidP="00DD1539"/>
    <w:p w14:paraId="67C4C232" w14:textId="30B4B8D1" w:rsidR="24E26AF7" w:rsidRPr="002F4485" w:rsidRDefault="20CCED81" w:rsidP="002F4485">
      <w:pPr>
        <w:pStyle w:val="Heading1"/>
        <w:spacing w:before="120" w:after="120" w:line="360" w:lineRule="auto"/>
        <w:rPr>
          <w:rFonts w:ascii="Arial" w:eastAsia="Arial" w:hAnsi="Arial" w:cs="Arial"/>
          <w:b/>
          <w:bCs/>
          <w:color w:val="auto"/>
          <w:sz w:val="22"/>
          <w:szCs w:val="22"/>
        </w:rPr>
      </w:pPr>
      <w:bookmarkStart w:id="18" w:name="_Toc978835477"/>
      <w:r w:rsidRPr="24E26AF7">
        <w:rPr>
          <w:rFonts w:ascii="Arial" w:eastAsia="Arial" w:hAnsi="Arial" w:cs="Arial"/>
          <w:b/>
          <w:bCs/>
          <w:color w:val="auto"/>
          <w:sz w:val="22"/>
          <w:szCs w:val="22"/>
        </w:rPr>
        <w:lastRenderedPageBreak/>
        <w:t>CHAPTER 3 – Methods and Search Strategy</w:t>
      </w:r>
      <w:bookmarkEnd w:id="18"/>
    </w:p>
    <w:p w14:paraId="794B4B80" w14:textId="08C6100B" w:rsidR="00BE61AB" w:rsidRPr="00BE61AB" w:rsidRDefault="6D39B4F2" w:rsidP="00BE61AB">
      <w:pPr>
        <w:pStyle w:val="Heading2"/>
        <w:spacing w:line="360" w:lineRule="auto"/>
        <w:rPr>
          <w:rFonts w:ascii="Arial" w:eastAsia="Arial" w:hAnsi="Arial" w:cs="Arial"/>
          <w:b/>
          <w:bCs/>
          <w:color w:val="auto"/>
          <w:sz w:val="22"/>
          <w:szCs w:val="22"/>
        </w:rPr>
      </w:pPr>
      <w:bookmarkStart w:id="19" w:name="_Toc1740891799"/>
      <w:r w:rsidRPr="24E26AF7">
        <w:rPr>
          <w:rFonts w:ascii="Arial" w:eastAsia="Arial" w:hAnsi="Arial" w:cs="Arial"/>
          <w:b/>
          <w:bCs/>
          <w:color w:val="auto"/>
          <w:sz w:val="22"/>
          <w:szCs w:val="22"/>
        </w:rPr>
        <w:t>3.1 Introduction</w:t>
      </w:r>
      <w:bookmarkEnd w:id="19"/>
    </w:p>
    <w:p w14:paraId="78953E14" w14:textId="09732552" w:rsidR="44BC5DA3" w:rsidRDefault="6A0970A0"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This chapter outlines the methodological approach used to examine barriers preventing ethnic minority groups from accessing mental health services in the United Kingdom. Rather than employing primary research designs involving interviews or surveys, this study adopted a secondary research approach, drawing upon existing academic literature, policy documentation, national datasets, and selected grey literature. This approach was appropriate given the extensive body of published research addressing structural, cultural, and systemic influences on ethnic inequalities in mental health care. </w:t>
      </w:r>
    </w:p>
    <w:p w14:paraId="2DBE063A" w14:textId="781B5357" w:rsidR="44BC5DA3" w:rsidRDefault="6A0970A0"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The academic methodology poster provided a visual overview of the research design; this chapter expands upon each stage of the process in greater detail. It explains how sources were identified, selected, appraised, and analysed, ensuring transparency and enabling critical evaluation of methodological rigour. The research methods employed here were essential in generating the thematic findings presented in Chapter 4, as the processes of searching, screening, and coding directly shaped the identification of recurring patterns within the literature. Outlining the methodological framework strengthens the credibility and reliability of the overall study.</w:t>
      </w:r>
    </w:p>
    <w:p w14:paraId="51740E18" w14:textId="482701EE" w:rsidR="24E26AF7" w:rsidRDefault="24E26AF7" w:rsidP="24E26AF7">
      <w:pPr>
        <w:spacing w:before="120" w:after="120" w:line="360" w:lineRule="auto"/>
        <w:rPr>
          <w:rFonts w:ascii="Arial" w:eastAsia="Arial" w:hAnsi="Arial" w:cs="Arial"/>
          <w:sz w:val="22"/>
          <w:szCs w:val="22"/>
        </w:rPr>
      </w:pPr>
    </w:p>
    <w:p w14:paraId="257044A7" w14:textId="56D8AAD5" w:rsidR="24E26AF7" w:rsidRDefault="24E26AF7" w:rsidP="24E26AF7">
      <w:pPr>
        <w:pStyle w:val="Heading2"/>
        <w:spacing w:line="360" w:lineRule="auto"/>
        <w:rPr>
          <w:rFonts w:ascii="Arial" w:eastAsia="Arial" w:hAnsi="Arial" w:cs="Arial"/>
          <w:b/>
          <w:bCs/>
          <w:color w:val="auto"/>
          <w:sz w:val="22"/>
          <w:szCs w:val="22"/>
        </w:rPr>
      </w:pPr>
    </w:p>
    <w:p w14:paraId="673690F8" w14:textId="292FEAF5" w:rsidR="24E26AF7" w:rsidRDefault="24E26AF7" w:rsidP="24E26AF7">
      <w:pPr>
        <w:pStyle w:val="Heading2"/>
        <w:spacing w:line="360" w:lineRule="auto"/>
        <w:rPr>
          <w:rFonts w:ascii="Arial" w:eastAsia="Arial" w:hAnsi="Arial" w:cs="Arial"/>
          <w:b/>
          <w:bCs/>
          <w:color w:val="auto"/>
          <w:sz w:val="22"/>
          <w:szCs w:val="22"/>
        </w:rPr>
      </w:pPr>
    </w:p>
    <w:p w14:paraId="2B6EEF4B" w14:textId="07AA3CA6" w:rsidR="00EE3DBA" w:rsidRPr="00BE61AB" w:rsidRDefault="00EE3DBA" w:rsidP="24E26AF7">
      <w:pPr>
        <w:pStyle w:val="Heading2"/>
        <w:spacing w:line="360" w:lineRule="auto"/>
        <w:rPr>
          <w:rFonts w:ascii="Arial" w:eastAsia="Arial" w:hAnsi="Arial" w:cs="Arial"/>
          <w:b/>
          <w:bCs/>
          <w:color w:val="auto"/>
          <w:sz w:val="22"/>
          <w:szCs w:val="22"/>
        </w:rPr>
      </w:pPr>
    </w:p>
    <w:p w14:paraId="0C00E462" w14:textId="1F70B601" w:rsidR="00EE3DBA" w:rsidRPr="00BE61AB" w:rsidRDefault="00EE3DBA" w:rsidP="24E26AF7">
      <w:pPr>
        <w:spacing w:line="360" w:lineRule="auto"/>
      </w:pPr>
      <w:r>
        <w:br w:type="page"/>
      </w:r>
    </w:p>
    <w:p w14:paraId="165FE2E6" w14:textId="39FFAB4B" w:rsidR="00EE3DBA" w:rsidRPr="00BE61AB" w:rsidRDefault="6D39B4F2" w:rsidP="00BE61AB">
      <w:pPr>
        <w:pStyle w:val="Heading2"/>
        <w:spacing w:line="360" w:lineRule="auto"/>
        <w:rPr>
          <w:rFonts w:ascii="Arial" w:eastAsia="Arial" w:hAnsi="Arial" w:cs="Arial"/>
          <w:b/>
          <w:bCs/>
          <w:color w:val="auto"/>
          <w:sz w:val="22"/>
          <w:szCs w:val="22"/>
        </w:rPr>
      </w:pPr>
      <w:bookmarkStart w:id="20" w:name="_Toc1273913172"/>
      <w:r w:rsidRPr="24E26AF7">
        <w:rPr>
          <w:rFonts w:ascii="Arial" w:eastAsia="Arial" w:hAnsi="Arial" w:cs="Arial"/>
          <w:b/>
          <w:bCs/>
          <w:color w:val="auto"/>
          <w:sz w:val="22"/>
          <w:szCs w:val="22"/>
        </w:rPr>
        <w:lastRenderedPageBreak/>
        <w:t>3.2 Search Strategy</w:t>
      </w:r>
      <w:bookmarkEnd w:id="20"/>
    </w:p>
    <w:p w14:paraId="671BC431" w14:textId="69BB59DE" w:rsidR="001C06F3" w:rsidRPr="001C06F3" w:rsidRDefault="6DDF6EB3"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The search strategy was developed from the research aim and objectives to ensure alignment between the research question and the literature identification process. Core search terms were derived from key concepts within the study, including ethnic minorities, mental health services, access to care, and health inequalities. To ensure comprehensive coverage and reduce the risk of omitting relevant studies, these terms were expanded using academic and professional synonyms such as BAME, minority ethnic groups, racial disparities, service utilisation, help-seeking behaviour, cultural competence, institutional bias, and systemic barriers (Booth, Sutton and Papaioannou, 2016). </w:t>
      </w:r>
    </w:p>
    <w:p w14:paraId="354D21F9" w14:textId="77F2159B" w:rsidR="001C06F3" w:rsidRPr="001C06F3" w:rsidRDefault="6BE477AD" w:rsidP="67BAD222">
      <w:pPr>
        <w:spacing w:before="120" w:after="120" w:line="360" w:lineRule="auto"/>
      </w:pPr>
      <w:r w:rsidRPr="24E26AF7">
        <w:rPr>
          <w:rFonts w:ascii="Arial" w:eastAsia="Arial" w:hAnsi="Arial" w:cs="Arial"/>
          <w:sz w:val="22"/>
          <w:szCs w:val="22"/>
        </w:rPr>
        <w:t>Boolean operators were applied to refine and structure searches. The AND operator was used to combine central concepts and narrow results, for example, ethnic minorities AND mental health access AND United Kingdom. The OR operator broadened searches by incorporating alternative terminology, such as BAME OR minority ethnic OR racialised groups. The NOT operator was used selectively to exclude studies focusing exclusively on physical health conditions. A structured search plan was maintained throughout the process, with keywords, search strings, and combinations recorded in a search log. This ensured</w:t>
      </w:r>
      <w:r w:rsidR="5814E6A2" w:rsidRPr="24E26AF7">
        <w:rPr>
          <w:rFonts w:ascii="Arial" w:eastAsia="Arial" w:hAnsi="Arial" w:cs="Arial"/>
          <w:sz w:val="22"/>
          <w:szCs w:val="22"/>
        </w:rPr>
        <w:t xml:space="preserve"> </w:t>
      </w:r>
      <w:r w:rsidRPr="24E26AF7">
        <w:rPr>
          <w:rFonts w:ascii="Arial" w:eastAsia="Arial" w:hAnsi="Arial" w:cs="Arial"/>
          <w:sz w:val="22"/>
          <w:szCs w:val="22"/>
        </w:rPr>
        <w:t>consistency, transparency, and replicability. The strategy enabled systematic identification of relevant literature while maintaining focus on the dissertation objectives.</w:t>
      </w:r>
    </w:p>
    <w:p w14:paraId="416A4826"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1" w:name="_Toc574280150"/>
      <w:r w:rsidRPr="67BAD222">
        <w:rPr>
          <w:rFonts w:ascii="Arial" w:eastAsia="Arial" w:hAnsi="Arial" w:cs="Arial"/>
          <w:b/>
          <w:bCs/>
          <w:color w:val="auto"/>
          <w:sz w:val="22"/>
          <w:szCs w:val="22"/>
        </w:rPr>
        <w:t>3.3 Databases and Platforms</w:t>
      </w:r>
      <w:bookmarkEnd w:id="21"/>
    </w:p>
    <w:p w14:paraId="1F598325" w14:textId="7505FBCC" w:rsidR="6DD5CD8B" w:rsidRDefault="6DD5CD8B" w:rsidP="67BAD222">
      <w:pPr>
        <w:spacing w:before="120" w:after="120" w:line="360" w:lineRule="auto"/>
      </w:pPr>
      <w:r w:rsidRPr="67BAD222">
        <w:rPr>
          <w:rFonts w:ascii="Arial" w:eastAsia="Arial" w:hAnsi="Arial" w:cs="Arial"/>
          <w:sz w:val="22"/>
          <w:szCs w:val="22"/>
        </w:rPr>
        <w:t xml:space="preserve">Multiple academic databases and platforms were consulted to ensure comprehensive coverage of relevant literature. Google Scholar, PubMed, and the University of Wales Trinity Saint David (UWTSD) Library database were used as primary search platforms. Google Scholar was valuable for identifying interdisciplinary research across sociology, public health, psychology, and health services research, as well as locating highly cited seminal works through citation tracking. PubMed provided access to peer-reviewed biomedical and public health research, including epidemiological and clinical studies relevant to mental health inequalities. The UWTSD Library database ensured reliable access to full-text journal articles, e-books, and UK policy documents through institutional subscriptions, strengthening credibility and reducing reliance on unverified sources (Snyder, 2019). </w:t>
      </w:r>
    </w:p>
    <w:p w14:paraId="0DB8FB2C" w14:textId="7D244BB4" w:rsidR="6DD5CD8B" w:rsidRDefault="6DD5CD8B" w:rsidP="67BAD222">
      <w:pPr>
        <w:spacing w:before="120" w:after="120" w:line="360" w:lineRule="auto"/>
      </w:pPr>
      <w:r w:rsidRPr="67BAD222">
        <w:rPr>
          <w:rFonts w:ascii="Arial" w:eastAsia="Arial" w:hAnsi="Arial" w:cs="Arial"/>
          <w:sz w:val="22"/>
          <w:szCs w:val="22"/>
        </w:rPr>
        <w:t xml:space="preserve">In addition to academic databases, targeted searches of official government websites, including NHS England, the Department of Health and Social Care, and the Office for National Statistics, were undertaken to obtain policy documents and national statistical reports. Third sector organisations such as Mind, Rethink Mental Illness, and the Race Equality Foundation were also consulted to provide contextual and practice-based insights. </w:t>
      </w:r>
    </w:p>
    <w:p w14:paraId="7D43D000" w14:textId="16AB9A5C" w:rsidR="67BAD222" w:rsidRDefault="1EF7CD08" w:rsidP="24E26AF7">
      <w:pPr>
        <w:spacing w:before="120" w:after="120" w:line="360" w:lineRule="auto"/>
      </w:pPr>
      <w:r w:rsidRPr="24E26AF7">
        <w:rPr>
          <w:rFonts w:ascii="Arial" w:eastAsia="Arial" w:hAnsi="Arial" w:cs="Arial"/>
          <w:sz w:val="22"/>
          <w:szCs w:val="22"/>
        </w:rPr>
        <w:lastRenderedPageBreak/>
        <w:t>Database filters were applied to improve relevance and manageability. Publications from approximately 2010 to 2024 were prioritised to reflect contemporary policy developments and service changes. However, key historical works were retained where necessary to provide conceptual or contextual foundations, such as Littlewood and Lipsedge (1989). Searches were limited to peer-reviewed, English-language research, with a primary focus on UK-based studies. Selected international literature was included for comparative analysis. The search process was iterative, with adjustments made when results were either too broad or too narrow. A detailed source-tracking table was maintained throughout to record study characteristics and relevance, supporting transparency and subsequent thematic analysis (see Appendix B).</w:t>
      </w:r>
    </w:p>
    <w:p w14:paraId="44C15127"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2" w:name="_Toc1578611206"/>
      <w:r w:rsidRPr="67BAD222">
        <w:rPr>
          <w:rFonts w:ascii="Arial" w:eastAsia="Arial" w:hAnsi="Arial" w:cs="Arial"/>
          <w:b/>
          <w:bCs/>
          <w:color w:val="auto"/>
          <w:sz w:val="22"/>
          <w:szCs w:val="22"/>
        </w:rPr>
        <w:t>3.4 Research Validation</w:t>
      </w:r>
      <w:bookmarkEnd w:id="22"/>
    </w:p>
    <w:p w14:paraId="1DDECAF9" w14:textId="6AF1F0AC" w:rsidR="00BE61AB" w:rsidRPr="001C06F3" w:rsidRDefault="6EB44613" w:rsidP="67BAD222">
      <w:pPr>
        <w:spacing w:before="120" w:after="120" w:line="360" w:lineRule="auto"/>
      </w:pPr>
      <w:r w:rsidRPr="67BAD222">
        <w:rPr>
          <w:rFonts w:ascii="Arial" w:eastAsia="Arial" w:hAnsi="Arial" w:cs="Arial"/>
          <w:sz w:val="22"/>
          <w:szCs w:val="22"/>
        </w:rPr>
        <w:t xml:space="preserve">Initial screening involved reviewing titles, abstracts, introductions, and conclusions to assess relevance before conducting full-text analysis. Studies that did not address mental health or ethnic minority populations, or that focused solely on physical health conditions, were excluded at this stage to maintain alignment with the research question. </w:t>
      </w:r>
    </w:p>
    <w:p w14:paraId="5D08A6E9" w14:textId="1A7A91AD" w:rsidR="00BE61AB" w:rsidRPr="001C06F3" w:rsidRDefault="6EB44613" w:rsidP="67BAD222">
      <w:pPr>
        <w:spacing w:before="120" w:after="120" w:line="360" w:lineRule="auto"/>
      </w:pPr>
      <w:r w:rsidRPr="67BAD222">
        <w:rPr>
          <w:rFonts w:ascii="Arial" w:eastAsia="Arial" w:hAnsi="Arial" w:cs="Arial"/>
          <w:sz w:val="22"/>
          <w:szCs w:val="22"/>
        </w:rPr>
        <w:t xml:space="preserve">Selected sources were then evaluated using the CRAAP test, which assesses Currency, Relevance, Authority, Accuracy, and Purpose (Miller, 2018). Currency referred to the timeliness of publication, particularly in relation to recent policy developments. Relevance assessed alignment with the dissertation aims. Authority examined the credibility of authors and institutions, prioritising peer-reviewed journals and recognised organisations such as the NHS, the World Health Organisation, and the Care Quality Commission. Accuracy involved reviewing methodological transparency and evidence quality, while Purpose considered potential bias or underlying agendas. </w:t>
      </w:r>
    </w:p>
    <w:p w14:paraId="7564ECCC" w14:textId="244FA046" w:rsidR="00BE61AB" w:rsidRPr="001C06F3" w:rsidRDefault="6EB44613" w:rsidP="67BAD222">
      <w:pPr>
        <w:spacing w:before="120" w:after="120" w:line="360" w:lineRule="auto"/>
      </w:pPr>
      <w:r w:rsidRPr="67BAD222">
        <w:rPr>
          <w:rFonts w:ascii="Arial" w:eastAsia="Arial" w:hAnsi="Arial" w:cs="Arial"/>
          <w:sz w:val="22"/>
          <w:szCs w:val="22"/>
        </w:rPr>
        <w:t>Although not all sources met each criterion equally, priority was given to those demonstrating strong relevance, credible authorship, and methodological transparency. For example, peer-reviewed UK studies examining detention disparities were included due to their empirical rigour and direct relevance to institutional barriers. In contrast, opinion pieces and non-evidenced commentaries were excluded to preserve academic integrity and analytical reliability.</w:t>
      </w:r>
    </w:p>
    <w:p w14:paraId="5EDD2F6E"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3" w:name="_Toc2011999118"/>
      <w:r w:rsidRPr="67BAD222">
        <w:rPr>
          <w:rFonts w:ascii="Arial" w:eastAsia="Arial" w:hAnsi="Arial" w:cs="Arial"/>
          <w:b/>
          <w:bCs/>
          <w:color w:val="auto"/>
          <w:sz w:val="22"/>
          <w:szCs w:val="22"/>
        </w:rPr>
        <w:t>3.5 Inclusion and Exclusion Criteria</w:t>
      </w:r>
      <w:bookmarkEnd w:id="23"/>
    </w:p>
    <w:p w14:paraId="63AD9BA5" w14:textId="7EDCD22F" w:rsidR="001C06F3" w:rsidRPr="001C06F3" w:rsidRDefault="15FFDA29" w:rsidP="67BAD222">
      <w:pPr>
        <w:spacing w:before="120" w:after="120" w:line="360" w:lineRule="auto"/>
      </w:pPr>
      <w:r w:rsidRPr="67BAD222">
        <w:rPr>
          <w:rFonts w:ascii="Arial" w:eastAsia="Arial" w:hAnsi="Arial" w:cs="Arial"/>
          <w:sz w:val="22"/>
          <w:szCs w:val="22"/>
        </w:rPr>
        <w:t xml:space="preserve">Inclusion and exclusion criteria were established to maintain focus and academic quality. Included sources comprised peer-reviewed journal articles published in reputable academic journals, UK government and NHS reports providing statistical and policy analysis, and publications from recognised organisations such as the World Health Organisation, Mind, Rethink Mental Illness, the Race Equality Foundation, and the Care Quality Commission. </w:t>
      </w:r>
      <w:r w:rsidRPr="67BAD222">
        <w:rPr>
          <w:rFonts w:ascii="Arial" w:eastAsia="Arial" w:hAnsi="Arial" w:cs="Arial"/>
          <w:sz w:val="22"/>
          <w:szCs w:val="22"/>
        </w:rPr>
        <w:lastRenderedPageBreak/>
        <w:t xml:space="preserve">Studies published within the past 10 to 15 years, approximately 2010 to 2024, were prioritised to reflect contemporary developments in policy and practice. However, earlier seminal works were retained where necessary to provide historical context or establish foundational theoretical perspectives. </w:t>
      </w:r>
    </w:p>
    <w:p w14:paraId="67DEF18C" w14:textId="6E7AF87A" w:rsidR="001C06F3" w:rsidRPr="001C06F3" w:rsidRDefault="15FFDA29" w:rsidP="67BAD222">
      <w:pPr>
        <w:spacing w:before="120" w:after="120" w:line="360" w:lineRule="auto"/>
      </w:pPr>
      <w:r w:rsidRPr="67BAD222">
        <w:rPr>
          <w:rFonts w:ascii="Arial" w:eastAsia="Arial" w:hAnsi="Arial" w:cs="Arial"/>
          <w:sz w:val="22"/>
          <w:szCs w:val="22"/>
        </w:rPr>
        <w:t>Included studies focused specifically on ethnic minority populations, mental health services, barriers to access, service experiences, treatment outcomes, and relevant policy interventions. Excluded sources included opinion blogs, non-peer-reviewed commentaries, websites lacking clear authorship or evidence base, significantly outdated research unless historically relevant, non-English-language studies due to translation constraints, and research focusing exclusively on physical health or conducted entirely outside the UK without clear comparative relevance. These criteria ensured the literature remained focused, credible, and directly aligned with the dissertation aims.</w:t>
      </w:r>
    </w:p>
    <w:p w14:paraId="297A9EE0"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4" w:name="_Toc915278951"/>
      <w:r w:rsidRPr="67BAD222">
        <w:rPr>
          <w:rFonts w:ascii="Arial" w:eastAsia="Arial" w:hAnsi="Arial" w:cs="Arial"/>
          <w:b/>
          <w:bCs/>
          <w:color w:val="auto"/>
          <w:sz w:val="22"/>
          <w:szCs w:val="22"/>
        </w:rPr>
        <w:t>3.6 Analysing Research</w:t>
      </w:r>
      <w:bookmarkEnd w:id="24"/>
    </w:p>
    <w:p w14:paraId="314734A8" w14:textId="274E77AA" w:rsidR="3D7EF524" w:rsidRDefault="3D7EF524" w:rsidP="67BAD222">
      <w:pPr>
        <w:spacing w:before="120" w:after="120" w:line="360" w:lineRule="auto"/>
      </w:pPr>
      <w:r w:rsidRPr="67BAD222">
        <w:rPr>
          <w:rFonts w:ascii="Arial" w:eastAsia="Arial" w:hAnsi="Arial" w:cs="Arial"/>
          <w:sz w:val="22"/>
          <w:szCs w:val="22"/>
        </w:rPr>
        <w:t xml:space="preserve">A thematic coding approach, informed by Braun and Clarke (2006), was used to analyse the selected literature and identify recurring patterns across multiple sources. This method allowed themes to emerge through an iterative and reflexive process rather than being imposed in advance. Each source was read repeatedly to identify recurring ideas, concepts, and issues relating to barriers in mental health access for ethnic minority populations. </w:t>
      </w:r>
    </w:p>
    <w:p w14:paraId="6DC24E87" w14:textId="20AB7346" w:rsidR="3D7EF524" w:rsidRDefault="3D7EF524" w:rsidP="67BAD222">
      <w:pPr>
        <w:spacing w:before="120" w:after="120" w:line="360" w:lineRule="auto"/>
      </w:pPr>
      <w:r w:rsidRPr="67BAD222">
        <w:rPr>
          <w:rFonts w:ascii="Arial" w:eastAsia="Arial" w:hAnsi="Arial" w:cs="Arial"/>
          <w:sz w:val="22"/>
          <w:szCs w:val="22"/>
        </w:rPr>
        <w:t xml:space="preserve">Initial codes represented specific concepts identified within the literature, including stigma, language barriers, institutional bias, service mistrust, socioeconomic disadvantage, discrimination, cultural competence, compulsory detention, and help-seeking behaviour. These codes were subsequently reviewed and grouped into broader conceptual themes aligned with the research objectives and theoretical frameworks. Three overarching themes were identified: structural inequality and socioeconomic disadvantage; cultural influences including stigma and mistrust; and institutional and systemic barriers within services. </w:t>
      </w:r>
    </w:p>
    <w:p w14:paraId="1C556708" w14:textId="3F9784F1" w:rsidR="3D7EF524" w:rsidRDefault="3D7EF524" w:rsidP="67BAD222">
      <w:pPr>
        <w:spacing w:before="120" w:after="120" w:line="360" w:lineRule="auto"/>
      </w:pPr>
      <w:r w:rsidRPr="67BAD222">
        <w:rPr>
          <w:rFonts w:ascii="Arial" w:eastAsia="Arial" w:hAnsi="Arial" w:cs="Arial"/>
          <w:sz w:val="22"/>
          <w:szCs w:val="22"/>
        </w:rPr>
        <w:t>Colour-coded spreadsheets and summary tables were used to organise data, record supporting evidence, and trace the development of codes into themes. This process enhanced transparency and ensured an audit trail from individual studies to thematic conclusions. The structured approach enabled movement beyond descriptive reporting towards analytical synthesis, forming the basis of the findings presented in Chapter 4.</w:t>
      </w:r>
    </w:p>
    <w:p w14:paraId="53366DF9" w14:textId="77777777" w:rsidR="00DD1539" w:rsidRDefault="00DD1539" w:rsidP="00BE61AB">
      <w:pPr>
        <w:pStyle w:val="Heading2"/>
        <w:spacing w:line="360" w:lineRule="auto"/>
        <w:rPr>
          <w:rFonts w:ascii="Arial" w:eastAsia="Arial" w:hAnsi="Arial" w:cs="Arial"/>
          <w:b/>
          <w:bCs/>
          <w:color w:val="auto"/>
          <w:sz w:val="22"/>
          <w:szCs w:val="22"/>
        </w:rPr>
      </w:pPr>
      <w:bookmarkStart w:id="25" w:name="_Toc616226481"/>
    </w:p>
    <w:p w14:paraId="060A7966" w14:textId="77777777" w:rsidR="00E92A37" w:rsidRPr="00E92A37" w:rsidRDefault="00E92A37" w:rsidP="00E92A37"/>
    <w:p w14:paraId="58A61DD1" w14:textId="743C953E" w:rsidR="00EE3DBA" w:rsidRPr="00BE61AB" w:rsidRDefault="7C6BBD75" w:rsidP="00BE61AB">
      <w:pPr>
        <w:pStyle w:val="Heading2"/>
        <w:spacing w:line="360" w:lineRule="auto"/>
        <w:rPr>
          <w:rFonts w:ascii="Arial" w:eastAsia="Arial" w:hAnsi="Arial" w:cs="Arial"/>
          <w:b/>
          <w:bCs/>
          <w:color w:val="auto"/>
          <w:sz w:val="22"/>
          <w:szCs w:val="22"/>
        </w:rPr>
      </w:pPr>
      <w:r w:rsidRPr="67BAD222">
        <w:rPr>
          <w:rFonts w:ascii="Arial" w:eastAsia="Arial" w:hAnsi="Arial" w:cs="Arial"/>
          <w:b/>
          <w:bCs/>
          <w:color w:val="auto"/>
          <w:sz w:val="22"/>
          <w:szCs w:val="22"/>
        </w:rPr>
        <w:lastRenderedPageBreak/>
        <w:t>3.7 Ethical Considerations</w:t>
      </w:r>
      <w:bookmarkEnd w:id="25"/>
    </w:p>
    <w:p w14:paraId="138B0765" w14:textId="3D188996" w:rsidR="16C8F8BC" w:rsidRDefault="16C8F8BC" w:rsidP="67BAD222">
      <w:pPr>
        <w:spacing w:before="120" w:after="120" w:line="360" w:lineRule="auto"/>
      </w:pPr>
      <w:r w:rsidRPr="67BAD222">
        <w:rPr>
          <w:rFonts w:ascii="Arial" w:eastAsia="Arial" w:hAnsi="Arial" w:cs="Arial"/>
          <w:sz w:val="22"/>
          <w:szCs w:val="22"/>
        </w:rPr>
        <w:t xml:space="preserve">This study relied entirely on secondary sources and did not involve the collection of primary data or the recruitment of human participants. Formal ethical approval from the university ethics committee was therefore not required. However, ethical responsibility remained central to the research process, particularly in relation to academic integrity and accurate representation of evidence. </w:t>
      </w:r>
    </w:p>
    <w:p w14:paraId="1AF01A7D" w14:textId="6D180D8F" w:rsidR="16C8F8BC" w:rsidRDefault="16C8F8BC" w:rsidP="67BAD222">
      <w:pPr>
        <w:spacing w:before="120" w:after="120" w:line="360" w:lineRule="auto"/>
      </w:pPr>
      <w:r w:rsidRPr="67BAD222">
        <w:rPr>
          <w:rFonts w:ascii="Arial" w:eastAsia="Arial" w:hAnsi="Arial" w:cs="Arial"/>
          <w:sz w:val="22"/>
          <w:szCs w:val="22"/>
        </w:rPr>
        <w:t>All sources were cited accurately using the Harvard referencing system in accordance with UWTSD guidelines. Care was taken to avoid misrepresentation, selective quotation, or distortion of authors’ findings. Literature was selected and presented objectively, with efforts made to include a range of perspectives and acknowledge contradictory evidence where present. Critical engagement also involved recognising methodological limitations, potential bias, and conflicts of interest within original studies.</w:t>
      </w:r>
    </w:p>
    <w:p w14:paraId="1BEEAC5F" w14:textId="24128E66" w:rsidR="16C8F8BC" w:rsidRDefault="16C8F8BC" w:rsidP="67BAD222">
      <w:pPr>
        <w:spacing w:before="120" w:after="120" w:line="360" w:lineRule="auto"/>
      </w:pPr>
      <w:r w:rsidRPr="67BAD222">
        <w:rPr>
          <w:rFonts w:ascii="Arial" w:eastAsia="Arial" w:hAnsi="Arial" w:cs="Arial"/>
          <w:sz w:val="22"/>
          <w:szCs w:val="22"/>
        </w:rPr>
        <w:t>Transparency in the search strategy, inclusion criteria, and analytical process enhances the credibility and trustworthiness of the research. Although secondary research does not involve direct participant risk, ethical scholarship requires responsible synthesis of evidence and honest interpretation. These considerations ensure that the study maintains academic rigour and contributes to knowledge in the field.</w:t>
      </w:r>
    </w:p>
    <w:p w14:paraId="692B77D9"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6" w:name="_Toc640608987"/>
      <w:r w:rsidRPr="67BAD222">
        <w:rPr>
          <w:rFonts w:ascii="Arial" w:eastAsia="Arial" w:hAnsi="Arial" w:cs="Arial"/>
          <w:b/>
          <w:bCs/>
          <w:color w:val="auto"/>
          <w:sz w:val="22"/>
          <w:szCs w:val="22"/>
        </w:rPr>
        <w:t>3.8 Chapter Conclusion</w:t>
      </w:r>
      <w:bookmarkEnd w:id="26"/>
    </w:p>
    <w:p w14:paraId="0DAF8FDE" w14:textId="57113F9A" w:rsidR="5DF6B975" w:rsidRDefault="5DF6B975" w:rsidP="67BAD222">
      <w:pPr>
        <w:spacing w:before="120" w:after="120" w:line="360" w:lineRule="auto"/>
      </w:pPr>
      <w:r w:rsidRPr="67BAD222">
        <w:rPr>
          <w:rFonts w:ascii="Arial" w:eastAsia="Arial" w:hAnsi="Arial" w:cs="Arial"/>
          <w:sz w:val="22"/>
          <w:szCs w:val="22"/>
        </w:rPr>
        <w:t xml:space="preserve">This chapter has outlined the systematic approach adopted to locate, evaluate, and analyse the literature on ethnic inequalities in access to mental health services. The structured search strategy, clearly defined inclusion and exclusion criteria, and application of the CRAAP framework ensured that selected sources were credible, relevant, and methodologically sound. The use of thematic coding enabled patterns across diverse studies to be identified, compared, and organised into coherent analytical themes. </w:t>
      </w:r>
    </w:p>
    <w:p w14:paraId="14243D85" w14:textId="2F269FE7" w:rsidR="5DF6B975" w:rsidRDefault="5DF6B975" w:rsidP="67BAD222">
      <w:pPr>
        <w:spacing w:before="120" w:after="120" w:line="360" w:lineRule="auto"/>
      </w:pPr>
      <w:r w:rsidRPr="67BAD222">
        <w:rPr>
          <w:rFonts w:ascii="Arial" w:eastAsia="Arial" w:hAnsi="Arial" w:cs="Arial"/>
          <w:sz w:val="22"/>
          <w:szCs w:val="22"/>
        </w:rPr>
        <w:t>Collectively, these methodological steps provide a transparent and rigorous foundation for the research. The following chapter presents the findings derived from this analysis, structured around the key themes that emerged and were examined in relation to the overarching research question.</w:t>
      </w:r>
    </w:p>
    <w:p w14:paraId="0920B435" w14:textId="0D456CEB" w:rsidR="67BAD222" w:rsidRDefault="67BAD222" w:rsidP="67BAD222">
      <w:pPr>
        <w:spacing w:before="240" w:after="240" w:line="360" w:lineRule="auto"/>
        <w:rPr>
          <w:rFonts w:ascii="Arial" w:eastAsia="Arial" w:hAnsi="Arial" w:cs="Arial"/>
          <w:sz w:val="22"/>
          <w:szCs w:val="22"/>
        </w:rPr>
      </w:pPr>
    </w:p>
    <w:p w14:paraId="381D0165" w14:textId="533E9E1B" w:rsidR="67BAD222" w:rsidRDefault="67BAD222" w:rsidP="67BAD222">
      <w:pPr>
        <w:spacing w:before="120" w:after="120" w:line="360" w:lineRule="auto"/>
        <w:rPr>
          <w:rFonts w:ascii="Arial" w:eastAsia="Arial" w:hAnsi="Arial" w:cs="Arial"/>
          <w:sz w:val="22"/>
          <w:szCs w:val="22"/>
        </w:rPr>
      </w:pPr>
    </w:p>
    <w:p w14:paraId="583EEF75" w14:textId="1641C81B" w:rsidR="67BAD222" w:rsidRDefault="67BAD222" w:rsidP="67BAD222">
      <w:pPr>
        <w:spacing w:before="120" w:after="120" w:line="360" w:lineRule="auto"/>
        <w:rPr>
          <w:rFonts w:ascii="Arial" w:eastAsia="Arial" w:hAnsi="Arial" w:cs="Arial"/>
          <w:sz w:val="22"/>
          <w:szCs w:val="22"/>
        </w:rPr>
      </w:pPr>
    </w:p>
    <w:p w14:paraId="4458CDB1" w14:textId="4B4E8EB9" w:rsidR="67BAD222" w:rsidRDefault="67BAD222" w:rsidP="67BAD222">
      <w:pPr>
        <w:spacing w:before="120" w:after="120" w:line="360" w:lineRule="auto"/>
        <w:rPr>
          <w:rFonts w:ascii="Arial" w:eastAsia="Arial" w:hAnsi="Arial" w:cs="Arial"/>
          <w:sz w:val="22"/>
          <w:szCs w:val="22"/>
        </w:rPr>
      </w:pPr>
    </w:p>
    <w:p w14:paraId="08B6BE08" w14:textId="5D142318" w:rsidR="00EE3DBA" w:rsidRPr="00BE61AB" w:rsidRDefault="00EE3DBA" w:rsidP="24E26AF7">
      <w:pPr>
        <w:spacing w:before="120" w:after="120" w:line="360" w:lineRule="auto"/>
        <w:rPr>
          <w:rFonts w:ascii="Arial" w:eastAsia="Arial" w:hAnsi="Arial" w:cs="Arial"/>
          <w:sz w:val="22"/>
          <w:szCs w:val="22"/>
        </w:rPr>
      </w:pPr>
    </w:p>
    <w:p w14:paraId="6AFB6FB8" w14:textId="3118FBC8" w:rsidR="00BE61AB" w:rsidRPr="00BE61AB" w:rsidRDefault="6D39B4F2" w:rsidP="77176F4C">
      <w:pPr>
        <w:pStyle w:val="Heading1"/>
        <w:spacing w:before="120" w:after="120" w:line="360" w:lineRule="auto"/>
        <w:rPr>
          <w:rFonts w:ascii="Arial" w:eastAsia="Arial" w:hAnsi="Arial" w:cs="Arial"/>
          <w:b/>
          <w:bCs/>
          <w:color w:val="auto"/>
          <w:sz w:val="22"/>
          <w:szCs w:val="22"/>
        </w:rPr>
      </w:pPr>
      <w:bookmarkStart w:id="27" w:name="_Toc173837141"/>
      <w:r w:rsidRPr="77176F4C">
        <w:rPr>
          <w:rFonts w:ascii="Arial" w:eastAsia="Arial" w:hAnsi="Arial" w:cs="Arial"/>
          <w:b/>
          <w:bCs/>
          <w:color w:val="auto"/>
          <w:sz w:val="22"/>
          <w:szCs w:val="22"/>
        </w:rPr>
        <w:lastRenderedPageBreak/>
        <w:t>CHAPTER 4 – Findings and Discussion</w:t>
      </w:r>
      <w:bookmarkEnd w:id="27"/>
    </w:p>
    <w:p w14:paraId="43C2993E" w14:textId="77777777" w:rsidR="00EE3DBA" w:rsidRPr="00BE61AB" w:rsidRDefault="7C6BBD75" w:rsidP="67BAD222">
      <w:pPr>
        <w:pStyle w:val="Heading2"/>
        <w:spacing w:line="360" w:lineRule="auto"/>
        <w:rPr>
          <w:rFonts w:ascii="Arial" w:eastAsia="Arial" w:hAnsi="Arial" w:cs="Arial"/>
          <w:b/>
          <w:bCs/>
          <w:color w:val="auto"/>
          <w:sz w:val="22"/>
          <w:szCs w:val="22"/>
        </w:rPr>
      </w:pPr>
      <w:bookmarkStart w:id="28" w:name="_Toc1688192061"/>
      <w:r w:rsidRPr="7E9A36F7">
        <w:rPr>
          <w:rFonts w:ascii="Arial" w:eastAsia="Arial" w:hAnsi="Arial" w:cs="Arial"/>
          <w:b/>
          <w:bCs/>
          <w:color w:val="auto"/>
          <w:sz w:val="22"/>
          <w:szCs w:val="22"/>
        </w:rPr>
        <w:t>4.1 Introduction</w:t>
      </w:r>
      <w:bookmarkEnd w:id="28"/>
    </w:p>
    <w:p w14:paraId="7924F924" w14:textId="3445E7DB" w:rsidR="148136A9" w:rsidRDefault="148136A9" w:rsidP="7E9A36F7">
      <w:pPr>
        <w:spacing w:before="240" w:after="240" w:line="360" w:lineRule="auto"/>
      </w:pPr>
      <w:r w:rsidRPr="7E9A36F7">
        <w:rPr>
          <w:rFonts w:ascii="Arial" w:eastAsia="Arial" w:hAnsi="Arial" w:cs="Arial"/>
          <w:sz w:val="22"/>
          <w:szCs w:val="22"/>
        </w:rPr>
        <w:t>This chapter presents and critically discusses the key findings emerging from the thematic analysis of literature exploring the barriers and challenges affecting ethnic minorities’ access to mental health services in the United Kingdom. As outlined in Chapter 1, the aim of this dissertation is to examine how social, cultural, and systemic influences shape inequalities in access and outcomes within UK mental health provision.</w:t>
      </w:r>
    </w:p>
    <w:p w14:paraId="0D8B7FC7" w14:textId="5DEEB3CF" w:rsidR="148136A9" w:rsidRDefault="148136A9" w:rsidP="7E9A36F7">
      <w:pPr>
        <w:spacing w:before="240" w:after="240" w:line="360" w:lineRule="auto"/>
      </w:pPr>
      <w:r w:rsidRPr="7E9A36F7">
        <w:rPr>
          <w:rFonts w:ascii="Arial" w:eastAsia="Arial" w:hAnsi="Arial" w:cs="Arial"/>
          <w:sz w:val="22"/>
          <w:szCs w:val="22"/>
        </w:rPr>
        <w:t>Drawing on the secondary research methodology described in Chapter 3, themes were generated through systematic coding of recurring concepts across academic studies, policy documents, and national statistical reports. The coding process identified repeated patterns relating to deprivation, stigma, mistrust, institutional bias, and coercive care pathways, which were subsequently grouped into three overarching themes:</w:t>
      </w:r>
    </w:p>
    <w:p w14:paraId="25A40F73" w14:textId="12D11E1A" w:rsidR="148136A9" w:rsidRDefault="10F08E46" w:rsidP="24E26AF7">
      <w:pPr>
        <w:pStyle w:val="ListParagraph"/>
        <w:numPr>
          <w:ilvl w:val="0"/>
          <w:numId w:val="1"/>
        </w:numPr>
        <w:spacing w:before="240" w:after="240" w:line="360" w:lineRule="auto"/>
        <w:rPr>
          <w:rFonts w:ascii="Arial" w:eastAsia="Arial" w:hAnsi="Arial" w:cs="Arial"/>
          <w:sz w:val="22"/>
          <w:szCs w:val="22"/>
        </w:rPr>
      </w:pPr>
      <w:r w:rsidRPr="24E26AF7">
        <w:rPr>
          <w:rFonts w:ascii="Arial" w:eastAsia="Arial" w:hAnsi="Arial" w:cs="Arial"/>
          <w:sz w:val="22"/>
          <w:szCs w:val="22"/>
        </w:rPr>
        <w:t>Structural inequality and socioeconomic disadvantage</w:t>
      </w:r>
    </w:p>
    <w:p w14:paraId="1459AD3A" w14:textId="128A8F55" w:rsidR="148136A9" w:rsidRDefault="10F08E46" w:rsidP="24E26AF7">
      <w:pPr>
        <w:pStyle w:val="ListParagraph"/>
        <w:numPr>
          <w:ilvl w:val="0"/>
          <w:numId w:val="1"/>
        </w:numPr>
        <w:spacing w:before="240" w:after="240" w:line="360" w:lineRule="auto"/>
        <w:rPr>
          <w:rFonts w:ascii="Arial" w:eastAsia="Arial" w:hAnsi="Arial" w:cs="Arial"/>
          <w:sz w:val="22"/>
          <w:szCs w:val="22"/>
        </w:rPr>
      </w:pPr>
      <w:r w:rsidRPr="24E26AF7">
        <w:rPr>
          <w:rFonts w:ascii="Arial" w:eastAsia="Arial" w:hAnsi="Arial" w:cs="Arial"/>
          <w:sz w:val="22"/>
          <w:szCs w:val="22"/>
        </w:rPr>
        <w:t>Cultural beliefs, stigma, and mistrust</w:t>
      </w:r>
    </w:p>
    <w:p w14:paraId="4DDA8674" w14:textId="5B14CF17" w:rsidR="148136A9" w:rsidRDefault="10F08E46" w:rsidP="24E26AF7">
      <w:pPr>
        <w:pStyle w:val="ListParagraph"/>
        <w:numPr>
          <w:ilvl w:val="0"/>
          <w:numId w:val="1"/>
        </w:numPr>
        <w:spacing w:before="240" w:after="240" w:line="360" w:lineRule="auto"/>
        <w:rPr>
          <w:rFonts w:ascii="Arial" w:eastAsia="Arial" w:hAnsi="Arial" w:cs="Arial"/>
          <w:sz w:val="22"/>
          <w:szCs w:val="22"/>
        </w:rPr>
      </w:pPr>
      <w:r w:rsidRPr="24E26AF7">
        <w:rPr>
          <w:rFonts w:ascii="Arial" w:eastAsia="Arial" w:hAnsi="Arial" w:cs="Arial"/>
          <w:sz w:val="22"/>
          <w:szCs w:val="22"/>
        </w:rPr>
        <w:t>Institutional and systemic barriers within services</w:t>
      </w:r>
    </w:p>
    <w:p w14:paraId="45156AA9" w14:textId="4CB0AA75" w:rsidR="148136A9" w:rsidRDefault="148136A9" w:rsidP="7E9A36F7">
      <w:pPr>
        <w:spacing w:before="240" w:after="240" w:line="360" w:lineRule="auto"/>
      </w:pPr>
      <w:r w:rsidRPr="7E9A36F7">
        <w:rPr>
          <w:rFonts w:ascii="Arial" w:eastAsia="Arial" w:hAnsi="Arial" w:cs="Arial"/>
          <w:sz w:val="22"/>
          <w:szCs w:val="22"/>
        </w:rPr>
        <w:t>Each theme is examined in depth, incorporating theory, policy context, statistical evidence, and examples from the literature. Together, these findings provide a comprehensive understanding of the interconnected factors shaping ethnic inequalities in mental health service access.</w:t>
      </w:r>
    </w:p>
    <w:p w14:paraId="74CBCA9B" w14:textId="25617D25" w:rsidR="7E9A36F7" w:rsidRDefault="7E9A36F7" w:rsidP="7E9A36F7">
      <w:pPr>
        <w:spacing w:before="120" w:after="120" w:line="360" w:lineRule="auto"/>
        <w:rPr>
          <w:rFonts w:ascii="Arial" w:eastAsia="Arial" w:hAnsi="Arial" w:cs="Arial"/>
          <w:sz w:val="22"/>
          <w:szCs w:val="22"/>
        </w:rPr>
      </w:pPr>
    </w:p>
    <w:p w14:paraId="56BEAF67" w14:textId="72993CD8" w:rsidR="7E9A36F7" w:rsidRDefault="7E9A36F7" w:rsidP="24E26AF7">
      <w:pPr>
        <w:spacing w:before="120" w:after="120" w:line="360" w:lineRule="auto"/>
        <w:rPr>
          <w:rFonts w:ascii="Arial" w:eastAsia="Arial" w:hAnsi="Arial" w:cs="Arial"/>
          <w:sz w:val="22"/>
          <w:szCs w:val="22"/>
        </w:rPr>
      </w:pPr>
    </w:p>
    <w:p w14:paraId="666CB75E" w14:textId="65E567B6" w:rsidR="0ED7E445" w:rsidRDefault="0ED7E445" w:rsidP="24E26AF7">
      <w:pPr>
        <w:spacing w:before="120" w:after="120" w:line="360" w:lineRule="auto"/>
        <w:rPr>
          <w:rFonts w:ascii="Arial" w:eastAsia="Arial" w:hAnsi="Arial" w:cs="Arial"/>
          <w:sz w:val="22"/>
          <w:szCs w:val="22"/>
        </w:rPr>
      </w:pPr>
    </w:p>
    <w:p w14:paraId="1F7EB2A3" w14:textId="0D15F740" w:rsidR="0ED7E445" w:rsidRDefault="0ED7E445" w:rsidP="24E26AF7">
      <w:pPr>
        <w:spacing w:before="120" w:after="120" w:line="360" w:lineRule="auto"/>
        <w:rPr>
          <w:rFonts w:ascii="Arial" w:eastAsia="Arial" w:hAnsi="Arial" w:cs="Arial"/>
          <w:sz w:val="22"/>
          <w:szCs w:val="22"/>
        </w:rPr>
      </w:pPr>
    </w:p>
    <w:p w14:paraId="67D6A393" w14:textId="5610F9E2" w:rsidR="0ED7E445" w:rsidRDefault="0ED7E445" w:rsidP="24E26AF7">
      <w:pPr>
        <w:spacing w:before="120" w:after="120" w:line="360" w:lineRule="auto"/>
        <w:rPr>
          <w:rFonts w:ascii="Arial" w:eastAsia="Arial" w:hAnsi="Arial" w:cs="Arial"/>
          <w:sz w:val="22"/>
          <w:szCs w:val="22"/>
        </w:rPr>
      </w:pPr>
    </w:p>
    <w:p w14:paraId="32BEAD64" w14:textId="77777777" w:rsidR="00DD1539" w:rsidRDefault="00DD1539" w:rsidP="24E26AF7">
      <w:pPr>
        <w:spacing w:before="120" w:after="120" w:line="360" w:lineRule="auto"/>
        <w:rPr>
          <w:rFonts w:ascii="Arial" w:eastAsia="Arial" w:hAnsi="Arial" w:cs="Arial"/>
          <w:sz w:val="22"/>
          <w:szCs w:val="22"/>
        </w:rPr>
      </w:pPr>
    </w:p>
    <w:p w14:paraId="477F697D" w14:textId="77777777" w:rsidR="00DD1539" w:rsidRDefault="00DD1539" w:rsidP="24E26AF7">
      <w:pPr>
        <w:spacing w:before="120" w:after="120" w:line="360" w:lineRule="auto"/>
        <w:rPr>
          <w:rFonts w:ascii="Arial" w:eastAsia="Arial" w:hAnsi="Arial" w:cs="Arial"/>
          <w:sz w:val="22"/>
          <w:szCs w:val="22"/>
        </w:rPr>
      </w:pPr>
    </w:p>
    <w:p w14:paraId="3D40BDC5" w14:textId="29723DBE" w:rsidR="77176F4C" w:rsidRDefault="77176F4C" w:rsidP="77176F4C">
      <w:pPr>
        <w:spacing w:before="120" w:after="120" w:line="360" w:lineRule="auto"/>
        <w:rPr>
          <w:rFonts w:ascii="Arial" w:eastAsia="Arial" w:hAnsi="Arial" w:cs="Arial"/>
          <w:sz w:val="22"/>
          <w:szCs w:val="22"/>
        </w:rPr>
      </w:pPr>
    </w:p>
    <w:p w14:paraId="15CB463A" w14:textId="77777777" w:rsidR="00E92A37" w:rsidRDefault="00E92A37" w:rsidP="77176F4C">
      <w:pPr>
        <w:spacing w:before="120" w:after="120" w:line="360" w:lineRule="auto"/>
        <w:rPr>
          <w:rFonts w:ascii="Arial" w:eastAsia="Arial" w:hAnsi="Arial" w:cs="Arial"/>
          <w:sz w:val="22"/>
          <w:szCs w:val="22"/>
        </w:rPr>
      </w:pPr>
    </w:p>
    <w:p w14:paraId="58B17DE7" w14:textId="24D894F1" w:rsidR="0ED7E445" w:rsidRDefault="7126CA0C" w:rsidP="24E26AF7">
      <w:pPr>
        <w:pStyle w:val="Heading2"/>
        <w:spacing w:before="120" w:after="120" w:line="360" w:lineRule="auto"/>
        <w:rPr>
          <w:rFonts w:ascii="Arial" w:eastAsia="Arial" w:hAnsi="Arial" w:cs="Arial"/>
          <w:b/>
          <w:bCs/>
          <w:color w:val="auto"/>
          <w:sz w:val="22"/>
          <w:szCs w:val="22"/>
        </w:rPr>
      </w:pPr>
      <w:r w:rsidRPr="24E26AF7">
        <w:rPr>
          <w:rFonts w:ascii="Arial" w:eastAsia="Arial" w:hAnsi="Arial" w:cs="Arial"/>
          <w:b/>
          <w:bCs/>
          <w:color w:val="auto"/>
          <w:sz w:val="22"/>
          <w:szCs w:val="22"/>
        </w:rPr>
        <w:lastRenderedPageBreak/>
        <w:t>4.2 Thematic Analysis</w:t>
      </w:r>
    </w:p>
    <w:p w14:paraId="23CD183F" w14:textId="43FE2BE3"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Thematic analysis is a qualitative method used to identify, analyse, and interpret patterns of meaning within data (Braun and Clarke, 2006). Although commonly applied to interview transcripts, it is equally appropriate for secondary research, as it enables systematic synthesis of findings across multiple published sources.</w:t>
      </w:r>
    </w:p>
    <w:p w14:paraId="0E12FDF4" w14:textId="388488DB"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In this study, thematic analysis was applied to academic articles, government reports, and national datasets identified through the structured search strategy outlined in Chapter 3. Initial codes were extracted from the “Main Findings” column of the Results Summary Table (Appendix A), including repeated references to socioeconomic deprivation, cultural stigma, service mistrust, institutional racism, detention disparities, and unequal referral pathways.</w:t>
      </w:r>
    </w:p>
    <w:p w14:paraId="3038CE2D" w14:textId="3B01E386"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These codes were grouped into broader conceptual themes reflecting the social, cultural, and systemic dimensions of inequality. The structured coding process ensured transparency and analytical rigour, enabling the development of three interconnected themes that frame the discussion below.</w:t>
      </w:r>
    </w:p>
    <w:p w14:paraId="402CD4E5" w14:textId="5138A587" w:rsidR="0ED7E445" w:rsidRDefault="0ED7E445" w:rsidP="7E9A36F7">
      <w:pPr>
        <w:pStyle w:val="Heading1"/>
        <w:spacing w:before="322" w:after="322" w:line="360" w:lineRule="auto"/>
        <w:rPr>
          <w:rFonts w:ascii="Arial" w:eastAsia="Arial" w:hAnsi="Arial" w:cs="Arial"/>
          <w:b/>
          <w:bCs/>
          <w:color w:val="auto"/>
          <w:sz w:val="22"/>
          <w:szCs w:val="22"/>
        </w:rPr>
      </w:pPr>
      <w:r w:rsidRPr="7E9A36F7">
        <w:rPr>
          <w:rFonts w:ascii="Arial" w:eastAsia="Arial" w:hAnsi="Arial" w:cs="Arial"/>
          <w:b/>
          <w:bCs/>
          <w:color w:val="auto"/>
          <w:sz w:val="22"/>
          <w:szCs w:val="22"/>
        </w:rPr>
        <w:t>4.3 Theme 1 – Structural Inequality and Socioeconomic Disadvantage</w:t>
      </w:r>
    </w:p>
    <w:p w14:paraId="4B98B168" w14:textId="056C73DE"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Definition and Scope</w:t>
      </w:r>
    </w:p>
    <w:p w14:paraId="7C4DAB42" w14:textId="7DFEC7CF" w:rsidR="4B3CCB66" w:rsidRPr="00DD1539" w:rsidRDefault="0ED7E445" w:rsidP="00DD1539">
      <w:pPr>
        <w:spacing w:before="240" w:after="240" w:line="360" w:lineRule="auto"/>
        <w:rPr>
          <w:rFonts w:ascii="Arial" w:eastAsia="Arial" w:hAnsi="Arial" w:cs="Arial"/>
          <w:sz w:val="22"/>
          <w:szCs w:val="22"/>
        </w:rPr>
      </w:pPr>
      <w:r w:rsidRPr="4B3CCB66">
        <w:rPr>
          <w:rFonts w:ascii="Arial" w:eastAsia="Arial" w:hAnsi="Arial" w:cs="Arial"/>
          <w:sz w:val="22"/>
          <w:szCs w:val="22"/>
        </w:rPr>
        <w:t>Structural inequality refers to systematic disadvantages embedded within social, economic, and political systems that limit access to resources and opportunities for certain groups. In the context of mental health, this includes poverty, unemployment, insecure housing, educational disadvantage, and neighbourhood deprivation. This theme focuses specifically on how socioeconomic conditions shape both mental health risk and access to services for ethnic minority populations. It does not focus on individual attitudes or institutional decision-making processes, which are addressed in later themes.</w:t>
      </w:r>
    </w:p>
    <w:p w14:paraId="334A6466" w14:textId="2CC6D370"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Background Context</w:t>
      </w:r>
    </w:p>
    <w:p w14:paraId="30891DEA" w14:textId="5020447E"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Historically, ethnic minority communities in the UK have experienced disproportionate exposure to socioeconomic disadvantage due to labour market discrimination, migration-related vulnerabilities, and residential segregation. Following the 2008 financial crisis and subsequent austerity policies, reductions in local authority funding and social welfare support intensified deprivation in already disadvantaged communities.</w:t>
      </w:r>
    </w:p>
    <w:p w14:paraId="70AC1049" w14:textId="35A2ABF0"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lastRenderedPageBreak/>
        <w:t>More recently, the COVID-19 pandemic amplified these inequalities, with ethnic minority populations experiencing greater financial hardship and housing instability (Daly et al., 2022). These structural conditions form the broader context within which mental health access inequalities operate.</w:t>
      </w:r>
    </w:p>
    <w:p w14:paraId="43BF3E9B" w14:textId="0A47AB08"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Relevance to the Research Aim</w:t>
      </w:r>
    </w:p>
    <w:p w14:paraId="2EA91FD0" w14:textId="1F6A5E17"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This theme directly addresses the research aim by demonstrating how social and economic structures shape ethnic minorities’ ability to access mental health services. It highlights that barriers to care are not solely behavioural or cultural but are embedded within broader systems of inequality.</w:t>
      </w:r>
    </w:p>
    <w:p w14:paraId="04ECF1C8" w14:textId="056A8BFE"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Data and Statistical Context</w:t>
      </w:r>
    </w:p>
    <w:p w14:paraId="2A3731B8" w14:textId="430F1226"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National data support this structural interpretation. The Office for National Statistics (ONS, 2022) reports that individuals from Black ethnic groups are significantly more likely to live in the most deprived neighbourhoods in England compared to White British populations. NHS England (2022) further indicates that individuals living in the most deprived areas are more likely to access mental health services through crisis routes rather than early intervention pathways.</w:t>
      </w:r>
    </w:p>
    <w:p w14:paraId="24DBDAB3" w14:textId="110C3EBC"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These figures illustrate that structural disadvantage is measurable and directly linked to patterns of service engagement.</w:t>
      </w:r>
    </w:p>
    <w:p w14:paraId="3BB218A5" w14:textId="286ECD96"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Theoretical Framework</w:t>
      </w:r>
    </w:p>
    <w:p w14:paraId="4546E20A" w14:textId="377BB599"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 Social Determinants of Health framework (Marmot, 2020) provides the primary explanatory lens for this theme. The model argues that health inequalities arise from unequal distribution of social resources rather than individual failings. Applied to mental health access, this framework explains how deprivation increases vulnerability while simultaneously limiting service engagement.</w:t>
      </w:r>
    </w:p>
    <w:p w14:paraId="079AC28E" w14:textId="5B5FCEF6"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However, critics argue that the model insufficiently addresses how race mediates socioeconomic inequality (Williams and Mohammed, 2013). Critical Race Theory (Delgado and Stefancic, 2017) extends this analysis by emphasising the role of structural racism in shaping economic disparities.</w:t>
      </w:r>
    </w:p>
    <w:p w14:paraId="7BF2FF90" w14:textId="1936263E"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lastRenderedPageBreak/>
        <w:t>Policy Context</w:t>
      </w:r>
    </w:p>
    <w:p w14:paraId="3B67A006" w14:textId="5B960548"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 NHS Long Term Plan (NHS England, 2019) and Core20PLUS5 framework (NHS England, 2022) formally recognise deprivation and ethnicity as key drivers of health inequality. While these policies signal institutional awareness, continued statistical disparities suggest that structural reform remains incomplete.</w:t>
      </w:r>
    </w:p>
    <w:p w14:paraId="1D940DC0" w14:textId="0AB53ED3"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Examples from the Literature</w:t>
      </w:r>
    </w:p>
    <w:p w14:paraId="1A98B483" w14:textId="7A8D4D74"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Nazroo and Bhui (2021) demonstrate that ethnic minority communities experience disproportionate socioeconomic disadvantage, which is associated with poorer mental health outcomes and delayed access to care.</w:t>
      </w:r>
    </w:p>
    <w:p w14:paraId="38DA6531" w14:textId="1CCFC122"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Propper et al. (2020) further show that deprivation predicts reduced engagement with Improving Access to Psychological Therapies services, indicating that service availability alone does not ensure equitable uptake.</w:t>
      </w:r>
    </w:p>
    <w:p w14:paraId="13C5B408" w14:textId="42354CCA"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Williams and Mohammed (2013) argue that socioeconomic explanations must incorporate racial discrimination to fully explain persistent disparities. Together, these studies reinforce the argument that structural inequality fundamentally shapes access patterns.</w:t>
      </w:r>
    </w:p>
    <w:p w14:paraId="502F65CF" w14:textId="433BF629"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Implications</w:t>
      </w:r>
    </w:p>
    <w:p w14:paraId="4F217005" w14:textId="4C47001B" w:rsidR="0ED7E445" w:rsidRDefault="0ED7E44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Structural inequality increases both mental health vulnerability and the likelihood of crisis-based service entry. While integrated care models and social prescribing initiatives offer promising developments, evidence suggests uneven implementation. Recognition of structural drivers has improved, but measurable equity gains remain limited.</w:t>
      </w:r>
    </w:p>
    <w:p w14:paraId="1412150E" w14:textId="7DB78A00" w:rsidR="0ED7E445" w:rsidRDefault="0ED7E44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Connections to Other Themes</w:t>
      </w:r>
    </w:p>
    <w:p w14:paraId="27F6795B" w14:textId="4D2C6C4E" w:rsidR="7E9A36F7" w:rsidRDefault="7126CA0C" w:rsidP="24E26AF7">
      <w:pPr>
        <w:spacing w:before="240" w:after="240" w:line="360" w:lineRule="auto"/>
        <w:rPr>
          <w:rFonts w:ascii="Arial" w:eastAsia="Arial" w:hAnsi="Arial" w:cs="Arial"/>
          <w:sz w:val="22"/>
          <w:szCs w:val="22"/>
        </w:rPr>
      </w:pPr>
      <w:r w:rsidRPr="24E26AF7">
        <w:rPr>
          <w:rFonts w:ascii="Arial" w:eastAsia="Arial" w:hAnsi="Arial" w:cs="Arial"/>
          <w:sz w:val="22"/>
          <w:szCs w:val="22"/>
        </w:rPr>
        <w:t>Structural disadvantage interacts with cultural mistrust and institutional bias. Deprivation increases stress and marginalisation, which may heighten mistrust of services (Theme 2) and increase crisis-based referrals, contributing to coercive pathways (Theme 3). These interconnections highlight the multi-layered nature of inequality.</w:t>
      </w:r>
    </w:p>
    <w:p w14:paraId="56C55FCA" w14:textId="206EACC2" w:rsidR="17FAC215" w:rsidRDefault="17FAC215" w:rsidP="7E9A36F7">
      <w:pPr>
        <w:pStyle w:val="Heading1"/>
        <w:spacing w:before="322" w:after="322" w:line="360" w:lineRule="auto"/>
        <w:rPr>
          <w:rFonts w:ascii="Arial" w:eastAsia="Arial" w:hAnsi="Arial" w:cs="Arial"/>
          <w:b/>
          <w:bCs/>
          <w:color w:val="auto"/>
          <w:sz w:val="22"/>
          <w:szCs w:val="22"/>
        </w:rPr>
      </w:pPr>
      <w:r w:rsidRPr="7E9A36F7">
        <w:rPr>
          <w:rFonts w:ascii="Arial" w:eastAsia="Arial" w:hAnsi="Arial" w:cs="Arial"/>
          <w:b/>
          <w:bCs/>
          <w:color w:val="auto"/>
          <w:sz w:val="22"/>
          <w:szCs w:val="22"/>
        </w:rPr>
        <w:lastRenderedPageBreak/>
        <w:t>4.4 Theme 2 – Cultural Beliefs, Stigma, and Mistrust</w:t>
      </w:r>
    </w:p>
    <w:p w14:paraId="4B6F605A" w14:textId="069C32B6"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Definition and Scope</w:t>
      </w:r>
    </w:p>
    <w:p w14:paraId="365250E0" w14:textId="2D49A039"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Cultural stigma refers to negative beliefs surrounding mental illness that may discourage help-seeking. This theme explores how cultural perceptions, community norms, anticipated discrimination, and mistrust influence engagement with mental health services.</w:t>
      </w:r>
    </w:p>
    <w:p w14:paraId="5F7E5D0B" w14:textId="56EA5FAA"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Background Context</w:t>
      </w:r>
    </w:p>
    <w:p w14:paraId="71E6AF05" w14:textId="2C20DA09"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Historically, racialised psychiatric diagnoses and disproportionate detention rates shaped perceptions of mental health services among minority communities. Policy responses in the 2000s increasingly promoted cultural competence and community engagement. However, mistrust remains evident in contemporary data.</w:t>
      </w:r>
    </w:p>
    <w:p w14:paraId="11FFAE05" w14:textId="25320A8E"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Relevance to Research Aim</w:t>
      </w:r>
    </w:p>
    <w:p w14:paraId="1274BDB6" w14:textId="77F6F48E"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This theme addresses the cultural dimension of the research aim by demonstrating how perceptions, experiences, and relational dynamics influence access to care.</w:t>
      </w:r>
    </w:p>
    <w:p w14:paraId="6553EA6D" w14:textId="082FC5DE"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Data and Statistical Context</w:t>
      </w:r>
    </w:p>
    <w:p w14:paraId="20F1EACC" w14:textId="36CA938C"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NHS Digital (2023) reports that Black and Asian adults are less likely to access talking therapies compared to White British adults. Additionally, NHS England (2022) found lower reported satisfaction rates among ethnic minority service users.</w:t>
      </w:r>
    </w:p>
    <w:p w14:paraId="52C47797" w14:textId="25AD1A22"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These figures indicate disparities not only in access but also in service experience.</w:t>
      </w:r>
    </w:p>
    <w:p w14:paraId="3F8D4B24" w14:textId="62BA4722"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Theoretical Framework</w:t>
      </w:r>
    </w:p>
    <w:p w14:paraId="35A83C0A" w14:textId="469CC5B2"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Cultural Competence Theory (Sue et al., 2009) emphasises awareness of practitioner bias and adaptation of services to diverse populations. While useful, critics argue that it may overemphasise interpersonal adaptation without addressing systemic power imbalances (Fernando, 2017).</w:t>
      </w:r>
    </w:p>
    <w:p w14:paraId="5A2C6757" w14:textId="15D300EF"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lastRenderedPageBreak/>
        <w:t>Policy Context</w:t>
      </w:r>
    </w:p>
    <w:p w14:paraId="52312BC3" w14:textId="32444384" w:rsidR="17FAC215" w:rsidRDefault="17FAC215" w:rsidP="4B3CCB66">
      <w:pPr>
        <w:spacing w:before="240" w:after="240" w:line="360" w:lineRule="auto"/>
        <w:rPr>
          <w:rFonts w:ascii="Arial" w:eastAsia="Arial" w:hAnsi="Arial" w:cs="Arial"/>
          <w:sz w:val="22"/>
          <w:szCs w:val="22"/>
        </w:rPr>
      </w:pPr>
      <w:r w:rsidRPr="4B3CCB66">
        <w:rPr>
          <w:rFonts w:ascii="Arial" w:eastAsia="Arial" w:hAnsi="Arial" w:cs="Arial"/>
          <w:sz w:val="22"/>
          <w:szCs w:val="22"/>
        </w:rPr>
        <w:t>The Equality Act 2010 legally mandates non-discrimination in public services. The NHS Long Term Plan (2019) further commits to reducing inequalities in therapy access. However, persistent disparities suggest inconsistent implementation.</w:t>
      </w:r>
    </w:p>
    <w:p w14:paraId="7642E8CB" w14:textId="4FD485CF" w:rsidR="17FAC215" w:rsidRDefault="17FAC215" w:rsidP="7E9A36F7">
      <w:pPr>
        <w:pStyle w:val="Heading2"/>
        <w:spacing w:before="299" w:after="299" w:line="360" w:lineRule="auto"/>
        <w:rPr>
          <w:rFonts w:ascii="Arial" w:eastAsia="Arial" w:hAnsi="Arial" w:cs="Arial"/>
          <w:b/>
          <w:bCs/>
          <w:color w:val="auto"/>
          <w:sz w:val="22"/>
          <w:szCs w:val="22"/>
        </w:rPr>
      </w:pPr>
      <w:r w:rsidRPr="4B3CCB66">
        <w:rPr>
          <w:rFonts w:ascii="Arial" w:eastAsia="Arial" w:hAnsi="Arial" w:cs="Arial"/>
          <w:b/>
          <w:bCs/>
          <w:color w:val="auto"/>
          <w:sz w:val="22"/>
          <w:szCs w:val="22"/>
        </w:rPr>
        <w:t>Examples from the Literature</w:t>
      </w:r>
    </w:p>
    <w:p w14:paraId="12B23029" w14:textId="0E145B01"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Bhui et al. (2018) highlight how culturally insensitive practice reduces trust and engagement.</w:t>
      </w:r>
    </w:p>
    <w:p w14:paraId="3BABF43A" w14:textId="49DB7043"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Henderson et al. (2013) demonstrate that anticipated discrimination predicts delayed help-seeking.</w:t>
      </w:r>
    </w:p>
    <w:p w14:paraId="748A0C2F" w14:textId="4DB51276"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Bhugra et al. (2021) argue that mistrust may reflect rational responses to systemic exclusion rather than cultural resistance.</w:t>
      </w:r>
    </w:p>
    <w:p w14:paraId="052CC335" w14:textId="7C83E609"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These studies collectively show that cultural barriers are shaped by lived experiences of inequality.</w:t>
      </w:r>
    </w:p>
    <w:p w14:paraId="620591A9" w14:textId="5004DF7E"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Implications</w:t>
      </w:r>
    </w:p>
    <w:p w14:paraId="484EC80D" w14:textId="02F2E450" w:rsidR="17FAC215" w:rsidRDefault="17FAC215"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Cultural mistrust reduces early engagement and treatment completion. While culturally adapted interventions show promise, surface-level adaptations may be insufficient without structural reform.</w:t>
      </w:r>
    </w:p>
    <w:p w14:paraId="0E43DA03" w14:textId="0DB261B2" w:rsidR="17FAC215" w:rsidRDefault="17FAC215"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Connections to Other Themes</w:t>
      </w:r>
    </w:p>
    <w:p w14:paraId="5C859743" w14:textId="31AFDD48" w:rsidR="67BAD222" w:rsidRDefault="0903769F" w:rsidP="24E26AF7">
      <w:pPr>
        <w:spacing w:before="240" w:after="240" w:line="360" w:lineRule="auto"/>
        <w:rPr>
          <w:rFonts w:ascii="Arial" w:eastAsia="Arial" w:hAnsi="Arial" w:cs="Arial"/>
          <w:sz w:val="22"/>
          <w:szCs w:val="22"/>
        </w:rPr>
      </w:pPr>
      <w:r w:rsidRPr="24E26AF7">
        <w:rPr>
          <w:rFonts w:ascii="Arial" w:eastAsia="Arial" w:hAnsi="Arial" w:cs="Arial"/>
          <w:sz w:val="22"/>
          <w:szCs w:val="22"/>
        </w:rPr>
        <w:t>Mistrust often develops within contexts of deprivation (Theme 1) and is reinforced by coercive institutional experiences (Theme 3). The interaction between structural disadvantage and institutional bias sustains cultural disengagement.</w:t>
      </w:r>
    </w:p>
    <w:p w14:paraId="42CB79A7" w14:textId="0D2D99E9" w:rsidR="558BC371" w:rsidRDefault="558BC371" w:rsidP="7E9A36F7">
      <w:pPr>
        <w:pStyle w:val="Heading1"/>
        <w:spacing w:before="322" w:after="322" w:line="360" w:lineRule="auto"/>
        <w:rPr>
          <w:rFonts w:ascii="Arial" w:eastAsia="Arial" w:hAnsi="Arial" w:cs="Arial"/>
          <w:b/>
          <w:bCs/>
          <w:color w:val="auto"/>
          <w:sz w:val="22"/>
          <w:szCs w:val="22"/>
        </w:rPr>
      </w:pPr>
      <w:r w:rsidRPr="7E9A36F7">
        <w:rPr>
          <w:rFonts w:ascii="Arial" w:eastAsia="Arial" w:hAnsi="Arial" w:cs="Arial"/>
          <w:b/>
          <w:bCs/>
          <w:color w:val="auto"/>
          <w:sz w:val="22"/>
          <w:szCs w:val="22"/>
        </w:rPr>
        <w:t>4.5 Theme 3 – Institutional and Systemic Barriers</w:t>
      </w:r>
    </w:p>
    <w:p w14:paraId="7CD474E2" w14:textId="43A15710"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Definition and Scope</w:t>
      </w:r>
    </w:p>
    <w:p w14:paraId="24B32D59" w14:textId="67242FC0"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Institutional barriers refer to policies, practices, and decision-making processes within mental health systems that produce unequal outcomes across ethnic groups.</w:t>
      </w:r>
    </w:p>
    <w:p w14:paraId="6663744C" w14:textId="3F2CD5BF"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lastRenderedPageBreak/>
        <w:t>Background Context</w:t>
      </w:r>
    </w:p>
    <w:p w14:paraId="28DC4FCE" w14:textId="6E6BDC08"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Research since the 1980s has documented disproportionate detention of Black individuals under mental health legislation. Despite policy reforms, disparities remain persistent.</w:t>
      </w:r>
    </w:p>
    <w:p w14:paraId="40D4EAFC" w14:textId="1DC900CD"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Relevance to Research Aim</w:t>
      </w:r>
    </w:p>
    <w:p w14:paraId="2D39D0B7" w14:textId="636C3DF5" w:rsidR="558BC371" w:rsidRDefault="22DD5727" w:rsidP="24E26AF7">
      <w:pPr>
        <w:spacing w:before="240" w:after="240" w:line="360" w:lineRule="auto"/>
        <w:rPr>
          <w:rFonts w:ascii="Arial" w:eastAsia="Arial" w:hAnsi="Arial" w:cs="Arial"/>
          <w:b/>
          <w:bCs/>
          <w:sz w:val="22"/>
          <w:szCs w:val="22"/>
        </w:rPr>
      </w:pPr>
      <w:r w:rsidRPr="4B3CCB66">
        <w:rPr>
          <w:rFonts w:ascii="Arial" w:eastAsia="Arial" w:hAnsi="Arial" w:cs="Arial"/>
          <w:sz w:val="22"/>
          <w:szCs w:val="22"/>
        </w:rPr>
        <w:t>This theme addresses the systemic dimension of the research aim by analysing how organisational structures shape access pathways.</w:t>
      </w:r>
    </w:p>
    <w:p w14:paraId="7572CCA3" w14:textId="5BC46E79" w:rsidR="558BC371" w:rsidRDefault="22DD5727" w:rsidP="24E26AF7">
      <w:pPr>
        <w:spacing w:before="240" w:after="240" w:line="360" w:lineRule="auto"/>
        <w:rPr>
          <w:rFonts w:ascii="Arial" w:eastAsia="Arial" w:hAnsi="Arial" w:cs="Arial"/>
          <w:b/>
          <w:bCs/>
          <w:sz w:val="22"/>
          <w:szCs w:val="22"/>
        </w:rPr>
      </w:pPr>
      <w:r w:rsidRPr="24E26AF7">
        <w:rPr>
          <w:rFonts w:ascii="Arial" w:eastAsia="Arial" w:hAnsi="Arial" w:cs="Arial"/>
          <w:b/>
          <w:bCs/>
          <w:sz w:val="22"/>
          <w:szCs w:val="22"/>
        </w:rPr>
        <w:t>Data and Statistical Context</w:t>
      </w:r>
    </w:p>
    <w:p w14:paraId="0ECFBE56" w14:textId="06DA5F7C"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 Care Quality Commission (2022) reports that Black individuals are over four times more likely to be detained under the Mental Health Act compared to White individuals. This ratio has remained largely unchanged over the past decade.</w:t>
      </w:r>
    </w:p>
    <w:p w14:paraId="1979292C" w14:textId="18475664"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Such persistence indicates systemic rather than incidental inequality.</w:t>
      </w:r>
    </w:p>
    <w:p w14:paraId="6654937A" w14:textId="613207F6"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Theoretical Framework</w:t>
      </w:r>
    </w:p>
    <w:p w14:paraId="12425E16" w14:textId="2BE4AFF2"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Critical Race Theory (Delgado and Stefancic, 2017) argues that racism is embedded within institutional structures. This framework supports interpretation of detention disparities as systemic rather than purely clinical.</w:t>
      </w:r>
    </w:p>
    <w:p w14:paraId="33E497A2" w14:textId="7CDB0D33"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Policy Context</w:t>
      </w:r>
    </w:p>
    <w:p w14:paraId="67264B4B" w14:textId="3A2E1251"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The Mental Health Act 1983 (amended 2007) governs compulsory detention. Delivering Race Equality (Department of Health, 2005) aimed to reduce disparities, yet measurable change has been limited.</w:t>
      </w:r>
    </w:p>
    <w:p w14:paraId="711578F9" w14:textId="5DD85A43"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Examples from the Literature</w:t>
      </w:r>
    </w:p>
    <w:p w14:paraId="16953AC8" w14:textId="5E614D6F"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Halvorsrud et al. (2018) confirm higher rates of compulsory admission among Black individuals.</w:t>
      </w:r>
    </w:p>
    <w:p w14:paraId="169F3413" w14:textId="05C2ECEF"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Barnett et al. (2019) show increased police involvement in minority referrals.</w:t>
      </w:r>
    </w:p>
    <w:p w14:paraId="673C3FB4" w14:textId="3E8797D5"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Raleigh and Holmes (2021) note that detention ratios remain stable despite policy reform.</w:t>
      </w:r>
    </w:p>
    <w:p w14:paraId="5E16D85E" w14:textId="147B5FED"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Together, these findings demonstrate systemic persistence.</w:t>
      </w:r>
    </w:p>
    <w:p w14:paraId="0B9ECA67" w14:textId="6E5559F5"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lastRenderedPageBreak/>
        <w:t>Implications</w:t>
      </w:r>
    </w:p>
    <w:p w14:paraId="4EC90C65" w14:textId="59CA5CEE"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Coercive pathways reinforce mistrust and reduce voluntary engagement. While monitoring mechanisms have increased, structural reform remains incomplete.</w:t>
      </w:r>
    </w:p>
    <w:p w14:paraId="3BA89BCF" w14:textId="349EFE09" w:rsidR="558BC371" w:rsidRDefault="558BC371" w:rsidP="7E9A36F7">
      <w:pPr>
        <w:pStyle w:val="Heading2"/>
        <w:spacing w:before="299" w:after="299" w:line="360" w:lineRule="auto"/>
        <w:rPr>
          <w:rFonts w:ascii="Arial" w:eastAsia="Arial" w:hAnsi="Arial" w:cs="Arial"/>
          <w:b/>
          <w:bCs/>
          <w:color w:val="auto"/>
          <w:sz w:val="22"/>
          <w:szCs w:val="22"/>
        </w:rPr>
      </w:pPr>
      <w:r w:rsidRPr="7E9A36F7">
        <w:rPr>
          <w:rFonts w:ascii="Arial" w:eastAsia="Arial" w:hAnsi="Arial" w:cs="Arial"/>
          <w:b/>
          <w:bCs/>
          <w:color w:val="auto"/>
          <w:sz w:val="22"/>
          <w:szCs w:val="22"/>
        </w:rPr>
        <w:t>Connections to Other Themes</w:t>
      </w:r>
    </w:p>
    <w:p w14:paraId="5DD7585E" w14:textId="71EFB895" w:rsidR="558BC371" w:rsidRDefault="558BC371" w:rsidP="7E9A36F7">
      <w:pPr>
        <w:spacing w:before="240" w:after="240" w:line="360" w:lineRule="auto"/>
        <w:rPr>
          <w:rFonts w:ascii="Arial" w:eastAsia="Arial" w:hAnsi="Arial" w:cs="Arial"/>
          <w:sz w:val="22"/>
          <w:szCs w:val="22"/>
        </w:rPr>
      </w:pPr>
      <w:r w:rsidRPr="7E9A36F7">
        <w:rPr>
          <w:rFonts w:ascii="Arial" w:eastAsia="Arial" w:hAnsi="Arial" w:cs="Arial"/>
          <w:sz w:val="22"/>
          <w:szCs w:val="22"/>
        </w:rPr>
        <w:t>Institutional barriers represent the convergence of structural disadvantage and cultural mistrust. Delayed help-seeking (Theme 2) combined with deprivation (Theme 1) increases exposure to crisis pathways.</w:t>
      </w:r>
    </w:p>
    <w:p w14:paraId="2788A176"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29" w:name="_Toc1386548347"/>
      <w:r w:rsidRPr="7E9A36F7">
        <w:rPr>
          <w:rFonts w:ascii="Arial" w:eastAsia="Arial" w:hAnsi="Arial" w:cs="Arial"/>
          <w:b/>
          <w:bCs/>
          <w:color w:val="auto"/>
          <w:sz w:val="22"/>
          <w:szCs w:val="22"/>
        </w:rPr>
        <w:t>4.6 Chapter Summary</w:t>
      </w:r>
      <w:bookmarkEnd w:id="29"/>
    </w:p>
    <w:p w14:paraId="27FFA664" w14:textId="5A44DB46" w:rsidR="67BAD222" w:rsidRDefault="357CF490" w:rsidP="7E9A36F7">
      <w:pPr>
        <w:spacing w:before="240" w:after="240" w:line="360" w:lineRule="auto"/>
      </w:pPr>
      <w:r w:rsidRPr="7E9A36F7">
        <w:rPr>
          <w:rFonts w:ascii="Arial" w:eastAsia="Arial" w:hAnsi="Arial" w:cs="Arial"/>
          <w:sz w:val="22"/>
          <w:szCs w:val="22"/>
        </w:rPr>
        <w:t>This chapter has identified three interconnected barriers shaping ethnic minorities’ access to mental health services in the United Kingdom: structural inequality, cultural mistrust, and institutional bias.</w:t>
      </w:r>
    </w:p>
    <w:p w14:paraId="0F339118" w14:textId="1C7DFE81" w:rsidR="67BAD222" w:rsidRDefault="357CF490" w:rsidP="7E9A36F7">
      <w:pPr>
        <w:spacing w:before="240" w:after="240" w:line="360" w:lineRule="auto"/>
      </w:pPr>
      <w:r w:rsidRPr="7E9A36F7">
        <w:rPr>
          <w:rFonts w:ascii="Arial" w:eastAsia="Arial" w:hAnsi="Arial" w:cs="Arial"/>
          <w:sz w:val="22"/>
          <w:szCs w:val="22"/>
        </w:rPr>
        <w:t>Together, these themes demonstrate that inequalities are produced through overlapping social, cultural, and systemic mechanisms rather than individual behaviour alone. Despite increasing policy recognition of disparities, measurable inequalities persist, particularly in detention rates and therapy engagement.</w:t>
      </w:r>
    </w:p>
    <w:p w14:paraId="6002E117" w14:textId="4FFE7DBD" w:rsidR="67BAD222" w:rsidRDefault="357CF490" w:rsidP="7E9A36F7">
      <w:pPr>
        <w:spacing w:before="240" w:after="240" w:line="360" w:lineRule="auto"/>
      </w:pPr>
      <w:r w:rsidRPr="7E9A36F7">
        <w:rPr>
          <w:rFonts w:ascii="Arial" w:eastAsia="Arial" w:hAnsi="Arial" w:cs="Arial"/>
          <w:sz w:val="22"/>
          <w:szCs w:val="22"/>
        </w:rPr>
        <w:t>These findings directly address the research aim by illustrating how social, cultural, and systemic influences interact to shape unequal access to care.</w:t>
      </w:r>
    </w:p>
    <w:p w14:paraId="33F244F5" w14:textId="768564A9" w:rsidR="24E26AF7" w:rsidRDefault="357CF490" w:rsidP="4B3CCB66">
      <w:pPr>
        <w:spacing w:before="240" w:after="240" w:line="360" w:lineRule="auto"/>
      </w:pPr>
      <w:r w:rsidRPr="4B3CCB66">
        <w:rPr>
          <w:rFonts w:ascii="Arial" w:eastAsia="Arial" w:hAnsi="Arial" w:cs="Arial"/>
          <w:sz w:val="22"/>
          <w:szCs w:val="22"/>
        </w:rPr>
        <w:t>The following chapter builds on this analysis by exploring the implications of these findings for policy, practice, and future research, and by presenting recommendations aimed at promoting greater equity within UK mental health services.</w:t>
      </w:r>
    </w:p>
    <w:p w14:paraId="692FD7FD" w14:textId="223A66C2" w:rsidR="24E26AF7" w:rsidRDefault="24E26AF7" w:rsidP="24E26AF7">
      <w:pPr>
        <w:spacing w:before="120" w:after="120" w:line="360" w:lineRule="auto"/>
        <w:rPr>
          <w:rFonts w:ascii="Arial" w:eastAsia="Arial" w:hAnsi="Arial" w:cs="Arial"/>
          <w:sz w:val="22"/>
          <w:szCs w:val="22"/>
        </w:rPr>
      </w:pPr>
    </w:p>
    <w:p w14:paraId="2560736C" w14:textId="77777777" w:rsidR="00DD1539" w:rsidRDefault="00DD1539" w:rsidP="24E26AF7">
      <w:pPr>
        <w:spacing w:before="120" w:after="120" w:line="360" w:lineRule="auto"/>
        <w:rPr>
          <w:rFonts w:ascii="Arial" w:eastAsia="Arial" w:hAnsi="Arial" w:cs="Arial"/>
          <w:sz w:val="22"/>
          <w:szCs w:val="22"/>
        </w:rPr>
      </w:pPr>
    </w:p>
    <w:p w14:paraId="1E14C044" w14:textId="77777777" w:rsidR="00DD1539" w:rsidRDefault="00DD1539" w:rsidP="24E26AF7">
      <w:pPr>
        <w:spacing w:before="120" w:after="120" w:line="360" w:lineRule="auto"/>
        <w:rPr>
          <w:rFonts w:ascii="Arial" w:eastAsia="Arial" w:hAnsi="Arial" w:cs="Arial"/>
          <w:sz w:val="22"/>
          <w:szCs w:val="22"/>
        </w:rPr>
      </w:pPr>
    </w:p>
    <w:p w14:paraId="65412EB0" w14:textId="77777777" w:rsidR="00DD1539" w:rsidRDefault="00DD1539" w:rsidP="24E26AF7">
      <w:pPr>
        <w:spacing w:before="120" w:after="120" w:line="360" w:lineRule="auto"/>
        <w:rPr>
          <w:rFonts w:ascii="Arial" w:eastAsia="Arial" w:hAnsi="Arial" w:cs="Arial"/>
          <w:sz w:val="22"/>
          <w:szCs w:val="22"/>
        </w:rPr>
      </w:pPr>
    </w:p>
    <w:p w14:paraId="091C1E0E" w14:textId="77777777" w:rsidR="00DD1539" w:rsidRDefault="00DD1539" w:rsidP="24E26AF7">
      <w:pPr>
        <w:spacing w:before="120" w:after="120" w:line="360" w:lineRule="auto"/>
        <w:rPr>
          <w:rFonts w:ascii="Arial" w:eastAsia="Arial" w:hAnsi="Arial" w:cs="Arial"/>
          <w:sz w:val="22"/>
          <w:szCs w:val="22"/>
        </w:rPr>
      </w:pPr>
    </w:p>
    <w:p w14:paraId="0208EF61" w14:textId="77777777" w:rsidR="00DD1539" w:rsidRDefault="00DD1539" w:rsidP="24E26AF7">
      <w:pPr>
        <w:spacing w:before="120" w:after="120" w:line="360" w:lineRule="auto"/>
        <w:rPr>
          <w:rFonts w:ascii="Arial" w:eastAsia="Arial" w:hAnsi="Arial" w:cs="Arial"/>
          <w:sz w:val="22"/>
          <w:szCs w:val="22"/>
        </w:rPr>
      </w:pPr>
    </w:p>
    <w:p w14:paraId="637667AA" w14:textId="77777777" w:rsidR="00DD1539" w:rsidRDefault="00DD1539" w:rsidP="24E26AF7">
      <w:pPr>
        <w:spacing w:before="120" w:after="120" w:line="360" w:lineRule="auto"/>
        <w:rPr>
          <w:rFonts w:ascii="Arial" w:eastAsia="Arial" w:hAnsi="Arial" w:cs="Arial"/>
          <w:sz w:val="22"/>
          <w:szCs w:val="22"/>
        </w:rPr>
      </w:pPr>
    </w:p>
    <w:p w14:paraId="5456221B" w14:textId="01D8B77F" w:rsidR="00BE61AB" w:rsidRPr="00BE61AB" w:rsidRDefault="7C6BBD75" w:rsidP="67BAD222">
      <w:pPr>
        <w:pStyle w:val="Heading2"/>
        <w:spacing w:line="360" w:lineRule="auto"/>
        <w:rPr>
          <w:rFonts w:ascii="Arial" w:eastAsia="Arial" w:hAnsi="Arial" w:cs="Arial"/>
          <w:b/>
          <w:bCs/>
          <w:color w:val="auto"/>
          <w:sz w:val="22"/>
          <w:szCs w:val="22"/>
        </w:rPr>
      </w:pPr>
      <w:bookmarkStart w:id="30" w:name="_Toc1781661983"/>
      <w:r w:rsidRPr="67BAD222">
        <w:rPr>
          <w:rFonts w:ascii="Arial" w:eastAsia="Arial" w:hAnsi="Arial" w:cs="Arial"/>
          <w:b/>
          <w:bCs/>
          <w:color w:val="auto"/>
          <w:sz w:val="22"/>
          <w:szCs w:val="22"/>
        </w:rPr>
        <w:lastRenderedPageBreak/>
        <w:t>Appendix A: Results Summary Table</w:t>
      </w:r>
      <w:bookmarkEnd w:id="30"/>
    </w:p>
    <w:p w14:paraId="5DC57516" w14:textId="0416778A" w:rsidR="00EE3DBA" w:rsidRPr="00EE3DBA" w:rsidRDefault="00EE3DBA" w:rsidP="67BAD222"/>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25"/>
        <w:gridCol w:w="1185"/>
        <w:gridCol w:w="1084"/>
        <w:gridCol w:w="1132"/>
        <w:gridCol w:w="1352"/>
        <w:gridCol w:w="1250"/>
        <w:gridCol w:w="1187"/>
        <w:gridCol w:w="695"/>
      </w:tblGrid>
      <w:tr w:rsidR="24E26AF7" w14:paraId="0B9AEE2F"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4CBF2873" w14:textId="59593899"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Author &amp; Year</w:t>
            </w:r>
          </w:p>
        </w:tc>
        <w:tc>
          <w:tcPr>
            <w:tcW w:w="1187" w:type="dxa"/>
            <w:tcBorders>
              <w:top w:val="single" w:sz="6" w:space="0" w:color="E0E0E0"/>
              <w:left w:val="single" w:sz="6" w:space="0" w:color="E0E0E0"/>
              <w:bottom w:val="single" w:sz="6" w:space="0" w:color="E0E0E0"/>
              <w:right w:val="single" w:sz="6" w:space="0" w:color="E0E0E0"/>
            </w:tcBorders>
          </w:tcPr>
          <w:p w14:paraId="2AEB991F" w14:textId="62BF5C51"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Article Title</w:t>
            </w:r>
          </w:p>
        </w:tc>
        <w:tc>
          <w:tcPr>
            <w:tcW w:w="1095" w:type="dxa"/>
            <w:tcBorders>
              <w:top w:val="single" w:sz="6" w:space="0" w:color="E0E0E0"/>
              <w:left w:val="single" w:sz="6" w:space="0" w:color="E0E0E0"/>
              <w:bottom w:val="single" w:sz="6" w:space="0" w:color="E0E0E0"/>
              <w:right w:val="single" w:sz="6" w:space="0" w:color="E0E0E0"/>
            </w:tcBorders>
          </w:tcPr>
          <w:p w14:paraId="4DD60A3F" w14:textId="6EEECAE9"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Type of Study</w:t>
            </w:r>
          </w:p>
        </w:tc>
        <w:tc>
          <w:tcPr>
            <w:tcW w:w="1155" w:type="dxa"/>
            <w:tcBorders>
              <w:top w:val="single" w:sz="6" w:space="0" w:color="E0E0E0"/>
              <w:left w:val="single" w:sz="6" w:space="0" w:color="E0E0E0"/>
              <w:bottom w:val="single" w:sz="6" w:space="0" w:color="E0E0E0"/>
              <w:right w:val="single" w:sz="6" w:space="0" w:color="E0E0E0"/>
            </w:tcBorders>
          </w:tcPr>
          <w:p w14:paraId="2AEAE560" w14:textId="01EB490A"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Method &amp; Sample</w:t>
            </w:r>
          </w:p>
        </w:tc>
        <w:tc>
          <w:tcPr>
            <w:tcW w:w="1380" w:type="dxa"/>
            <w:tcBorders>
              <w:top w:val="single" w:sz="6" w:space="0" w:color="E0E0E0"/>
              <w:left w:val="single" w:sz="6" w:space="0" w:color="E0E0E0"/>
              <w:bottom w:val="single" w:sz="6" w:space="0" w:color="E0E0E0"/>
              <w:right w:val="single" w:sz="6" w:space="0" w:color="E0E0E0"/>
            </w:tcBorders>
          </w:tcPr>
          <w:p w14:paraId="66E7EC99" w14:textId="0F6B0D68"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Strengths &amp; Limitations</w:t>
            </w:r>
          </w:p>
        </w:tc>
        <w:tc>
          <w:tcPr>
            <w:tcW w:w="1260" w:type="dxa"/>
            <w:tcBorders>
              <w:top w:val="single" w:sz="6" w:space="0" w:color="E0E0E0"/>
              <w:left w:val="single" w:sz="6" w:space="0" w:color="E0E0E0"/>
              <w:bottom w:val="single" w:sz="6" w:space="0" w:color="E0E0E0"/>
              <w:right w:val="single" w:sz="6" w:space="0" w:color="E0E0E0"/>
            </w:tcBorders>
          </w:tcPr>
          <w:p w14:paraId="28D76D57" w14:textId="6985275C"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Main Findings</w:t>
            </w:r>
          </w:p>
        </w:tc>
        <w:tc>
          <w:tcPr>
            <w:tcW w:w="1215" w:type="dxa"/>
            <w:tcBorders>
              <w:top w:val="single" w:sz="6" w:space="0" w:color="E0E0E0"/>
              <w:left w:val="single" w:sz="6" w:space="0" w:color="E0E0E0"/>
              <w:bottom w:val="single" w:sz="6" w:space="0" w:color="E0E0E0"/>
              <w:right w:val="single" w:sz="6" w:space="0" w:color="E0E0E0"/>
            </w:tcBorders>
          </w:tcPr>
          <w:p w14:paraId="5700F9E7" w14:textId="6A4825EF"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Keywords / Codes</w:t>
            </w:r>
          </w:p>
        </w:tc>
        <w:tc>
          <w:tcPr>
            <w:tcW w:w="698" w:type="dxa"/>
            <w:tcBorders>
              <w:top w:val="single" w:sz="6" w:space="0" w:color="E0E0E0"/>
              <w:left w:val="single" w:sz="6" w:space="0" w:color="E0E0E0"/>
              <w:bottom w:val="single" w:sz="6" w:space="0" w:color="E0E0E0"/>
              <w:right w:val="single" w:sz="6" w:space="0" w:color="E0E0E0"/>
            </w:tcBorders>
          </w:tcPr>
          <w:p w14:paraId="1AE9F64D" w14:textId="595B52B8"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Theme</w:t>
            </w:r>
          </w:p>
        </w:tc>
      </w:tr>
      <w:tr w:rsidR="24E26AF7" w14:paraId="5A050C50"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27EFF292" w14:textId="238A5894" w:rsidR="24E26AF7" w:rsidRDefault="24E26AF7" w:rsidP="24E26AF7">
            <w:pPr>
              <w:rPr>
                <w:rFonts w:ascii="Arial" w:eastAsia="Arial" w:hAnsi="Arial" w:cs="Arial"/>
                <w:sz w:val="14"/>
                <w:szCs w:val="14"/>
              </w:rPr>
            </w:pPr>
            <w:r w:rsidRPr="24E26AF7">
              <w:rPr>
                <w:rFonts w:ascii="Arial" w:eastAsia="Arial" w:hAnsi="Arial" w:cs="Arial"/>
                <w:sz w:val="14"/>
                <w:szCs w:val="14"/>
              </w:rPr>
              <w:t>Nazroo &amp; Bhui (2021)</w:t>
            </w:r>
          </w:p>
        </w:tc>
        <w:tc>
          <w:tcPr>
            <w:tcW w:w="1187" w:type="dxa"/>
            <w:tcBorders>
              <w:top w:val="single" w:sz="6" w:space="0" w:color="E0E0E0"/>
              <w:left w:val="single" w:sz="6" w:space="0" w:color="E0E0E0"/>
              <w:bottom w:val="single" w:sz="6" w:space="0" w:color="E0E0E0"/>
              <w:right w:val="single" w:sz="6" w:space="0" w:color="E0E0E0"/>
            </w:tcBorders>
          </w:tcPr>
          <w:p w14:paraId="4A19E81E" w14:textId="59051807" w:rsidR="24E26AF7" w:rsidRDefault="24E26AF7" w:rsidP="24E26AF7">
            <w:pPr>
              <w:rPr>
                <w:rFonts w:ascii="Arial" w:eastAsia="Arial" w:hAnsi="Arial" w:cs="Arial"/>
                <w:sz w:val="14"/>
                <w:szCs w:val="14"/>
              </w:rPr>
            </w:pPr>
            <w:r w:rsidRPr="24E26AF7">
              <w:rPr>
                <w:rFonts w:ascii="Arial" w:eastAsia="Arial" w:hAnsi="Arial" w:cs="Arial"/>
                <w:sz w:val="14"/>
                <w:szCs w:val="14"/>
              </w:rPr>
              <w:t>Ethnic Inequalities in Mental Health Care</w:t>
            </w:r>
          </w:p>
        </w:tc>
        <w:tc>
          <w:tcPr>
            <w:tcW w:w="1095" w:type="dxa"/>
            <w:tcBorders>
              <w:top w:val="single" w:sz="6" w:space="0" w:color="E0E0E0"/>
              <w:left w:val="single" w:sz="6" w:space="0" w:color="E0E0E0"/>
              <w:bottom w:val="single" w:sz="6" w:space="0" w:color="E0E0E0"/>
              <w:right w:val="single" w:sz="6" w:space="0" w:color="E0E0E0"/>
            </w:tcBorders>
          </w:tcPr>
          <w:p w14:paraId="7B1C4C2C" w14:textId="273BAA7B" w:rsidR="24E26AF7" w:rsidRDefault="24E26AF7" w:rsidP="24E26AF7">
            <w:pPr>
              <w:rPr>
                <w:rFonts w:ascii="Arial" w:eastAsia="Arial" w:hAnsi="Arial" w:cs="Arial"/>
                <w:sz w:val="14"/>
                <w:szCs w:val="14"/>
              </w:rPr>
            </w:pPr>
            <w:r w:rsidRPr="24E26AF7">
              <w:rPr>
                <w:rFonts w:ascii="Arial" w:eastAsia="Arial" w:hAnsi="Arial" w:cs="Arial"/>
                <w:sz w:val="14"/>
                <w:szCs w:val="14"/>
              </w:rPr>
              <w:t>Literature Review</w:t>
            </w:r>
          </w:p>
        </w:tc>
        <w:tc>
          <w:tcPr>
            <w:tcW w:w="1155" w:type="dxa"/>
            <w:tcBorders>
              <w:top w:val="single" w:sz="6" w:space="0" w:color="E0E0E0"/>
              <w:left w:val="single" w:sz="6" w:space="0" w:color="E0E0E0"/>
              <w:bottom w:val="single" w:sz="6" w:space="0" w:color="E0E0E0"/>
              <w:right w:val="single" w:sz="6" w:space="0" w:color="E0E0E0"/>
            </w:tcBorders>
          </w:tcPr>
          <w:p w14:paraId="7F0B1FA7" w14:textId="74B81546" w:rsidR="24E26AF7" w:rsidRDefault="24E26AF7" w:rsidP="24E26AF7">
            <w:pPr>
              <w:rPr>
                <w:rFonts w:ascii="Arial" w:eastAsia="Arial" w:hAnsi="Arial" w:cs="Arial"/>
                <w:sz w:val="14"/>
                <w:szCs w:val="14"/>
              </w:rPr>
            </w:pPr>
            <w:r w:rsidRPr="24E26AF7">
              <w:rPr>
                <w:rFonts w:ascii="Arial" w:eastAsia="Arial" w:hAnsi="Arial" w:cs="Arial"/>
                <w:sz w:val="14"/>
                <w:szCs w:val="14"/>
              </w:rPr>
              <w:t>Review of UK datasets and studies</w:t>
            </w:r>
          </w:p>
        </w:tc>
        <w:tc>
          <w:tcPr>
            <w:tcW w:w="1380" w:type="dxa"/>
            <w:tcBorders>
              <w:top w:val="single" w:sz="6" w:space="0" w:color="E0E0E0"/>
              <w:left w:val="single" w:sz="6" w:space="0" w:color="E0E0E0"/>
              <w:bottom w:val="single" w:sz="6" w:space="0" w:color="E0E0E0"/>
              <w:right w:val="single" w:sz="6" w:space="0" w:color="E0E0E0"/>
            </w:tcBorders>
          </w:tcPr>
          <w:p w14:paraId="1DAA95B9" w14:textId="079C248D" w:rsidR="24E26AF7" w:rsidRDefault="24E26AF7" w:rsidP="24E26AF7">
            <w:pPr>
              <w:rPr>
                <w:rFonts w:ascii="Arial" w:eastAsia="Arial" w:hAnsi="Arial" w:cs="Arial"/>
                <w:sz w:val="14"/>
                <w:szCs w:val="14"/>
              </w:rPr>
            </w:pPr>
            <w:r w:rsidRPr="24E26AF7">
              <w:rPr>
                <w:rFonts w:ascii="Arial" w:eastAsia="Arial" w:hAnsi="Arial" w:cs="Arial"/>
                <w:sz w:val="14"/>
                <w:szCs w:val="14"/>
              </w:rPr>
              <w:t>Strong national relevance; secondary data</w:t>
            </w:r>
          </w:p>
        </w:tc>
        <w:tc>
          <w:tcPr>
            <w:tcW w:w="1260" w:type="dxa"/>
            <w:tcBorders>
              <w:top w:val="single" w:sz="6" w:space="0" w:color="E0E0E0"/>
              <w:left w:val="single" w:sz="6" w:space="0" w:color="E0E0E0"/>
              <w:bottom w:val="single" w:sz="6" w:space="0" w:color="E0E0E0"/>
              <w:right w:val="single" w:sz="6" w:space="0" w:color="E0E0E0"/>
            </w:tcBorders>
          </w:tcPr>
          <w:p w14:paraId="6954AA49" w14:textId="21C1842E" w:rsidR="24E26AF7" w:rsidRDefault="24E26AF7" w:rsidP="24E26AF7">
            <w:pPr>
              <w:rPr>
                <w:rFonts w:ascii="Arial" w:eastAsia="Arial" w:hAnsi="Arial" w:cs="Arial"/>
                <w:sz w:val="14"/>
                <w:szCs w:val="14"/>
              </w:rPr>
            </w:pPr>
            <w:r w:rsidRPr="24E26AF7">
              <w:rPr>
                <w:rFonts w:ascii="Arial" w:eastAsia="Arial" w:hAnsi="Arial" w:cs="Arial"/>
                <w:sz w:val="14"/>
                <w:szCs w:val="14"/>
              </w:rPr>
              <w:t>Socioeconomic disadvantage linked to poorer access and outcomes</w:t>
            </w:r>
          </w:p>
        </w:tc>
        <w:tc>
          <w:tcPr>
            <w:tcW w:w="1215" w:type="dxa"/>
            <w:tcBorders>
              <w:top w:val="single" w:sz="6" w:space="0" w:color="E0E0E0"/>
              <w:left w:val="single" w:sz="6" w:space="0" w:color="E0E0E0"/>
              <w:bottom w:val="single" w:sz="6" w:space="0" w:color="E0E0E0"/>
              <w:right w:val="single" w:sz="6" w:space="0" w:color="E0E0E0"/>
            </w:tcBorders>
          </w:tcPr>
          <w:p w14:paraId="058D2DD9" w14:textId="001D3250" w:rsidR="24E26AF7" w:rsidRDefault="24E26AF7" w:rsidP="24E26AF7">
            <w:pPr>
              <w:rPr>
                <w:rFonts w:ascii="Arial" w:eastAsia="Arial" w:hAnsi="Arial" w:cs="Arial"/>
                <w:sz w:val="14"/>
                <w:szCs w:val="14"/>
              </w:rPr>
            </w:pPr>
            <w:r w:rsidRPr="24E26AF7">
              <w:rPr>
                <w:rFonts w:ascii="Arial" w:eastAsia="Arial" w:hAnsi="Arial" w:cs="Arial"/>
                <w:sz w:val="14"/>
                <w:szCs w:val="14"/>
              </w:rPr>
              <w:t>deprivation, structural inequality</w:t>
            </w:r>
          </w:p>
        </w:tc>
        <w:tc>
          <w:tcPr>
            <w:tcW w:w="698" w:type="dxa"/>
            <w:tcBorders>
              <w:top w:val="single" w:sz="6" w:space="0" w:color="E0E0E0"/>
              <w:left w:val="single" w:sz="6" w:space="0" w:color="E0E0E0"/>
              <w:bottom w:val="single" w:sz="6" w:space="0" w:color="E0E0E0"/>
              <w:right w:val="single" w:sz="6" w:space="0" w:color="E0E0E0"/>
            </w:tcBorders>
          </w:tcPr>
          <w:p w14:paraId="25E9D446" w14:textId="4324B7B6" w:rsidR="24E26AF7" w:rsidRDefault="24E26AF7" w:rsidP="24E26AF7">
            <w:pPr>
              <w:rPr>
                <w:rFonts w:ascii="Arial" w:eastAsia="Arial" w:hAnsi="Arial" w:cs="Arial"/>
                <w:sz w:val="14"/>
                <w:szCs w:val="14"/>
              </w:rPr>
            </w:pPr>
            <w:r w:rsidRPr="24E26AF7">
              <w:rPr>
                <w:rFonts w:ascii="Arial" w:eastAsia="Arial" w:hAnsi="Arial" w:cs="Arial"/>
                <w:sz w:val="14"/>
                <w:szCs w:val="14"/>
              </w:rPr>
              <w:t>Theme 1</w:t>
            </w:r>
          </w:p>
        </w:tc>
      </w:tr>
      <w:tr w:rsidR="24E26AF7" w14:paraId="22D811AF"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2BDDAE8C" w14:textId="4ACC0648" w:rsidR="24E26AF7" w:rsidRDefault="24E26AF7" w:rsidP="24E26AF7">
            <w:pPr>
              <w:rPr>
                <w:rFonts w:ascii="Arial" w:eastAsia="Arial" w:hAnsi="Arial" w:cs="Arial"/>
                <w:sz w:val="14"/>
                <w:szCs w:val="14"/>
              </w:rPr>
            </w:pPr>
            <w:r w:rsidRPr="24E26AF7">
              <w:rPr>
                <w:rFonts w:ascii="Arial" w:eastAsia="Arial" w:hAnsi="Arial" w:cs="Arial"/>
                <w:sz w:val="14"/>
                <w:szCs w:val="14"/>
              </w:rPr>
              <w:t>Propper et al. (2020)</w:t>
            </w:r>
          </w:p>
        </w:tc>
        <w:tc>
          <w:tcPr>
            <w:tcW w:w="1187" w:type="dxa"/>
            <w:tcBorders>
              <w:top w:val="single" w:sz="6" w:space="0" w:color="E0E0E0"/>
              <w:left w:val="single" w:sz="6" w:space="0" w:color="E0E0E0"/>
              <w:bottom w:val="single" w:sz="6" w:space="0" w:color="E0E0E0"/>
              <w:right w:val="single" w:sz="6" w:space="0" w:color="E0E0E0"/>
            </w:tcBorders>
          </w:tcPr>
          <w:p w14:paraId="08799A58" w14:textId="0118A2C1" w:rsidR="24E26AF7" w:rsidRDefault="24E26AF7" w:rsidP="24E26AF7">
            <w:pPr>
              <w:rPr>
                <w:rFonts w:ascii="Arial" w:eastAsia="Arial" w:hAnsi="Arial" w:cs="Arial"/>
                <w:sz w:val="14"/>
                <w:szCs w:val="14"/>
              </w:rPr>
            </w:pPr>
            <w:r w:rsidRPr="24E26AF7">
              <w:rPr>
                <w:rFonts w:ascii="Arial" w:eastAsia="Arial" w:hAnsi="Arial" w:cs="Arial"/>
                <w:sz w:val="14"/>
                <w:szCs w:val="14"/>
              </w:rPr>
              <w:t>Area Deprivation and Mental Health Service Use</w:t>
            </w:r>
          </w:p>
        </w:tc>
        <w:tc>
          <w:tcPr>
            <w:tcW w:w="1095" w:type="dxa"/>
            <w:tcBorders>
              <w:top w:val="single" w:sz="6" w:space="0" w:color="E0E0E0"/>
              <w:left w:val="single" w:sz="6" w:space="0" w:color="E0E0E0"/>
              <w:bottom w:val="single" w:sz="6" w:space="0" w:color="E0E0E0"/>
              <w:right w:val="single" w:sz="6" w:space="0" w:color="E0E0E0"/>
            </w:tcBorders>
          </w:tcPr>
          <w:p w14:paraId="03340BF1" w14:textId="238CB21B" w:rsidR="24E26AF7" w:rsidRDefault="24E26AF7" w:rsidP="24E26AF7">
            <w:pPr>
              <w:rPr>
                <w:rFonts w:ascii="Arial" w:eastAsia="Arial" w:hAnsi="Arial" w:cs="Arial"/>
                <w:sz w:val="14"/>
                <w:szCs w:val="14"/>
              </w:rPr>
            </w:pPr>
            <w:r w:rsidRPr="24E26AF7">
              <w:rPr>
                <w:rFonts w:ascii="Arial" w:eastAsia="Arial" w:hAnsi="Arial" w:cs="Arial"/>
                <w:sz w:val="14"/>
                <w:szCs w:val="14"/>
              </w:rPr>
              <w:t>Quantitative</w:t>
            </w:r>
          </w:p>
        </w:tc>
        <w:tc>
          <w:tcPr>
            <w:tcW w:w="1155" w:type="dxa"/>
            <w:tcBorders>
              <w:top w:val="single" w:sz="6" w:space="0" w:color="E0E0E0"/>
              <w:left w:val="single" w:sz="6" w:space="0" w:color="E0E0E0"/>
              <w:bottom w:val="single" w:sz="6" w:space="0" w:color="E0E0E0"/>
              <w:right w:val="single" w:sz="6" w:space="0" w:color="E0E0E0"/>
            </w:tcBorders>
          </w:tcPr>
          <w:p w14:paraId="0466E2D7" w14:textId="2C4A1C98" w:rsidR="24E26AF7" w:rsidRDefault="24E26AF7" w:rsidP="24E26AF7">
            <w:pPr>
              <w:rPr>
                <w:rFonts w:ascii="Arial" w:eastAsia="Arial" w:hAnsi="Arial" w:cs="Arial"/>
                <w:sz w:val="14"/>
                <w:szCs w:val="14"/>
              </w:rPr>
            </w:pPr>
            <w:r w:rsidRPr="24E26AF7">
              <w:rPr>
                <w:rFonts w:ascii="Arial" w:eastAsia="Arial" w:hAnsi="Arial" w:cs="Arial"/>
                <w:sz w:val="14"/>
                <w:szCs w:val="14"/>
              </w:rPr>
              <w:t>Analysis of IAPT service data</w:t>
            </w:r>
          </w:p>
        </w:tc>
        <w:tc>
          <w:tcPr>
            <w:tcW w:w="1380" w:type="dxa"/>
            <w:tcBorders>
              <w:top w:val="single" w:sz="6" w:space="0" w:color="E0E0E0"/>
              <w:left w:val="single" w:sz="6" w:space="0" w:color="E0E0E0"/>
              <w:bottom w:val="single" w:sz="6" w:space="0" w:color="E0E0E0"/>
              <w:right w:val="single" w:sz="6" w:space="0" w:color="E0E0E0"/>
            </w:tcBorders>
          </w:tcPr>
          <w:p w14:paraId="71EB3CA6" w14:textId="33E96F24" w:rsidR="24E26AF7" w:rsidRDefault="24E26AF7" w:rsidP="24E26AF7">
            <w:pPr>
              <w:rPr>
                <w:rFonts w:ascii="Arial" w:eastAsia="Arial" w:hAnsi="Arial" w:cs="Arial"/>
                <w:sz w:val="14"/>
                <w:szCs w:val="14"/>
              </w:rPr>
            </w:pPr>
            <w:r w:rsidRPr="24E26AF7">
              <w:rPr>
                <w:rFonts w:ascii="Arial" w:eastAsia="Arial" w:hAnsi="Arial" w:cs="Arial"/>
                <w:sz w:val="14"/>
                <w:szCs w:val="14"/>
              </w:rPr>
              <w:t>Large dataset; limited qualitative insight</w:t>
            </w:r>
          </w:p>
        </w:tc>
        <w:tc>
          <w:tcPr>
            <w:tcW w:w="1260" w:type="dxa"/>
            <w:tcBorders>
              <w:top w:val="single" w:sz="6" w:space="0" w:color="E0E0E0"/>
              <w:left w:val="single" w:sz="6" w:space="0" w:color="E0E0E0"/>
              <w:bottom w:val="single" w:sz="6" w:space="0" w:color="E0E0E0"/>
              <w:right w:val="single" w:sz="6" w:space="0" w:color="E0E0E0"/>
            </w:tcBorders>
          </w:tcPr>
          <w:p w14:paraId="69ABCE46" w14:textId="12671E96" w:rsidR="24E26AF7" w:rsidRDefault="24E26AF7" w:rsidP="24E26AF7">
            <w:pPr>
              <w:rPr>
                <w:rFonts w:ascii="Arial" w:eastAsia="Arial" w:hAnsi="Arial" w:cs="Arial"/>
                <w:sz w:val="14"/>
                <w:szCs w:val="14"/>
              </w:rPr>
            </w:pPr>
            <w:r w:rsidRPr="24E26AF7">
              <w:rPr>
                <w:rFonts w:ascii="Arial" w:eastAsia="Arial" w:hAnsi="Arial" w:cs="Arial"/>
                <w:sz w:val="14"/>
                <w:szCs w:val="14"/>
              </w:rPr>
              <w:t>Deprivation predicts lower therapy engagement</w:t>
            </w:r>
          </w:p>
        </w:tc>
        <w:tc>
          <w:tcPr>
            <w:tcW w:w="1215" w:type="dxa"/>
            <w:tcBorders>
              <w:top w:val="single" w:sz="6" w:space="0" w:color="E0E0E0"/>
              <w:left w:val="single" w:sz="6" w:space="0" w:color="E0E0E0"/>
              <w:bottom w:val="single" w:sz="6" w:space="0" w:color="E0E0E0"/>
              <w:right w:val="single" w:sz="6" w:space="0" w:color="E0E0E0"/>
            </w:tcBorders>
          </w:tcPr>
          <w:p w14:paraId="41A8D2E4" w14:textId="42B03EC8" w:rsidR="24E26AF7" w:rsidRDefault="24E26AF7" w:rsidP="24E26AF7">
            <w:pPr>
              <w:rPr>
                <w:rFonts w:ascii="Arial" w:eastAsia="Arial" w:hAnsi="Arial" w:cs="Arial"/>
                <w:sz w:val="14"/>
                <w:szCs w:val="14"/>
              </w:rPr>
            </w:pPr>
            <w:r w:rsidRPr="24E26AF7">
              <w:rPr>
                <w:rFonts w:ascii="Arial" w:eastAsia="Arial" w:hAnsi="Arial" w:cs="Arial"/>
                <w:sz w:val="14"/>
                <w:szCs w:val="14"/>
              </w:rPr>
              <w:t>service utilisation, deprivation</w:t>
            </w:r>
          </w:p>
        </w:tc>
        <w:tc>
          <w:tcPr>
            <w:tcW w:w="698" w:type="dxa"/>
            <w:tcBorders>
              <w:top w:val="single" w:sz="6" w:space="0" w:color="E0E0E0"/>
              <w:left w:val="single" w:sz="6" w:space="0" w:color="E0E0E0"/>
              <w:bottom w:val="single" w:sz="6" w:space="0" w:color="E0E0E0"/>
              <w:right w:val="single" w:sz="6" w:space="0" w:color="E0E0E0"/>
            </w:tcBorders>
          </w:tcPr>
          <w:p w14:paraId="184E4188" w14:textId="34273704" w:rsidR="24E26AF7" w:rsidRDefault="24E26AF7" w:rsidP="24E26AF7">
            <w:pPr>
              <w:rPr>
                <w:rFonts w:ascii="Arial" w:eastAsia="Arial" w:hAnsi="Arial" w:cs="Arial"/>
                <w:sz w:val="14"/>
                <w:szCs w:val="14"/>
              </w:rPr>
            </w:pPr>
            <w:r w:rsidRPr="24E26AF7">
              <w:rPr>
                <w:rFonts w:ascii="Arial" w:eastAsia="Arial" w:hAnsi="Arial" w:cs="Arial"/>
                <w:sz w:val="14"/>
                <w:szCs w:val="14"/>
              </w:rPr>
              <w:t>Theme 1</w:t>
            </w:r>
          </w:p>
        </w:tc>
      </w:tr>
      <w:tr w:rsidR="24E26AF7" w14:paraId="40E1D310"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3D466D13" w14:textId="52EADA58" w:rsidR="24E26AF7" w:rsidRDefault="24E26AF7" w:rsidP="24E26AF7">
            <w:pPr>
              <w:rPr>
                <w:rFonts w:ascii="Arial" w:eastAsia="Arial" w:hAnsi="Arial" w:cs="Arial"/>
                <w:sz w:val="14"/>
                <w:szCs w:val="14"/>
              </w:rPr>
            </w:pPr>
            <w:r w:rsidRPr="24E26AF7">
              <w:rPr>
                <w:rFonts w:ascii="Arial" w:eastAsia="Arial" w:hAnsi="Arial" w:cs="Arial"/>
                <w:sz w:val="14"/>
                <w:szCs w:val="14"/>
              </w:rPr>
              <w:t>Daly et al. (2022)</w:t>
            </w:r>
          </w:p>
        </w:tc>
        <w:tc>
          <w:tcPr>
            <w:tcW w:w="1187" w:type="dxa"/>
            <w:tcBorders>
              <w:top w:val="single" w:sz="6" w:space="0" w:color="E0E0E0"/>
              <w:left w:val="single" w:sz="6" w:space="0" w:color="E0E0E0"/>
              <w:bottom w:val="single" w:sz="6" w:space="0" w:color="E0E0E0"/>
              <w:right w:val="single" w:sz="6" w:space="0" w:color="E0E0E0"/>
            </w:tcBorders>
          </w:tcPr>
          <w:p w14:paraId="287E04D7" w14:textId="3E93E57B" w:rsidR="24E26AF7" w:rsidRDefault="24E26AF7" w:rsidP="24E26AF7">
            <w:pPr>
              <w:rPr>
                <w:rFonts w:ascii="Arial" w:eastAsia="Arial" w:hAnsi="Arial" w:cs="Arial"/>
                <w:sz w:val="14"/>
                <w:szCs w:val="14"/>
              </w:rPr>
            </w:pPr>
            <w:r w:rsidRPr="24E26AF7">
              <w:rPr>
                <w:rFonts w:ascii="Arial" w:eastAsia="Arial" w:hAnsi="Arial" w:cs="Arial"/>
                <w:sz w:val="14"/>
                <w:szCs w:val="14"/>
              </w:rPr>
              <w:t>COVID-19 and Socioeconomic Inequality</w:t>
            </w:r>
          </w:p>
        </w:tc>
        <w:tc>
          <w:tcPr>
            <w:tcW w:w="1095" w:type="dxa"/>
            <w:tcBorders>
              <w:top w:val="single" w:sz="6" w:space="0" w:color="E0E0E0"/>
              <w:left w:val="single" w:sz="6" w:space="0" w:color="E0E0E0"/>
              <w:bottom w:val="single" w:sz="6" w:space="0" w:color="E0E0E0"/>
              <w:right w:val="single" w:sz="6" w:space="0" w:color="E0E0E0"/>
            </w:tcBorders>
          </w:tcPr>
          <w:p w14:paraId="5B7457BF" w14:textId="11C45342" w:rsidR="24E26AF7" w:rsidRDefault="24E26AF7" w:rsidP="24E26AF7">
            <w:pPr>
              <w:rPr>
                <w:rFonts w:ascii="Arial" w:eastAsia="Arial" w:hAnsi="Arial" w:cs="Arial"/>
                <w:sz w:val="14"/>
                <w:szCs w:val="14"/>
              </w:rPr>
            </w:pPr>
            <w:r w:rsidRPr="24E26AF7">
              <w:rPr>
                <w:rFonts w:ascii="Arial" w:eastAsia="Arial" w:hAnsi="Arial" w:cs="Arial"/>
                <w:sz w:val="14"/>
                <w:szCs w:val="14"/>
              </w:rPr>
              <w:t>Cohort Study</w:t>
            </w:r>
          </w:p>
        </w:tc>
        <w:tc>
          <w:tcPr>
            <w:tcW w:w="1155" w:type="dxa"/>
            <w:tcBorders>
              <w:top w:val="single" w:sz="6" w:space="0" w:color="E0E0E0"/>
              <w:left w:val="single" w:sz="6" w:space="0" w:color="E0E0E0"/>
              <w:bottom w:val="single" w:sz="6" w:space="0" w:color="E0E0E0"/>
              <w:right w:val="single" w:sz="6" w:space="0" w:color="E0E0E0"/>
            </w:tcBorders>
          </w:tcPr>
          <w:p w14:paraId="49EBCAA8" w14:textId="287C32A9" w:rsidR="24E26AF7" w:rsidRDefault="24E26AF7" w:rsidP="24E26AF7">
            <w:pPr>
              <w:rPr>
                <w:rFonts w:ascii="Arial" w:eastAsia="Arial" w:hAnsi="Arial" w:cs="Arial"/>
                <w:sz w:val="14"/>
                <w:szCs w:val="14"/>
              </w:rPr>
            </w:pPr>
            <w:r w:rsidRPr="24E26AF7">
              <w:rPr>
                <w:rFonts w:ascii="Arial" w:eastAsia="Arial" w:hAnsi="Arial" w:cs="Arial"/>
                <w:sz w:val="14"/>
                <w:szCs w:val="14"/>
              </w:rPr>
              <w:t>UK longitudinal survey</w:t>
            </w:r>
          </w:p>
        </w:tc>
        <w:tc>
          <w:tcPr>
            <w:tcW w:w="1380" w:type="dxa"/>
            <w:tcBorders>
              <w:top w:val="single" w:sz="6" w:space="0" w:color="E0E0E0"/>
              <w:left w:val="single" w:sz="6" w:space="0" w:color="E0E0E0"/>
              <w:bottom w:val="single" w:sz="6" w:space="0" w:color="E0E0E0"/>
              <w:right w:val="single" w:sz="6" w:space="0" w:color="E0E0E0"/>
            </w:tcBorders>
          </w:tcPr>
          <w:p w14:paraId="62B6632A" w14:textId="5CA51DF6" w:rsidR="24E26AF7" w:rsidRDefault="24E26AF7" w:rsidP="24E26AF7">
            <w:pPr>
              <w:rPr>
                <w:rFonts w:ascii="Arial" w:eastAsia="Arial" w:hAnsi="Arial" w:cs="Arial"/>
                <w:sz w:val="14"/>
                <w:szCs w:val="14"/>
              </w:rPr>
            </w:pPr>
            <w:r w:rsidRPr="24E26AF7">
              <w:rPr>
                <w:rFonts w:ascii="Arial" w:eastAsia="Arial" w:hAnsi="Arial" w:cs="Arial"/>
                <w:sz w:val="14"/>
                <w:szCs w:val="14"/>
              </w:rPr>
              <w:t>Contemporary relevance; pandemic-specific</w:t>
            </w:r>
          </w:p>
        </w:tc>
        <w:tc>
          <w:tcPr>
            <w:tcW w:w="1260" w:type="dxa"/>
            <w:tcBorders>
              <w:top w:val="single" w:sz="6" w:space="0" w:color="E0E0E0"/>
              <w:left w:val="single" w:sz="6" w:space="0" w:color="E0E0E0"/>
              <w:bottom w:val="single" w:sz="6" w:space="0" w:color="E0E0E0"/>
              <w:right w:val="single" w:sz="6" w:space="0" w:color="E0E0E0"/>
            </w:tcBorders>
          </w:tcPr>
          <w:p w14:paraId="1DDE0C0B" w14:textId="30B78611" w:rsidR="24E26AF7" w:rsidRDefault="24E26AF7" w:rsidP="24E26AF7">
            <w:pPr>
              <w:rPr>
                <w:rFonts w:ascii="Arial" w:eastAsia="Arial" w:hAnsi="Arial" w:cs="Arial"/>
                <w:sz w:val="14"/>
                <w:szCs w:val="14"/>
              </w:rPr>
            </w:pPr>
            <w:r w:rsidRPr="24E26AF7">
              <w:rPr>
                <w:rFonts w:ascii="Arial" w:eastAsia="Arial" w:hAnsi="Arial" w:cs="Arial"/>
                <w:sz w:val="14"/>
                <w:szCs w:val="14"/>
              </w:rPr>
              <w:t>Financial hardship linked to increased anxiety and depression</w:t>
            </w:r>
          </w:p>
        </w:tc>
        <w:tc>
          <w:tcPr>
            <w:tcW w:w="1215" w:type="dxa"/>
            <w:tcBorders>
              <w:top w:val="single" w:sz="6" w:space="0" w:color="E0E0E0"/>
              <w:left w:val="single" w:sz="6" w:space="0" w:color="E0E0E0"/>
              <w:bottom w:val="single" w:sz="6" w:space="0" w:color="E0E0E0"/>
              <w:right w:val="single" w:sz="6" w:space="0" w:color="E0E0E0"/>
            </w:tcBorders>
          </w:tcPr>
          <w:p w14:paraId="6BC7EE35" w14:textId="3C4C0973" w:rsidR="24E26AF7" w:rsidRDefault="24E26AF7" w:rsidP="24E26AF7">
            <w:pPr>
              <w:rPr>
                <w:rFonts w:ascii="Arial" w:eastAsia="Arial" w:hAnsi="Arial" w:cs="Arial"/>
                <w:sz w:val="14"/>
                <w:szCs w:val="14"/>
              </w:rPr>
            </w:pPr>
            <w:r w:rsidRPr="24E26AF7">
              <w:rPr>
                <w:rFonts w:ascii="Arial" w:eastAsia="Arial" w:hAnsi="Arial" w:cs="Arial"/>
                <w:sz w:val="14"/>
                <w:szCs w:val="14"/>
              </w:rPr>
              <w:t>poverty, housing instability</w:t>
            </w:r>
          </w:p>
        </w:tc>
        <w:tc>
          <w:tcPr>
            <w:tcW w:w="698" w:type="dxa"/>
            <w:tcBorders>
              <w:top w:val="single" w:sz="6" w:space="0" w:color="E0E0E0"/>
              <w:left w:val="single" w:sz="6" w:space="0" w:color="E0E0E0"/>
              <w:bottom w:val="single" w:sz="6" w:space="0" w:color="E0E0E0"/>
              <w:right w:val="single" w:sz="6" w:space="0" w:color="E0E0E0"/>
            </w:tcBorders>
          </w:tcPr>
          <w:p w14:paraId="55CF8E10" w14:textId="235CC35D" w:rsidR="24E26AF7" w:rsidRDefault="24E26AF7" w:rsidP="24E26AF7">
            <w:pPr>
              <w:rPr>
                <w:rFonts w:ascii="Arial" w:eastAsia="Arial" w:hAnsi="Arial" w:cs="Arial"/>
                <w:sz w:val="14"/>
                <w:szCs w:val="14"/>
              </w:rPr>
            </w:pPr>
            <w:r w:rsidRPr="24E26AF7">
              <w:rPr>
                <w:rFonts w:ascii="Arial" w:eastAsia="Arial" w:hAnsi="Arial" w:cs="Arial"/>
                <w:sz w:val="14"/>
                <w:szCs w:val="14"/>
              </w:rPr>
              <w:t>Theme 1</w:t>
            </w:r>
          </w:p>
        </w:tc>
      </w:tr>
      <w:tr w:rsidR="24E26AF7" w14:paraId="36A61BCF"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428E89F1" w14:textId="711BE20B" w:rsidR="24E26AF7" w:rsidRDefault="24E26AF7" w:rsidP="24E26AF7">
            <w:pPr>
              <w:rPr>
                <w:rFonts w:ascii="Arial" w:eastAsia="Arial" w:hAnsi="Arial" w:cs="Arial"/>
                <w:sz w:val="14"/>
                <w:szCs w:val="14"/>
              </w:rPr>
            </w:pPr>
            <w:r w:rsidRPr="24E26AF7">
              <w:rPr>
                <w:rFonts w:ascii="Arial" w:eastAsia="Arial" w:hAnsi="Arial" w:cs="Arial"/>
                <w:sz w:val="14"/>
                <w:szCs w:val="14"/>
              </w:rPr>
              <w:t>Bhui et al. (2018)</w:t>
            </w:r>
          </w:p>
        </w:tc>
        <w:tc>
          <w:tcPr>
            <w:tcW w:w="1187" w:type="dxa"/>
            <w:tcBorders>
              <w:top w:val="single" w:sz="6" w:space="0" w:color="E0E0E0"/>
              <w:left w:val="single" w:sz="6" w:space="0" w:color="E0E0E0"/>
              <w:bottom w:val="single" w:sz="6" w:space="0" w:color="E0E0E0"/>
              <w:right w:val="single" w:sz="6" w:space="0" w:color="E0E0E0"/>
            </w:tcBorders>
          </w:tcPr>
          <w:p w14:paraId="02265FE3" w14:textId="65E46094" w:rsidR="24E26AF7" w:rsidRDefault="24E26AF7" w:rsidP="24E26AF7">
            <w:pPr>
              <w:rPr>
                <w:rFonts w:ascii="Arial" w:eastAsia="Arial" w:hAnsi="Arial" w:cs="Arial"/>
                <w:sz w:val="14"/>
                <w:szCs w:val="14"/>
              </w:rPr>
            </w:pPr>
            <w:r w:rsidRPr="24E26AF7">
              <w:rPr>
                <w:rFonts w:ascii="Arial" w:eastAsia="Arial" w:hAnsi="Arial" w:cs="Arial"/>
                <w:sz w:val="14"/>
                <w:szCs w:val="14"/>
              </w:rPr>
              <w:t>Cultural Competence in Mental Health Services</w:t>
            </w:r>
          </w:p>
        </w:tc>
        <w:tc>
          <w:tcPr>
            <w:tcW w:w="1095" w:type="dxa"/>
            <w:tcBorders>
              <w:top w:val="single" w:sz="6" w:space="0" w:color="E0E0E0"/>
              <w:left w:val="single" w:sz="6" w:space="0" w:color="E0E0E0"/>
              <w:bottom w:val="single" w:sz="6" w:space="0" w:color="E0E0E0"/>
              <w:right w:val="single" w:sz="6" w:space="0" w:color="E0E0E0"/>
            </w:tcBorders>
          </w:tcPr>
          <w:p w14:paraId="0E51496F" w14:textId="26A9B497" w:rsidR="24E26AF7" w:rsidRDefault="24E26AF7" w:rsidP="24E26AF7">
            <w:pPr>
              <w:rPr>
                <w:rFonts w:ascii="Arial" w:eastAsia="Arial" w:hAnsi="Arial" w:cs="Arial"/>
                <w:sz w:val="14"/>
                <w:szCs w:val="14"/>
              </w:rPr>
            </w:pPr>
            <w:r w:rsidRPr="24E26AF7">
              <w:rPr>
                <w:rFonts w:ascii="Arial" w:eastAsia="Arial" w:hAnsi="Arial" w:cs="Arial"/>
                <w:sz w:val="14"/>
                <w:szCs w:val="14"/>
              </w:rPr>
              <w:t>Qualitative</w:t>
            </w:r>
          </w:p>
        </w:tc>
        <w:tc>
          <w:tcPr>
            <w:tcW w:w="1155" w:type="dxa"/>
            <w:tcBorders>
              <w:top w:val="single" w:sz="6" w:space="0" w:color="E0E0E0"/>
              <w:left w:val="single" w:sz="6" w:space="0" w:color="E0E0E0"/>
              <w:bottom w:val="single" w:sz="6" w:space="0" w:color="E0E0E0"/>
              <w:right w:val="single" w:sz="6" w:space="0" w:color="E0E0E0"/>
            </w:tcBorders>
          </w:tcPr>
          <w:p w14:paraId="5D038432" w14:textId="462C0100" w:rsidR="24E26AF7" w:rsidRDefault="24E26AF7" w:rsidP="24E26AF7">
            <w:pPr>
              <w:rPr>
                <w:rFonts w:ascii="Arial" w:eastAsia="Arial" w:hAnsi="Arial" w:cs="Arial"/>
                <w:sz w:val="14"/>
                <w:szCs w:val="14"/>
              </w:rPr>
            </w:pPr>
            <w:r w:rsidRPr="24E26AF7">
              <w:rPr>
                <w:rFonts w:ascii="Arial" w:eastAsia="Arial" w:hAnsi="Arial" w:cs="Arial"/>
                <w:sz w:val="14"/>
                <w:szCs w:val="14"/>
              </w:rPr>
              <w:t>Interviews with minority service users</w:t>
            </w:r>
          </w:p>
        </w:tc>
        <w:tc>
          <w:tcPr>
            <w:tcW w:w="1380" w:type="dxa"/>
            <w:tcBorders>
              <w:top w:val="single" w:sz="6" w:space="0" w:color="E0E0E0"/>
              <w:left w:val="single" w:sz="6" w:space="0" w:color="E0E0E0"/>
              <w:bottom w:val="single" w:sz="6" w:space="0" w:color="E0E0E0"/>
              <w:right w:val="single" w:sz="6" w:space="0" w:color="E0E0E0"/>
            </w:tcBorders>
          </w:tcPr>
          <w:p w14:paraId="19A471EE" w14:textId="683F414D" w:rsidR="24E26AF7" w:rsidRDefault="24E26AF7" w:rsidP="24E26AF7">
            <w:pPr>
              <w:rPr>
                <w:rFonts w:ascii="Arial" w:eastAsia="Arial" w:hAnsi="Arial" w:cs="Arial"/>
                <w:sz w:val="14"/>
                <w:szCs w:val="14"/>
              </w:rPr>
            </w:pPr>
            <w:r w:rsidRPr="24E26AF7">
              <w:rPr>
                <w:rFonts w:ascii="Arial" w:eastAsia="Arial" w:hAnsi="Arial" w:cs="Arial"/>
                <w:sz w:val="14"/>
                <w:szCs w:val="14"/>
              </w:rPr>
              <w:t>Rich service-user insight; smaller sample</w:t>
            </w:r>
          </w:p>
        </w:tc>
        <w:tc>
          <w:tcPr>
            <w:tcW w:w="1260" w:type="dxa"/>
            <w:tcBorders>
              <w:top w:val="single" w:sz="6" w:space="0" w:color="E0E0E0"/>
              <w:left w:val="single" w:sz="6" w:space="0" w:color="E0E0E0"/>
              <w:bottom w:val="single" w:sz="6" w:space="0" w:color="E0E0E0"/>
              <w:right w:val="single" w:sz="6" w:space="0" w:color="E0E0E0"/>
            </w:tcBorders>
          </w:tcPr>
          <w:p w14:paraId="6A8B788E" w14:textId="4EDF3DF1" w:rsidR="24E26AF7" w:rsidRDefault="24E26AF7" w:rsidP="24E26AF7">
            <w:pPr>
              <w:rPr>
                <w:rFonts w:ascii="Arial" w:eastAsia="Arial" w:hAnsi="Arial" w:cs="Arial"/>
                <w:sz w:val="14"/>
                <w:szCs w:val="14"/>
              </w:rPr>
            </w:pPr>
            <w:r w:rsidRPr="24E26AF7">
              <w:rPr>
                <w:rFonts w:ascii="Arial" w:eastAsia="Arial" w:hAnsi="Arial" w:cs="Arial"/>
                <w:sz w:val="14"/>
                <w:szCs w:val="14"/>
              </w:rPr>
              <w:t>Lack of cultural sensitivity reduces trust</w:t>
            </w:r>
          </w:p>
        </w:tc>
        <w:tc>
          <w:tcPr>
            <w:tcW w:w="1215" w:type="dxa"/>
            <w:tcBorders>
              <w:top w:val="single" w:sz="6" w:space="0" w:color="E0E0E0"/>
              <w:left w:val="single" w:sz="6" w:space="0" w:color="E0E0E0"/>
              <w:bottom w:val="single" w:sz="6" w:space="0" w:color="E0E0E0"/>
              <w:right w:val="single" w:sz="6" w:space="0" w:color="E0E0E0"/>
            </w:tcBorders>
          </w:tcPr>
          <w:p w14:paraId="2C8ECE24" w14:textId="6898E6F4" w:rsidR="24E26AF7" w:rsidRDefault="24E26AF7" w:rsidP="24E26AF7">
            <w:pPr>
              <w:rPr>
                <w:rFonts w:ascii="Arial" w:eastAsia="Arial" w:hAnsi="Arial" w:cs="Arial"/>
                <w:sz w:val="14"/>
                <w:szCs w:val="14"/>
              </w:rPr>
            </w:pPr>
            <w:r w:rsidRPr="24E26AF7">
              <w:rPr>
                <w:rFonts w:ascii="Arial" w:eastAsia="Arial" w:hAnsi="Arial" w:cs="Arial"/>
                <w:sz w:val="14"/>
                <w:szCs w:val="14"/>
              </w:rPr>
              <w:t>mistrust, stigma</w:t>
            </w:r>
          </w:p>
        </w:tc>
        <w:tc>
          <w:tcPr>
            <w:tcW w:w="698" w:type="dxa"/>
            <w:tcBorders>
              <w:top w:val="single" w:sz="6" w:space="0" w:color="E0E0E0"/>
              <w:left w:val="single" w:sz="6" w:space="0" w:color="E0E0E0"/>
              <w:bottom w:val="single" w:sz="6" w:space="0" w:color="E0E0E0"/>
              <w:right w:val="single" w:sz="6" w:space="0" w:color="E0E0E0"/>
            </w:tcBorders>
          </w:tcPr>
          <w:p w14:paraId="5C5F29F9" w14:textId="271A0C52" w:rsidR="24E26AF7" w:rsidRDefault="24E26AF7" w:rsidP="24E26AF7">
            <w:pPr>
              <w:rPr>
                <w:rFonts w:ascii="Arial" w:eastAsia="Arial" w:hAnsi="Arial" w:cs="Arial"/>
                <w:sz w:val="14"/>
                <w:szCs w:val="14"/>
              </w:rPr>
            </w:pPr>
            <w:r w:rsidRPr="24E26AF7">
              <w:rPr>
                <w:rFonts w:ascii="Arial" w:eastAsia="Arial" w:hAnsi="Arial" w:cs="Arial"/>
                <w:sz w:val="14"/>
                <w:szCs w:val="14"/>
              </w:rPr>
              <w:t>Theme 2</w:t>
            </w:r>
          </w:p>
        </w:tc>
      </w:tr>
      <w:tr w:rsidR="24E26AF7" w14:paraId="55370D3F"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43720E5B" w14:textId="3A0B0DA8" w:rsidR="24E26AF7" w:rsidRDefault="24E26AF7" w:rsidP="24E26AF7">
            <w:pPr>
              <w:rPr>
                <w:rFonts w:ascii="Arial" w:eastAsia="Arial" w:hAnsi="Arial" w:cs="Arial"/>
                <w:sz w:val="14"/>
                <w:szCs w:val="14"/>
              </w:rPr>
            </w:pPr>
            <w:r w:rsidRPr="24E26AF7">
              <w:rPr>
                <w:rFonts w:ascii="Arial" w:eastAsia="Arial" w:hAnsi="Arial" w:cs="Arial"/>
                <w:sz w:val="14"/>
                <w:szCs w:val="14"/>
              </w:rPr>
              <w:t>Henderson et al. (2013)</w:t>
            </w:r>
          </w:p>
        </w:tc>
        <w:tc>
          <w:tcPr>
            <w:tcW w:w="1187" w:type="dxa"/>
            <w:tcBorders>
              <w:top w:val="single" w:sz="6" w:space="0" w:color="E0E0E0"/>
              <w:left w:val="single" w:sz="6" w:space="0" w:color="E0E0E0"/>
              <w:bottom w:val="single" w:sz="6" w:space="0" w:color="E0E0E0"/>
              <w:right w:val="single" w:sz="6" w:space="0" w:color="E0E0E0"/>
            </w:tcBorders>
          </w:tcPr>
          <w:p w14:paraId="3010D358" w14:textId="7DBE808C" w:rsidR="24E26AF7" w:rsidRDefault="24E26AF7" w:rsidP="24E26AF7">
            <w:pPr>
              <w:rPr>
                <w:rFonts w:ascii="Arial" w:eastAsia="Arial" w:hAnsi="Arial" w:cs="Arial"/>
                <w:sz w:val="14"/>
                <w:szCs w:val="14"/>
              </w:rPr>
            </w:pPr>
            <w:r w:rsidRPr="24E26AF7">
              <w:rPr>
                <w:rFonts w:ascii="Arial" w:eastAsia="Arial" w:hAnsi="Arial" w:cs="Arial"/>
                <w:sz w:val="14"/>
                <w:szCs w:val="14"/>
              </w:rPr>
              <w:t>Anticipated Discrimination &amp; Help-Seeking</w:t>
            </w:r>
          </w:p>
        </w:tc>
        <w:tc>
          <w:tcPr>
            <w:tcW w:w="1095" w:type="dxa"/>
            <w:tcBorders>
              <w:top w:val="single" w:sz="6" w:space="0" w:color="E0E0E0"/>
              <w:left w:val="single" w:sz="6" w:space="0" w:color="E0E0E0"/>
              <w:bottom w:val="single" w:sz="6" w:space="0" w:color="E0E0E0"/>
              <w:right w:val="single" w:sz="6" w:space="0" w:color="E0E0E0"/>
            </w:tcBorders>
          </w:tcPr>
          <w:p w14:paraId="6BB80F30" w14:textId="68B0DF2B" w:rsidR="24E26AF7" w:rsidRDefault="24E26AF7" w:rsidP="24E26AF7">
            <w:pPr>
              <w:rPr>
                <w:rFonts w:ascii="Arial" w:eastAsia="Arial" w:hAnsi="Arial" w:cs="Arial"/>
                <w:sz w:val="14"/>
                <w:szCs w:val="14"/>
              </w:rPr>
            </w:pPr>
            <w:r w:rsidRPr="24E26AF7">
              <w:rPr>
                <w:rFonts w:ascii="Arial" w:eastAsia="Arial" w:hAnsi="Arial" w:cs="Arial"/>
                <w:sz w:val="14"/>
                <w:szCs w:val="14"/>
              </w:rPr>
              <w:t>Quantitative</w:t>
            </w:r>
          </w:p>
        </w:tc>
        <w:tc>
          <w:tcPr>
            <w:tcW w:w="1155" w:type="dxa"/>
            <w:tcBorders>
              <w:top w:val="single" w:sz="6" w:space="0" w:color="E0E0E0"/>
              <w:left w:val="single" w:sz="6" w:space="0" w:color="E0E0E0"/>
              <w:bottom w:val="single" w:sz="6" w:space="0" w:color="E0E0E0"/>
              <w:right w:val="single" w:sz="6" w:space="0" w:color="E0E0E0"/>
            </w:tcBorders>
          </w:tcPr>
          <w:p w14:paraId="2EE41B25" w14:textId="78E53547" w:rsidR="24E26AF7" w:rsidRDefault="24E26AF7" w:rsidP="24E26AF7">
            <w:pPr>
              <w:rPr>
                <w:rFonts w:ascii="Arial" w:eastAsia="Arial" w:hAnsi="Arial" w:cs="Arial"/>
                <w:sz w:val="14"/>
                <w:szCs w:val="14"/>
              </w:rPr>
            </w:pPr>
            <w:r w:rsidRPr="24E26AF7">
              <w:rPr>
                <w:rFonts w:ascii="Arial" w:eastAsia="Arial" w:hAnsi="Arial" w:cs="Arial"/>
                <w:sz w:val="14"/>
                <w:szCs w:val="14"/>
              </w:rPr>
              <w:t>National survey</w:t>
            </w:r>
          </w:p>
        </w:tc>
        <w:tc>
          <w:tcPr>
            <w:tcW w:w="1380" w:type="dxa"/>
            <w:tcBorders>
              <w:top w:val="single" w:sz="6" w:space="0" w:color="E0E0E0"/>
              <w:left w:val="single" w:sz="6" w:space="0" w:color="E0E0E0"/>
              <w:bottom w:val="single" w:sz="6" w:space="0" w:color="E0E0E0"/>
              <w:right w:val="single" w:sz="6" w:space="0" w:color="E0E0E0"/>
            </w:tcBorders>
          </w:tcPr>
          <w:p w14:paraId="316AFC18" w14:textId="3E99EFA5" w:rsidR="24E26AF7" w:rsidRDefault="24E26AF7" w:rsidP="24E26AF7">
            <w:pPr>
              <w:rPr>
                <w:rFonts w:ascii="Arial" w:eastAsia="Arial" w:hAnsi="Arial" w:cs="Arial"/>
                <w:sz w:val="14"/>
                <w:szCs w:val="14"/>
              </w:rPr>
            </w:pPr>
            <w:r w:rsidRPr="24E26AF7">
              <w:rPr>
                <w:rFonts w:ascii="Arial" w:eastAsia="Arial" w:hAnsi="Arial" w:cs="Arial"/>
                <w:sz w:val="14"/>
                <w:szCs w:val="14"/>
              </w:rPr>
              <w:t>Strong statistical link; older data</w:t>
            </w:r>
          </w:p>
        </w:tc>
        <w:tc>
          <w:tcPr>
            <w:tcW w:w="1260" w:type="dxa"/>
            <w:tcBorders>
              <w:top w:val="single" w:sz="6" w:space="0" w:color="E0E0E0"/>
              <w:left w:val="single" w:sz="6" w:space="0" w:color="E0E0E0"/>
              <w:bottom w:val="single" w:sz="6" w:space="0" w:color="E0E0E0"/>
              <w:right w:val="single" w:sz="6" w:space="0" w:color="E0E0E0"/>
            </w:tcBorders>
          </w:tcPr>
          <w:p w14:paraId="77FB5874" w14:textId="452A1ABC" w:rsidR="24E26AF7" w:rsidRDefault="24E26AF7" w:rsidP="24E26AF7">
            <w:pPr>
              <w:rPr>
                <w:rFonts w:ascii="Arial" w:eastAsia="Arial" w:hAnsi="Arial" w:cs="Arial"/>
                <w:sz w:val="14"/>
                <w:szCs w:val="14"/>
              </w:rPr>
            </w:pPr>
            <w:r w:rsidRPr="24E26AF7">
              <w:rPr>
                <w:rFonts w:ascii="Arial" w:eastAsia="Arial" w:hAnsi="Arial" w:cs="Arial"/>
                <w:sz w:val="14"/>
                <w:szCs w:val="14"/>
              </w:rPr>
              <w:t>Fear of discrimination reduces help-seeking</w:t>
            </w:r>
          </w:p>
        </w:tc>
        <w:tc>
          <w:tcPr>
            <w:tcW w:w="1215" w:type="dxa"/>
            <w:tcBorders>
              <w:top w:val="single" w:sz="6" w:space="0" w:color="E0E0E0"/>
              <w:left w:val="single" w:sz="6" w:space="0" w:color="E0E0E0"/>
              <w:bottom w:val="single" w:sz="6" w:space="0" w:color="E0E0E0"/>
              <w:right w:val="single" w:sz="6" w:space="0" w:color="E0E0E0"/>
            </w:tcBorders>
          </w:tcPr>
          <w:p w14:paraId="2250A9B8" w14:textId="788A2479" w:rsidR="24E26AF7" w:rsidRDefault="24E26AF7" w:rsidP="24E26AF7">
            <w:pPr>
              <w:rPr>
                <w:rFonts w:ascii="Arial" w:eastAsia="Arial" w:hAnsi="Arial" w:cs="Arial"/>
                <w:sz w:val="14"/>
                <w:szCs w:val="14"/>
              </w:rPr>
            </w:pPr>
            <w:r w:rsidRPr="24E26AF7">
              <w:rPr>
                <w:rFonts w:ascii="Arial" w:eastAsia="Arial" w:hAnsi="Arial" w:cs="Arial"/>
                <w:sz w:val="14"/>
                <w:szCs w:val="14"/>
              </w:rPr>
              <w:t>anticipated stigma</w:t>
            </w:r>
          </w:p>
        </w:tc>
        <w:tc>
          <w:tcPr>
            <w:tcW w:w="698" w:type="dxa"/>
            <w:tcBorders>
              <w:top w:val="single" w:sz="6" w:space="0" w:color="E0E0E0"/>
              <w:left w:val="single" w:sz="6" w:space="0" w:color="E0E0E0"/>
              <w:bottom w:val="single" w:sz="6" w:space="0" w:color="E0E0E0"/>
              <w:right w:val="single" w:sz="6" w:space="0" w:color="E0E0E0"/>
            </w:tcBorders>
          </w:tcPr>
          <w:p w14:paraId="6200177F" w14:textId="30113904" w:rsidR="24E26AF7" w:rsidRDefault="24E26AF7" w:rsidP="24E26AF7">
            <w:pPr>
              <w:rPr>
                <w:rFonts w:ascii="Arial" w:eastAsia="Arial" w:hAnsi="Arial" w:cs="Arial"/>
                <w:sz w:val="14"/>
                <w:szCs w:val="14"/>
              </w:rPr>
            </w:pPr>
            <w:r w:rsidRPr="24E26AF7">
              <w:rPr>
                <w:rFonts w:ascii="Arial" w:eastAsia="Arial" w:hAnsi="Arial" w:cs="Arial"/>
                <w:sz w:val="14"/>
                <w:szCs w:val="14"/>
              </w:rPr>
              <w:t>Theme 2</w:t>
            </w:r>
          </w:p>
        </w:tc>
      </w:tr>
      <w:tr w:rsidR="24E26AF7" w14:paraId="4E49A45D"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5F4D8AFA" w14:textId="47174EE1" w:rsidR="24E26AF7" w:rsidRDefault="24E26AF7" w:rsidP="24E26AF7">
            <w:pPr>
              <w:rPr>
                <w:rFonts w:ascii="Arial" w:eastAsia="Arial" w:hAnsi="Arial" w:cs="Arial"/>
                <w:sz w:val="14"/>
                <w:szCs w:val="14"/>
              </w:rPr>
            </w:pPr>
            <w:r w:rsidRPr="24E26AF7">
              <w:rPr>
                <w:rFonts w:ascii="Arial" w:eastAsia="Arial" w:hAnsi="Arial" w:cs="Arial"/>
                <w:sz w:val="14"/>
                <w:szCs w:val="14"/>
              </w:rPr>
              <w:t>Bhugra et al. (2021)</w:t>
            </w:r>
          </w:p>
        </w:tc>
        <w:tc>
          <w:tcPr>
            <w:tcW w:w="1187" w:type="dxa"/>
            <w:tcBorders>
              <w:top w:val="single" w:sz="6" w:space="0" w:color="E0E0E0"/>
              <w:left w:val="single" w:sz="6" w:space="0" w:color="E0E0E0"/>
              <w:bottom w:val="single" w:sz="6" w:space="0" w:color="E0E0E0"/>
              <w:right w:val="single" w:sz="6" w:space="0" w:color="E0E0E0"/>
            </w:tcBorders>
          </w:tcPr>
          <w:p w14:paraId="389C3978" w14:textId="6E07FEB1" w:rsidR="24E26AF7" w:rsidRDefault="24E26AF7" w:rsidP="24E26AF7">
            <w:pPr>
              <w:rPr>
                <w:rFonts w:ascii="Arial" w:eastAsia="Arial" w:hAnsi="Arial" w:cs="Arial"/>
                <w:sz w:val="14"/>
                <w:szCs w:val="14"/>
              </w:rPr>
            </w:pPr>
            <w:r w:rsidRPr="24E26AF7">
              <w:rPr>
                <w:rFonts w:ascii="Arial" w:eastAsia="Arial" w:hAnsi="Arial" w:cs="Arial"/>
                <w:sz w:val="14"/>
                <w:szCs w:val="14"/>
              </w:rPr>
              <w:t>Cultural Exclusion and Mental Health</w:t>
            </w:r>
          </w:p>
        </w:tc>
        <w:tc>
          <w:tcPr>
            <w:tcW w:w="1095" w:type="dxa"/>
            <w:tcBorders>
              <w:top w:val="single" w:sz="6" w:space="0" w:color="E0E0E0"/>
              <w:left w:val="single" w:sz="6" w:space="0" w:color="E0E0E0"/>
              <w:bottom w:val="single" w:sz="6" w:space="0" w:color="E0E0E0"/>
              <w:right w:val="single" w:sz="6" w:space="0" w:color="E0E0E0"/>
            </w:tcBorders>
          </w:tcPr>
          <w:p w14:paraId="7F52DF4F" w14:textId="6420D25D" w:rsidR="24E26AF7" w:rsidRDefault="24E26AF7" w:rsidP="24E26AF7">
            <w:pPr>
              <w:rPr>
                <w:rFonts w:ascii="Arial" w:eastAsia="Arial" w:hAnsi="Arial" w:cs="Arial"/>
                <w:sz w:val="14"/>
                <w:szCs w:val="14"/>
              </w:rPr>
            </w:pPr>
            <w:r w:rsidRPr="24E26AF7">
              <w:rPr>
                <w:rFonts w:ascii="Arial" w:eastAsia="Arial" w:hAnsi="Arial" w:cs="Arial"/>
                <w:sz w:val="14"/>
                <w:szCs w:val="14"/>
              </w:rPr>
              <w:t>Review</w:t>
            </w:r>
          </w:p>
        </w:tc>
        <w:tc>
          <w:tcPr>
            <w:tcW w:w="1155" w:type="dxa"/>
            <w:tcBorders>
              <w:top w:val="single" w:sz="6" w:space="0" w:color="E0E0E0"/>
              <w:left w:val="single" w:sz="6" w:space="0" w:color="E0E0E0"/>
              <w:bottom w:val="single" w:sz="6" w:space="0" w:color="E0E0E0"/>
              <w:right w:val="single" w:sz="6" w:space="0" w:color="E0E0E0"/>
            </w:tcBorders>
          </w:tcPr>
          <w:p w14:paraId="32960DB9" w14:textId="6A39E5DB" w:rsidR="24E26AF7" w:rsidRDefault="24E26AF7" w:rsidP="24E26AF7">
            <w:pPr>
              <w:rPr>
                <w:rFonts w:ascii="Arial" w:eastAsia="Arial" w:hAnsi="Arial" w:cs="Arial"/>
                <w:sz w:val="14"/>
                <w:szCs w:val="14"/>
              </w:rPr>
            </w:pPr>
            <w:r w:rsidRPr="24E26AF7">
              <w:rPr>
                <w:rFonts w:ascii="Arial" w:eastAsia="Arial" w:hAnsi="Arial" w:cs="Arial"/>
                <w:sz w:val="14"/>
                <w:szCs w:val="14"/>
              </w:rPr>
              <w:t>Theoretical synthesis</w:t>
            </w:r>
          </w:p>
        </w:tc>
        <w:tc>
          <w:tcPr>
            <w:tcW w:w="1380" w:type="dxa"/>
            <w:tcBorders>
              <w:top w:val="single" w:sz="6" w:space="0" w:color="E0E0E0"/>
              <w:left w:val="single" w:sz="6" w:space="0" w:color="E0E0E0"/>
              <w:bottom w:val="single" w:sz="6" w:space="0" w:color="E0E0E0"/>
              <w:right w:val="single" w:sz="6" w:space="0" w:color="E0E0E0"/>
            </w:tcBorders>
          </w:tcPr>
          <w:p w14:paraId="3D3EA885" w14:textId="599390DE" w:rsidR="24E26AF7" w:rsidRDefault="24E26AF7" w:rsidP="24E26AF7">
            <w:pPr>
              <w:rPr>
                <w:rFonts w:ascii="Arial" w:eastAsia="Arial" w:hAnsi="Arial" w:cs="Arial"/>
                <w:sz w:val="14"/>
                <w:szCs w:val="14"/>
              </w:rPr>
            </w:pPr>
            <w:r w:rsidRPr="24E26AF7">
              <w:rPr>
                <w:rFonts w:ascii="Arial" w:eastAsia="Arial" w:hAnsi="Arial" w:cs="Arial"/>
                <w:sz w:val="14"/>
                <w:szCs w:val="14"/>
              </w:rPr>
              <w:t>Strong theoretical insight</w:t>
            </w:r>
          </w:p>
        </w:tc>
        <w:tc>
          <w:tcPr>
            <w:tcW w:w="1260" w:type="dxa"/>
            <w:tcBorders>
              <w:top w:val="single" w:sz="6" w:space="0" w:color="E0E0E0"/>
              <w:left w:val="single" w:sz="6" w:space="0" w:color="E0E0E0"/>
              <w:bottom w:val="single" w:sz="6" w:space="0" w:color="E0E0E0"/>
              <w:right w:val="single" w:sz="6" w:space="0" w:color="E0E0E0"/>
            </w:tcBorders>
          </w:tcPr>
          <w:p w14:paraId="18F52A30" w14:textId="23BD35EF" w:rsidR="24E26AF7" w:rsidRDefault="24E26AF7" w:rsidP="24E26AF7">
            <w:pPr>
              <w:rPr>
                <w:rFonts w:ascii="Arial" w:eastAsia="Arial" w:hAnsi="Arial" w:cs="Arial"/>
                <w:sz w:val="14"/>
                <w:szCs w:val="14"/>
              </w:rPr>
            </w:pPr>
            <w:r w:rsidRPr="24E26AF7">
              <w:rPr>
                <w:rFonts w:ascii="Arial" w:eastAsia="Arial" w:hAnsi="Arial" w:cs="Arial"/>
                <w:sz w:val="14"/>
                <w:szCs w:val="14"/>
              </w:rPr>
              <w:t>Mistrust reflects systemic exclusion</w:t>
            </w:r>
          </w:p>
        </w:tc>
        <w:tc>
          <w:tcPr>
            <w:tcW w:w="1215" w:type="dxa"/>
            <w:tcBorders>
              <w:top w:val="single" w:sz="6" w:space="0" w:color="E0E0E0"/>
              <w:left w:val="single" w:sz="6" w:space="0" w:color="E0E0E0"/>
              <w:bottom w:val="single" w:sz="6" w:space="0" w:color="E0E0E0"/>
              <w:right w:val="single" w:sz="6" w:space="0" w:color="E0E0E0"/>
            </w:tcBorders>
          </w:tcPr>
          <w:p w14:paraId="771C8D95" w14:textId="6C8DF12D" w:rsidR="24E26AF7" w:rsidRDefault="24E26AF7" w:rsidP="24E26AF7">
            <w:pPr>
              <w:rPr>
                <w:rFonts w:ascii="Arial" w:eastAsia="Arial" w:hAnsi="Arial" w:cs="Arial"/>
                <w:sz w:val="14"/>
                <w:szCs w:val="14"/>
              </w:rPr>
            </w:pPr>
            <w:r w:rsidRPr="24E26AF7">
              <w:rPr>
                <w:rFonts w:ascii="Arial" w:eastAsia="Arial" w:hAnsi="Arial" w:cs="Arial"/>
                <w:sz w:val="14"/>
                <w:szCs w:val="14"/>
              </w:rPr>
              <w:t>structural stigma</w:t>
            </w:r>
          </w:p>
        </w:tc>
        <w:tc>
          <w:tcPr>
            <w:tcW w:w="698" w:type="dxa"/>
            <w:tcBorders>
              <w:top w:val="single" w:sz="6" w:space="0" w:color="E0E0E0"/>
              <w:left w:val="single" w:sz="6" w:space="0" w:color="E0E0E0"/>
              <w:bottom w:val="single" w:sz="6" w:space="0" w:color="E0E0E0"/>
              <w:right w:val="single" w:sz="6" w:space="0" w:color="E0E0E0"/>
            </w:tcBorders>
          </w:tcPr>
          <w:p w14:paraId="4166CA41" w14:textId="5507329D" w:rsidR="24E26AF7" w:rsidRDefault="24E26AF7" w:rsidP="24E26AF7">
            <w:pPr>
              <w:rPr>
                <w:rFonts w:ascii="Arial" w:eastAsia="Arial" w:hAnsi="Arial" w:cs="Arial"/>
                <w:sz w:val="14"/>
                <w:szCs w:val="14"/>
              </w:rPr>
            </w:pPr>
            <w:r w:rsidRPr="24E26AF7">
              <w:rPr>
                <w:rFonts w:ascii="Arial" w:eastAsia="Arial" w:hAnsi="Arial" w:cs="Arial"/>
                <w:sz w:val="14"/>
                <w:szCs w:val="14"/>
              </w:rPr>
              <w:t>Theme 2</w:t>
            </w:r>
          </w:p>
        </w:tc>
      </w:tr>
      <w:tr w:rsidR="24E26AF7" w14:paraId="0A33771E"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2A89A270" w14:textId="5E048DC8" w:rsidR="24E26AF7" w:rsidRDefault="24E26AF7" w:rsidP="24E26AF7">
            <w:pPr>
              <w:rPr>
                <w:rFonts w:ascii="Arial" w:eastAsia="Arial" w:hAnsi="Arial" w:cs="Arial"/>
                <w:sz w:val="14"/>
                <w:szCs w:val="14"/>
              </w:rPr>
            </w:pPr>
            <w:r w:rsidRPr="24E26AF7">
              <w:rPr>
                <w:rFonts w:ascii="Arial" w:eastAsia="Arial" w:hAnsi="Arial" w:cs="Arial"/>
                <w:sz w:val="14"/>
                <w:szCs w:val="14"/>
              </w:rPr>
              <w:t>Halvorsrud et al. (2018)</w:t>
            </w:r>
          </w:p>
        </w:tc>
        <w:tc>
          <w:tcPr>
            <w:tcW w:w="1187" w:type="dxa"/>
            <w:tcBorders>
              <w:top w:val="single" w:sz="6" w:space="0" w:color="E0E0E0"/>
              <w:left w:val="single" w:sz="6" w:space="0" w:color="E0E0E0"/>
              <w:bottom w:val="single" w:sz="6" w:space="0" w:color="E0E0E0"/>
              <w:right w:val="single" w:sz="6" w:space="0" w:color="E0E0E0"/>
            </w:tcBorders>
          </w:tcPr>
          <w:p w14:paraId="2DBE80B2" w14:textId="62102D5D" w:rsidR="24E26AF7" w:rsidRDefault="24E26AF7" w:rsidP="24E26AF7">
            <w:pPr>
              <w:rPr>
                <w:rFonts w:ascii="Arial" w:eastAsia="Arial" w:hAnsi="Arial" w:cs="Arial"/>
                <w:sz w:val="14"/>
                <w:szCs w:val="14"/>
              </w:rPr>
            </w:pPr>
            <w:r w:rsidRPr="24E26AF7">
              <w:rPr>
                <w:rFonts w:ascii="Arial" w:eastAsia="Arial" w:hAnsi="Arial" w:cs="Arial"/>
                <w:sz w:val="14"/>
                <w:szCs w:val="14"/>
              </w:rPr>
              <w:t>Severe Mental Illness &amp; Ethnic Disparities</w:t>
            </w:r>
          </w:p>
        </w:tc>
        <w:tc>
          <w:tcPr>
            <w:tcW w:w="1095" w:type="dxa"/>
            <w:tcBorders>
              <w:top w:val="single" w:sz="6" w:space="0" w:color="E0E0E0"/>
              <w:left w:val="single" w:sz="6" w:space="0" w:color="E0E0E0"/>
              <w:bottom w:val="single" w:sz="6" w:space="0" w:color="E0E0E0"/>
              <w:right w:val="single" w:sz="6" w:space="0" w:color="E0E0E0"/>
            </w:tcBorders>
          </w:tcPr>
          <w:p w14:paraId="1BB9FA7B" w14:textId="4E6C028F" w:rsidR="24E26AF7" w:rsidRDefault="24E26AF7" w:rsidP="24E26AF7">
            <w:pPr>
              <w:rPr>
                <w:rFonts w:ascii="Arial" w:eastAsia="Arial" w:hAnsi="Arial" w:cs="Arial"/>
                <w:sz w:val="14"/>
                <w:szCs w:val="14"/>
              </w:rPr>
            </w:pPr>
            <w:r w:rsidRPr="24E26AF7">
              <w:rPr>
                <w:rFonts w:ascii="Arial" w:eastAsia="Arial" w:hAnsi="Arial" w:cs="Arial"/>
                <w:sz w:val="14"/>
                <w:szCs w:val="14"/>
              </w:rPr>
              <w:t>Longitudinal</w:t>
            </w:r>
          </w:p>
        </w:tc>
        <w:tc>
          <w:tcPr>
            <w:tcW w:w="1155" w:type="dxa"/>
            <w:tcBorders>
              <w:top w:val="single" w:sz="6" w:space="0" w:color="E0E0E0"/>
              <w:left w:val="single" w:sz="6" w:space="0" w:color="E0E0E0"/>
              <w:bottom w:val="single" w:sz="6" w:space="0" w:color="E0E0E0"/>
              <w:right w:val="single" w:sz="6" w:space="0" w:color="E0E0E0"/>
            </w:tcBorders>
          </w:tcPr>
          <w:p w14:paraId="16BFD9DE" w14:textId="6A8ED24A" w:rsidR="24E26AF7" w:rsidRDefault="24E26AF7" w:rsidP="24E26AF7">
            <w:pPr>
              <w:rPr>
                <w:rFonts w:ascii="Arial" w:eastAsia="Arial" w:hAnsi="Arial" w:cs="Arial"/>
                <w:sz w:val="14"/>
                <w:szCs w:val="14"/>
              </w:rPr>
            </w:pPr>
            <w:r w:rsidRPr="24E26AF7">
              <w:rPr>
                <w:rFonts w:ascii="Arial" w:eastAsia="Arial" w:hAnsi="Arial" w:cs="Arial"/>
                <w:sz w:val="14"/>
                <w:szCs w:val="14"/>
              </w:rPr>
              <w:t>UK mental health dataset</w:t>
            </w:r>
          </w:p>
        </w:tc>
        <w:tc>
          <w:tcPr>
            <w:tcW w:w="1380" w:type="dxa"/>
            <w:tcBorders>
              <w:top w:val="single" w:sz="6" w:space="0" w:color="E0E0E0"/>
              <w:left w:val="single" w:sz="6" w:space="0" w:color="E0E0E0"/>
              <w:bottom w:val="single" w:sz="6" w:space="0" w:color="E0E0E0"/>
              <w:right w:val="single" w:sz="6" w:space="0" w:color="E0E0E0"/>
            </w:tcBorders>
          </w:tcPr>
          <w:p w14:paraId="54910928" w14:textId="7775FF5D" w:rsidR="24E26AF7" w:rsidRDefault="24E26AF7" w:rsidP="24E26AF7">
            <w:pPr>
              <w:rPr>
                <w:rFonts w:ascii="Arial" w:eastAsia="Arial" w:hAnsi="Arial" w:cs="Arial"/>
                <w:sz w:val="14"/>
                <w:szCs w:val="14"/>
              </w:rPr>
            </w:pPr>
            <w:r w:rsidRPr="24E26AF7">
              <w:rPr>
                <w:rFonts w:ascii="Arial" w:eastAsia="Arial" w:hAnsi="Arial" w:cs="Arial"/>
                <w:sz w:val="14"/>
                <w:szCs w:val="14"/>
              </w:rPr>
              <w:t>Adjusted for SES; strong methodology</w:t>
            </w:r>
          </w:p>
        </w:tc>
        <w:tc>
          <w:tcPr>
            <w:tcW w:w="1260" w:type="dxa"/>
            <w:tcBorders>
              <w:top w:val="single" w:sz="6" w:space="0" w:color="E0E0E0"/>
              <w:left w:val="single" w:sz="6" w:space="0" w:color="E0E0E0"/>
              <w:bottom w:val="single" w:sz="6" w:space="0" w:color="E0E0E0"/>
              <w:right w:val="single" w:sz="6" w:space="0" w:color="E0E0E0"/>
            </w:tcBorders>
          </w:tcPr>
          <w:p w14:paraId="7FAA8498" w14:textId="03964D8E" w:rsidR="24E26AF7" w:rsidRDefault="24E26AF7" w:rsidP="24E26AF7">
            <w:pPr>
              <w:rPr>
                <w:rFonts w:ascii="Arial" w:eastAsia="Arial" w:hAnsi="Arial" w:cs="Arial"/>
                <w:sz w:val="14"/>
                <w:szCs w:val="14"/>
              </w:rPr>
            </w:pPr>
            <w:r w:rsidRPr="24E26AF7">
              <w:rPr>
                <w:rFonts w:ascii="Arial" w:eastAsia="Arial" w:hAnsi="Arial" w:cs="Arial"/>
                <w:sz w:val="14"/>
                <w:szCs w:val="14"/>
              </w:rPr>
              <w:t>Higher compulsory admission rates</w:t>
            </w:r>
          </w:p>
        </w:tc>
        <w:tc>
          <w:tcPr>
            <w:tcW w:w="1215" w:type="dxa"/>
            <w:tcBorders>
              <w:top w:val="single" w:sz="6" w:space="0" w:color="E0E0E0"/>
              <w:left w:val="single" w:sz="6" w:space="0" w:color="E0E0E0"/>
              <w:bottom w:val="single" w:sz="6" w:space="0" w:color="E0E0E0"/>
              <w:right w:val="single" w:sz="6" w:space="0" w:color="E0E0E0"/>
            </w:tcBorders>
          </w:tcPr>
          <w:p w14:paraId="393842AE" w14:textId="35D121D6" w:rsidR="24E26AF7" w:rsidRDefault="24E26AF7" w:rsidP="24E26AF7">
            <w:pPr>
              <w:rPr>
                <w:rFonts w:ascii="Arial" w:eastAsia="Arial" w:hAnsi="Arial" w:cs="Arial"/>
                <w:sz w:val="14"/>
                <w:szCs w:val="14"/>
              </w:rPr>
            </w:pPr>
            <w:r w:rsidRPr="24E26AF7">
              <w:rPr>
                <w:rFonts w:ascii="Arial" w:eastAsia="Arial" w:hAnsi="Arial" w:cs="Arial"/>
                <w:sz w:val="14"/>
                <w:szCs w:val="14"/>
              </w:rPr>
              <w:t>detention disparities</w:t>
            </w:r>
          </w:p>
        </w:tc>
        <w:tc>
          <w:tcPr>
            <w:tcW w:w="698" w:type="dxa"/>
            <w:tcBorders>
              <w:top w:val="single" w:sz="6" w:space="0" w:color="E0E0E0"/>
              <w:left w:val="single" w:sz="6" w:space="0" w:color="E0E0E0"/>
              <w:bottom w:val="single" w:sz="6" w:space="0" w:color="E0E0E0"/>
              <w:right w:val="single" w:sz="6" w:space="0" w:color="E0E0E0"/>
            </w:tcBorders>
          </w:tcPr>
          <w:p w14:paraId="584A5972" w14:textId="642C0AF4" w:rsidR="24E26AF7" w:rsidRDefault="24E26AF7" w:rsidP="24E26AF7">
            <w:pPr>
              <w:rPr>
                <w:rFonts w:ascii="Arial" w:eastAsia="Arial" w:hAnsi="Arial" w:cs="Arial"/>
                <w:sz w:val="14"/>
                <w:szCs w:val="14"/>
              </w:rPr>
            </w:pPr>
            <w:r w:rsidRPr="24E26AF7">
              <w:rPr>
                <w:rFonts w:ascii="Arial" w:eastAsia="Arial" w:hAnsi="Arial" w:cs="Arial"/>
                <w:sz w:val="14"/>
                <w:szCs w:val="14"/>
              </w:rPr>
              <w:t>Theme 3</w:t>
            </w:r>
          </w:p>
        </w:tc>
      </w:tr>
      <w:tr w:rsidR="24E26AF7" w14:paraId="0496528F"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64F5AF2D" w14:textId="0C805D91" w:rsidR="24E26AF7" w:rsidRDefault="24E26AF7" w:rsidP="24E26AF7">
            <w:pPr>
              <w:rPr>
                <w:rFonts w:ascii="Arial" w:eastAsia="Arial" w:hAnsi="Arial" w:cs="Arial"/>
                <w:sz w:val="14"/>
                <w:szCs w:val="14"/>
              </w:rPr>
            </w:pPr>
            <w:r w:rsidRPr="24E26AF7">
              <w:rPr>
                <w:rFonts w:ascii="Arial" w:eastAsia="Arial" w:hAnsi="Arial" w:cs="Arial"/>
                <w:sz w:val="14"/>
                <w:szCs w:val="14"/>
              </w:rPr>
              <w:t>Barnett et al. (2019)</w:t>
            </w:r>
          </w:p>
        </w:tc>
        <w:tc>
          <w:tcPr>
            <w:tcW w:w="1187" w:type="dxa"/>
            <w:tcBorders>
              <w:top w:val="single" w:sz="6" w:space="0" w:color="E0E0E0"/>
              <w:left w:val="single" w:sz="6" w:space="0" w:color="E0E0E0"/>
              <w:bottom w:val="single" w:sz="6" w:space="0" w:color="E0E0E0"/>
              <w:right w:val="single" w:sz="6" w:space="0" w:color="E0E0E0"/>
            </w:tcBorders>
          </w:tcPr>
          <w:p w14:paraId="2A95690B" w14:textId="4DEC7CC9" w:rsidR="24E26AF7" w:rsidRDefault="24E26AF7" w:rsidP="24E26AF7">
            <w:pPr>
              <w:rPr>
                <w:rFonts w:ascii="Arial" w:eastAsia="Arial" w:hAnsi="Arial" w:cs="Arial"/>
                <w:sz w:val="14"/>
                <w:szCs w:val="14"/>
              </w:rPr>
            </w:pPr>
            <w:r w:rsidRPr="24E26AF7">
              <w:rPr>
                <w:rFonts w:ascii="Arial" w:eastAsia="Arial" w:hAnsi="Arial" w:cs="Arial"/>
                <w:sz w:val="14"/>
                <w:szCs w:val="14"/>
              </w:rPr>
              <w:t>Pathways to Care &amp; Police Referrals</w:t>
            </w:r>
          </w:p>
        </w:tc>
        <w:tc>
          <w:tcPr>
            <w:tcW w:w="1095" w:type="dxa"/>
            <w:tcBorders>
              <w:top w:val="single" w:sz="6" w:space="0" w:color="E0E0E0"/>
              <w:left w:val="single" w:sz="6" w:space="0" w:color="E0E0E0"/>
              <w:bottom w:val="single" w:sz="6" w:space="0" w:color="E0E0E0"/>
              <w:right w:val="single" w:sz="6" w:space="0" w:color="E0E0E0"/>
            </w:tcBorders>
          </w:tcPr>
          <w:p w14:paraId="362FF30E" w14:textId="7FCBABE1" w:rsidR="24E26AF7" w:rsidRDefault="24E26AF7" w:rsidP="24E26AF7">
            <w:pPr>
              <w:rPr>
                <w:rFonts w:ascii="Arial" w:eastAsia="Arial" w:hAnsi="Arial" w:cs="Arial"/>
                <w:sz w:val="14"/>
                <w:szCs w:val="14"/>
              </w:rPr>
            </w:pPr>
            <w:r w:rsidRPr="24E26AF7">
              <w:rPr>
                <w:rFonts w:ascii="Arial" w:eastAsia="Arial" w:hAnsi="Arial" w:cs="Arial"/>
                <w:sz w:val="14"/>
                <w:szCs w:val="14"/>
              </w:rPr>
              <w:t>Quantitative</w:t>
            </w:r>
          </w:p>
        </w:tc>
        <w:tc>
          <w:tcPr>
            <w:tcW w:w="1155" w:type="dxa"/>
            <w:tcBorders>
              <w:top w:val="single" w:sz="6" w:space="0" w:color="E0E0E0"/>
              <w:left w:val="single" w:sz="6" w:space="0" w:color="E0E0E0"/>
              <w:bottom w:val="single" w:sz="6" w:space="0" w:color="E0E0E0"/>
              <w:right w:val="single" w:sz="6" w:space="0" w:color="E0E0E0"/>
            </w:tcBorders>
          </w:tcPr>
          <w:p w14:paraId="6B8E76FD" w14:textId="549DEF14" w:rsidR="24E26AF7" w:rsidRDefault="24E26AF7" w:rsidP="24E26AF7">
            <w:pPr>
              <w:rPr>
                <w:rFonts w:ascii="Arial" w:eastAsia="Arial" w:hAnsi="Arial" w:cs="Arial"/>
                <w:sz w:val="14"/>
                <w:szCs w:val="14"/>
              </w:rPr>
            </w:pPr>
            <w:r w:rsidRPr="24E26AF7">
              <w:rPr>
                <w:rFonts w:ascii="Arial" w:eastAsia="Arial" w:hAnsi="Arial" w:cs="Arial"/>
                <w:sz w:val="14"/>
                <w:szCs w:val="14"/>
              </w:rPr>
              <w:t>National service audit</w:t>
            </w:r>
          </w:p>
        </w:tc>
        <w:tc>
          <w:tcPr>
            <w:tcW w:w="1380" w:type="dxa"/>
            <w:tcBorders>
              <w:top w:val="single" w:sz="6" w:space="0" w:color="E0E0E0"/>
              <w:left w:val="single" w:sz="6" w:space="0" w:color="E0E0E0"/>
              <w:bottom w:val="single" w:sz="6" w:space="0" w:color="E0E0E0"/>
              <w:right w:val="single" w:sz="6" w:space="0" w:color="E0E0E0"/>
            </w:tcBorders>
          </w:tcPr>
          <w:p w14:paraId="262106A6" w14:textId="6D658CBE" w:rsidR="24E26AF7" w:rsidRDefault="24E26AF7" w:rsidP="24E26AF7">
            <w:pPr>
              <w:rPr>
                <w:rFonts w:ascii="Arial" w:eastAsia="Arial" w:hAnsi="Arial" w:cs="Arial"/>
                <w:sz w:val="14"/>
                <w:szCs w:val="14"/>
              </w:rPr>
            </w:pPr>
            <w:r w:rsidRPr="24E26AF7">
              <w:rPr>
                <w:rFonts w:ascii="Arial" w:eastAsia="Arial" w:hAnsi="Arial" w:cs="Arial"/>
                <w:sz w:val="14"/>
                <w:szCs w:val="14"/>
              </w:rPr>
              <w:t>Service-level focus</w:t>
            </w:r>
          </w:p>
        </w:tc>
        <w:tc>
          <w:tcPr>
            <w:tcW w:w="1260" w:type="dxa"/>
            <w:tcBorders>
              <w:top w:val="single" w:sz="6" w:space="0" w:color="E0E0E0"/>
              <w:left w:val="single" w:sz="6" w:space="0" w:color="E0E0E0"/>
              <w:bottom w:val="single" w:sz="6" w:space="0" w:color="E0E0E0"/>
              <w:right w:val="single" w:sz="6" w:space="0" w:color="E0E0E0"/>
            </w:tcBorders>
          </w:tcPr>
          <w:p w14:paraId="6398A83F" w14:textId="0EBDDEA6" w:rsidR="24E26AF7" w:rsidRDefault="24E26AF7" w:rsidP="24E26AF7">
            <w:pPr>
              <w:rPr>
                <w:rFonts w:ascii="Arial" w:eastAsia="Arial" w:hAnsi="Arial" w:cs="Arial"/>
                <w:sz w:val="14"/>
                <w:szCs w:val="14"/>
              </w:rPr>
            </w:pPr>
            <w:r w:rsidRPr="24E26AF7">
              <w:rPr>
                <w:rFonts w:ascii="Arial" w:eastAsia="Arial" w:hAnsi="Arial" w:cs="Arial"/>
                <w:sz w:val="14"/>
                <w:szCs w:val="14"/>
              </w:rPr>
              <w:t>Higher police involvement in minority referrals</w:t>
            </w:r>
          </w:p>
        </w:tc>
        <w:tc>
          <w:tcPr>
            <w:tcW w:w="1215" w:type="dxa"/>
            <w:tcBorders>
              <w:top w:val="single" w:sz="6" w:space="0" w:color="E0E0E0"/>
              <w:left w:val="single" w:sz="6" w:space="0" w:color="E0E0E0"/>
              <w:bottom w:val="single" w:sz="6" w:space="0" w:color="E0E0E0"/>
              <w:right w:val="single" w:sz="6" w:space="0" w:color="E0E0E0"/>
            </w:tcBorders>
          </w:tcPr>
          <w:p w14:paraId="4B9ECABB" w14:textId="59B7E9A4" w:rsidR="24E26AF7" w:rsidRDefault="24E26AF7" w:rsidP="24E26AF7">
            <w:pPr>
              <w:rPr>
                <w:rFonts w:ascii="Arial" w:eastAsia="Arial" w:hAnsi="Arial" w:cs="Arial"/>
                <w:sz w:val="14"/>
                <w:szCs w:val="14"/>
              </w:rPr>
            </w:pPr>
            <w:r w:rsidRPr="24E26AF7">
              <w:rPr>
                <w:rFonts w:ascii="Arial" w:eastAsia="Arial" w:hAnsi="Arial" w:cs="Arial"/>
                <w:sz w:val="14"/>
                <w:szCs w:val="14"/>
              </w:rPr>
              <w:t>coercive pathways</w:t>
            </w:r>
          </w:p>
        </w:tc>
        <w:tc>
          <w:tcPr>
            <w:tcW w:w="698" w:type="dxa"/>
            <w:tcBorders>
              <w:top w:val="single" w:sz="6" w:space="0" w:color="E0E0E0"/>
              <w:left w:val="single" w:sz="6" w:space="0" w:color="E0E0E0"/>
              <w:bottom w:val="single" w:sz="6" w:space="0" w:color="E0E0E0"/>
              <w:right w:val="single" w:sz="6" w:space="0" w:color="E0E0E0"/>
            </w:tcBorders>
          </w:tcPr>
          <w:p w14:paraId="2258C1DA" w14:textId="17360DDC" w:rsidR="24E26AF7" w:rsidRDefault="24E26AF7" w:rsidP="24E26AF7">
            <w:pPr>
              <w:rPr>
                <w:rFonts w:ascii="Arial" w:eastAsia="Arial" w:hAnsi="Arial" w:cs="Arial"/>
                <w:sz w:val="14"/>
                <w:szCs w:val="14"/>
              </w:rPr>
            </w:pPr>
            <w:r w:rsidRPr="24E26AF7">
              <w:rPr>
                <w:rFonts w:ascii="Arial" w:eastAsia="Arial" w:hAnsi="Arial" w:cs="Arial"/>
                <w:sz w:val="14"/>
                <w:szCs w:val="14"/>
              </w:rPr>
              <w:t>Theme 3</w:t>
            </w:r>
          </w:p>
        </w:tc>
      </w:tr>
      <w:tr w:rsidR="24E26AF7" w14:paraId="76AC1617"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38B6E03C" w14:textId="1310F605" w:rsidR="24E26AF7" w:rsidRDefault="24E26AF7" w:rsidP="24E26AF7">
            <w:pPr>
              <w:rPr>
                <w:rFonts w:ascii="Arial" w:eastAsia="Arial" w:hAnsi="Arial" w:cs="Arial"/>
                <w:sz w:val="14"/>
                <w:szCs w:val="14"/>
              </w:rPr>
            </w:pPr>
            <w:r w:rsidRPr="24E26AF7">
              <w:rPr>
                <w:rFonts w:ascii="Arial" w:eastAsia="Arial" w:hAnsi="Arial" w:cs="Arial"/>
                <w:sz w:val="14"/>
                <w:szCs w:val="14"/>
              </w:rPr>
              <w:t>Raleigh &amp; Holmes (2021)</w:t>
            </w:r>
          </w:p>
        </w:tc>
        <w:tc>
          <w:tcPr>
            <w:tcW w:w="1187" w:type="dxa"/>
            <w:tcBorders>
              <w:top w:val="single" w:sz="6" w:space="0" w:color="E0E0E0"/>
              <w:left w:val="single" w:sz="6" w:space="0" w:color="E0E0E0"/>
              <w:bottom w:val="single" w:sz="6" w:space="0" w:color="E0E0E0"/>
              <w:right w:val="single" w:sz="6" w:space="0" w:color="E0E0E0"/>
            </w:tcBorders>
          </w:tcPr>
          <w:p w14:paraId="1E92F1FE" w14:textId="2D189D3E" w:rsidR="24E26AF7" w:rsidRDefault="24E26AF7" w:rsidP="24E26AF7">
            <w:pPr>
              <w:rPr>
                <w:rFonts w:ascii="Arial" w:eastAsia="Arial" w:hAnsi="Arial" w:cs="Arial"/>
                <w:sz w:val="14"/>
                <w:szCs w:val="14"/>
              </w:rPr>
            </w:pPr>
            <w:r w:rsidRPr="24E26AF7">
              <w:rPr>
                <w:rFonts w:ascii="Arial" w:eastAsia="Arial" w:hAnsi="Arial" w:cs="Arial"/>
                <w:sz w:val="14"/>
                <w:szCs w:val="14"/>
              </w:rPr>
              <w:t>Ethnic Disparities in Detention</w:t>
            </w:r>
          </w:p>
        </w:tc>
        <w:tc>
          <w:tcPr>
            <w:tcW w:w="1095" w:type="dxa"/>
            <w:tcBorders>
              <w:top w:val="single" w:sz="6" w:space="0" w:color="E0E0E0"/>
              <w:left w:val="single" w:sz="6" w:space="0" w:color="E0E0E0"/>
              <w:bottom w:val="single" w:sz="6" w:space="0" w:color="E0E0E0"/>
              <w:right w:val="single" w:sz="6" w:space="0" w:color="E0E0E0"/>
            </w:tcBorders>
          </w:tcPr>
          <w:p w14:paraId="41A5661E" w14:textId="72749E06" w:rsidR="24E26AF7" w:rsidRDefault="24E26AF7" w:rsidP="24E26AF7">
            <w:pPr>
              <w:rPr>
                <w:rFonts w:ascii="Arial" w:eastAsia="Arial" w:hAnsi="Arial" w:cs="Arial"/>
                <w:sz w:val="14"/>
                <w:szCs w:val="14"/>
              </w:rPr>
            </w:pPr>
            <w:r w:rsidRPr="24E26AF7">
              <w:rPr>
                <w:rFonts w:ascii="Arial" w:eastAsia="Arial" w:hAnsi="Arial" w:cs="Arial"/>
                <w:sz w:val="14"/>
                <w:szCs w:val="14"/>
              </w:rPr>
              <w:t>Policy Review</w:t>
            </w:r>
          </w:p>
        </w:tc>
        <w:tc>
          <w:tcPr>
            <w:tcW w:w="1155" w:type="dxa"/>
            <w:tcBorders>
              <w:top w:val="single" w:sz="6" w:space="0" w:color="E0E0E0"/>
              <w:left w:val="single" w:sz="6" w:space="0" w:color="E0E0E0"/>
              <w:bottom w:val="single" w:sz="6" w:space="0" w:color="E0E0E0"/>
              <w:right w:val="single" w:sz="6" w:space="0" w:color="E0E0E0"/>
            </w:tcBorders>
          </w:tcPr>
          <w:p w14:paraId="778CD9F5" w14:textId="2C9FD982" w:rsidR="24E26AF7" w:rsidRDefault="24E26AF7" w:rsidP="24E26AF7">
            <w:pPr>
              <w:rPr>
                <w:rFonts w:ascii="Arial" w:eastAsia="Arial" w:hAnsi="Arial" w:cs="Arial"/>
                <w:sz w:val="14"/>
                <w:szCs w:val="14"/>
              </w:rPr>
            </w:pPr>
            <w:r w:rsidRPr="24E26AF7">
              <w:rPr>
                <w:rFonts w:ascii="Arial" w:eastAsia="Arial" w:hAnsi="Arial" w:cs="Arial"/>
                <w:sz w:val="14"/>
                <w:szCs w:val="14"/>
              </w:rPr>
              <w:t>NHS &amp; CQC data</w:t>
            </w:r>
          </w:p>
        </w:tc>
        <w:tc>
          <w:tcPr>
            <w:tcW w:w="1380" w:type="dxa"/>
            <w:tcBorders>
              <w:top w:val="single" w:sz="6" w:space="0" w:color="E0E0E0"/>
              <w:left w:val="single" w:sz="6" w:space="0" w:color="E0E0E0"/>
              <w:bottom w:val="single" w:sz="6" w:space="0" w:color="E0E0E0"/>
              <w:right w:val="single" w:sz="6" w:space="0" w:color="E0E0E0"/>
            </w:tcBorders>
          </w:tcPr>
          <w:p w14:paraId="44ABD6A0" w14:textId="6C695D13" w:rsidR="24E26AF7" w:rsidRDefault="24E26AF7" w:rsidP="24E26AF7">
            <w:pPr>
              <w:rPr>
                <w:rFonts w:ascii="Arial" w:eastAsia="Arial" w:hAnsi="Arial" w:cs="Arial"/>
                <w:sz w:val="14"/>
                <w:szCs w:val="14"/>
              </w:rPr>
            </w:pPr>
            <w:r w:rsidRPr="24E26AF7">
              <w:rPr>
                <w:rFonts w:ascii="Arial" w:eastAsia="Arial" w:hAnsi="Arial" w:cs="Arial"/>
                <w:sz w:val="14"/>
                <w:szCs w:val="14"/>
              </w:rPr>
              <w:t>Policy relevance; descriptive</w:t>
            </w:r>
          </w:p>
        </w:tc>
        <w:tc>
          <w:tcPr>
            <w:tcW w:w="1260" w:type="dxa"/>
            <w:tcBorders>
              <w:top w:val="single" w:sz="6" w:space="0" w:color="E0E0E0"/>
              <w:left w:val="single" w:sz="6" w:space="0" w:color="E0E0E0"/>
              <w:bottom w:val="single" w:sz="6" w:space="0" w:color="E0E0E0"/>
              <w:right w:val="single" w:sz="6" w:space="0" w:color="E0E0E0"/>
            </w:tcBorders>
          </w:tcPr>
          <w:p w14:paraId="5EA6C0E1" w14:textId="50104969" w:rsidR="24E26AF7" w:rsidRDefault="24E26AF7" w:rsidP="24E26AF7">
            <w:pPr>
              <w:rPr>
                <w:rFonts w:ascii="Arial" w:eastAsia="Arial" w:hAnsi="Arial" w:cs="Arial"/>
                <w:sz w:val="14"/>
                <w:szCs w:val="14"/>
              </w:rPr>
            </w:pPr>
            <w:r w:rsidRPr="24E26AF7">
              <w:rPr>
                <w:rFonts w:ascii="Arial" w:eastAsia="Arial" w:hAnsi="Arial" w:cs="Arial"/>
                <w:sz w:val="14"/>
                <w:szCs w:val="14"/>
              </w:rPr>
              <w:t>Detention ratios remain unchanged</w:t>
            </w:r>
          </w:p>
        </w:tc>
        <w:tc>
          <w:tcPr>
            <w:tcW w:w="1215" w:type="dxa"/>
            <w:tcBorders>
              <w:top w:val="single" w:sz="6" w:space="0" w:color="E0E0E0"/>
              <w:left w:val="single" w:sz="6" w:space="0" w:color="E0E0E0"/>
              <w:bottom w:val="single" w:sz="6" w:space="0" w:color="E0E0E0"/>
              <w:right w:val="single" w:sz="6" w:space="0" w:color="E0E0E0"/>
            </w:tcBorders>
          </w:tcPr>
          <w:p w14:paraId="1A70D8EB" w14:textId="6EF98B15" w:rsidR="24E26AF7" w:rsidRDefault="24E26AF7" w:rsidP="24E26AF7">
            <w:pPr>
              <w:rPr>
                <w:rFonts w:ascii="Arial" w:eastAsia="Arial" w:hAnsi="Arial" w:cs="Arial"/>
                <w:sz w:val="14"/>
                <w:szCs w:val="14"/>
              </w:rPr>
            </w:pPr>
            <w:r w:rsidRPr="24E26AF7">
              <w:rPr>
                <w:rFonts w:ascii="Arial" w:eastAsia="Arial" w:hAnsi="Arial" w:cs="Arial"/>
                <w:sz w:val="14"/>
                <w:szCs w:val="14"/>
              </w:rPr>
              <w:t>systemic inequality</w:t>
            </w:r>
          </w:p>
        </w:tc>
        <w:tc>
          <w:tcPr>
            <w:tcW w:w="698" w:type="dxa"/>
            <w:tcBorders>
              <w:top w:val="single" w:sz="6" w:space="0" w:color="E0E0E0"/>
              <w:left w:val="single" w:sz="6" w:space="0" w:color="E0E0E0"/>
              <w:bottom w:val="single" w:sz="6" w:space="0" w:color="E0E0E0"/>
              <w:right w:val="single" w:sz="6" w:space="0" w:color="E0E0E0"/>
            </w:tcBorders>
          </w:tcPr>
          <w:p w14:paraId="42F63E19" w14:textId="31EC630A" w:rsidR="24E26AF7" w:rsidRDefault="24E26AF7" w:rsidP="24E26AF7">
            <w:pPr>
              <w:rPr>
                <w:rFonts w:ascii="Arial" w:eastAsia="Arial" w:hAnsi="Arial" w:cs="Arial"/>
                <w:sz w:val="14"/>
                <w:szCs w:val="14"/>
              </w:rPr>
            </w:pPr>
            <w:r w:rsidRPr="24E26AF7">
              <w:rPr>
                <w:rFonts w:ascii="Arial" w:eastAsia="Arial" w:hAnsi="Arial" w:cs="Arial"/>
                <w:sz w:val="14"/>
                <w:szCs w:val="14"/>
              </w:rPr>
              <w:t>Theme 3</w:t>
            </w:r>
          </w:p>
        </w:tc>
      </w:tr>
      <w:tr w:rsidR="24E26AF7" w14:paraId="6B058511" w14:textId="77777777" w:rsidTr="24E26AF7">
        <w:trPr>
          <w:trHeight w:val="540"/>
        </w:trPr>
        <w:tc>
          <w:tcPr>
            <w:tcW w:w="1140" w:type="dxa"/>
            <w:tcBorders>
              <w:top w:val="single" w:sz="6" w:space="0" w:color="E0E0E0"/>
              <w:left w:val="single" w:sz="6" w:space="0" w:color="E0E0E0"/>
              <w:bottom w:val="single" w:sz="6" w:space="0" w:color="E0E0E0"/>
              <w:right w:val="single" w:sz="6" w:space="0" w:color="E0E0E0"/>
            </w:tcBorders>
          </w:tcPr>
          <w:p w14:paraId="5736AE24" w14:textId="14973592" w:rsidR="24E26AF7" w:rsidRDefault="24E26AF7" w:rsidP="24E26AF7">
            <w:pPr>
              <w:rPr>
                <w:rFonts w:ascii="Arial" w:eastAsia="Arial" w:hAnsi="Arial" w:cs="Arial"/>
                <w:sz w:val="14"/>
                <w:szCs w:val="14"/>
              </w:rPr>
            </w:pPr>
            <w:r w:rsidRPr="24E26AF7">
              <w:rPr>
                <w:rFonts w:ascii="Arial" w:eastAsia="Arial" w:hAnsi="Arial" w:cs="Arial"/>
                <w:sz w:val="14"/>
                <w:szCs w:val="14"/>
              </w:rPr>
              <w:t>Care Quality Commission (2022)</w:t>
            </w:r>
          </w:p>
        </w:tc>
        <w:tc>
          <w:tcPr>
            <w:tcW w:w="1187" w:type="dxa"/>
            <w:tcBorders>
              <w:top w:val="single" w:sz="6" w:space="0" w:color="E0E0E0"/>
              <w:left w:val="single" w:sz="6" w:space="0" w:color="E0E0E0"/>
              <w:bottom w:val="single" w:sz="6" w:space="0" w:color="E0E0E0"/>
              <w:right w:val="single" w:sz="6" w:space="0" w:color="E0E0E0"/>
            </w:tcBorders>
          </w:tcPr>
          <w:p w14:paraId="475265F5" w14:textId="4321EF4B" w:rsidR="24E26AF7" w:rsidRDefault="24E26AF7" w:rsidP="24E26AF7">
            <w:pPr>
              <w:rPr>
                <w:rFonts w:ascii="Arial" w:eastAsia="Arial" w:hAnsi="Arial" w:cs="Arial"/>
                <w:sz w:val="14"/>
                <w:szCs w:val="14"/>
              </w:rPr>
            </w:pPr>
            <w:r w:rsidRPr="24E26AF7">
              <w:rPr>
                <w:rFonts w:ascii="Arial" w:eastAsia="Arial" w:hAnsi="Arial" w:cs="Arial"/>
                <w:sz w:val="14"/>
                <w:szCs w:val="14"/>
              </w:rPr>
              <w:t>Monitoring the Mental Health Act</w:t>
            </w:r>
          </w:p>
        </w:tc>
        <w:tc>
          <w:tcPr>
            <w:tcW w:w="1095" w:type="dxa"/>
            <w:tcBorders>
              <w:top w:val="single" w:sz="6" w:space="0" w:color="E0E0E0"/>
              <w:left w:val="single" w:sz="6" w:space="0" w:color="E0E0E0"/>
              <w:bottom w:val="single" w:sz="6" w:space="0" w:color="E0E0E0"/>
              <w:right w:val="single" w:sz="6" w:space="0" w:color="E0E0E0"/>
            </w:tcBorders>
          </w:tcPr>
          <w:p w14:paraId="091FEE64" w14:textId="6E4A4CC8" w:rsidR="24E26AF7" w:rsidRDefault="24E26AF7" w:rsidP="24E26AF7">
            <w:pPr>
              <w:rPr>
                <w:rFonts w:ascii="Arial" w:eastAsia="Arial" w:hAnsi="Arial" w:cs="Arial"/>
                <w:sz w:val="14"/>
                <w:szCs w:val="14"/>
              </w:rPr>
            </w:pPr>
            <w:r w:rsidRPr="24E26AF7">
              <w:rPr>
                <w:rFonts w:ascii="Arial" w:eastAsia="Arial" w:hAnsi="Arial" w:cs="Arial"/>
                <w:sz w:val="14"/>
                <w:szCs w:val="14"/>
              </w:rPr>
              <w:t>Government Report</w:t>
            </w:r>
          </w:p>
        </w:tc>
        <w:tc>
          <w:tcPr>
            <w:tcW w:w="1155" w:type="dxa"/>
            <w:tcBorders>
              <w:top w:val="single" w:sz="6" w:space="0" w:color="E0E0E0"/>
              <w:left w:val="single" w:sz="6" w:space="0" w:color="E0E0E0"/>
              <w:bottom w:val="single" w:sz="6" w:space="0" w:color="E0E0E0"/>
              <w:right w:val="single" w:sz="6" w:space="0" w:color="E0E0E0"/>
            </w:tcBorders>
          </w:tcPr>
          <w:p w14:paraId="1EE2C2DD" w14:textId="5733F9B6" w:rsidR="24E26AF7" w:rsidRDefault="24E26AF7" w:rsidP="24E26AF7">
            <w:pPr>
              <w:rPr>
                <w:rFonts w:ascii="Arial" w:eastAsia="Arial" w:hAnsi="Arial" w:cs="Arial"/>
                <w:sz w:val="14"/>
                <w:szCs w:val="14"/>
              </w:rPr>
            </w:pPr>
            <w:r w:rsidRPr="24E26AF7">
              <w:rPr>
                <w:rFonts w:ascii="Arial" w:eastAsia="Arial" w:hAnsi="Arial" w:cs="Arial"/>
                <w:sz w:val="14"/>
                <w:szCs w:val="14"/>
              </w:rPr>
              <w:t>National monitoring data</w:t>
            </w:r>
          </w:p>
        </w:tc>
        <w:tc>
          <w:tcPr>
            <w:tcW w:w="1380" w:type="dxa"/>
            <w:tcBorders>
              <w:top w:val="single" w:sz="6" w:space="0" w:color="E0E0E0"/>
              <w:left w:val="single" w:sz="6" w:space="0" w:color="E0E0E0"/>
              <w:bottom w:val="single" w:sz="6" w:space="0" w:color="E0E0E0"/>
              <w:right w:val="single" w:sz="6" w:space="0" w:color="E0E0E0"/>
            </w:tcBorders>
          </w:tcPr>
          <w:p w14:paraId="6358758D" w14:textId="6DB74648" w:rsidR="24E26AF7" w:rsidRDefault="24E26AF7" w:rsidP="24E26AF7">
            <w:pPr>
              <w:rPr>
                <w:rFonts w:ascii="Arial" w:eastAsia="Arial" w:hAnsi="Arial" w:cs="Arial"/>
                <w:sz w:val="14"/>
                <w:szCs w:val="14"/>
              </w:rPr>
            </w:pPr>
            <w:r w:rsidRPr="24E26AF7">
              <w:rPr>
                <w:rFonts w:ascii="Arial" w:eastAsia="Arial" w:hAnsi="Arial" w:cs="Arial"/>
                <w:sz w:val="14"/>
                <w:szCs w:val="14"/>
              </w:rPr>
              <w:t>Authoritative; descriptive</w:t>
            </w:r>
          </w:p>
        </w:tc>
        <w:tc>
          <w:tcPr>
            <w:tcW w:w="1260" w:type="dxa"/>
            <w:tcBorders>
              <w:top w:val="single" w:sz="6" w:space="0" w:color="E0E0E0"/>
              <w:left w:val="single" w:sz="6" w:space="0" w:color="E0E0E0"/>
              <w:bottom w:val="single" w:sz="6" w:space="0" w:color="E0E0E0"/>
              <w:right w:val="single" w:sz="6" w:space="0" w:color="E0E0E0"/>
            </w:tcBorders>
          </w:tcPr>
          <w:p w14:paraId="158C86FE" w14:textId="1B3C225C" w:rsidR="24E26AF7" w:rsidRDefault="24E26AF7" w:rsidP="24E26AF7">
            <w:pPr>
              <w:rPr>
                <w:rFonts w:ascii="Arial" w:eastAsia="Arial" w:hAnsi="Arial" w:cs="Arial"/>
                <w:sz w:val="14"/>
                <w:szCs w:val="14"/>
              </w:rPr>
            </w:pPr>
            <w:r w:rsidRPr="24E26AF7">
              <w:rPr>
                <w:rFonts w:ascii="Arial" w:eastAsia="Arial" w:hAnsi="Arial" w:cs="Arial"/>
                <w:sz w:val="14"/>
                <w:szCs w:val="14"/>
              </w:rPr>
              <w:t>Black individuals 4x more likely detained</w:t>
            </w:r>
          </w:p>
        </w:tc>
        <w:tc>
          <w:tcPr>
            <w:tcW w:w="1215" w:type="dxa"/>
            <w:tcBorders>
              <w:top w:val="single" w:sz="6" w:space="0" w:color="E0E0E0"/>
              <w:left w:val="single" w:sz="6" w:space="0" w:color="E0E0E0"/>
              <w:bottom w:val="single" w:sz="6" w:space="0" w:color="E0E0E0"/>
              <w:right w:val="single" w:sz="6" w:space="0" w:color="E0E0E0"/>
            </w:tcBorders>
          </w:tcPr>
          <w:p w14:paraId="038BF98D" w14:textId="08FB8CF9" w:rsidR="24E26AF7" w:rsidRDefault="24E26AF7" w:rsidP="24E26AF7">
            <w:pPr>
              <w:rPr>
                <w:rFonts w:ascii="Arial" w:eastAsia="Arial" w:hAnsi="Arial" w:cs="Arial"/>
                <w:sz w:val="14"/>
                <w:szCs w:val="14"/>
              </w:rPr>
            </w:pPr>
            <w:r w:rsidRPr="24E26AF7">
              <w:rPr>
                <w:rFonts w:ascii="Arial" w:eastAsia="Arial" w:hAnsi="Arial" w:cs="Arial"/>
                <w:sz w:val="14"/>
                <w:szCs w:val="14"/>
              </w:rPr>
              <w:t>detention rates</w:t>
            </w:r>
          </w:p>
        </w:tc>
        <w:tc>
          <w:tcPr>
            <w:tcW w:w="698" w:type="dxa"/>
            <w:tcBorders>
              <w:top w:val="single" w:sz="6" w:space="0" w:color="E0E0E0"/>
              <w:left w:val="single" w:sz="6" w:space="0" w:color="E0E0E0"/>
              <w:bottom w:val="single" w:sz="6" w:space="0" w:color="E0E0E0"/>
              <w:right w:val="single" w:sz="6" w:space="0" w:color="E0E0E0"/>
            </w:tcBorders>
          </w:tcPr>
          <w:p w14:paraId="050DA062" w14:textId="7E7198CB" w:rsidR="24E26AF7" w:rsidRDefault="24E26AF7" w:rsidP="24E26AF7">
            <w:pPr>
              <w:rPr>
                <w:rFonts w:ascii="Arial" w:eastAsia="Arial" w:hAnsi="Arial" w:cs="Arial"/>
                <w:sz w:val="14"/>
                <w:szCs w:val="14"/>
              </w:rPr>
            </w:pPr>
            <w:r w:rsidRPr="24E26AF7">
              <w:rPr>
                <w:rFonts w:ascii="Arial" w:eastAsia="Arial" w:hAnsi="Arial" w:cs="Arial"/>
                <w:sz w:val="14"/>
                <w:szCs w:val="14"/>
              </w:rPr>
              <w:t>Theme 3</w:t>
            </w:r>
          </w:p>
        </w:tc>
      </w:tr>
    </w:tbl>
    <w:p w14:paraId="7DE70BB5" w14:textId="4355EF9E" w:rsidR="00EE3DBA" w:rsidRPr="00EE3DBA" w:rsidRDefault="00EE3DBA" w:rsidP="67BAD222">
      <w:pPr>
        <w:spacing w:before="120" w:after="120" w:line="360" w:lineRule="auto"/>
        <w:rPr>
          <w:rFonts w:ascii="Arial" w:eastAsia="Arial" w:hAnsi="Arial" w:cs="Arial"/>
          <w:b/>
          <w:bCs/>
          <w:sz w:val="16"/>
          <w:szCs w:val="16"/>
        </w:rPr>
      </w:pPr>
    </w:p>
    <w:p w14:paraId="3C9C3F16" w14:textId="04B68C29" w:rsidR="24E26AF7" w:rsidRDefault="24E26AF7" w:rsidP="24E26AF7">
      <w:pPr>
        <w:pStyle w:val="Heading2"/>
        <w:spacing w:line="360" w:lineRule="auto"/>
        <w:rPr>
          <w:rFonts w:ascii="Arial" w:eastAsia="Arial" w:hAnsi="Arial" w:cs="Arial"/>
          <w:b/>
          <w:bCs/>
          <w:color w:val="auto"/>
          <w:sz w:val="22"/>
          <w:szCs w:val="22"/>
        </w:rPr>
      </w:pPr>
    </w:p>
    <w:p w14:paraId="41C08DC5" w14:textId="0684098E" w:rsidR="24E26AF7" w:rsidRDefault="24E26AF7" w:rsidP="24E26AF7">
      <w:pPr>
        <w:pStyle w:val="Heading2"/>
        <w:spacing w:line="360" w:lineRule="auto"/>
        <w:rPr>
          <w:rFonts w:ascii="Arial" w:eastAsia="Arial" w:hAnsi="Arial" w:cs="Arial"/>
          <w:b/>
          <w:bCs/>
          <w:color w:val="auto"/>
          <w:sz w:val="22"/>
          <w:szCs w:val="22"/>
        </w:rPr>
      </w:pPr>
    </w:p>
    <w:p w14:paraId="09579021" w14:textId="792C123B" w:rsidR="24E26AF7" w:rsidRDefault="24E26AF7" w:rsidP="24E26AF7">
      <w:pPr>
        <w:spacing w:line="360" w:lineRule="auto"/>
        <w:rPr>
          <w:rFonts w:ascii="Arial" w:eastAsia="Arial" w:hAnsi="Arial" w:cs="Arial"/>
          <w:b/>
          <w:bCs/>
          <w:sz w:val="22"/>
          <w:szCs w:val="22"/>
        </w:rPr>
      </w:pPr>
    </w:p>
    <w:p w14:paraId="18AB9700" w14:textId="5BA5BF36" w:rsidR="24E26AF7" w:rsidRDefault="24E26AF7" w:rsidP="24E26AF7"/>
    <w:p w14:paraId="5F777F50" w14:textId="77777777" w:rsidR="00DD1539" w:rsidRDefault="00DD1539" w:rsidP="24E26AF7"/>
    <w:p w14:paraId="746E39F7" w14:textId="77777777" w:rsidR="00DD1539" w:rsidRDefault="00DD1539" w:rsidP="24E26AF7"/>
    <w:p w14:paraId="41E1FF17" w14:textId="77777777" w:rsidR="00DD1539" w:rsidRDefault="00DD1539" w:rsidP="24E26AF7"/>
    <w:p w14:paraId="38673148" w14:textId="77777777" w:rsidR="00DD1539" w:rsidRDefault="00DD1539" w:rsidP="24E26AF7"/>
    <w:p w14:paraId="02811C87" w14:textId="77777777" w:rsidR="00DD1539" w:rsidRDefault="00DD1539" w:rsidP="24E26AF7"/>
    <w:p w14:paraId="654380FB" w14:textId="77777777" w:rsidR="00DD1539" w:rsidRDefault="00DD1539" w:rsidP="24E26AF7"/>
    <w:p w14:paraId="72015526" w14:textId="5C9D90A2" w:rsidR="6D39B4F2" w:rsidRDefault="6D39B4F2" w:rsidP="24E26AF7">
      <w:pPr>
        <w:pStyle w:val="Heading2"/>
        <w:spacing w:line="360" w:lineRule="auto"/>
        <w:rPr>
          <w:rFonts w:ascii="Arial" w:eastAsia="Arial" w:hAnsi="Arial" w:cs="Arial"/>
          <w:b/>
          <w:bCs/>
          <w:color w:val="auto"/>
          <w:sz w:val="22"/>
          <w:szCs w:val="22"/>
        </w:rPr>
      </w:pPr>
      <w:bookmarkStart w:id="31" w:name="_Toc875032651"/>
      <w:r w:rsidRPr="24E26AF7">
        <w:rPr>
          <w:rFonts w:ascii="Arial" w:eastAsia="Arial" w:hAnsi="Arial" w:cs="Arial"/>
          <w:b/>
          <w:bCs/>
          <w:color w:val="auto"/>
          <w:sz w:val="22"/>
          <w:szCs w:val="22"/>
        </w:rPr>
        <w:lastRenderedPageBreak/>
        <w:t>Appendix B: Source Tracking Table</w:t>
      </w:r>
      <w:bookmarkEnd w:id="31"/>
    </w:p>
    <w:p w14:paraId="67B884EA" w14:textId="382AE8CF" w:rsidR="24E26AF7" w:rsidRDefault="24E26AF7" w:rsidP="24E26AF7"/>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501"/>
        <w:gridCol w:w="1501"/>
        <w:gridCol w:w="1502"/>
        <w:gridCol w:w="1502"/>
        <w:gridCol w:w="1502"/>
        <w:gridCol w:w="1502"/>
      </w:tblGrid>
      <w:tr w:rsidR="24E26AF7" w14:paraId="0E379507"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21B51925" w14:textId="5E56A648"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Saved?</w:t>
            </w:r>
          </w:p>
          <w:p w14:paraId="5BAB4D5E" w14:textId="3BFE248D"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37A15D33" w14:textId="6B86803B"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Author &amp; Year</w:t>
            </w:r>
          </w:p>
          <w:p w14:paraId="45B419B4" w14:textId="733C8969"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105A6B37" w14:textId="093ED086"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Title</w:t>
            </w:r>
          </w:p>
          <w:p w14:paraId="696D18E6" w14:textId="4A9C5F37"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03550CB6" w14:textId="6DBCDA95"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Summary</w:t>
            </w:r>
          </w:p>
          <w:p w14:paraId="1539E6DE" w14:textId="398674F6"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51984FEA" w14:textId="211A5293"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CRAAP Evaluation</w:t>
            </w:r>
          </w:p>
          <w:p w14:paraId="3FEC1E53" w14:textId="13F48A57"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01051C87" w14:textId="43F08236"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Database</w:t>
            </w:r>
          </w:p>
          <w:p w14:paraId="41356648" w14:textId="0F205F5D" w:rsidR="24E26AF7" w:rsidRDefault="24E26AF7" w:rsidP="24E26AF7">
            <w:pPr>
              <w:rPr>
                <w:rFonts w:ascii="Arial" w:eastAsia="Arial" w:hAnsi="Arial" w:cs="Arial"/>
                <w:sz w:val="14"/>
                <w:szCs w:val="14"/>
              </w:rPr>
            </w:pPr>
          </w:p>
        </w:tc>
      </w:tr>
      <w:tr w:rsidR="24E26AF7" w14:paraId="4D26C5FE"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680A6F8E" w14:textId="293E72AE" w:rsidR="53AC328F" w:rsidRDefault="53AC328F" w:rsidP="24E26AF7">
            <w:pPr>
              <w:rPr>
                <w:rFonts w:ascii="Arial" w:eastAsia="Arial" w:hAnsi="Arial" w:cs="Arial"/>
                <w:b/>
                <w:bCs/>
                <w:sz w:val="14"/>
                <w:szCs w:val="14"/>
              </w:rPr>
            </w:pPr>
            <w:r w:rsidRPr="24E26AF7">
              <w:rPr>
                <w:rFonts w:ascii="Arial" w:eastAsia="Arial" w:hAnsi="Arial" w:cs="Arial"/>
                <w:b/>
                <w:bCs/>
                <w:sz w:val="14"/>
                <w:szCs w:val="14"/>
              </w:rPr>
              <w:t>Yes</w:t>
            </w:r>
          </w:p>
          <w:p w14:paraId="73D808F3" w14:textId="49B5AB27"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2642C73B" w14:textId="475195EB" w:rsidR="53AC328F" w:rsidRDefault="53AC328F" w:rsidP="24E26AF7">
            <w:pPr>
              <w:rPr>
                <w:rFonts w:ascii="Arial" w:eastAsia="Arial" w:hAnsi="Arial" w:cs="Arial"/>
                <w:sz w:val="14"/>
                <w:szCs w:val="14"/>
              </w:rPr>
            </w:pPr>
            <w:r w:rsidRPr="24E26AF7">
              <w:rPr>
                <w:rFonts w:ascii="Arial" w:eastAsia="Arial" w:hAnsi="Arial" w:cs="Arial"/>
                <w:sz w:val="14"/>
                <w:szCs w:val="14"/>
              </w:rPr>
              <w:t>Nazroo &amp; Bhui (2021)</w:t>
            </w:r>
          </w:p>
          <w:p w14:paraId="6472D1A8" w14:textId="1D20E82D"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6FE5B5FA" w14:textId="686009D5" w:rsidR="53AC328F" w:rsidRDefault="53AC328F" w:rsidP="24E26AF7">
            <w:pPr>
              <w:rPr>
                <w:rFonts w:ascii="Arial" w:eastAsia="Arial" w:hAnsi="Arial" w:cs="Arial"/>
                <w:sz w:val="14"/>
                <w:szCs w:val="14"/>
              </w:rPr>
            </w:pPr>
            <w:r w:rsidRPr="24E26AF7">
              <w:rPr>
                <w:rFonts w:ascii="Arial" w:eastAsia="Arial" w:hAnsi="Arial" w:cs="Arial"/>
                <w:sz w:val="14"/>
                <w:szCs w:val="14"/>
              </w:rPr>
              <w:t>Ethnic Inequalities in Mental Health Care</w:t>
            </w:r>
          </w:p>
          <w:p w14:paraId="4C898DD3" w14:textId="241ED641"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152A4986" w14:textId="69D8D76C" w:rsidR="53AC328F" w:rsidRDefault="53AC328F" w:rsidP="24E26AF7">
            <w:pPr>
              <w:rPr>
                <w:rFonts w:ascii="Arial" w:eastAsia="Arial" w:hAnsi="Arial" w:cs="Arial"/>
                <w:sz w:val="14"/>
                <w:szCs w:val="14"/>
              </w:rPr>
            </w:pPr>
            <w:r w:rsidRPr="24E26AF7">
              <w:rPr>
                <w:rFonts w:ascii="Arial" w:eastAsia="Arial" w:hAnsi="Arial" w:cs="Arial"/>
                <w:sz w:val="14"/>
                <w:szCs w:val="14"/>
              </w:rPr>
              <w:t>Links deprivation to reduced early access</w:t>
            </w:r>
          </w:p>
          <w:p w14:paraId="30D467B7" w14:textId="18254384"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20145AA3" w14:textId="5B49C05D" w:rsidR="53AC328F" w:rsidRDefault="53AC328F" w:rsidP="24E26AF7">
            <w:pPr>
              <w:rPr>
                <w:rFonts w:ascii="Arial" w:eastAsia="Arial" w:hAnsi="Arial" w:cs="Arial"/>
                <w:sz w:val="14"/>
                <w:szCs w:val="14"/>
              </w:rPr>
            </w:pPr>
            <w:r w:rsidRPr="24E26AF7">
              <w:rPr>
                <w:rFonts w:ascii="Arial" w:eastAsia="Arial" w:hAnsi="Arial" w:cs="Arial"/>
                <w:sz w:val="14"/>
                <w:szCs w:val="14"/>
              </w:rPr>
              <w:t>Current, academic, UK-focused</w:t>
            </w:r>
          </w:p>
          <w:p w14:paraId="6D2C3683" w14:textId="7C4EC9A2" w:rsidR="24E26AF7" w:rsidRDefault="24E26AF7" w:rsidP="24E26AF7">
            <w:pPr>
              <w:rPr>
                <w:rFonts w:ascii="Arial" w:eastAsia="Arial" w:hAnsi="Arial" w:cs="Arial"/>
                <w:sz w:val="14"/>
                <w:szCs w:val="14"/>
              </w:rPr>
            </w:pPr>
          </w:p>
        </w:tc>
        <w:tc>
          <w:tcPr>
            <w:tcW w:w="1502" w:type="dxa"/>
            <w:tcBorders>
              <w:top w:val="single" w:sz="6" w:space="0" w:color="E0E0E0"/>
              <w:left w:val="single" w:sz="6" w:space="0" w:color="E0E0E0"/>
              <w:bottom w:val="single" w:sz="6" w:space="0" w:color="E0E0E0"/>
              <w:right w:val="single" w:sz="6" w:space="0" w:color="E0E0E0"/>
            </w:tcBorders>
          </w:tcPr>
          <w:p w14:paraId="563DBD18" w14:textId="04CF3600" w:rsidR="53AC328F" w:rsidRDefault="53AC328F" w:rsidP="24E26AF7">
            <w:pPr>
              <w:rPr>
                <w:rFonts w:ascii="Arial" w:eastAsia="Arial" w:hAnsi="Arial" w:cs="Arial"/>
                <w:sz w:val="14"/>
                <w:szCs w:val="14"/>
              </w:rPr>
            </w:pPr>
            <w:r w:rsidRPr="24E26AF7">
              <w:rPr>
                <w:rFonts w:ascii="Arial" w:eastAsia="Arial" w:hAnsi="Arial" w:cs="Arial"/>
                <w:sz w:val="14"/>
                <w:szCs w:val="14"/>
              </w:rPr>
              <w:t>UWTSD Library</w:t>
            </w:r>
          </w:p>
          <w:p w14:paraId="40FB1CEE" w14:textId="4F1D82C5" w:rsidR="24E26AF7" w:rsidRDefault="24E26AF7" w:rsidP="24E26AF7">
            <w:pPr>
              <w:rPr>
                <w:rFonts w:ascii="Arial" w:eastAsia="Arial" w:hAnsi="Arial" w:cs="Arial"/>
                <w:sz w:val="14"/>
                <w:szCs w:val="14"/>
              </w:rPr>
            </w:pPr>
          </w:p>
        </w:tc>
      </w:tr>
      <w:tr w:rsidR="24E26AF7" w14:paraId="34B0CE46"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7901CEA3" w14:textId="10E4C54C"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08335FB3" w14:textId="4313B3A2" w:rsidR="24E26AF7" w:rsidRDefault="24E26AF7" w:rsidP="24E26AF7">
            <w:pPr>
              <w:rPr>
                <w:rFonts w:ascii="Arial" w:eastAsia="Arial" w:hAnsi="Arial" w:cs="Arial"/>
                <w:sz w:val="14"/>
                <w:szCs w:val="14"/>
              </w:rPr>
            </w:pPr>
            <w:r w:rsidRPr="24E26AF7">
              <w:rPr>
                <w:rFonts w:ascii="Arial" w:eastAsia="Arial" w:hAnsi="Arial" w:cs="Arial"/>
                <w:sz w:val="14"/>
                <w:szCs w:val="14"/>
              </w:rPr>
              <w:t>Propper et al. (2020)</w:t>
            </w:r>
          </w:p>
        </w:tc>
        <w:tc>
          <w:tcPr>
            <w:tcW w:w="1502" w:type="dxa"/>
            <w:tcBorders>
              <w:top w:val="single" w:sz="6" w:space="0" w:color="E0E0E0"/>
              <w:left w:val="single" w:sz="6" w:space="0" w:color="E0E0E0"/>
              <w:bottom w:val="single" w:sz="6" w:space="0" w:color="E0E0E0"/>
              <w:right w:val="single" w:sz="6" w:space="0" w:color="E0E0E0"/>
            </w:tcBorders>
          </w:tcPr>
          <w:p w14:paraId="184FD615" w14:textId="10393E1C" w:rsidR="24E26AF7" w:rsidRDefault="24E26AF7" w:rsidP="24E26AF7">
            <w:pPr>
              <w:rPr>
                <w:rFonts w:ascii="Arial" w:eastAsia="Arial" w:hAnsi="Arial" w:cs="Arial"/>
                <w:sz w:val="14"/>
                <w:szCs w:val="14"/>
              </w:rPr>
            </w:pPr>
            <w:r w:rsidRPr="24E26AF7">
              <w:rPr>
                <w:rFonts w:ascii="Arial" w:eastAsia="Arial" w:hAnsi="Arial" w:cs="Arial"/>
                <w:sz w:val="14"/>
                <w:szCs w:val="14"/>
              </w:rPr>
              <w:t>Deprivation &amp; IAPT Engagement</w:t>
            </w:r>
          </w:p>
        </w:tc>
        <w:tc>
          <w:tcPr>
            <w:tcW w:w="1502" w:type="dxa"/>
            <w:tcBorders>
              <w:top w:val="single" w:sz="6" w:space="0" w:color="E0E0E0"/>
              <w:left w:val="single" w:sz="6" w:space="0" w:color="E0E0E0"/>
              <w:bottom w:val="single" w:sz="6" w:space="0" w:color="E0E0E0"/>
              <w:right w:val="single" w:sz="6" w:space="0" w:color="E0E0E0"/>
            </w:tcBorders>
          </w:tcPr>
          <w:p w14:paraId="69E7E75F" w14:textId="777C70E3" w:rsidR="24E26AF7" w:rsidRDefault="24E26AF7" w:rsidP="24E26AF7">
            <w:pPr>
              <w:rPr>
                <w:rFonts w:ascii="Arial" w:eastAsia="Arial" w:hAnsi="Arial" w:cs="Arial"/>
                <w:sz w:val="14"/>
                <w:szCs w:val="14"/>
              </w:rPr>
            </w:pPr>
            <w:r w:rsidRPr="24E26AF7">
              <w:rPr>
                <w:rFonts w:ascii="Arial" w:eastAsia="Arial" w:hAnsi="Arial" w:cs="Arial"/>
                <w:sz w:val="14"/>
                <w:szCs w:val="14"/>
              </w:rPr>
              <w:t>Area deprivation predicts reduced therapy uptake</w:t>
            </w:r>
          </w:p>
        </w:tc>
        <w:tc>
          <w:tcPr>
            <w:tcW w:w="1502" w:type="dxa"/>
            <w:tcBorders>
              <w:top w:val="single" w:sz="6" w:space="0" w:color="E0E0E0"/>
              <w:left w:val="single" w:sz="6" w:space="0" w:color="E0E0E0"/>
              <w:bottom w:val="single" w:sz="6" w:space="0" w:color="E0E0E0"/>
              <w:right w:val="single" w:sz="6" w:space="0" w:color="E0E0E0"/>
            </w:tcBorders>
          </w:tcPr>
          <w:p w14:paraId="5267B545" w14:textId="088BE33C" w:rsidR="24E26AF7" w:rsidRDefault="24E26AF7" w:rsidP="24E26AF7">
            <w:pPr>
              <w:rPr>
                <w:rFonts w:ascii="Arial" w:eastAsia="Arial" w:hAnsi="Arial" w:cs="Arial"/>
                <w:sz w:val="14"/>
                <w:szCs w:val="14"/>
              </w:rPr>
            </w:pPr>
            <w:r w:rsidRPr="24E26AF7">
              <w:rPr>
                <w:rFonts w:ascii="Arial" w:eastAsia="Arial" w:hAnsi="Arial" w:cs="Arial"/>
                <w:sz w:val="14"/>
                <w:szCs w:val="14"/>
              </w:rPr>
              <w:t>Peer-reviewed, relevant</w:t>
            </w:r>
          </w:p>
        </w:tc>
        <w:tc>
          <w:tcPr>
            <w:tcW w:w="1502" w:type="dxa"/>
            <w:tcBorders>
              <w:top w:val="single" w:sz="6" w:space="0" w:color="E0E0E0"/>
              <w:left w:val="single" w:sz="6" w:space="0" w:color="E0E0E0"/>
              <w:bottom w:val="single" w:sz="6" w:space="0" w:color="E0E0E0"/>
              <w:right w:val="single" w:sz="6" w:space="0" w:color="E0E0E0"/>
            </w:tcBorders>
          </w:tcPr>
          <w:p w14:paraId="0E9A8B56" w14:textId="2EC34584" w:rsidR="24E26AF7" w:rsidRDefault="24E26AF7" w:rsidP="24E26AF7">
            <w:pPr>
              <w:rPr>
                <w:rFonts w:ascii="Arial" w:eastAsia="Arial" w:hAnsi="Arial" w:cs="Arial"/>
                <w:sz w:val="14"/>
                <w:szCs w:val="14"/>
              </w:rPr>
            </w:pPr>
            <w:r w:rsidRPr="24E26AF7">
              <w:rPr>
                <w:rFonts w:ascii="Arial" w:eastAsia="Arial" w:hAnsi="Arial" w:cs="Arial"/>
                <w:sz w:val="14"/>
                <w:szCs w:val="14"/>
              </w:rPr>
              <w:t>PubMed</w:t>
            </w:r>
          </w:p>
        </w:tc>
      </w:tr>
      <w:tr w:rsidR="24E26AF7" w14:paraId="6CC2FA0A"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11154CDF" w14:textId="6E951E5E"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60FF47B2" w14:textId="3DA67FA7" w:rsidR="24E26AF7" w:rsidRDefault="24E26AF7" w:rsidP="24E26AF7">
            <w:pPr>
              <w:rPr>
                <w:rFonts w:ascii="Arial" w:eastAsia="Arial" w:hAnsi="Arial" w:cs="Arial"/>
                <w:sz w:val="14"/>
                <w:szCs w:val="14"/>
              </w:rPr>
            </w:pPr>
            <w:r w:rsidRPr="24E26AF7">
              <w:rPr>
                <w:rFonts w:ascii="Arial" w:eastAsia="Arial" w:hAnsi="Arial" w:cs="Arial"/>
                <w:sz w:val="14"/>
                <w:szCs w:val="14"/>
              </w:rPr>
              <w:t>Daly et al. (2022)</w:t>
            </w:r>
          </w:p>
        </w:tc>
        <w:tc>
          <w:tcPr>
            <w:tcW w:w="1502" w:type="dxa"/>
            <w:tcBorders>
              <w:top w:val="single" w:sz="6" w:space="0" w:color="E0E0E0"/>
              <w:left w:val="single" w:sz="6" w:space="0" w:color="E0E0E0"/>
              <w:bottom w:val="single" w:sz="6" w:space="0" w:color="E0E0E0"/>
              <w:right w:val="single" w:sz="6" w:space="0" w:color="E0E0E0"/>
            </w:tcBorders>
          </w:tcPr>
          <w:p w14:paraId="5E964719" w14:textId="490E5A15" w:rsidR="24E26AF7" w:rsidRDefault="24E26AF7" w:rsidP="24E26AF7">
            <w:pPr>
              <w:rPr>
                <w:rFonts w:ascii="Arial" w:eastAsia="Arial" w:hAnsi="Arial" w:cs="Arial"/>
                <w:sz w:val="14"/>
                <w:szCs w:val="14"/>
              </w:rPr>
            </w:pPr>
            <w:r w:rsidRPr="24E26AF7">
              <w:rPr>
                <w:rFonts w:ascii="Arial" w:eastAsia="Arial" w:hAnsi="Arial" w:cs="Arial"/>
                <w:sz w:val="14"/>
                <w:szCs w:val="14"/>
              </w:rPr>
              <w:t>COVID &amp; Inequality</w:t>
            </w:r>
          </w:p>
        </w:tc>
        <w:tc>
          <w:tcPr>
            <w:tcW w:w="1502" w:type="dxa"/>
            <w:tcBorders>
              <w:top w:val="single" w:sz="6" w:space="0" w:color="E0E0E0"/>
              <w:left w:val="single" w:sz="6" w:space="0" w:color="E0E0E0"/>
              <w:bottom w:val="single" w:sz="6" w:space="0" w:color="E0E0E0"/>
              <w:right w:val="single" w:sz="6" w:space="0" w:color="E0E0E0"/>
            </w:tcBorders>
          </w:tcPr>
          <w:p w14:paraId="3F11A7BC" w14:textId="289A2F15" w:rsidR="24E26AF7" w:rsidRDefault="24E26AF7" w:rsidP="24E26AF7">
            <w:pPr>
              <w:rPr>
                <w:rFonts w:ascii="Arial" w:eastAsia="Arial" w:hAnsi="Arial" w:cs="Arial"/>
                <w:sz w:val="14"/>
                <w:szCs w:val="14"/>
              </w:rPr>
            </w:pPr>
            <w:r w:rsidRPr="24E26AF7">
              <w:rPr>
                <w:rFonts w:ascii="Arial" w:eastAsia="Arial" w:hAnsi="Arial" w:cs="Arial"/>
                <w:sz w:val="14"/>
                <w:szCs w:val="14"/>
              </w:rPr>
              <w:t>Financial hardship increases distress</w:t>
            </w:r>
          </w:p>
        </w:tc>
        <w:tc>
          <w:tcPr>
            <w:tcW w:w="1502" w:type="dxa"/>
            <w:tcBorders>
              <w:top w:val="single" w:sz="6" w:space="0" w:color="E0E0E0"/>
              <w:left w:val="single" w:sz="6" w:space="0" w:color="E0E0E0"/>
              <w:bottom w:val="single" w:sz="6" w:space="0" w:color="E0E0E0"/>
              <w:right w:val="single" w:sz="6" w:space="0" w:color="E0E0E0"/>
            </w:tcBorders>
          </w:tcPr>
          <w:p w14:paraId="1D134E21" w14:textId="255CE8CF" w:rsidR="24E26AF7" w:rsidRDefault="24E26AF7" w:rsidP="24E26AF7">
            <w:pPr>
              <w:rPr>
                <w:rFonts w:ascii="Arial" w:eastAsia="Arial" w:hAnsi="Arial" w:cs="Arial"/>
                <w:sz w:val="14"/>
                <w:szCs w:val="14"/>
              </w:rPr>
            </w:pPr>
            <w:r w:rsidRPr="24E26AF7">
              <w:rPr>
                <w:rFonts w:ascii="Arial" w:eastAsia="Arial" w:hAnsi="Arial" w:cs="Arial"/>
                <w:sz w:val="14"/>
                <w:szCs w:val="14"/>
              </w:rPr>
              <w:t>Recent, national dataset</w:t>
            </w:r>
          </w:p>
        </w:tc>
        <w:tc>
          <w:tcPr>
            <w:tcW w:w="1502" w:type="dxa"/>
            <w:tcBorders>
              <w:top w:val="single" w:sz="6" w:space="0" w:color="E0E0E0"/>
              <w:left w:val="single" w:sz="6" w:space="0" w:color="E0E0E0"/>
              <w:bottom w:val="single" w:sz="6" w:space="0" w:color="E0E0E0"/>
              <w:right w:val="single" w:sz="6" w:space="0" w:color="E0E0E0"/>
            </w:tcBorders>
          </w:tcPr>
          <w:p w14:paraId="5F8EBCC5" w14:textId="34F24214" w:rsidR="24E26AF7" w:rsidRDefault="24E26AF7" w:rsidP="24E26AF7">
            <w:pPr>
              <w:rPr>
                <w:rFonts w:ascii="Arial" w:eastAsia="Arial" w:hAnsi="Arial" w:cs="Arial"/>
                <w:sz w:val="14"/>
                <w:szCs w:val="14"/>
              </w:rPr>
            </w:pPr>
            <w:r w:rsidRPr="24E26AF7">
              <w:rPr>
                <w:rFonts w:ascii="Arial" w:eastAsia="Arial" w:hAnsi="Arial" w:cs="Arial"/>
                <w:sz w:val="14"/>
                <w:szCs w:val="14"/>
              </w:rPr>
              <w:t>Google Scholar</w:t>
            </w:r>
          </w:p>
        </w:tc>
      </w:tr>
      <w:tr w:rsidR="24E26AF7" w14:paraId="69B12A53"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332F3CBE" w14:textId="4CAF8BDB"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0473AC9F" w14:textId="5A2A4C1A" w:rsidR="24E26AF7" w:rsidRDefault="24E26AF7" w:rsidP="24E26AF7">
            <w:pPr>
              <w:rPr>
                <w:rFonts w:ascii="Arial" w:eastAsia="Arial" w:hAnsi="Arial" w:cs="Arial"/>
                <w:sz w:val="14"/>
                <w:szCs w:val="14"/>
              </w:rPr>
            </w:pPr>
            <w:r w:rsidRPr="24E26AF7">
              <w:rPr>
                <w:rFonts w:ascii="Arial" w:eastAsia="Arial" w:hAnsi="Arial" w:cs="Arial"/>
                <w:sz w:val="14"/>
                <w:szCs w:val="14"/>
              </w:rPr>
              <w:t>Bhui et al. (2018)</w:t>
            </w:r>
          </w:p>
        </w:tc>
        <w:tc>
          <w:tcPr>
            <w:tcW w:w="1502" w:type="dxa"/>
            <w:tcBorders>
              <w:top w:val="single" w:sz="6" w:space="0" w:color="E0E0E0"/>
              <w:left w:val="single" w:sz="6" w:space="0" w:color="E0E0E0"/>
              <w:bottom w:val="single" w:sz="6" w:space="0" w:color="E0E0E0"/>
              <w:right w:val="single" w:sz="6" w:space="0" w:color="E0E0E0"/>
            </w:tcBorders>
          </w:tcPr>
          <w:p w14:paraId="3F3227B1" w14:textId="5BF89DAE" w:rsidR="24E26AF7" w:rsidRDefault="24E26AF7" w:rsidP="24E26AF7">
            <w:pPr>
              <w:rPr>
                <w:rFonts w:ascii="Arial" w:eastAsia="Arial" w:hAnsi="Arial" w:cs="Arial"/>
                <w:sz w:val="14"/>
                <w:szCs w:val="14"/>
              </w:rPr>
            </w:pPr>
            <w:r w:rsidRPr="24E26AF7">
              <w:rPr>
                <w:rFonts w:ascii="Arial" w:eastAsia="Arial" w:hAnsi="Arial" w:cs="Arial"/>
                <w:sz w:val="14"/>
                <w:szCs w:val="14"/>
              </w:rPr>
              <w:t>Cultural Competence</w:t>
            </w:r>
          </w:p>
        </w:tc>
        <w:tc>
          <w:tcPr>
            <w:tcW w:w="1502" w:type="dxa"/>
            <w:tcBorders>
              <w:top w:val="single" w:sz="6" w:space="0" w:color="E0E0E0"/>
              <w:left w:val="single" w:sz="6" w:space="0" w:color="E0E0E0"/>
              <w:bottom w:val="single" w:sz="6" w:space="0" w:color="E0E0E0"/>
              <w:right w:val="single" w:sz="6" w:space="0" w:color="E0E0E0"/>
            </w:tcBorders>
          </w:tcPr>
          <w:p w14:paraId="1149AA6B" w14:textId="5386EB78" w:rsidR="24E26AF7" w:rsidRDefault="24E26AF7" w:rsidP="24E26AF7">
            <w:pPr>
              <w:rPr>
                <w:rFonts w:ascii="Arial" w:eastAsia="Arial" w:hAnsi="Arial" w:cs="Arial"/>
                <w:sz w:val="14"/>
                <w:szCs w:val="14"/>
              </w:rPr>
            </w:pPr>
            <w:r w:rsidRPr="24E26AF7">
              <w:rPr>
                <w:rFonts w:ascii="Arial" w:eastAsia="Arial" w:hAnsi="Arial" w:cs="Arial"/>
                <w:sz w:val="14"/>
                <w:szCs w:val="14"/>
              </w:rPr>
              <w:t>Cultural insensitivity reduces engagement</w:t>
            </w:r>
          </w:p>
        </w:tc>
        <w:tc>
          <w:tcPr>
            <w:tcW w:w="1502" w:type="dxa"/>
            <w:tcBorders>
              <w:top w:val="single" w:sz="6" w:space="0" w:color="E0E0E0"/>
              <w:left w:val="single" w:sz="6" w:space="0" w:color="E0E0E0"/>
              <w:bottom w:val="single" w:sz="6" w:space="0" w:color="E0E0E0"/>
              <w:right w:val="single" w:sz="6" w:space="0" w:color="E0E0E0"/>
            </w:tcBorders>
          </w:tcPr>
          <w:p w14:paraId="0BF8A170" w14:textId="1200CFBD" w:rsidR="24E26AF7" w:rsidRDefault="24E26AF7" w:rsidP="24E26AF7">
            <w:pPr>
              <w:rPr>
                <w:rFonts w:ascii="Arial" w:eastAsia="Arial" w:hAnsi="Arial" w:cs="Arial"/>
                <w:sz w:val="14"/>
                <w:szCs w:val="14"/>
              </w:rPr>
            </w:pPr>
            <w:r w:rsidRPr="24E26AF7">
              <w:rPr>
                <w:rFonts w:ascii="Arial" w:eastAsia="Arial" w:hAnsi="Arial" w:cs="Arial"/>
                <w:sz w:val="14"/>
                <w:szCs w:val="14"/>
              </w:rPr>
              <w:t>Peer-reviewed qualitative</w:t>
            </w:r>
          </w:p>
        </w:tc>
        <w:tc>
          <w:tcPr>
            <w:tcW w:w="1502" w:type="dxa"/>
            <w:tcBorders>
              <w:top w:val="single" w:sz="6" w:space="0" w:color="E0E0E0"/>
              <w:left w:val="single" w:sz="6" w:space="0" w:color="E0E0E0"/>
              <w:bottom w:val="single" w:sz="6" w:space="0" w:color="E0E0E0"/>
              <w:right w:val="single" w:sz="6" w:space="0" w:color="E0E0E0"/>
            </w:tcBorders>
          </w:tcPr>
          <w:p w14:paraId="01D3D219" w14:textId="66F112C1" w:rsidR="24E26AF7" w:rsidRDefault="24E26AF7" w:rsidP="24E26AF7">
            <w:pPr>
              <w:rPr>
                <w:rFonts w:ascii="Arial" w:eastAsia="Arial" w:hAnsi="Arial" w:cs="Arial"/>
                <w:sz w:val="14"/>
                <w:szCs w:val="14"/>
              </w:rPr>
            </w:pPr>
            <w:r w:rsidRPr="24E26AF7">
              <w:rPr>
                <w:rFonts w:ascii="Arial" w:eastAsia="Arial" w:hAnsi="Arial" w:cs="Arial"/>
                <w:sz w:val="14"/>
                <w:szCs w:val="14"/>
              </w:rPr>
              <w:t>Academic database</w:t>
            </w:r>
          </w:p>
        </w:tc>
      </w:tr>
      <w:tr w:rsidR="24E26AF7" w14:paraId="4CA26B1F"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64A8EC09" w14:textId="3A7B4955"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296020B0" w14:textId="5A3CA194" w:rsidR="24E26AF7" w:rsidRDefault="24E26AF7" w:rsidP="24E26AF7">
            <w:pPr>
              <w:rPr>
                <w:rFonts w:ascii="Arial" w:eastAsia="Arial" w:hAnsi="Arial" w:cs="Arial"/>
                <w:sz w:val="14"/>
                <w:szCs w:val="14"/>
              </w:rPr>
            </w:pPr>
            <w:r w:rsidRPr="24E26AF7">
              <w:rPr>
                <w:rFonts w:ascii="Arial" w:eastAsia="Arial" w:hAnsi="Arial" w:cs="Arial"/>
                <w:sz w:val="14"/>
                <w:szCs w:val="14"/>
              </w:rPr>
              <w:t>Henderson et al. (2013)</w:t>
            </w:r>
          </w:p>
        </w:tc>
        <w:tc>
          <w:tcPr>
            <w:tcW w:w="1502" w:type="dxa"/>
            <w:tcBorders>
              <w:top w:val="single" w:sz="6" w:space="0" w:color="E0E0E0"/>
              <w:left w:val="single" w:sz="6" w:space="0" w:color="E0E0E0"/>
              <w:bottom w:val="single" w:sz="6" w:space="0" w:color="E0E0E0"/>
              <w:right w:val="single" w:sz="6" w:space="0" w:color="E0E0E0"/>
            </w:tcBorders>
          </w:tcPr>
          <w:p w14:paraId="4E1C3AA9" w14:textId="70B1D6D8" w:rsidR="24E26AF7" w:rsidRDefault="24E26AF7" w:rsidP="24E26AF7">
            <w:pPr>
              <w:rPr>
                <w:rFonts w:ascii="Arial" w:eastAsia="Arial" w:hAnsi="Arial" w:cs="Arial"/>
                <w:sz w:val="14"/>
                <w:szCs w:val="14"/>
              </w:rPr>
            </w:pPr>
            <w:r w:rsidRPr="24E26AF7">
              <w:rPr>
                <w:rFonts w:ascii="Arial" w:eastAsia="Arial" w:hAnsi="Arial" w:cs="Arial"/>
                <w:sz w:val="14"/>
                <w:szCs w:val="14"/>
              </w:rPr>
              <w:t>Anticipated Discrimination</w:t>
            </w:r>
          </w:p>
        </w:tc>
        <w:tc>
          <w:tcPr>
            <w:tcW w:w="1502" w:type="dxa"/>
            <w:tcBorders>
              <w:top w:val="single" w:sz="6" w:space="0" w:color="E0E0E0"/>
              <w:left w:val="single" w:sz="6" w:space="0" w:color="E0E0E0"/>
              <w:bottom w:val="single" w:sz="6" w:space="0" w:color="E0E0E0"/>
              <w:right w:val="single" w:sz="6" w:space="0" w:color="E0E0E0"/>
            </w:tcBorders>
          </w:tcPr>
          <w:p w14:paraId="33260174" w14:textId="1E6867B9" w:rsidR="24E26AF7" w:rsidRDefault="24E26AF7" w:rsidP="24E26AF7">
            <w:pPr>
              <w:rPr>
                <w:rFonts w:ascii="Arial" w:eastAsia="Arial" w:hAnsi="Arial" w:cs="Arial"/>
                <w:sz w:val="14"/>
                <w:szCs w:val="14"/>
              </w:rPr>
            </w:pPr>
            <w:r w:rsidRPr="24E26AF7">
              <w:rPr>
                <w:rFonts w:ascii="Arial" w:eastAsia="Arial" w:hAnsi="Arial" w:cs="Arial"/>
                <w:sz w:val="14"/>
                <w:szCs w:val="14"/>
              </w:rPr>
              <w:t>Fear reduces help-seeking</w:t>
            </w:r>
          </w:p>
        </w:tc>
        <w:tc>
          <w:tcPr>
            <w:tcW w:w="1502" w:type="dxa"/>
            <w:tcBorders>
              <w:top w:val="single" w:sz="6" w:space="0" w:color="E0E0E0"/>
              <w:left w:val="single" w:sz="6" w:space="0" w:color="E0E0E0"/>
              <w:bottom w:val="single" w:sz="6" w:space="0" w:color="E0E0E0"/>
              <w:right w:val="single" w:sz="6" w:space="0" w:color="E0E0E0"/>
            </w:tcBorders>
          </w:tcPr>
          <w:p w14:paraId="573BF289" w14:textId="00268418" w:rsidR="24E26AF7" w:rsidRDefault="24E26AF7" w:rsidP="24E26AF7">
            <w:pPr>
              <w:rPr>
                <w:rFonts w:ascii="Arial" w:eastAsia="Arial" w:hAnsi="Arial" w:cs="Arial"/>
                <w:sz w:val="14"/>
                <w:szCs w:val="14"/>
              </w:rPr>
            </w:pPr>
            <w:r w:rsidRPr="24E26AF7">
              <w:rPr>
                <w:rFonts w:ascii="Arial" w:eastAsia="Arial" w:hAnsi="Arial" w:cs="Arial"/>
                <w:sz w:val="14"/>
                <w:szCs w:val="14"/>
              </w:rPr>
              <w:t>Strong methodology</w:t>
            </w:r>
          </w:p>
        </w:tc>
        <w:tc>
          <w:tcPr>
            <w:tcW w:w="1502" w:type="dxa"/>
            <w:tcBorders>
              <w:top w:val="single" w:sz="6" w:space="0" w:color="E0E0E0"/>
              <w:left w:val="single" w:sz="6" w:space="0" w:color="E0E0E0"/>
              <w:bottom w:val="single" w:sz="6" w:space="0" w:color="E0E0E0"/>
              <w:right w:val="single" w:sz="6" w:space="0" w:color="E0E0E0"/>
            </w:tcBorders>
          </w:tcPr>
          <w:p w14:paraId="7E099D51" w14:textId="293EF8D6" w:rsidR="24E26AF7" w:rsidRDefault="24E26AF7" w:rsidP="24E26AF7">
            <w:pPr>
              <w:rPr>
                <w:rFonts w:ascii="Arial" w:eastAsia="Arial" w:hAnsi="Arial" w:cs="Arial"/>
                <w:sz w:val="14"/>
                <w:szCs w:val="14"/>
              </w:rPr>
            </w:pPr>
            <w:r w:rsidRPr="24E26AF7">
              <w:rPr>
                <w:rFonts w:ascii="Arial" w:eastAsia="Arial" w:hAnsi="Arial" w:cs="Arial"/>
                <w:sz w:val="14"/>
                <w:szCs w:val="14"/>
              </w:rPr>
              <w:t>Academic journal</w:t>
            </w:r>
          </w:p>
        </w:tc>
      </w:tr>
      <w:tr w:rsidR="24E26AF7" w14:paraId="1D2EEB7B" w14:textId="77777777" w:rsidTr="24E26AF7">
        <w:trPr>
          <w:trHeight w:val="555"/>
        </w:trPr>
        <w:tc>
          <w:tcPr>
            <w:tcW w:w="1502" w:type="dxa"/>
            <w:tcBorders>
              <w:top w:val="single" w:sz="6" w:space="0" w:color="E0E0E0"/>
              <w:left w:val="single" w:sz="6" w:space="0" w:color="E0E0E0"/>
              <w:bottom w:val="single" w:sz="6" w:space="0" w:color="E0E0E0"/>
              <w:right w:val="single" w:sz="6" w:space="0" w:color="E0E0E0"/>
            </w:tcBorders>
          </w:tcPr>
          <w:p w14:paraId="4776DEBB" w14:textId="67A33482"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45F68A1B" w14:textId="11BF4DA7" w:rsidR="24E26AF7" w:rsidRDefault="24E26AF7" w:rsidP="24E26AF7">
            <w:pPr>
              <w:rPr>
                <w:rFonts w:ascii="Arial" w:eastAsia="Arial" w:hAnsi="Arial" w:cs="Arial"/>
                <w:sz w:val="14"/>
                <w:szCs w:val="14"/>
              </w:rPr>
            </w:pPr>
            <w:r w:rsidRPr="24E26AF7">
              <w:rPr>
                <w:rFonts w:ascii="Arial" w:eastAsia="Arial" w:hAnsi="Arial" w:cs="Arial"/>
                <w:sz w:val="14"/>
                <w:szCs w:val="14"/>
              </w:rPr>
              <w:t>Bhugra et al. (2021)</w:t>
            </w:r>
          </w:p>
        </w:tc>
        <w:tc>
          <w:tcPr>
            <w:tcW w:w="1502" w:type="dxa"/>
            <w:tcBorders>
              <w:top w:val="single" w:sz="6" w:space="0" w:color="E0E0E0"/>
              <w:left w:val="single" w:sz="6" w:space="0" w:color="E0E0E0"/>
              <w:bottom w:val="single" w:sz="6" w:space="0" w:color="E0E0E0"/>
              <w:right w:val="single" w:sz="6" w:space="0" w:color="E0E0E0"/>
            </w:tcBorders>
          </w:tcPr>
          <w:p w14:paraId="04459386" w14:textId="5A3A5CD2" w:rsidR="24E26AF7" w:rsidRDefault="24E26AF7" w:rsidP="24E26AF7">
            <w:pPr>
              <w:rPr>
                <w:rFonts w:ascii="Arial" w:eastAsia="Arial" w:hAnsi="Arial" w:cs="Arial"/>
                <w:sz w:val="14"/>
                <w:szCs w:val="14"/>
              </w:rPr>
            </w:pPr>
            <w:r w:rsidRPr="24E26AF7">
              <w:rPr>
                <w:rFonts w:ascii="Arial" w:eastAsia="Arial" w:hAnsi="Arial" w:cs="Arial"/>
                <w:sz w:val="14"/>
                <w:szCs w:val="14"/>
              </w:rPr>
              <w:t>Cultural Exclusion</w:t>
            </w:r>
          </w:p>
        </w:tc>
        <w:tc>
          <w:tcPr>
            <w:tcW w:w="1502" w:type="dxa"/>
            <w:tcBorders>
              <w:top w:val="single" w:sz="6" w:space="0" w:color="E0E0E0"/>
              <w:left w:val="single" w:sz="6" w:space="0" w:color="E0E0E0"/>
              <w:bottom w:val="single" w:sz="6" w:space="0" w:color="E0E0E0"/>
              <w:right w:val="single" w:sz="6" w:space="0" w:color="E0E0E0"/>
            </w:tcBorders>
          </w:tcPr>
          <w:p w14:paraId="765F560E" w14:textId="71498FC2" w:rsidR="24E26AF7" w:rsidRDefault="24E26AF7" w:rsidP="24E26AF7">
            <w:pPr>
              <w:rPr>
                <w:rFonts w:ascii="Arial" w:eastAsia="Arial" w:hAnsi="Arial" w:cs="Arial"/>
                <w:sz w:val="14"/>
                <w:szCs w:val="14"/>
              </w:rPr>
            </w:pPr>
            <w:r w:rsidRPr="24E26AF7">
              <w:rPr>
                <w:rFonts w:ascii="Arial" w:eastAsia="Arial" w:hAnsi="Arial" w:cs="Arial"/>
                <w:sz w:val="14"/>
                <w:szCs w:val="14"/>
              </w:rPr>
              <w:t>Mistrust linked to structural exclusion</w:t>
            </w:r>
          </w:p>
        </w:tc>
        <w:tc>
          <w:tcPr>
            <w:tcW w:w="1502" w:type="dxa"/>
            <w:tcBorders>
              <w:top w:val="single" w:sz="6" w:space="0" w:color="E0E0E0"/>
              <w:left w:val="single" w:sz="6" w:space="0" w:color="E0E0E0"/>
              <w:bottom w:val="single" w:sz="6" w:space="0" w:color="E0E0E0"/>
              <w:right w:val="single" w:sz="6" w:space="0" w:color="E0E0E0"/>
            </w:tcBorders>
          </w:tcPr>
          <w:p w14:paraId="62C1618C" w14:textId="540CABFE" w:rsidR="24E26AF7" w:rsidRDefault="24E26AF7" w:rsidP="24E26AF7">
            <w:pPr>
              <w:rPr>
                <w:rFonts w:ascii="Arial" w:eastAsia="Arial" w:hAnsi="Arial" w:cs="Arial"/>
                <w:sz w:val="14"/>
                <w:szCs w:val="14"/>
              </w:rPr>
            </w:pPr>
            <w:r w:rsidRPr="24E26AF7">
              <w:rPr>
                <w:rFonts w:ascii="Arial" w:eastAsia="Arial" w:hAnsi="Arial" w:cs="Arial"/>
                <w:sz w:val="14"/>
                <w:szCs w:val="14"/>
              </w:rPr>
              <w:t>Theoretical relevance</w:t>
            </w:r>
          </w:p>
        </w:tc>
        <w:tc>
          <w:tcPr>
            <w:tcW w:w="1502" w:type="dxa"/>
            <w:tcBorders>
              <w:top w:val="single" w:sz="6" w:space="0" w:color="E0E0E0"/>
              <w:left w:val="single" w:sz="6" w:space="0" w:color="E0E0E0"/>
              <w:bottom w:val="single" w:sz="6" w:space="0" w:color="E0E0E0"/>
              <w:right w:val="single" w:sz="6" w:space="0" w:color="E0E0E0"/>
            </w:tcBorders>
          </w:tcPr>
          <w:p w14:paraId="78F159ED" w14:textId="366DE57B" w:rsidR="24E26AF7" w:rsidRDefault="24E26AF7" w:rsidP="24E26AF7">
            <w:pPr>
              <w:rPr>
                <w:rFonts w:ascii="Arial" w:eastAsia="Arial" w:hAnsi="Arial" w:cs="Arial"/>
                <w:sz w:val="14"/>
                <w:szCs w:val="14"/>
              </w:rPr>
            </w:pPr>
            <w:r w:rsidRPr="24E26AF7">
              <w:rPr>
                <w:rFonts w:ascii="Arial" w:eastAsia="Arial" w:hAnsi="Arial" w:cs="Arial"/>
                <w:sz w:val="14"/>
                <w:szCs w:val="14"/>
              </w:rPr>
              <w:t>Academic book chapter</w:t>
            </w:r>
          </w:p>
        </w:tc>
      </w:tr>
      <w:tr w:rsidR="24E26AF7" w14:paraId="09DA3C7C"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23F92595" w14:textId="07FE53EF"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22344C5F" w14:textId="5E95710A" w:rsidR="24E26AF7" w:rsidRDefault="24E26AF7" w:rsidP="24E26AF7">
            <w:pPr>
              <w:rPr>
                <w:rFonts w:ascii="Arial" w:eastAsia="Arial" w:hAnsi="Arial" w:cs="Arial"/>
                <w:sz w:val="14"/>
                <w:szCs w:val="14"/>
              </w:rPr>
            </w:pPr>
            <w:r w:rsidRPr="24E26AF7">
              <w:rPr>
                <w:rFonts w:ascii="Arial" w:eastAsia="Arial" w:hAnsi="Arial" w:cs="Arial"/>
                <w:sz w:val="14"/>
                <w:szCs w:val="14"/>
              </w:rPr>
              <w:t>Halvorsrud et al. (2018)</w:t>
            </w:r>
          </w:p>
        </w:tc>
        <w:tc>
          <w:tcPr>
            <w:tcW w:w="1502" w:type="dxa"/>
            <w:tcBorders>
              <w:top w:val="single" w:sz="6" w:space="0" w:color="E0E0E0"/>
              <w:left w:val="single" w:sz="6" w:space="0" w:color="E0E0E0"/>
              <w:bottom w:val="single" w:sz="6" w:space="0" w:color="E0E0E0"/>
              <w:right w:val="single" w:sz="6" w:space="0" w:color="E0E0E0"/>
            </w:tcBorders>
          </w:tcPr>
          <w:p w14:paraId="7A94189D" w14:textId="44D33C3A" w:rsidR="24E26AF7" w:rsidRDefault="24E26AF7" w:rsidP="24E26AF7">
            <w:pPr>
              <w:rPr>
                <w:rFonts w:ascii="Arial" w:eastAsia="Arial" w:hAnsi="Arial" w:cs="Arial"/>
                <w:sz w:val="14"/>
                <w:szCs w:val="14"/>
              </w:rPr>
            </w:pPr>
            <w:r w:rsidRPr="24E26AF7">
              <w:rPr>
                <w:rFonts w:ascii="Arial" w:eastAsia="Arial" w:hAnsi="Arial" w:cs="Arial"/>
                <w:sz w:val="14"/>
                <w:szCs w:val="14"/>
              </w:rPr>
              <w:t>Severe Mental Illness &amp; Ethnicity</w:t>
            </w:r>
          </w:p>
        </w:tc>
        <w:tc>
          <w:tcPr>
            <w:tcW w:w="1502" w:type="dxa"/>
            <w:tcBorders>
              <w:top w:val="single" w:sz="6" w:space="0" w:color="E0E0E0"/>
              <w:left w:val="single" w:sz="6" w:space="0" w:color="E0E0E0"/>
              <w:bottom w:val="single" w:sz="6" w:space="0" w:color="E0E0E0"/>
              <w:right w:val="single" w:sz="6" w:space="0" w:color="E0E0E0"/>
            </w:tcBorders>
          </w:tcPr>
          <w:p w14:paraId="1C06B7EF" w14:textId="39CC8D44" w:rsidR="24E26AF7" w:rsidRDefault="24E26AF7" w:rsidP="24E26AF7">
            <w:pPr>
              <w:rPr>
                <w:rFonts w:ascii="Arial" w:eastAsia="Arial" w:hAnsi="Arial" w:cs="Arial"/>
                <w:sz w:val="14"/>
                <w:szCs w:val="14"/>
              </w:rPr>
            </w:pPr>
            <w:r w:rsidRPr="24E26AF7">
              <w:rPr>
                <w:rFonts w:ascii="Arial" w:eastAsia="Arial" w:hAnsi="Arial" w:cs="Arial"/>
                <w:sz w:val="14"/>
                <w:szCs w:val="14"/>
              </w:rPr>
              <w:t>Higher compulsory admission rates</w:t>
            </w:r>
          </w:p>
        </w:tc>
        <w:tc>
          <w:tcPr>
            <w:tcW w:w="1502" w:type="dxa"/>
            <w:tcBorders>
              <w:top w:val="single" w:sz="6" w:space="0" w:color="E0E0E0"/>
              <w:left w:val="single" w:sz="6" w:space="0" w:color="E0E0E0"/>
              <w:bottom w:val="single" w:sz="6" w:space="0" w:color="E0E0E0"/>
              <w:right w:val="single" w:sz="6" w:space="0" w:color="E0E0E0"/>
            </w:tcBorders>
          </w:tcPr>
          <w:p w14:paraId="5B941B63" w14:textId="7C5B197F" w:rsidR="24E26AF7" w:rsidRDefault="24E26AF7" w:rsidP="24E26AF7">
            <w:pPr>
              <w:rPr>
                <w:rFonts w:ascii="Arial" w:eastAsia="Arial" w:hAnsi="Arial" w:cs="Arial"/>
                <w:sz w:val="14"/>
                <w:szCs w:val="14"/>
              </w:rPr>
            </w:pPr>
            <w:r w:rsidRPr="24E26AF7">
              <w:rPr>
                <w:rFonts w:ascii="Arial" w:eastAsia="Arial" w:hAnsi="Arial" w:cs="Arial"/>
                <w:sz w:val="14"/>
                <w:szCs w:val="14"/>
              </w:rPr>
              <w:t>Longitudinal study</w:t>
            </w:r>
          </w:p>
        </w:tc>
        <w:tc>
          <w:tcPr>
            <w:tcW w:w="1502" w:type="dxa"/>
            <w:tcBorders>
              <w:top w:val="single" w:sz="6" w:space="0" w:color="E0E0E0"/>
              <w:left w:val="single" w:sz="6" w:space="0" w:color="E0E0E0"/>
              <w:bottom w:val="single" w:sz="6" w:space="0" w:color="E0E0E0"/>
              <w:right w:val="single" w:sz="6" w:space="0" w:color="E0E0E0"/>
            </w:tcBorders>
          </w:tcPr>
          <w:p w14:paraId="2A8DCC09" w14:textId="5E0CE7D6" w:rsidR="24E26AF7" w:rsidRDefault="24E26AF7" w:rsidP="24E26AF7">
            <w:pPr>
              <w:rPr>
                <w:rFonts w:ascii="Arial" w:eastAsia="Arial" w:hAnsi="Arial" w:cs="Arial"/>
                <w:sz w:val="14"/>
                <w:szCs w:val="14"/>
              </w:rPr>
            </w:pPr>
            <w:r w:rsidRPr="24E26AF7">
              <w:rPr>
                <w:rFonts w:ascii="Arial" w:eastAsia="Arial" w:hAnsi="Arial" w:cs="Arial"/>
                <w:sz w:val="14"/>
                <w:szCs w:val="14"/>
              </w:rPr>
              <w:t>PubMed</w:t>
            </w:r>
          </w:p>
        </w:tc>
      </w:tr>
      <w:tr w:rsidR="24E26AF7" w14:paraId="51F11F45"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4AB9B3CF" w14:textId="2868480C"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785DA9CF" w14:textId="1A47FB8F" w:rsidR="24E26AF7" w:rsidRDefault="24E26AF7" w:rsidP="24E26AF7">
            <w:pPr>
              <w:rPr>
                <w:rFonts w:ascii="Arial" w:eastAsia="Arial" w:hAnsi="Arial" w:cs="Arial"/>
                <w:sz w:val="14"/>
                <w:szCs w:val="14"/>
              </w:rPr>
            </w:pPr>
            <w:r w:rsidRPr="24E26AF7">
              <w:rPr>
                <w:rFonts w:ascii="Arial" w:eastAsia="Arial" w:hAnsi="Arial" w:cs="Arial"/>
                <w:sz w:val="14"/>
                <w:szCs w:val="14"/>
              </w:rPr>
              <w:t>Barnett et al. (2019)</w:t>
            </w:r>
          </w:p>
        </w:tc>
        <w:tc>
          <w:tcPr>
            <w:tcW w:w="1502" w:type="dxa"/>
            <w:tcBorders>
              <w:top w:val="single" w:sz="6" w:space="0" w:color="E0E0E0"/>
              <w:left w:val="single" w:sz="6" w:space="0" w:color="E0E0E0"/>
              <w:bottom w:val="single" w:sz="6" w:space="0" w:color="E0E0E0"/>
              <w:right w:val="single" w:sz="6" w:space="0" w:color="E0E0E0"/>
            </w:tcBorders>
          </w:tcPr>
          <w:p w14:paraId="206369AC" w14:textId="74A9A240" w:rsidR="24E26AF7" w:rsidRDefault="24E26AF7" w:rsidP="24E26AF7">
            <w:pPr>
              <w:rPr>
                <w:rFonts w:ascii="Arial" w:eastAsia="Arial" w:hAnsi="Arial" w:cs="Arial"/>
                <w:sz w:val="14"/>
                <w:szCs w:val="14"/>
              </w:rPr>
            </w:pPr>
            <w:r w:rsidRPr="24E26AF7">
              <w:rPr>
                <w:rFonts w:ascii="Arial" w:eastAsia="Arial" w:hAnsi="Arial" w:cs="Arial"/>
                <w:sz w:val="14"/>
                <w:szCs w:val="14"/>
              </w:rPr>
              <w:t>Police Referrals &amp; Ethnicity</w:t>
            </w:r>
          </w:p>
        </w:tc>
        <w:tc>
          <w:tcPr>
            <w:tcW w:w="1502" w:type="dxa"/>
            <w:tcBorders>
              <w:top w:val="single" w:sz="6" w:space="0" w:color="E0E0E0"/>
              <w:left w:val="single" w:sz="6" w:space="0" w:color="E0E0E0"/>
              <w:bottom w:val="single" w:sz="6" w:space="0" w:color="E0E0E0"/>
              <w:right w:val="single" w:sz="6" w:space="0" w:color="E0E0E0"/>
            </w:tcBorders>
          </w:tcPr>
          <w:p w14:paraId="308B9B19" w14:textId="4AE27229" w:rsidR="24E26AF7" w:rsidRDefault="24E26AF7" w:rsidP="24E26AF7">
            <w:pPr>
              <w:rPr>
                <w:rFonts w:ascii="Arial" w:eastAsia="Arial" w:hAnsi="Arial" w:cs="Arial"/>
                <w:sz w:val="14"/>
                <w:szCs w:val="14"/>
              </w:rPr>
            </w:pPr>
            <w:r w:rsidRPr="24E26AF7">
              <w:rPr>
                <w:rFonts w:ascii="Arial" w:eastAsia="Arial" w:hAnsi="Arial" w:cs="Arial"/>
                <w:sz w:val="14"/>
                <w:szCs w:val="14"/>
              </w:rPr>
              <w:t>Minorities more likely crisis-referred</w:t>
            </w:r>
          </w:p>
        </w:tc>
        <w:tc>
          <w:tcPr>
            <w:tcW w:w="1502" w:type="dxa"/>
            <w:tcBorders>
              <w:top w:val="single" w:sz="6" w:space="0" w:color="E0E0E0"/>
              <w:left w:val="single" w:sz="6" w:space="0" w:color="E0E0E0"/>
              <w:bottom w:val="single" w:sz="6" w:space="0" w:color="E0E0E0"/>
              <w:right w:val="single" w:sz="6" w:space="0" w:color="E0E0E0"/>
            </w:tcBorders>
          </w:tcPr>
          <w:p w14:paraId="78FE2260" w14:textId="5DEEE7C6" w:rsidR="24E26AF7" w:rsidRDefault="24E26AF7" w:rsidP="24E26AF7">
            <w:pPr>
              <w:rPr>
                <w:rFonts w:ascii="Arial" w:eastAsia="Arial" w:hAnsi="Arial" w:cs="Arial"/>
                <w:sz w:val="14"/>
                <w:szCs w:val="14"/>
              </w:rPr>
            </w:pPr>
            <w:r w:rsidRPr="24E26AF7">
              <w:rPr>
                <w:rFonts w:ascii="Arial" w:eastAsia="Arial" w:hAnsi="Arial" w:cs="Arial"/>
                <w:sz w:val="14"/>
                <w:szCs w:val="14"/>
              </w:rPr>
              <w:t>Service audit data</w:t>
            </w:r>
          </w:p>
        </w:tc>
        <w:tc>
          <w:tcPr>
            <w:tcW w:w="1502" w:type="dxa"/>
            <w:tcBorders>
              <w:top w:val="single" w:sz="6" w:space="0" w:color="E0E0E0"/>
              <w:left w:val="single" w:sz="6" w:space="0" w:color="E0E0E0"/>
              <w:bottom w:val="single" w:sz="6" w:space="0" w:color="E0E0E0"/>
              <w:right w:val="single" w:sz="6" w:space="0" w:color="E0E0E0"/>
            </w:tcBorders>
          </w:tcPr>
          <w:p w14:paraId="073D795E" w14:textId="7D7245D8" w:rsidR="24E26AF7" w:rsidRDefault="24E26AF7" w:rsidP="24E26AF7">
            <w:pPr>
              <w:rPr>
                <w:rFonts w:ascii="Arial" w:eastAsia="Arial" w:hAnsi="Arial" w:cs="Arial"/>
                <w:sz w:val="14"/>
                <w:szCs w:val="14"/>
              </w:rPr>
            </w:pPr>
            <w:r w:rsidRPr="24E26AF7">
              <w:rPr>
                <w:rFonts w:ascii="Arial" w:eastAsia="Arial" w:hAnsi="Arial" w:cs="Arial"/>
                <w:sz w:val="14"/>
                <w:szCs w:val="14"/>
              </w:rPr>
              <w:t>NHS database</w:t>
            </w:r>
          </w:p>
        </w:tc>
      </w:tr>
      <w:tr w:rsidR="24E26AF7" w14:paraId="05C44D7D"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64DB536E" w14:textId="3AC8D1E7"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3DDAB2FC" w14:textId="046264D3" w:rsidR="24E26AF7" w:rsidRDefault="24E26AF7" w:rsidP="24E26AF7">
            <w:pPr>
              <w:rPr>
                <w:rFonts w:ascii="Arial" w:eastAsia="Arial" w:hAnsi="Arial" w:cs="Arial"/>
                <w:sz w:val="14"/>
                <w:szCs w:val="14"/>
              </w:rPr>
            </w:pPr>
            <w:r w:rsidRPr="24E26AF7">
              <w:rPr>
                <w:rFonts w:ascii="Arial" w:eastAsia="Arial" w:hAnsi="Arial" w:cs="Arial"/>
                <w:sz w:val="14"/>
                <w:szCs w:val="14"/>
              </w:rPr>
              <w:t>Raleigh &amp; Holmes (2021)</w:t>
            </w:r>
          </w:p>
        </w:tc>
        <w:tc>
          <w:tcPr>
            <w:tcW w:w="1502" w:type="dxa"/>
            <w:tcBorders>
              <w:top w:val="single" w:sz="6" w:space="0" w:color="E0E0E0"/>
              <w:left w:val="single" w:sz="6" w:space="0" w:color="E0E0E0"/>
              <w:bottom w:val="single" w:sz="6" w:space="0" w:color="E0E0E0"/>
              <w:right w:val="single" w:sz="6" w:space="0" w:color="E0E0E0"/>
            </w:tcBorders>
          </w:tcPr>
          <w:p w14:paraId="0A5A15F2" w14:textId="3EB4EC56" w:rsidR="24E26AF7" w:rsidRDefault="24E26AF7" w:rsidP="24E26AF7">
            <w:pPr>
              <w:rPr>
                <w:rFonts w:ascii="Arial" w:eastAsia="Arial" w:hAnsi="Arial" w:cs="Arial"/>
                <w:sz w:val="14"/>
                <w:szCs w:val="14"/>
              </w:rPr>
            </w:pPr>
            <w:r w:rsidRPr="24E26AF7">
              <w:rPr>
                <w:rFonts w:ascii="Arial" w:eastAsia="Arial" w:hAnsi="Arial" w:cs="Arial"/>
                <w:sz w:val="14"/>
                <w:szCs w:val="14"/>
              </w:rPr>
              <w:t>Ethnic Detention Disparities</w:t>
            </w:r>
          </w:p>
        </w:tc>
        <w:tc>
          <w:tcPr>
            <w:tcW w:w="1502" w:type="dxa"/>
            <w:tcBorders>
              <w:top w:val="single" w:sz="6" w:space="0" w:color="E0E0E0"/>
              <w:left w:val="single" w:sz="6" w:space="0" w:color="E0E0E0"/>
              <w:bottom w:val="single" w:sz="6" w:space="0" w:color="E0E0E0"/>
              <w:right w:val="single" w:sz="6" w:space="0" w:color="E0E0E0"/>
            </w:tcBorders>
          </w:tcPr>
          <w:p w14:paraId="57ACE894" w14:textId="19E38E9A" w:rsidR="24E26AF7" w:rsidRDefault="24E26AF7" w:rsidP="24E26AF7">
            <w:pPr>
              <w:rPr>
                <w:rFonts w:ascii="Arial" w:eastAsia="Arial" w:hAnsi="Arial" w:cs="Arial"/>
                <w:sz w:val="14"/>
                <w:szCs w:val="14"/>
              </w:rPr>
            </w:pPr>
            <w:r w:rsidRPr="24E26AF7">
              <w:rPr>
                <w:rFonts w:ascii="Arial" w:eastAsia="Arial" w:hAnsi="Arial" w:cs="Arial"/>
                <w:sz w:val="14"/>
                <w:szCs w:val="14"/>
              </w:rPr>
              <w:t>Persistent detention gap</w:t>
            </w:r>
          </w:p>
        </w:tc>
        <w:tc>
          <w:tcPr>
            <w:tcW w:w="1502" w:type="dxa"/>
            <w:tcBorders>
              <w:top w:val="single" w:sz="6" w:space="0" w:color="E0E0E0"/>
              <w:left w:val="single" w:sz="6" w:space="0" w:color="E0E0E0"/>
              <w:bottom w:val="single" w:sz="6" w:space="0" w:color="E0E0E0"/>
              <w:right w:val="single" w:sz="6" w:space="0" w:color="E0E0E0"/>
            </w:tcBorders>
          </w:tcPr>
          <w:p w14:paraId="695C47AE" w14:textId="0E0D4556" w:rsidR="24E26AF7" w:rsidRDefault="24E26AF7" w:rsidP="24E26AF7">
            <w:pPr>
              <w:rPr>
                <w:rFonts w:ascii="Arial" w:eastAsia="Arial" w:hAnsi="Arial" w:cs="Arial"/>
                <w:sz w:val="14"/>
                <w:szCs w:val="14"/>
              </w:rPr>
            </w:pPr>
            <w:r w:rsidRPr="24E26AF7">
              <w:rPr>
                <w:rFonts w:ascii="Arial" w:eastAsia="Arial" w:hAnsi="Arial" w:cs="Arial"/>
                <w:sz w:val="14"/>
                <w:szCs w:val="14"/>
              </w:rPr>
              <w:t>Policy review</w:t>
            </w:r>
          </w:p>
        </w:tc>
        <w:tc>
          <w:tcPr>
            <w:tcW w:w="1502" w:type="dxa"/>
            <w:tcBorders>
              <w:top w:val="single" w:sz="6" w:space="0" w:color="E0E0E0"/>
              <w:left w:val="single" w:sz="6" w:space="0" w:color="E0E0E0"/>
              <w:bottom w:val="single" w:sz="6" w:space="0" w:color="E0E0E0"/>
              <w:right w:val="single" w:sz="6" w:space="0" w:color="E0E0E0"/>
            </w:tcBorders>
          </w:tcPr>
          <w:p w14:paraId="57BDDC3A" w14:textId="54ED1A14" w:rsidR="24E26AF7" w:rsidRDefault="24E26AF7" w:rsidP="24E26AF7">
            <w:pPr>
              <w:rPr>
                <w:rFonts w:ascii="Arial" w:eastAsia="Arial" w:hAnsi="Arial" w:cs="Arial"/>
                <w:sz w:val="14"/>
                <w:szCs w:val="14"/>
              </w:rPr>
            </w:pPr>
            <w:r w:rsidRPr="24E26AF7">
              <w:rPr>
                <w:rFonts w:ascii="Arial" w:eastAsia="Arial" w:hAnsi="Arial" w:cs="Arial"/>
                <w:sz w:val="14"/>
                <w:szCs w:val="14"/>
              </w:rPr>
              <w:t>King’s Fund</w:t>
            </w:r>
          </w:p>
        </w:tc>
      </w:tr>
      <w:tr w:rsidR="24E26AF7" w14:paraId="4ECA8AAA" w14:textId="77777777" w:rsidTr="24E26AF7">
        <w:trPr>
          <w:trHeight w:val="540"/>
        </w:trPr>
        <w:tc>
          <w:tcPr>
            <w:tcW w:w="1502" w:type="dxa"/>
            <w:tcBorders>
              <w:top w:val="single" w:sz="6" w:space="0" w:color="E0E0E0"/>
              <w:left w:val="single" w:sz="6" w:space="0" w:color="E0E0E0"/>
              <w:bottom w:val="single" w:sz="6" w:space="0" w:color="E0E0E0"/>
              <w:right w:val="single" w:sz="6" w:space="0" w:color="E0E0E0"/>
            </w:tcBorders>
          </w:tcPr>
          <w:p w14:paraId="0B48320F" w14:textId="1F950F63" w:rsidR="24E26AF7" w:rsidRDefault="24E26AF7" w:rsidP="24E26AF7">
            <w:pPr>
              <w:rPr>
                <w:rFonts w:ascii="Arial" w:eastAsia="Arial" w:hAnsi="Arial" w:cs="Arial"/>
                <w:b/>
                <w:bCs/>
                <w:sz w:val="14"/>
                <w:szCs w:val="14"/>
              </w:rPr>
            </w:pPr>
            <w:r w:rsidRPr="24E26AF7">
              <w:rPr>
                <w:rFonts w:ascii="Arial" w:eastAsia="Arial" w:hAnsi="Arial" w:cs="Arial"/>
                <w:b/>
                <w:bCs/>
                <w:sz w:val="14"/>
                <w:szCs w:val="14"/>
              </w:rPr>
              <w:t>Yes</w:t>
            </w:r>
          </w:p>
        </w:tc>
        <w:tc>
          <w:tcPr>
            <w:tcW w:w="1502" w:type="dxa"/>
            <w:tcBorders>
              <w:top w:val="single" w:sz="6" w:space="0" w:color="E0E0E0"/>
              <w:left w:val="single" w:sz="6" w:space="0" w:color="E0E0E0"/>
              <w:bottom w:val="single" w:sz="6" w:space="0" w:color="E0E0E0"/>
              <w:right w:val="single" w:sz="6" w:space="0" w:color="E0E0E0"/>
            </w:tcBorders>
          </w:tcPr>
          <w:p w14:paraId="460FBA01" w14:textId="7D07AC1C" w:rsidR="24E26AF7" w:rsidRDefault="24E26AF7" w:rsidP="24E26AF7">
            <w:pPr>
              <w:rPr>
                <w:rFonts w:ascii="Arial" w:eastAsia="Arial" w:hAnsi="Arial" w:cs="Arial"/>
                <w:sz w:val="14"/>
                <w:szCs w:val="14"/>
              </w:rPr>
            </w:pPr>
            <w:r w:rsidRPr="24E26AF7">
              <w:rPr>
                <w:rFonts w:ascii="Arial" w:eastAsia="Arial" w:hAnsi="Arial" w:cs="Arial"/>
                <w:sz w:val="14"/>
                <w:szCs w:val="14"/>
              </w:rPr>
              <w:t>CQC (2022)</w:t>
            </w:r>
          </w:p>
        </w:tc>
        <w:tc>
          <w:tcPr>
            <w:tcW w:w="1502" w:type="dxa"/>
            <w:tcBorders>
              <w:top w:val="single" w:sz="6" w:space="0" w:color="E0E0E0"/>
              <w:left w:val="single" w:sz="6" w:space="0" w:color="E0E0E0"/>
              <w:bottom w:val="single" w:sz="6" w:space="0" w:color="E0E0E0"/>
              <w:right w:val="single" w:sz="6" w:space="0" w:color="E0E0E0"/>
            </w:tcBorders>
          </w:tcPr>
          <w:p w14:paraId="395B61F7" w14:textId="1032007E" w:rsidR="24E26AF7" w:rsidRDefault="24E26AF7" w:rsidP="24E26AF7">
            <w:pPr>
              <w:rPr>
                <w:rFonts w:ascii="Arial" w:eastAsia="Arial" w:hAnsi="Arial" w:cs="Arial"/>
                <w:sz w:val="14"/>
                <w:szCs w:val="14"/>
              </w:rPr>
            </w:pPr>
            <w:r w:rsidRPr="24E26AF7">
              <w:rPr>
                <w:rFonts w:ascii="Arial" w:eastAsia="Arial" w:hAnsi="Arial" w:cs="Arial"/>
                <w:sz w:val="14"/>
                <w:szCs w:val="14"/>
              </w:rPr>
              <w:t>Mental Health Act Monitoring</w:t>
            </w:r>
          </w:p>
        </w:tc>
        <w:tc>
          <w:tcPr>
            <w:tcW w:w="1502" w:type="dxa"/>
            <w:tcBorders>
              <w:top w:val="single" w:sz="6" w:space="0" w:color="E0E0E0"/>
              <w:left w:val="single" w:sz="6" w:space="0" w:color="E0E0E0"/>
              <w:bottom w:val="single" w:sz="6" w:space="0" w:color="E0E0E0"/>
              <w:right w:val="single" w:sz="6" w:space="0" w:color="E0E0E0"/>
            </w:tcBorders>
          </w:tcPr>
          <w:p w14:paraId="23146B83" w14:textId="26683701" w:rsidR="24E26AF7" w:rsidRDefault="24E26AF7" w:rsidP="24E26AF7">
            <w:pPr>
              <w:rPr>
                <w:rFonts w:ascii="Arial" w:eastAsia="Arial" w:hAnsi="Arial" w:cs="Arial"/>
                <w:sz w:val="14"/>
                <w:szCs w:val="14"/>
              </w:rPr>
            </w:pPr>
            <w:r w:rsidRPr="24E26AF7">
              <w:rPr>
                <w:rFonts w:ascii="Arial" w:eastAsia="Arial" w:hAnsi="Arial" w:cs="Arial"/>
                <w:sz w:val="14"/>
                <w:szCs w:val="14"/>
              </w:rPr>
              <w:t>4x detention disparity</w:t>
            </w:r>
          </w:p>
        </w:tc>
        <w:tc>
          <w:tcPr>
            <w:tcW w:w="1502" w:type="dxa"/>
            <w:tcBorders>
              <w:top w:val="single" w:sz="6" w:space="0" w:color="E0E0E0"/>
              <w:left w:val="single" w:sz="6" w:space="0" w:color="E0E0E0"/>
              <w:bottom w:val="single" w:sz="6" w:space="0" w:color="E0E0E0"/>
              <w:right w:val="single" w:sz="6" w:space="0" w:color="E0E0E0"/>
            </w:tcBorders>
          </w:tcPr>
          <w:p w14:paraId="2304E73F" w14:textId="23C0580F" w:rsidR="24E26AF7" w:rsidRDefault="24E26AF7" w:rsidP="24E26AF7">
            <w:pPr>
              <w:rPr>
                <w:rFonts w:ascii="Arial" w:eastAsia="Arial" w:hAnsi="Arial" w:cs="Arial"/>
                <w:sz w:val="14"/>
                <w:szCs w:val="14"/>
              </w:rPr>
            </w:pPr>
            <w:r w:rsidRPr="24E26AF7">
              <w:rPr>
                <w:rFonts w:ascii="Arial" w:eastAsia="Arial" w:hAnsi="Arial" w:cs="Arial"/>
                <w:sz w:val="14"/>
                <w:szCs w:val="14"/>
              </w:rPr>
              <w:t>Official UK body</w:t>
            </w:r>
          </w:p>
        </w:tc>
        <w:tc>
          <w:tcPr>
            <w:tcW w:w="1502" w:type="dxa"/>
            <w:tcBorders>
              <w:top w:val="single" w:sz="6" w:space="0" w:color="E0E0E0"/>
              <w:left w:val="single" w:sz="6" w:space="0" w:color="E0E0E0"/>
              <w:bottom w:val="single" w:sz="6" w:space="0" w:color="E0E0E0"/>
              <w:right w:val="single" w:sz="6" w:space="0" w:color="E0E0E0"/>
            </w:tcBorders>
          </w:tcPr>
          <w:p w14:paraId="52BE0714" w14:textId="4C880C57" w:rsidR="24E26AF7" w:rsidRDefault="24E26AF7" w:rsidP="24E26AF7">
            <w:pPr>
              <w:spacing w:before="120" w:after="120"/>
              <w:rPr>
                <w:rFonts w:ascii="Arial" w:eastAsia="Arial" w:hAnsi="Arial" w:cs="Arial"/>
                <w:sz w:val="14"/>
                <w:szCs w:val="14"/>
              </w:rPr>
            </w:pPr>
            <w:r w:rsidRPr="24E26AF7">
              <w:rPr>
                <w:rFonts w:ascii="Arial" w:eastAsia="Arial" w:hAnsi="Arial" w:cs="Arial"/>
                <w:sz w:val="14"/>
                <w:szCs w:val="14"/>
              </w:rPr>
              <w:t>CQC</w:t>
            </w:r>
            <w:r w:rsidR="4293B59C" w:rsidRPr="24E26AF7">
              <w:rPr>
                <w:rFonts w:ascii="Arial" w:eastAsia="Arial" w:hAnsi="Arial" w:cs="Arial"/>
                <w:sz w:val="14"/>
                <w:szCs w:val="14"/>
              </w:rPr>
              <w:t xml:space="preserve"> website</w:t>
            </w:r>
          </w:p>
        </w:tc>
      </w:tr>
    </w:tbl>
    <w:p w14:paraId="433FB2E5" w14:textId="1D9B8039" w:rsidR="24E26AF7" w:rsidRDefault="24E26AF7" w:rsidP="24E26AF7"/>
    <w:p w14:paraId="2480B6DC" w14:textId="34FF0AF5" w:rsidR="00EE3DBA" w:rsidRPr="001C06F3" w:rsidRDefault="00EE3DBA" w:rsidP="67BAD222"/>
    <w:p w14:paraId="2E2C3EFD" w14:textId="5D59C96D" w:rsidR="00EE3DBA" w:rsidRPr="001C06F3" w:rsidRDefault="00EE3DBA" w:rsidP="00EE3DBA">
      <w:pPr>
        <w:spacing w:before="120" w:after="120" w:line="360" w:lineRule="auto"/>
        <w:rPr>
          <w:rFonts w:ascii="Arial" w:eastAsia="Arial" w:hAnsi="Arial" w:cs="Arial"/>
          <w:b/>
          <w:bCs/>
          <w:sz w:val="22"/>
          <w:szCs w:val="22"/>
        </w:rPr>
      </w:pPr>
    </w:p>
    <w:p w14:paraId="0112E19D" w14:textId="7E188F70" w:rsidR="00EE3DBA" w:rsidRPr="00EE3DBA" w:rsidRDefault="00EE3DBA" w:rsidP="67BAD222">
      <w:pPr>
        <w:spacing w:before="120" w:after="120" w:line="360" w:lineRule="auto"/>
        <w:rPr>
          <w:rFonts w:ascii="Arial" w:eastAsia="Arial" w:hAnsi="Arial" w:cs="Arial"/>
          <w:b/>
          <w:bCs/>
          <w:sz w:val="22"/>
          <w:szCs w:val="22"/>
        </w:rPr>
      </w:pPr>
    </w:p>
    <w:p w14:paraId="4C2A46AD" w14:textId="71DE9892" w:rsidR="24E26AF7" w:rsidRDefault="24E26AF7" w:rsidP="24E26AF7">
      <w:pPr>
        <w:spacing w:before="120" w:after="120" w:line="360" w:lineRule="auto"/>
        <w:rPr>
          <w:rFonts w:ascii="Arial" w:eastAsia="Arial" w:hAnsi="Arial" w:cs="Arial"/>
          <w:b/>
          <w:bCs/>
          <w:sz w:val="22"/>
          <w:szCs w:val="22"/>
        </w:rPr>
      </w:pPr>
    </w:p>
    <w:p w14:paraId="4BBA008F" w14:textId="1505D70C" w:rsidR="24E26AF7" w:rsidRDefault="24E26AF7" w:rsidP="24E26AF7">
      <w:pPr>
        <w:spacing w:before="120" w:after="120" w:line="360" w:lineRule="auto"/>
        <w:rPr>
          <w:rFonts w:ascii="Arial" w:eastAsia="Arial" w:hAnsi="Arial" w:cs="Arial"/>
          <w:b/>
          <w:bCs/>
          <w:sz w:val="22"/>
          <w:szCs w:val="22"/>
        </w:rPr>
      </w:pPr>
    </w:p>
    <w:p w14:paraId="7B182C45" w14:textId="4EFBAF52" w:rsidR="67BAD222" w:rsidRDefault="67BAD222" w:rsidP="67BAD222">
      <w:pPr>
        <w:spacing w:before="120" w:after="120" w:line="360" w:lineRule="auto"/>
        <w:rPr>
          <w:rFonts w:ascii="Arial" w:eastAsia="Arial" w:hAnsi="Arial" w:cs="Arial"/>
          <w:b/>
          <w:bCs/>
          <w:sz w:val="22"/>
          <w:szCs w:val="22"/>
        </w:rPr>
      </w:pPr>
    </w:p>
    <w:p w14:paraId="75B38204" w14:textId="21505076" w:rsidR="24E26AF7" w:rsidRDefault="24E26AF7" w:rsidP="24E26AF7">
      <w:pPr>
        <w:spacing w:before="120" w:after="120" w:line="360" w:lineRule="auto"/>
        <w:rPr>
          <w:rFonts w:ascii="Arial" w:eastAsia="Arial" w:hAnsi="Arial" w:cs="Arial"/>
          <w:b/>
          <w:bCs/>
          <w:sz w:val="22"/>
          <w:szCs w:val="22"/>
        </w:rPr>
      </w:pPr>
    </w:p>
    <w:p w14:paraId="6833BAFC" w14:textId="0E29CF31" w:rsidR="24E26AF7" w:rsidRDefault="24E26AF7" w:rsidP="24E26AF7">
      <w:pPr>
        <w:spacing w:before="120" w:after="120" w:line="360" w:lineRule="auto"/>
        <w:rPr>
          <w:rFonts w:ascii="Arial" w:eastAsia="Arial" w:hAnsi="Arial" w:cs="Arial"/>
          <w:b/>
          <w:bCs/>
          <w:sz w:val="22"/>
          <w:szCs w:val="22"/>
        </w:rPr>
      </w:pPr>
    </w:p>
    <w:p w14:paraId="2B500F8B" w14:textId="3D6C03B6" w:rsidR="24E26AF7" w:rsidRDefault="24E26AF7" w:rsidP="24E26AF7">
      <w:pPr>
        <w:spacing w:before="120" w:after="120" w:line="360" w:lineRule="auto"/>
        <w:rPr>
          <w:rFonts w:ascii="Arial" w:eastAsia="Arial" w:hAnsi="Arial" w:cs="Arial"/>
          <w:b/>
          <w:bCs/>
          <w:sz w:val="22"/>
          <w:szCs w:val="22"/>
        </w:rPr>
      </w:pPr>
    </w:p>
    <w:p w14:paraId="06A05884" w14:textId="77777777" w:rsidR="00DD1539" w:rsidRDefault="00DD1539" w:rsidP="24E26AF7">
      <w:pPr>
        <w:spacing w:before="120" w:after="120" w:line="360" w:lineRule="auto"/>
        <w:rPr>
          <w:rFonts w:ascii="Arial" w:eastAsia="Arial" w:hAnsi="Arial" w:cs="Arial"/>
          <w:b/>
          <w:bCs/>
          <w:sz w:val="22"/>
          <w:szCs w:val="22"/>
        </w:rPr>
      </w:pPr>
    </w:p>
    <w:p w14:paraId="05281DA5" w14:textId="5F4005E5" w:rsidR="24E26AF7" w:rsidRDefault="24E26AF7" w:rsidP="24E26AF7">
      <w:pPr>
        <w:spacing w:before="120" w:after="120" w:line="360" w:lineRule="auto"/>
        <w:rPr>
          <w:rFonts w:ascii="Arial" w:eastAsia="Arial" w:hAnsi="Arial" w:cs="Arial"/>
          <w:b/>
          <w:bCs/>
          <w:sz w:val="22"/>
          <w:szCs w:val="22"/>
        </w:rPr>
      </w:pPr>
    </w:p>
    <w:p w14:paraId="3A1408F1" w14:textId="3C2292D0" w:rsidR="67BAD222" w:rsidRDefault="67BAD222" w:rsidP="67BAD222">
      <w:pPr>
        <w:spacing w:before="120" w:after="120" w:line="360" w:lineRule="auto"/>
        <w:rPr>
          <w:rFonts w:ascii="Arial" w:eastAsia="Arial" w:hAnsi="Arial" w:cs="Arial"/>
          <w:b/>
          <w:bCs/>
          <w:sz w:val="16"/>
          <w:szCs w:val="16"/>
        </w:rPr>
      </w:pPr>
    </w:p>
    <w:p w14:paraId="5B024284"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32" w:name="_Toc1745274359"/>
      <w:r w:rsidRPr="67BAD222">
        <w:rPr>
          <w:rFonts w:ascii="Arial" w:eastAsia="Arial" w:hAnsi="Arial" w:cs="Arial"/>
          <w:b/>
          <w:bCs/>
          <w:color w:val="auto"/>
          <w:sz w:val="22"/>
          <w:szCs w:val="22"/>
        </w:rPr>
        <w:lastRenderedPageBreak/>
        <w:t>Appendix C: Thematic Evidence Map</w:t>
      </w:r>
      <w:bookmarkEnd w:id="32"/>
    </w:p>
    <w:p w14:paraId="324E3FCC" w14:textId="77777777" w:rsidR="00BE61AB" w:rsidRPr="00BE61AB" w:rsidRDefault="00BE61AB" w:rsidP="24E26AF7">
      <w:pPr>
        <w:rPr>
          <w:rFonts w:ascii="Arial" w:eastAsia="Arial" w:hAnsi="Arial" w:cs="Arial"/>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250"/>
        <w:gridCol w:w="2250"/>
        <w:gridCol w:w="2250"/>
        <w:gridCol w:w="2250"/>
      </w:tblGrid>
      <w:tr w:rsidR="24E26AF7" w14:paraId="586E0653"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0327C990" w14:textId="395ED0BA" w:rsidR="0F2A5D9E" w:rsidRDefault="0F2A5D9E" w:rsidP="24E26AF7">
            <w:pPr>
              <w:rPr>
                <w:rFonts w:ascii="Arial" w:eastAsia="Arial" w:hAnsi="Arial" w:cs="Arial"/>
                <w:b/>
                <w:bCs/>
                <w:sz w:val="16"/>
                <w:szCs w:val="16"/>
              </w:rPr>
            </w:pPr>
            <w:r w:rsidRPr="24E26AF7">
              <w:rPr>
                <w:rFonts w:ascii="Arial" w:eastAsia="Arial" w:hAnsi="Arial" w:cs="Arial"/>
                <w:b/>
                <w:bCs/>
                <w:sz w:val="16"/>
                <w:szCs w:val="16"/>
              </w:rPr>
              <w:t>Source</w:t>
            </w:r>
          </w:p>
        </w:tc>
        <w:tc>
          <w:tcPr>
            <w:tcW w:w="2250" w:type="dxa"/>
            <w:tcBorders>
              <w:top w:val="single" w:sz="6" w:space="0" w:color="E0E0E0"/>
              <w:left w:val="single" w:sz="6" w:space="0" w:color="E0E0E0"/>
              <w:bottom w:val="single" w:sz="6" w:space="0" w:color="E0E0E0"/>
              <w:right w:val="single" w:sz="6" w:space="0" w:color="E0E0E0"/>
            </w:tcBorders>
          </w:tcPr>
          <w:p w14:paraId="0FB44F08" w14:textId="0032E468" w:rsidR="0F2A5D9E" w:rsidRDefault="0F2A5D9E" w:rsidP="24E26AF7">
            <w:pPr>
              <w:rPr>
                <w:rFonts w:ascii="Arial" w:eastAsia="Arial" w:hAnsi="Arial" w:cs="Arial"/>
                <w:b/>
                <w:bCs/>
                <w:sz w:val="16"/>
                <w:szCs w:val="16"/>
              </w:rPr>
            </w:pPr>
            <w:r w:rsidRPr="24E26AF7">
              <w:rPr>
                <w:rFonts w:ascii="Arial" w:eastAsia="Arial" w:hAnsi="Arial" w:cs="Arial"/>
                <w:b/>
                <w:bCs/>
                <w:sz w:val="16"/>
                <w:szCs w:val="16"/>
              </w:rPr>
              <w:t>Theme 1 Structural</w:t>
            </w:r>
          </w:p>
        </w:tc>
        <w:tc>
          <w:tcPr>
            <w:tcW w:w="2250" w:type="dxa"/>
            <w:tcBorders>
              <w:top w:val="single" w:sz="6" w:space="0" w:color="E0E0E0"/>
              <w:left w:val="single" w:sz="6" w:space="0" w:color="E0E0E0"/>
              <w:bottom w:val="single" w:sz="6" w:space="0" w:color="E0E0E0"/>
              <w:right w:val="single" w:sz="6" w:space="0" w:color="E0E0E0"/>
            </w:tcBorders>
          </w:tcPr>
          <w:p w14:paraId="14C54361" w14:textId="73E3DAED" w:rsidR="0F2A5D9E" w:rsidRDefault="0F2A5D9E" w:rsidP="24E26AF7">
            <w:pPr>
              <w:rPr>
                <w:rFonts w:ascii="Arial" w:eastAsia="Arial" w:hAnsi="Arial" w:cs="Arial"/>
                <w:b/>
                <w:bCs/>
                <w:sz w:val="16"/>
                <w:szCs w:val="16"/>
              </w:rPr>
            </w:pPr>
            <w:r w:rsidRPr="24E26AF7">
              <w:rPr>
                <w:rFonts w:ascii="Arial" w:eastAsia="Arial" w:hAnsi="Arial" w:cs="Arial"/>
                <w:b/>
                <w:bCs/>
                <w:sz w:val="16"/>
                <w:szCs w:val="16"/>
              </w:rPr>
              <w:t>Theme 2 Cultural</w:t>
            </w:r>
          </w:p>
        </w:tc>
        <w:tc>
          <w:tcPr>
            <w:tcW w:w="2250" w:type="dxa"/>
            <w:tcBorders>
              <w:top w:val="single" w:sz="6" w:space="0" w:color="E0E0E0"/>
              <w:left w:val="single" w:sz="6" w:space="0" w:color="E0E0E0"/>
              <w:bottom w:val="single" w:sz="6" w:space="0" w:color="E0E0E0"/>
              <w:right w:val="single" w:sz="6" w:space="0" w:color="E0E0E0"/>
            </w:tcBorders>
          </w:tcPr>
          <w:p w14:paraId="03203FD9" w14:textId="26A7B0E4" w:rsidR="0F2A5D9E" w:rsidRDefault="0F2A5D9E" w:rsidP="24E26AF7">
            <w:pPr>
              <w:rPr>
                <w:rFonts w:ascii="Arial" w:eastAsia="Arial" w:hAnsi="Arial" w:cs="Arial"/>
                <w:b/>
                <w:bCs/>
                <w:sz w:val="16"/>
                <w:szCs w:val="16"/>
              </w:rPr>
            </w:pPr>
            <w:r w:rsidRPr="24E26AF7">
              <w:rPr>
                <w:rFonts w:ascii="Arial" w:eastAsia="Arial" w:hAnsi="Arial" w:cs="Arial"/>
                <w:b/>
                <w:bCs/>
                <w:sz w:val="16"/>
                <w:szCs w:val="16"/>
              </w:rPr>
              <w:t>Theme 3 Institutional</w:t>
            </w:r>
          </w:p>
        </w:tc>
      </w:tr>
      <w:tr w:rsidR="24E26AF7" w14:paraId="2FD62902"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48F8AD41" w14:textId="1A758003" w:rsidR="0F2A5D9E" w:rsidRDefault="0F2A5D9E" w:rsidP="24E26AF7">
            <w:pPr>
              <w:rPr>
                <w:rFonts w:ascii="Arial" w:eastAsia="Arial" w:hAnsi="Arial" w:cs="Arial"/>
                <w:sz w:val="16"/>
                <w:szCs w:val="16"/>
              </w:rPr>
            </w:pPr>
            <w:r w:rsidRPr="24E26AF7">
              <w:rPr>
                <w:rFonts w:ascii="Arial" w:eastAsia="Arial" w:hAnsi="Arial" w:cs="Arial"/>
                <w:sz w:val="16"/>
                <w:szCs w:val="16"/>
              </w:rPr>
              <w:t>Nazroo &amp; Bhui (2021)</w:t>
            </w:r>
          </w:p>
          <w:p w14:paraId="243D6339" w14:textId="7CDE5EF9"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0032CA13" w14:textId="2DB44819" w:rsidR="0F2A5D9E" w:rsidRDefault="0F2A5D9E" w:rsidP="24E26AF7">
            <w:pPr>
              <w:rPr>
                <w:rFonts w:ascii="Arial" w:eastAsia="Arial" w:hAnsi="Arial" w:cs="Arial"/>
                <w:sz w:val="16"/>
                <w:szCs w:val="16"/>
              </w:rPr>
            </w:pPr>
            <w:r w:rsidRPr="24E26AF7">
              <w:rPr>
                <w:rFonts w:ascii="Arial" w:eastAsia="Arial" w:hAnsi="Arial" w:cs="Arial"/>
                <w:sz w:val="16"/>
                <w:szCs w:val="16"/>
              </w:rPr>
              <w:t>✔</w:t>
            </w:r>
          </w:p>
          <w:p w14:paraId="35CB574A" w14:textId="06D9486A"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07E27F6B" w14:textId="47B99049" w:rsidR="0F2A5D9E" w:rsidRDefault="0F2A5D9E" w:rsidP="24E26AF7">
            <w:pPr>
              <w:rPr>
                <w:rFonts w:ascii="Arial" w:eastAsia="Arial" w:hAnsi="Arial" w:cs="Arial"/>
                <w:sz w:val="16"/>
                <w:szCs w:val="16"/>
              </w:rPr>
            </w:pPr>
            <w:r w:rsidRPr="24E26AF7">
              <w:rPr>
                <w:rFonts w:ascii="Arial" w:eastAsia="Arial" w:hAnsi="Arial" w:cs="Arial"/>
                <w:sz w:val="16"/>
                <w:szCs w:val="16"/>
              </w:rPr>
              <w:t>Indirect</w:t>
            </w:r>
          </w:p>
          <w:p w14:paraId="30C7DDAF" w14:textId="4574E4AF"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611CF580" w14:textId="025F2B21" w:rsidR="0F2A5D9E" w:rsidRDefault="0F2A5D9E" w:rsidP="24E26AF7">
            <w:pPr>
              <w:rPr>
                <w:rFonts w:ascii="Arial" w:eastAsia="Arial" w:hAnsi="Arial" w:cs="Arial"/>
                <w:sz w:val="16"/>
                <w:szCs w:val="16"/>
              </w:rPr>
            </w:pPr>
            <w:r w:rsidRPr="24E26AF7">
              <w:rPr>
                <w:rFonts w:ascii="Arial" w:eastAsia="Arial" w:hAnsi="Arial" w:cs="Arial"/>
                <w:sz w:val="16"/>
                <w:szCs w:val="16"/>
              </w:rPr>
              <w:t>✔</w:t>
            </w:r>
          </w:p>
          <w:p w14:paraId="0C5FDFED" w14:textId="5BA5CA27" w:rsidR="24E26AF7" w:rsidRDefault="24E26AF7" w:rsidP="24E26AF7">
            <w:pPr>
              <w:rPr>
                <w:rFonts w:ascii="Arial" w:eastAsia="Arial" w:hAnsi="Arial" w:cs="Arial"/>
                <w:sz w:val="16"/>
                <w:szCs w:val="16"/>
              </w:rPr>
            </w:pPr>
          </w:p>
        </w:tc>
      </w:tr>
      <w:tr w:rsidR="24E26AF7" w14:paraId="3CBBF604"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4A7CF005" w14:textId="503A55B1" w:rsidR="24E26AF7" w:rsidRDefault="24E26AF7" w:rsidP="24E26AF7">
            <w:pPr>
              <w:rPr>
                <w:rFonts w:ascii="Arial" w:eastAsia="Arial" w:hAnsi="Arial" w:cs="Arial"/>
                <w:sz w:val="16"/>
                <w:szCs w:val="16"/>
              </w:rPr>
            </w:pPr>
            <w:r w:rsidRPr="24E26AF7">
              <w:rPr>
                <w:rFonts w:ascii="Arial" w:eastAsia="Arial" w:hAnsi="Arial" w:cs="Arial"/>
                <w:sz w:val="16"/>
                <w:szCs w:val="16"/>
              </w:rPr>
              <w:t>Propper et al. (2020)</w:t>
            </w:r>
          </w:p>
        </w:tc>
        <w:tc>
          <w:tcPr>
            <w:tcW w:w="2250" w:type="dxa"/>
            <w:tcBorders>
              <w:top w:val="single" w:sz="6" w:space="0" w:color="E0E0E0"/>
              <w:left w:val="single" w:sz="6" w:space="0" w:color="E0E0E0"/>
              <w:bottom w:val="single" w:sz="6" w:space="0" w:color="E0E0E0"/>
              <w:right w:val="single" w:sz="6" w:space="0" w:color="E0E0E0"/>
            </w:tcBorders>
          </w:tcPr>
          <w:p w14:paraId="7B8987BD" w14:textId="520D90F7"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100464D9" w14:textId="7A250EA0"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502DF186" w14:textId="25A9EE48" w:rsidR="24E26AF7" w:rsidRDefault="24E26AF7" w:rsidP="24E26AF7">
            <w:pPr>
              <w:rPr>
                <w:rFonts w:ascii="Arial" w:eastAsia="Arial" w:hAnsi="Arial" w:cs="Arial"/>
                <w:sz w:val="16"/>
                <w:szCs w:val="16"/>
              </w:rPr>
            </w:pPr>
          </w:p>
        </w:tc>
      </w:tr>
      <w:tr w:rsidR="24E26AF7" w14:paraId="560AD82D"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0DF4742B" w14:textId="7B7ABD57" w:rsidR="24E26AF7" w:rsidRDefault="24E26AF7" w:rsidP="24E26AF7">
            <w:pPr>
              <w:rPr>
                <w:rFonts w:ascii="Arial" w:eastAsia="Arial" w:hAnsi="Arial" w:cs="Arial"/>
                <w:sz w:val="16"/>
                <w:szCs w:val="16"/>
              </w:rPr>
            </w:pPr>
            <w:r w:rsidRPr="24E26AF7">
              <w:rPr>
                <w:rFonts w:ascii="Arial" w:eastAsia="Arial" w:hAnsi="Arial" w:cs="Arial"/>
                <w:sz w:val="16"/>
                <w:szCs w:val="16"/>
              </w:rPr>
              <w:t>Daly et al. (2022)</w:t>
            </w:r>
          </w:p>
        </w:tc>
        <w:tc>
          <w:tcPr>
            <w:tcW w:w="2250" w:type="dxa"/>
            <w:tcBorders>
              <w:top w:val="single" w:sz="6" w:space="0" w:color="E0E0E0"/>
              <w:left w:val="single" w:sz="6" w:space="0" w:color="E0E0E0"/>
              <w:bottom w:val="single" w:sz="6" w:space="0" w:color="E0E0E0"/>
              <w:right w:val="single" w:sz="6" w:space="0" w:color="E0E0E0"/>
            </w:tcBorders>
          </w:tcPr>
          <w:p w14:paraId="28A06338" w14:textId="7A57A279"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4E9C16DC" w14:textId="051C7A5E"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2DB6F65F" w14:textId="3142E585" w:rsidR="24E26AF7" w:rsidRDefault="24E26AF7" w:rsidP="24E26AF7">
            <w:pPr>
              <w:rPr>
                <w:rFonts w:ascii="Arial" w:eastAsia="Arial" w:hAnsi="Arial" w:cs="Arial"/>
                <w:sz w:val="16"/>
                <w:szCs w:val="16"/>
              </w:rPr>
            </w:pPr>
          </w:p>
        </w:tc>
      </w:tr>
      <w:tr w:rsidR="24E26AF7" w14:paraId="4A98C366"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4CA64EAB" w14:textId="314DDD90" w:rsidR="24E26AF7" w:rsidRDefault="24E26AF7" w:rsidP="24E26AF7">
            <w:pPr>
              <w:rPr>
                <w:rFonts w:ascii="Arial" w:eastAsia="Arial" w:hAnsi="Arial" w:cs="Arial"/>
                <w:sz w:val="16"/>
                <w:szCs w:val="16"/>
              </w:rPr>
            </w:pPr>
            <w:r w:rsidRPr="24E26AF7">
              <w:rPr>
                <w:rFonts w:ascii="Arial" w:eastAsia="Arial" w:hAnsi="Arial" w:cs="Arial"/>
                <w:sz w:val="16"/>
                <w:szCs w:val="16"/>
              </w:rPr>
              <w:t>Bhui et al. (2018)</w:t>
            </w:r>
          </w:p>
        </w:tc>
        <w:tc>
          <w:tcPr>
            <w:tcW w:w="2250" w:type="dxa"/>
            <w:tcBorders>
              <w:top w:val="single" w:sz="6" w:space="0" w:color="E0E0E0"/>
              <w:left w:val="single" w:sz="6" w:space="0" w:color="E0E0E0"/>
              <w:bottom w:val="single" w:sz="6" w:space="0" w:color="E0E0E0"/>
              <w:right w:val="single" w:sz="6" w:space="0" w:color="E0E0E0"/>
            </w:tcBorders>
          </w:tcPr>
          <w:p w14:paraId="1422A6E8" w14:textId="2945B695"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59E0F4FB" w14:textId="0BB2432B"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1E463E5F" w14:textId="18268752"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r w:rsidR="24E26AF7" w14:paraId="74CD6001"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34329B1A" w14:textId="0D3CA3A6" w:rsidR="24E26AF7" w:rsidRDefault="24E26AF7" w:rsidP="24E26AF7">
            <w:pPr>
              <w:rPr>
                <w:rFonts w:ascii="Arial" w:eastAsia="Arial" w:hAnsi="Arial" w:cs="Arial"/>
                <w:sz w:val="16"/>
                <w:szCs w:val="16"/>
              </w:rPr>
            </w:pPr>
            <w:r w:rsidRPr="24E26AF7">
              <w:rPr>
                <w:rFonts w:ascii="Arial" w:eastAsia="Arial" w:hAnsi="Arial" w:cs="Arial"/>
                <w:sz w:val="16"/>
                <w:szCs w:val="16"/>
              </w:rPr>
              <w:t>Henderson et al. (2013)</w:t>
            </w:r>
          </w:p>
        </w:tc>
        <w:tc>
          <w:tcPr>
            <w:tcW w:w="2250" w:type="dxa"/>
            <w:tcBorders>
              <w:top w:val="single" w:sz="6" w:space="0" w:color="E0E0E0"/>
              <w:left w:val="single" w:sz="6" w:space="0" w:color="E0E0E0"/>
              <w:bottom w:val="single" w:sz="6" w:space="0" w:color="E0E0E0"/>
              <w:right w:val="single" w:sz="6" w:space="0" w:color="E0E0E0"/>
            </w:tcBorders>
          </w:tcPr>
          <w:p w14:paraId="1FCA6314" w14:textId="2DBA9D5F"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7D6808D4" w14:textId="660C41E8"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587E9428" w14:textId="22744B7B" w:rsidR="24E26AF7" w:rsidRDefault="24E26AF7" w:rsidP="24E26AF7">
            <w:pPr>
              <w:rPr>
                <w:rFonts w:ascii="Arial" w:eastAsia="Arial" w:hAnsi="Arial" w:cs="Arial"/>
                <w:sz w:val="16"/>
                <w:szCs w:val="16"/>
              </w:rPr>
            </w:pPr>
          </w:p>
        </w:tc>
      </w:tr>
      <w:tr w:rsidR="24E26AF7" w14:paraId="79753B9E"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31422F52" w14:textId="2A02FA8E" w:rsidR="24E26AF7" w:rsidRDefault="24E26AF7" w:rsidP="24E26AF7">
            <w:pPr>
              <w:rPr>
                <w:rFonts w:ascii="Arial" w:eastAsia="Arial" w:hAnsi="Arial" w:cs="Arial"/>
                <w:sz w:val="16"/>
                <w:szCs w:val="16"/>
              </w:rPr>
            </w:pPr>
            <w:r w:rsidRPr="24E26AF7">
              <w:rPr>
                <w:rFonts w:ascii="Arial" w:eastAsia="Arial" w:hAnsi="Arial" w:cs="Arial"/>
                <w:sz w:val="16"/>
                <w:szCs w:val="16"/>
              </w:rPr>
              <w:t>Bhugra et al. (2021)</w:t>
            </w:r>
          </w:p>
        </w:tc>
        <w:tc>
          <w:tcPr>
            <w:tcW w:w="2250" w:type="dxa"/>
            <w:tcBorders>
              <w:top w:val="single" w:sz="6" w:space="0" w:color="E0E0E0"/>
              <w:left w:val="single" w:sz="6" w:space="0" w:color="E0E0E0"/>
              <w:bottom w:val="single" w:sz="6" w:space="0" w:color="E0E0E0"/>
              <w:right w:val="single" w:sz="6" w:space="0" w:color="E0E0E0"/>
            </w:tcBorders>
          </w:tcPr>
          <w:p w14:paraId="7CFF160E" w14:textId="0CB4CF1C"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5B5800C8" w14:textId="540A0586"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06510878" w14:textId="7405A571"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r w:rsidR="24E26AF7" w14:paraId="41DB54AB"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3FE080A1" w14:textId="17A240E0" w:rsidR="24E26AF7" w:rsidRDefault="24E26AF7" w:rsidP="24E26AF7">
            <w:pPr>
              <w:rPr>
                <w:rFonts w:ascii="Arial" w:eastAsia="Arial" w:hAnsi="Arial" w:cs="Arial"/>
                <w:sz w:val="16"/>
                <w:szCs w:val="16"/>
              </w:rPr>
            </w:pPr>
            <w:r w:rsidRPr="24E26AF7">
              <w:rPr>
                <w:rFonts w:ascii="Arial" w:eastAsia="Arial" w:hAnsi="Arial" w:cs="Arial"/>
                <w:sz w:val="16"/>
                <w:szCs w:val="16"/>
              </w:rPr>
              <w:t>Halvorsrud et al. (2018)</w:t>
            </w:r>
          </w:p>
        </w:tc>
        <w:tc>
          <w:tcPr>
            <w:tcW w:w="2250" w:type="dxa"/>
            <w:tcBorders>
              <w:top w:val="single" w:sz="6" w:space="0" w:color="E0E0E0"/>
              <w:left w:val="single" w:sz="6" w:space="0" w:color="E0E0E0"/>
              <w:bottom w:val="single" w:sz="6" w:space="0" w:color="E0E0E0"/>
              <w:right w:val="single" w:sz="6" w:space="0" w:color="E0E0E0"/>
            </w:tcBorders>
          </w:tcPr>
          <w:p w14:paraId="3CD95FC3" w14:textId="51D6F33F"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65CA5A44" w14:textId="6054EDB3"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2CBEE1DB" w14:textId="72EB394A"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r w:rsidR="24E26AF7" w14:paraId="2603194C"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27EA1329" w14:textId="198C8A6B" w:rsidR="24E26AF7" w:rsidRDefault="24E26AF7" w:rsidP="24E26AF7">
            <w:pPr>
              <w:rPr>
                <w:rFonts w:ascii="Arial" w:eastAsia="Arial" w:hAnsi="Arial" w:cs="Arial"/>
                <w:sz w:val="16"/>
                <w:szCs w:val="16"/>
              </w:rPr>
            </w:pPr>
            <w:r w:rsidRPr="24E26AF7">
              <w:rPr>
                <w:rFonts w:ascii="Arial" w:eastAsia="Arial" w:hAnsi="Arial" w:cs="Arial"/>
                <w:sz w:val="16"/>
                <w:szCs w:val="16"/>
              </w:rPr>
              <w:t>Barnett et al. (2019)</w:t>
            </w:r>
          </w:p>
        </w:tc>
        <w:tc>
          <w:tcPr>
            <w:tcW w:w="2250" w:type="dxa"/>
            <w:tcBorders>
              <w:top w:val="single" w:sz="6" w:space="0" w:color="E0E0E0"/>
              <w:left w:val="single" w:sz="6" w:space="0" w:color="E0E0E0"/>
              <w:bottom w:val="single" w:sz="6" w:space="0" w:color="E0E0E0"/>
              <w:right w:val="single" w:sz="6" w:space="0" w:color="E0E0E0"/>
            </w:tcBorders>
          </w:tcPr>
          <w:p w14:paraId="39CF057A" w14:textId="390C63CF"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4C5A0B4D" w14:textId="7470938A"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c>
          <w:tcPr>
            <w:tcW w:w="2250" w:type="dxa"/>
            <w:tcBorders>
              <w:top w:val="single" w:sz="6" w:space="0" w:color="E0E0E0"/>
              <w:left w:val="single" w:sz="6" w:space="0" w:color="E0E0E0"/>
              <w:bottom w:val="single" w:sz="6" w:space="0" w:color="E0E0E0"/>
              <w:right w:val="single" w:sz="6" w:space="0" w:color="E0E0E0"/>
            </w:tcBorders>
          </w:tcPr>
          <w:p w14:paraId="68413026" w14:textId="470F622C"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r w:rsidR="24E26AF7" w14:paraId="652F6E02"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64BF5B6E" w14:textId="07DF089F" w:rsidR="24E26AF7" w:rsidRDefault="24E26AF7" w:rsidP="24E26AF7">
            <w:pPr>
              <w:rPr>
                <w:rFonts w:ascii="Arial" w:eastAsia="Arial" w:hAnsi="Arial" w:cs="Arial"/>
                <w:sz w:val="16"/>
                <w:szCs w:val="16"/>
              </w:rPr>
            </w:pPr>
            <w:r w:rsidRPr="24E26AF7">
              <w:rPr>
                <w:rFonts w:ascii="Arial" w:eastAsia="Arial" w:hAnsi="Arial" w:cs="Arial"/>
                <w:sz w:val="16"/>
                <w:szCs w:val="16"/>
              </w:rPr>
              <w:t>Raleigh &amp; Holmes (2021)</w:t>
            </w:r>
          </w:p>
        </w:tc>
        <w:tc>
          <w:tcPr>
            <w:tcW w:w="2250" w:type="dxa"/>
            <w:tcBorders>
              <w:top w:val="single" w:sz="6" w:space="0" w:color="E0E0E0"/>
              <w:left w:val="single" w:sz="6" w:space="0" w:color="E0E0E0"/>
              <w:bottom w:val="single" w:sz="6" w:space="0" w:color="E0E0E0"/>
              <w:right w:val="single" w:sz="6" w:space="0" w:color="E0E0E0"/>
            </w:tcBorders>
          </w:tcPr>
          <w:p w14:paraId="2339850B" w14:textId="178FA906"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6189B246" w14:textId="22A3A25E"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0CFB30E3" w14:textId="5EAFCBCE"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r w:rsidR="24E26AF7" w14:paraId="46D921E5" w14:textId="77777777" w:rsidTr="24E26AF7">
        <w:trPr>
          <w:trHeight w:val="540"/>
        </w:trPr>
        <w:tc>
          <w:tcPr>
            <w:tcW w:w="2250" w:type="dxa"/>
            <w:tcBorders>
              <w:top w:val="single" w:sz="6" w:space="0" w:color="E0E0E0"/>
              <w:left w:val="single" w:sz="6" w:space="0" w:color="E0E0E0"/>
              <w:bottom w:val="single" w:sz="6" w:space="0" w:color="E0E0E0"/>
              <w:right w:val="single" w:sz="6" w:space="0" w:color="E0E0E0"/>
            </w:tcBorders>
          </w:tcPr>
          <w:p w14:paraId="3DFAD3A2" w14:textId="2EF9843A" w:rsidR="24E26AF7" w:rsidRDefault="24E26AF7" w:rsidP="24E26AF7">
            <w:pPr>
              <w:rPr>
                <w:rFonts w:ascii="Arial" w:eastAsia="Arial" w:hAnsi="Arial" w:cs="Arial"/>
                <w:sz w:val="16"/>
                <w:szCs w:val="16"/>
              </w:rPr>
            </w:pPr>
            <w:r w:rsidRPr="24E26AF7">
              <w:rPr>
                <w:rFonts w:ascii="Arial" w:eastAsia="Arial" w:hAnsi="Arial" w:cs="Arial"/>
                <w:sz w:val="16"/>
                <w:szCs w:val="16"/>
              </w:rPr>
              <w:t>CQC (2022)</w:t>
            </w:r>
          </w:p>
        </w:tc>
        <w:tc>
          <w:tcPr>
            <w:tcW w:w="2250" w:type="dxa"/>
            <w:tcBorders>
              <w:top w:val="single" w:sz="6" w:space="0" w:color="E0E0E0"/>
              <w:left w:val="single" w:sz="6" w:space="0" w:color="E0E0E0"/>
              <w:bottom w:val="single" w:sz="6" w:space="0" w:color="E0E0E0"/>
              <w:right w:val="single" w:sz="6" w:space="0" w:color="E0E0E0"/>
            </w:tcBorders>
          </w:tcPr>
          <w:p w14:paraId="79DF2155" w14:textId="020F50DE"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47383459" w14:textId="504AE5F4" w:rsidR="24E26AF7" w:rsidRDefault="24E26AF7" w:rsidP="24E26AF7">
            <w:pPr>
              <w:rPr>
                <w:rFonts w:ascii="Arial" w:eastAsia="Arial" w:hAnsi="Arial" w:cs="Arial"/>
                <w:sz w:val="16"/>
                <w:szCs w:val="16"/>
              </w:rPr>
            </w:pPr>
          </w:p>
        </w:tc>
        <w:tc>
          <w:tcPr>
            <w:tcW w:w="2250" w:type="dxa"/>
            <w:tcBorders>
              <w:top w:val="single" w:sz="6" w:space="0" w:color="E0E0E0"/>
              <w:left w:val="single" w:sz="6" w:space="0" w:color="E0E0E0"/>
              <w:bottom w:val="single" w:sz="6" w:space="0" w:color="E0E0E0"/>
              <w:right w:val="single" w:sz="6" w:space="0" w:color="E0E0E0"/>
            </w:tcBorders>
          </w:tcPr>
          <w:p w14:paraId="7C23A3A3" w14:textId="65769049" w:rsidR="24E26AF7" w:rsidRDefault="24E26AF7" w:rsidP="24E26AF7">
            <w:pPr>
              <w:rPr>
                <w:rFonts w:ascii="Arial" w:eastAsia="Arial" w:hAnsi="Arial" w:cs="Arial"/>
                <w:sz w:val="16"/>
                <w:szCs w:val="16"/>
              </w:rPr>
            </w:pPr>
            <w:r w:rsidRPr="24E26AF7">
              <w:rPr>
                <w:rFonts w:ascii="Arial" w:eastAsia="Arial" w:hAnsi="Arial" w:cs="Arial"/>
                <w:sz w:val="16"/>
                <w:szCs w:val="16"/>
              </w:rPr>
              <w:t>✔</w:t>
            </w:r>
          </w:p>
        </w:tc>
      </w:tr>
    </w:tbl>
    <w:p w14:paraId="7C603415" w14:textId="3106FEBD" w:rsidR="00EE3DBA" w:rsidRPr="001C06F3" w:rsidRDefault="00EE3DBA" w:rsidP="67BAD222">
      <w:pPr>
        <w:spacing w:before="120" w:after="120" w:line="360" w:lineRule="auto"/>
        <w:rPr>
          <w:rFonts w:ascii="Arial" w:eastAsia="Arial" w:hAnsi="Arial" w:cs="Arial"/>
          <w:b/>
          <w:bCs/>
          <w:sz w:val="18"/>
          <w:szCs w:val="18"/>
        </w:rPr>
      </w:pPr>
    </w:p>
    <w:p w14:paraId="40B2BCC4" w14:textId="62CACC7C" w:rsidR="67BAD222" w:rsidRDefault="67BAD222" w:rsidP="4B3CCB66"/>
    <w:p w14:paraId="2FA0658E" w14:textId="3746143A" w:rsidR="67BAD222" w:rsidRDefault="67BAD222" w:rsidP="4B3CCB66"/>
    <w:p w14:paraId="5F28FEDA" w14:textId="16F951D4" w:rsidR="67BAD222" w:rsidRDefault="67BAD222" w:rsidP="4B3CCB66"/>
    <w:p w14:paraId="01CF87E4" w14:textId="17A383EB" w:rsidR="67BAD222" w:rsidRDefault="67BAD222" w:rsidP="4B3CCB66"/>
    <w:p w14:paraId="56ADCCF5" w14:textId="2027B2E2" w:rsidR="67BAD222" w:rsidRDefault="67BAD222" w:rsidP="4B3CCB66"/>
    <w:p w14:paraId="72EA7DDE" w14:textId="3F6AEB4A" w:rsidR="67BAD222" w:rsidRDefault="67BAD222" w:rsidP="4B3CCB66"/>
    <w:p w14:paraId="01233D95" w14:textId="11EC51DD" w:rsidR="67BAD222" w:rsidRDefault="67BAD222" w:rsidP="4B3CCB66"/>
    <w:p w14:paraId="7124CFE5" w14:textId="4D7CFE2A" w:rsidR="67BAD222" w:rsidRDefault="67BAD222" w:rsidP="4B3CCB66"/>
    <w:p w14:paraId="2FCD2FA4" w14:textId="4031768F" w:rsidR="67BAD222" w:rsidRDefault="67BAD222" w:rsidP="4B3CCB66"/>
    <w:p w14:paraId="02BA2360" w14:textId="47D127A9" w:rsidR="67BAD222" w:rsidRDefault="67BAD222" w:rsidP="4B3CCB66"/>
    <w:p w14:paraId="430203E7" w14:textId="48037EA6" w:rsidR="67BAD222" w:rsidRDefault="67BAD222" w:rsidP="4B3CCB66"/>
    <w:p w14:paraId="6E6EC7A4" w14:textId="14C64E64" w:rsidR="24E26AF7" w:rsidRDefault="24E26AF7" w:rsidP="4B3CCB66"/>
    <w:p w14:paraId="2B94E543" w14:textId="77777777" w:rsidR="00BE61AB" w:rsidRPr="00BE61AB" w:rsidRDefault="00BE61AB" w:rsidP="00BE61AB"/>
    <w:p w14:paraId="2A4FDA43" w14:textId="0C34339B" w:rsidR="00BE61AB" w:rsidRPr="00BE61AB" w:rsidRDefault="7C6BBD75" w:rsidP="67BAD222">
      <w:pPr>
        <w:pStyle w:val="Heading1"/>
        <w:spacing w:line="360" w:lineRule="auto"/>
        <w:rPr>
          <w:rFonts w:ascii="Arial" w:eastAsia="Arial" w:hAnsi="Arial" w:cs="Arial"/>
          <w:b/>
          <w:bCs/>
          <w:color w:val="auto"/>
          <w:sz w:val="22"/>
          <w:szCs w:val="22"/>
        </w:rPr>
      </w:pPr>
      <w:bookmarkStart w:id="33" w:name="_Toc772281594"/>
      <w:r w:rsidRPr="67BAD222">
        <w:rPr>
          <w:rFonts w:ascii="Arial" w:eastAsia="Arial" w:hAnsi="Arial" w:cs="Arial"/>
          <w:b/>
          <w:bCs/>
          <w:color w:val="auto"/>
          <w:sz w:val="22"/>
          <w:szCs w:val="22"/>
        </w:rPr>
        <w:lastRenderedPageBreak/>
        <w:t>CHAPTER 5 – Conclusion and Recommendations</w:t>
      </w:r>
      <w:bookmarkEnd w:id="33"/>
    </w:p>
    <w:p w14:paraId="4BD0B1A6" w14:textId="21E12E46" w:rsidR="67BAD222" w:rsidRDefault="67BAD222" w:rsidP="67BAD222">
      <w:pPr>
        <w:spacing w:line="360" w:lineRule="auto"/>
        <w:rPr>
          <w:rFonts w:ascii="Arial" w:eastAsia="Arial" w:hAnsi="Arial" w:cs="Arial"/>
          <w:sz w:val="22"/>
          <w:szCs w:val="22"/>
        </w:rPr>
      </w:pPr>
    </w:p>
    <w:p w14:paraId="71D158A9" w14:textId="77777777" w:rsidR="00EE3DBA" w:rsidRPr="00BE61AB" w:rsidRDefault="7C6BBD75" w:rsidP="00BE61AB">
      <w:pPr>
        <w:pStyle w:val="Heading2"/>
        <w:spacing w:line="360" w:lineRule="auto"/>
        <w:rPr>
          <w:rFonts w:ascii="Arial" w:eastAsia="Arial" w:hAnsi="Arial" w:cs="Arial"/>
          <w:b/>
          <w:bCs/>
          <w:color w:val="auto"/>
          <w:sz w:val="22"/>
          <w:szCs w:val="22"/>
        </w:rPr>
      </w:pPr>
      <w:bookmarkStart w:id="34" w:name="_Toc2062194292"/>
      <w:r w:rsidRPr="67BAD222">
        <w:rPr>
          <w:rFonts w:ascii="Arial" w:eastAsia="Arial" w:hAnsi="Arial" w:cs="Arial"/>
          <w:b/>
          <w:bCs/>
          <w:color w:val="auto"/>
          <w:sz w:val="22"/>
          <w:szCs w:val="22"/>
        </w:rPr>
        <w:t>5.1 Overall Conclusion</w:t>
      </w:r>
      <w:bookmarkEnd w:id="34"/>
    </w:p>
    <w:p w14:paraId="3BC3FFD4" w14:textId="6A11179E" w:rsidR="101F39AE" w:rsidRDefault="101F39AE"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This dissertation explored the barriers and challenges affecting ethnic minorities’ access to mental health services in the United Kingdom, with particular attention to social, cultural, and systemic influences. Through a comprehensive review of academic literature, policy documentation, and national data, the study has demonstrated that mental health inequalities are embedded within long-standing structural and institutional processes rather than arising from individual behaviour alone. </w:t>
      </w:r>
    </w:p>
    <w:p w14:paraId="47F525F6" w14:textId="41B08E16" w:rsidR="101F39AE" w:rsidRDefault="101F39AE"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Chapter 2 established a conceptual foundation by examining the Social Determinants of Health, Cultural Competence Theory, and Critical Race Theory. These frameworks clarified how socioeconomic deprivation, culturally mediated experiences of care, and institutional practices interact to shape unequal outcomes. The thematic analysis presented in Chapter 4 identified three interconnected barriers: structural inequality and socioeconomic disadvantage; cultural stigma and mistrust; and institutional and systemic bias within mental health services. These findings illustrate that disparities in access are cumulative and mutually reinforcing, operating across multiple stages of the care pathway. </w:t>
      </w:r>
    </w:p>
    <w:p w14:paraId="50E30EFE" w14:textId="3BF8044F" w:rsidR="101F39AE" w:rsidRDefault="101F39AE"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The research aim was achieved through systematic analysis of contemporary literature, and each objective was addressed by examining empirical evidence, evaluating policy responses, and synthesising theoretical perspectives. This study contributes to a clearer understanding of the mechanisms sustaining ethnic inequalities in mental health access and highlights the need for structural reform, culturally responsive practice, and institutional accountability within the UK mental health system.</w:t>
      </w:r>
    </w:p>
    <w:p w14:paraId="3B17D94A" w14:textId="68DD5E42" w:rsidR="67BAD222" w:rsidRDefault="67BAD222" w:rsidP="67BAD222">
      <w:pPr>
        <w:spacing w:before="120" w:after="120" w:line="360" w:lineRule="auto"/>
        <w:rPr>
          <w:rFonts w:ascii="Arial" w:eastAsia="Arial" w:hAnsi="Arial" w:cs="Arial"/>
          <w:sz w:val="22"/>
          <w:szCs w:val="22"/>
        </w:rPr>
      </w:pPr>
    </w:p>
    <w:p w14:paraId="31DDFCC4" w14:textId="1948816C" w:rsidR="67BAD222" w:rsidRDefault="67BAD222" w:rsidP="67BAD222">
      <w:pPr>
        <w:spacing w:before="120" w:after="120" w:line="360" w:lineRule="auto"/>
        <w:rPr>
          <w:rFonts w:ascii="Arial" w:eastAsia="Arial" w:hAnsi="Arial" w:cs="Arial"/>
          <w:sz w:val="22"/>
          <w:szCs w:val="22"/>
        </w:rPr>
      </w:pPr>
    </w:p>
    <w:p w14:paraId="5DD6F157" w14:textId="08CD6F3F" w:rsidR="67BAD222" w:rsidRDefault="67BAD222" w:rsidP="67BAD222">
      <w:pPr>
        <w:spacing w:before="120" w:after="120" w:line="360" w:lineRule="auto"/>
        <w:rPr>
          <w:rFonts w:ascii="Arial" w:eastAsia="Arial" w:hAnsi="Arial" w:cs="Arial"/>
          <w:sz w:val="22"/>
          <w:szCs w:val="22"/>
        </w:rPr>
      </w:pPr>
    </w:p>
    <w:p w14:paraId="698D897C" w14:textId="1AACA839" w:rsidR="67BAD222" w:rsidRDefault="67BAD222" w:rsidP="24E26AF7">
      <w:pPr>
        <w:spacing w:before="120" w:after="120" w:line="360" w:lineRule="auto"/>
        <w:rPr>
          <w:rFonts w:ascii="Arial" w:eastAsia="Arial" w:hAnsi="Arial" w:cs="Arial"/>
          <w:sz w:val="22"/>
          <w:szCs w:val="22"/>
        </w:rPr>
      </w:pPr>
    </w:p>
    <w:p w14:paraId="388F6E3E" w14:textId="0603AF96" w:rsidR="24E26AF7" w:rsidRDefault="24E26AF7" w:rsidP="24E26AF7">
      <w:pPr>
        <w:spacing w:before="120" w:after="120" w:line="360" w:lineRule="auto"/>
        <w:rPr>
          <w:rFonts w:ascii="Arial" w:eastAsia="Arial" w:hAnsi="Arial" w:cs="Arial"/>
          <w:sz w:val="22"/>
          <w:szCs w:val="22"/>
        </w:rPr>
      </w:pPr>
    </w:p>
    <w:p w14:paraId="6C03732E" w14:textId="7605EED6" w:rsidR="24E26AF7" w:rsidRDefault="24E26AF7" w:rsidP="24E26AF7">
      <w:pPr>
        <w:spacing w:before="120" w:after="120" w:line="360" w:lineRule="auto"/>
        <w:rPr>
          <w:rFonts w:ascii="Arial" w:eastAsia="Arial" w:hAnsi="Arial" w:cs="Arial"/>
          <w:sz w:val="22"/>
          <w:szCs w:val="22"/>
        </w:rPr>
      </w:pPr>
    </w:p>
    <w:p w14:paraId="1E94D4B6" w14:textId="77777777" w:rsidR="00DD1539" w:rsidRDefault="00DD1539" w:rsidP="24E26AF7">
      <w:pPr>
        <w:spacing w:before="120" w:after="120" w:line="360" w:lineRule="auto"/>
        <w:rPr>
          <w:rFonts w:ascii="Arial" w:eastAsia="Arial" w:hAnsi="Arial" w:cs="Arial"/>
          <w:sz w:val="22"/>
          <w:szCs w:val="22"/>
        </w:rPr>
      </w:pPr>
    </w:p>
    <w:p w14:paraId="1CD5E8DA" w14:textId="5B6E489D" w:rsidR="67BAD222" w:rsidRDefault="67BAD222" w:rsidP="67BAD222">
      <w:pPr>
        <w:spacing w:before="120" w:after="120" w:line="360" w:lineRule="auto"/>
        <w:rPr>
          <w:rFonts w:ascii="Arial" w:eastAsia="Arial" w:hAnsi="Arial" w:cs="Arial"/>
          <w:sz w:val="22"/>
          <w:szCs w:val="22"/>
        </w:rPr>
      </w:pPr>
    </w:p>
    <w:p w14:paraId="30FEBC67" w14:textId="6D633EE7" w:rsidR="00EE3DBA" w:rsidRPr="00BE61AB" w:rsidRDefault="7C6BBD75" w:rsidP="00BE61AB">
      <w:pPr>
        <w:pStyle w:val="Heading2"/>
        <w:spacing w:line="360" w:lineRule="auto"/>
        <w:rPr>
          <w:rFonts w:ascii="Arial" w:eastAsia="Arial" w:hAnsi="Arial" w:cs="Arial"/>
          <w:b/>
          <w:bCs/>
          <w:color w:val="auto"/>
          <w:sz w:val="22"/>
          <w:szCs w:val="22"/>
        </w:rPr>
      </w:pPr>
      <w:bookmarkStart w:id="35" w:name="_Toc1573460235"/>
      <w:r w:rsidRPr="67BAD222">
        <w:rPr>
          <w:rFonts w:ascii="Arial" w:eastAsia="Arial" w:hAnsi="Arial" w:cs="Arial"/>
          <w:b/>
          <w:bCs/>
          <w:color w:val="auto"/>
          <w:sz w:val="22"/>
          <w:szCs w:val="22"/>
        </w:rPr>
        <w:lastRenderedPageBreak/>
        <w:t>5.</w:t>
      </w:r>
      <w:r w:rsidR="6431B042" w:rsidRPr="67BAD222">
        <w:rPr>
          <w:rFonts w:ascii="Arial" w:eastAsia="Arial" w:hAnsi="Arial" w:cs="Arial"/>
          <w:b/>
          <w:bCs/>
          <w:color w:val="auto"/>
          <w:sz w:val="22"/>
          <w:szCs w:val="22"/>
        </w:rPr>
        <w:t>2</w:t>
      </w:r>
      <w:r w:rsidR="7E3BD40F" w:rsidRPr="67BAD222">
        <w:rPr>
          <w:rFonts w:ascii="Arial" w:eastAsia="Arial" w:hAnsi="Arial" w:cs="Arial"/>
          <w:b/>
          <w:bCs/>
          <w:color w:val="auto"/>
          <w:sz w:val="22"/>
          <w:szCs w:val="22"/>
        </w:rPr>
        <w:t>.1</w:t>
      </w:r>
      <w:r w:rsidRPr="67BAD222">
        <w:rPr>
          <w:rFonts w:ascii="Arial" w:eastAsia="Arial" w:hAnsi="Arial" w:cs="Arial"/>
          <w:b/>
          <w:bCs/>
          <w:color w:val="auto"/>
          <w:sz w:val="22"/>
          <w:szCs w:val="22"/>
        </w:rPr>
        <w:t xml:space="preserve"> Recommendations</w:t>
      </w:r>
      <w:bookmarkEnd w:id="35"/>
    </w:p>
    <w:p w14:paraId="378E8B38" w14:textId="7E1DA28B" w:rsidR="00EE3DBA" w:rsidRPr="00EE3DBA" w:rsidRDefault="7C6BBD75" w:rsidP="00BE61AB">
      <w:pPr>
        <w:spacing w:before="120" w:after="120" w:line="360" w:lineRule="auto"/>
        <w:rPr>
          <w:rFonts w:ascii="Arial" w:eastAsia="Arial" w:hAnsi="Arial" w:cs="Arial"/>
          <w:b/>
          <w:bCs/>
          <w:sz w:val="22"/>
          <w:szCs w:val="22"/>
        </w:rPr>
      </w:pPr>
      <w:r w:rsidRPr="67BAD222">
        <w:rPr>
          <w:rFonts w:ascii="Arial" w:eastAsia="Arial" w:hAnsi="Arial" w:cs="Arial"/>
          <w:b/>
          <w:bCs/>
          <w:sz w:val="22"/>
          <w:szCs w:val="22"/>
        </w:rPr>
        <w:t>Strengthen Culturally Responsive Mental Health Services</w:t>
      </w:r>
    </w:p>
    <w:p w14:paraId="1382CF41" w14:textId="79065F43" w:rsidR="5A393DC5" w:rsidRDefault="5A393DC5" w:rsidP="67BAD222">
      <w:pPr>
        <w:spacing w:before="120" w:after="120" w:line="360" w:lineRule="auto"/>
      </w:pPr>
      <w:r w:rsidRPr="67BAD222">
        <w:rPr>
          <w:rFonts w:ascii="Arial" w:eastAsia="Arial" w:hAnsi="Arial" w:cs="Arial"/>
          <w:sz w:val="22"/>
          <w:szCs w:val="22"/>
        </w:rPr>
        <w:t xml:space="preserve">Mental health services should embed culturally responsive practice as a core and mandatory component of service delivery rather than treating cultural considerations as peripheral to mainstream provision. The findings in Chapter 4 demonstrate that mistrust, disengagement, and delayed help-seeking are closely linked to experiences of cultural misunderstanding and perceived marginalisation within services. Organisations must implement ongoing, mandatory cultural competence training for staff at all levels, actively recruit and retain a more ethnically diverse workforce, and expand access to interpreters, translated materials, culturally adapted psychological therapies, and community liaison roles. When service users feel culturally understood and respected, engagement improves and reliance on crisis-based interventions reduces (Bhui et al., 2018). </w:t>
      </w:r>
    </w:p>
    <w:p w14:paraId="3C701E57" w14:textId="3FC1775C" w:rsidR="5A393DC5" w:rsidRDefault="5A393DC5" w:rsidP="67BAD222">
      <w:pPr>
        <w:spacing w:before="120" w:after="120" w:line="360" w:lineRule="auto"/>
      </w:pPr>
      <w:r w:rsidRPr="67BAD222">
        <w:rPr>
          <w:rFonts w:ascii="Arial" w:eastAsia="Arial" w:hAnsi="Arial" w:cs="Arial"/>
          <w:sz w:val="22"/>
          <w:szCs w:val="22"/>
        </w:rPr>
        <w:t xml:space="preserve">Several barriers may limit implementation. Financial constraints, workforce shortages, competing service pressures, and the risk of reducing cultural competence to a one-off training exercise may undermine meaningful change. Without strong leadership commitment and accountability structures, cultural responsiveness may remain aspirational rather than operational. Interventions may also focus narrowly on individual practitioner behaviour while failing to address broader institutional cultures and structural inequalities. </w:t>
      </w:r>
    </w:p>
    <w:p w14:paraId="17D58DD7" w14:textId="6329F537" w:rsidR="5A393DC5" w:rsidRDefault="5A393DC5" w:rsidP="67BAD222">
      <w:pPr>
        <w:spacing w:before="120" w:after="120" w:line="360" w:lineRule="auto"/>
      </w:pPr>
      <w:r w:rsidRPr="67BAD222">
        <w:rPr>
          <w:rFonts w:ascii="Arial" w:eastAsia="Arial" w:hAnsi="Arial" w:cs="Arial"/>
          <w:sz w:val="22"/>
          <w:szCs w:val="22"/>
        </w:rPr>
        <w:t xml:space="preserve">To overcome these limitations, cultural responsiveness should be embedded within commissioning standards, Care Quality Commission inspection frameworks, and NHS performance indicators. It should form part of continuous professional development requirements and be reinforced through reflective supervision. Co-production with ethnic minority communities must be prioritised to ensure services are shaped by lived experience rather than assumptions. Sustainable funding for community partnerships and culturally specific services will be essential to avoid short-term or symbolic reform. </w:t>
      </w:r>
    </w:p>
    <w:p w14:paraId="626FA691" w14:textId="72B6FC4A" w:rsidR="5A393DC5" w:rsidRDefault="5A393DC5" w:rsidP="67BAD222">
      <w:pPr>
        <w:spacing w:before="120" w:after="120" w:line="360" w:lineRule="auto"/>
      </w:pPr>
      <w:r w:rsidRPr="67BAD222">
        <w:rPr>
          <w:rFonts w:ascii="Arial" w:eastAsia="Arial" w:hAnsi="Arial" w:cs="Arial"/>
          <w:sz w:val="22"/>
          <w:szCs w:val="22"/>
        </w:rPr>
        <w:t>Embedding culturally responsive practice at organisational and systemic levels has the potential to rebuild trust, improve early intervention rates, and reduce coercive care pathways, directly addressing the barriers identified in this research.</w:t>
      </w:r>
    </w:p>
    <w:p w14:paraId="07349ABA" w14:textId="278A176A" w:rsidR="24E26AF7" w:rsidRDefault="24E26AF7" w:rsidP="24E26AF7">
      <w:pPr>
        <w:pStyle w:val="Heading2"/>
        <w:spacing w:before="240" w:after="240" w:line="360" w:lineRule="auto"/>
        <w:rPr>
          <w:rFonts w:ascii="Arial" w:eastAsia="Arial" w:hAnsi="Arial" w:cs="Arial"/>
          <w:sz w:val="22"/>
          <w:szCs w:val="22"/>
        </w:rPr>
      </w:pPr>
    </w:p>
    <w:p w14:paraId="365F1A41" w14:textId="03962515" w:rsidR="24E26AF7" w:rsidRDefault="24E26AF7" w:rsidP="24E26AF7"/>
    <w:p w14:paraId="4EC9FC15" w14:textId="743D5CCC" w:rsidR="00EE3DBA" w:rsidRPr="00BE61AB" w:rsidRDefault="7C6BBD75" w:rsidP="00BE61AB">
      <w:pPr>
        <w:pStyle w:val="Heading2"/>
        <w:spacing w:line="360" w:lineRule="auto"/>
        <w:rPr>
          <w:rFonts w:ascii="Arial" w:eastAsia="Arial" w:hAnsi="Arial" w:cs="Arial"/>
          <w:b/>
          <w:bCs/>
          <w:color w:val="auto"/>
          <w:sz w:val="22"/>
          <w:szCs w:val="22"/>
        </w:rPr>
      </w:pPr>
      <w:bookmarkStart w:id="36" w:name="_Toc561928264"/>
      <w:r w:rsidRPr="67BAD222">
        <w:rPr>
          <w:rFonts w:ascii="Arial" w:eastAsia="Arial" w:hAnsi="Arial" w:cs="Arial"/>
          <w:b/>
          <w:bCs/>
          <w:color w:val="auto"/>
          <w:sz w:val="22"/>
          <w:szCs w:val="22"/>
        </w:rPr>
        <w:lastRenderedPageBreak/>
        <w:t>5.</w:t>
      </w:r>
      <w:r w:rsidR="0515ADF2" w:rsidRPr="67BAD222">
        <w:rPr>
          <w:rFonts w:ascii="Arial" w:eastAsia="Arial" w:hAnsi="Arial" w:cs="Arial"/>
          <w:b/>
          <w:bCs/>
          <w:color w:val="auto"/>
          <w:sz w:val="22"/>
          <w:szCs w:val="22"/>
        </w:rPr>
        <w:t>2.2</w:t>
      </w:r>
      <w:r w:rsidRPr="67BAD222">
        <w:rPr>
          <w:rFonts w:ascii="Arial" w:eastAsia="Arial" w:hAnsi="Arial" w:cs="Arial"/>
          <w:b/>
          <w:bCs/>
          <w:color w:val="auto"/>
          <w:sz w:val="22"/>
          <w:szCs w:val="22"/>
        </w:rPr>
        <w:t xml:space="preserve"> Recommendation 2: Address Structural Barriers Through Cross-Sector Collaboration</w:t>
      </w:r>
      <w:bookmarkEnd w:id="36"/>
    </w:p>
    <w:p w14:paraId="35D800C4" w14:textId="31C82188" w:rsidR="4E202A42" w:rsidRDefault="4E202A42"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The findings of this dissertation demonstrate that structural inequality and socioeconomic disadvantage significantly shape both mental health risk and patterns of service access. As established in Chapter 4, poverty, housing insecurity, unemployment, and social marginalisation limit early engagement and increase reliance on crisis pathways. Mental health services alone cannot resolve these disparities, as they are embedded within broader social and economic systems (Marmot, 2020). Reducing ethnic inequalities requires sustained cross-sector collaboration between the NHS, local authorities, housing providers, employment services, education sectors, voluntary organisations, and community groups. </w:t>
      </w:r>
    </w:p>
    <w:p w14:paraId="1A067915" w14:textId="5A1583D1" w:rsidR="4E202A42" w:rsidRDefault="4E202A42"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Integrated Care Systems in England provide an opportunity to align health services with social care and community-based provision. Approaches such as social prescribing, co-located services, joint assessment frameworks, and multi-agency care planning can help address psychological and social needs simultaneously. Early intervention models that integrate housing, welfare advice, and employment support within mental health pathways could reduce escalation to crisis and compulsory care. </w:t>
      </w:r>
    </w:p>
    <w:p w14:paraId="4709AA14" w14:textId="084B8865" w:rsidR="4E202A42" w:rsidRDefault="4E202A42"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However, implementation presents substantial challenges. Cross-sector collaboration requires shared funding mechanisms, aligned accountability frameworks, effective data-sharing agreements, and long-term policy stability. Organisational silos, differing performance metrics, and fragmented commissioning structures frequently undermine integrated working. Collaboration may also become symbolic rather than transformative if inequalities are not explicitly prioritised within strategic planning. Overcoming these barriers, health and wellbeing boards and Integrated Care Boards should adopt explicit targets to reduce inequality, pool budgets across sectors, and develop shared outcome measures focused on social inclusion and wellbeing rather than solely on clinical recovery. Clear leadership accountability, sustained funding commitments, and community representation in governance structures are essential to ensure that collaboration translates into measurable reductions in structural disadvantage. </w:t>
      </w:r>
    </w:p>
    <w:p w14:paraId="63143FA3" w14:textId="26075ABA" w:rsidR="67BAD222" w:rsidRDefault="5A2ACA9C" w:rsidP="24E26AF7">
      <w:pPr>
        <w:spacing w:before="120" w:after="120" w:line="360" w:lineRule="auto"/>
        <w:rPr>
          <w:rFonts w:ascii="Arial" w:eastAsia="Arial" w:hAnsi="Arial" w:cs="Arial"/>
          <w:sz w:val="22"/>
          <w:szCs w:val="22"/>
        </w:rPr>
      </w:pPr>
      <w:r w:rsidRPr="24E26AF7">
        <w:rPr>
          <w:rFonts w:ascii="Arial" w:eastAsia="Arial" w:hAnsi="Arial" w:cs="Arial"/>
          <w:sz w:val="22"/>
          <w:szCs w:val="22"/>
        </w:rPr>
        <w:t>Addressing the social determinants of mental health through coordinated and accountable partnership working can move services beyond crisis management toward prevention and equity.</w:t>
      </w:r>
    </w:p>
    <w:p w14:paraId="1CEB5A4F" w14:textId="60FCE6A7" w:rsidR="24E26AF7" w:rsidRDefault="24E26AF7" w:rsidP="24E26AF7">
      <w:pPr>
        <w:spacing w:before="120" w:after="120" w:line="360" w:lineRule="auto"/>
        <w:rPr>
          <w:rFonts w:ascii="Arial" w:eastAsia="Arial" w:hAnsi="Arial" w:cs="Arial"/>
          <w:sz w:val="22"/>
          <w:szCs w:val="22"/>
        </w:rPr>
      </w:pPr>
    </w:p>
    <w:p w14:paraId="6E4DADB5" w14:textId="2004A2A4" w:rsidR="00EE3DBA" w:rsidRPr="00BE61AB" w:rsidRDefault="7C6BBD75" w:rsidP="00BE61AB">
      <w:pPr>
        <w:pStyle w:val="Heading2"/>
        <w:spacing w:line="360" w:lineRule="auto"/>
        <w:rPr>
          <w:rFonts w:ascii="Arial" w:eastAsia="Arial" w:hAnsi="Arial" w:cs="Arial"/>
          <w:b/>
          <w:bCs/>
          <w:color w:val="auto"/>
          <w:sz w:val="22"/>
          <w:szCs w:val="22"/>
        </w:rPr>
      </w:pPr>
      <w:bookmarkStart w:id="37" w:name="_Toc120724822"/>
      <w:r w:rsidRPr="67BAD222">
        <w:rPr>
          <w:rFonts w:ascii="Arial" w:eastAsia="Arial" w:hAnsi="Arial" w:cs="Arial"/>
          <w:b/>
          <w:bCs/>
          <w:color w:val="auto"/>
          <w:sz w:val="22"/>
          <w:szCs w:val="22"/>
        </w:rPr>
        <w:lastRenderedPageBreak/>
        <w:t>5.</w:t>
      </w:r>
      <w:r w:rsidR="0BB5BCDF" w:rsidRPr="67BAD222">
        <w:rPr>
          <w:rFonts w:ascii="Arial" w:eastAsia="Arial" w:hAnsi="Arial" w:cs="Arial"/>
          <w:b/>
          <w:bCs/>
          <w:color w:val="auto"/>
          <w:sz w:val="22"/>
          <w:szCs w:val="22"/>
        </w:rPr>
        <w:t>2.3</w:t>
      </w:r>
      <w:r w:rsidRPr="67BAD222">
        <w:rPr>
          <w:rFonts w:ascii="Arial" w:eastAsia="Arial" w:hAnsi="Arial" w:cs="Arial"/>
          <w:b/>
          <w:bCs/>
          <w:color w:val="auto"/>
          <w:sz w:val="22"/>
          <w:szCs w:val="22"/>
        </w:rPr>
        <w:t xml:space="preserve"> Recommendation 3: Improve Accountability and Monitoring of Ethnic Inequalities</w:t>
      </w:r>
      <w:bookmarkEnd w:id="37"/>
    </w:p>
    <w:p w14:paraId="6B75DCEA" w14:textId="5BBB37A0" w:rsidR="694B6C3A" w:rsidRDefault="5AE96E83"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 xml:space="preserve">The findings of this dissertation demonstrate that ethnic disparities persist despite repeated policy commitments to equity. This suggests that acknowledgement alone is insufficient without robust accountability mechanisms. Mental health services should implement mandatory, standardised monitoring of access, waiting times, treatment completion rates, patient satisfaction, detention rates, and use of restrictive interventions, all disaggregated by ethnicity. Transparent public reporting, </w:t>
      </w:r>
      <w:r w:rsidR="361C3976" w:rsidRPr="24E26AF7">
        <w:rPr>
          <w:rFonts w:ascii="Arial" w:eastAsia="Arial" w:hAnsi="Arial" w:cs="Arial"/>
          <w:sz w:val="22"/>
          <w:szCs w:val="22"/>
        </w:rPr>
        <w:t>like</w:t>
      </w:r>
      <w:r w:rsidRPr="24E26AF7">
        <w:rPr>
          <w:rFonts w:ascii="Arial" w:eastAsia="Arial" w:hAnsi="Arial" w:cs="Arial"/>
          <w:sz w:val="22"/>
          <w:szCs w:val="22"/>
        </w:rPr>
        <w:t xml:space="preserve"> other NHS quality indicators, would enable benchmarking, identify regional variation, and support evidence-based improvement. </w:t>
      </w:r>
    </w:p>
    <w:p w14:paraId="58854978" w14:textId="5C179976" w:rsidR="694B6C3A" w:rsidRDefault="694B6C3A"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Strengthening accountability must involve meaningful community participation. Ethnic minority service users and carers should be represented within governance structures, service evaluation panels, and quality improvement initiatives. Co-production in monitoring processes can help ensure that performance measures reflect lived experience rather than narrow administrative metrics. Independent oversight from bodies such as the Care Quality Commission and the NHS Race and Health Observatory can enhance credibility and external scrutiny. </w:t>
      </w:r>
    </w:p>
    <w:p w14:paraId="56278F59" w14:textId="270B1856" w:rsidR="694B6C3A" w:rsidRDefault="694B6C3A"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Implementing comprehensive monitoring presents practical challenges. Variations in ethnic classification systems, data recording inconsistencies, data protection concerns, and limited analytical capacity may undermine reliability. Services may resist scrutiny due to concerns about reputational risk or contextual misinterpretation of data. To address these barriers, national standardisation of data categories, investment in digital infrastructure, and clear guidance on ethical data governance are required. Monitoring should be framed as a quality improvement mechanism rather than punitive oversight, accompanied by targeted support and resources to address identified disparities. </w:t>
      </w:r>
    </w:p>
    <w:p w14:paraId="41978440" w14:textId="3A80DD89" w:rsidR="694B6C3A" w:rsidRDefault="694B6C3A" w:rsidP="67BAD222">
      <w:pPr>
        <w:spacing w:before="120" w:after="120" w:line="360" w:lineRule="auto"/>
        <w:rPr>
          <w:rFonts w:ascii="Arial" w:eastAsia="Arial" w:hAnsi="Arial" w:cs="Arial"/>
          <w:sz w:val="22"/>
          <w:szCs w:val="22"/>
        </w:rPr>
      </w:pPr>
      <w:r w:rsidRPr="67BAD222">
        <w:rPr>
          <w:rFonts w:ascii="Arial" w:eastAsia="Arial" w:hAnsi="Arial" w:cs="Arial"/>
          <w:sz w:val="22"/>
          <w:szCs w:val="22"/>
        </w:rPr>
        <w:t>Without measurable accountability, efforts to reduce inequality risk remaining aspirational. Embedding systematic monitoring and community-informed evaluation within routine practice is essential to translate policy commitments into demonstrable progress.</w:t>
      </w:r>
    </w:p>
    <w:p w14:paraId="4AAB7258" w14:textId="2D558F17" w:rsidR="00BE61AB" w:rsidRPr="00BE61AB" w:rsidRDefault="00BE61AB" w:rsidP="24E26AF7">
      <w:pPr>
        <w:spacing w:before="240" w:after="240" w:line="360" w:lineRule="auto"/>
        <w:rPr>
          <w:rFonts w:ascii="Arial" w:eastAsia="Arial" w:hAnsi="Arial" w:cs="Arial"/>
          <w:sz w:val="22"/>
          <w:szCs w:val="22"/>
        </w:rPr>
      </w:pPr>
    </w:p>
    <w:p w14:paraId="38E0EC57" w14:textId="186B1C4C" w:rsidR="00BE61AB" w:rsidRDefault="00BE61AB" w:rsidP="24E26AF7">
      <w:pPr>
        <w:spacing w:before="240" w:after="240" w:line="360" w:lineRule="auto"/>
        <w:rPr>
          <w:rFonts w:ascii="Arial" w:eastAsia="Arial" w:hAnsi="Arial" w:cs="Arial"/>
          <w:sz w:val="22"/>
          <w:szCs w:val="22"/>
        </w:rPr>
      </w:pPr>
    </w:p>
    <w:p w14:paraId="7936A848" w14:textId="77777777" w:rsidR="00DD1539" w:rsidRPr="00BE61AB" w:rsidRDefault="00DD1539" w:rsidP="24E26AF7">
      <w:pPr>
        <w:spacing w:before="240" w:after="240" w:line="360" w:lineRule="auto"/>
        <w:rPr>
          <w:rFonts w:ascii="Arial" w:eastAsia="Arial" w:hAnsi="Arial" w:cs="Arial"/>
          <w:sz w:val="22"/>
          <w:szCs w:val="22"/>
        </w:rPr>
      </w:pPr>
    </w:p>
    <w:p w14:paraId="27D62244" w14:textId="21AAC0F0" w:rsidR="00BE61AB" w:rsidRPr="00BE61AB" w:rsidRDefault="00BE61AB" w:rsidP="24E26AF7">
      <w:pPr>
        <w:spacing w:before="240" w:after="240" w:line="360" w:lineRule="auto"/>
        <w:rPr>
          <w:rFonts w:ascii="Arial" w:eastAsia="Arial" w:hAnsi="Arial" w:cs="Arial"/>
          <w:sz w:val="22"/>
          <w:szCs w:val="22"/>
        </w:rPr>
      </w:pPr>
    </w:p>
    <w:p w14:paraId="728046CC" w14:textId="209CBF0C" w:rsidR="67BAD222" w:rsidRDefault="6D39B4F2" w:rsidP="00DD1539">
      <w:pPr>
        <w:pStyle w:val="Heading1"/>
        <w:spacing w:line="360" w:lineRule="auto"/>
        <w:rPr>
          <w:rFonts w:ascii="Arial" w:eastAsia="Arial" w:hAnsi="Arial" w:cs="Arial"/>
          <w:b/>
          <w:bCs/>
          <w:color w:val="auto"/>
          <w:sz w:val="22"/>
          <w:szCs w:val="22"/>
        </w:rPr>
      </w:pPr>
      <w:bookmarkStart w:id="38" w:name="_Toc402229931"/>
      <w:r w:rsidRPr="24E26AF7">
        <w:rPr>
          <w:rFonts w:ascii="Arial" w:eastAsia="Arial" w:hAnsi="Arial" w:cs="Arial"/>
          <w:b/>
          <w:bCs/>
          <w:color w:val="auto"/>
          <w:sz w:val="22"/>
          <w:szCs w:val="22"/>
        </w:rPr>
        <w:lastRenderedPageBreak/>
        <w:t>CHAPTER 6 – References and Appendices</w:t>
      </w:r>
      <w:bookmarkEnd w:id="38"/>
    </w:p>
    <w:p w14:paraId="6F231646" w14:textId="77777777" w:rsidR="00CE5FC0" w:rsidRPr="00CE5FC0" w:rsidRDefault="00CE5FC0" w:rsidP="00CE5FC0"/>
    <w:p w14:paraId="742B7474" w14:textId="0902692D" w:rsidR="00BE61AB" w:rsidRPr="00BE61AB" w:rsidRDefault="6D39B4F2" w:rsidP="67BAD222">
      <w:pPr>
        <w:pStyle w:val="Heading2"/>
        <w:spacing w:line="360" w:lineRule="auto"/>
        <w:rPr>
          <w:rFonts w:ascii="Arial" w:eastAsia="Arial" w:hAnsi="Arial" w:cs="Arial"/>
          <w:b/>
          <w:bCs/>
          <w:color w:val="auto"/>
          <w:sz w:val="22"/>
          <w:szCs w:val="22"/>
        </w:rPr>
      </w:pPr>
      <w:bookmarkStart w:id="39" w:name="_Toc609778631"/>
      <w:r w:rsidRPr="24E26AF7">
        <w:rPr>
          <w:rFonts w:ascii="Arial" w:eastAsia="Arial" w:hAnsi="Arial" w:cs="Arial"/>
          <w:b/>
          <w:bCs/>
          <w:color w:val="auto"/>
          <w:sz w:val="22"/>
          <w:szCs w:val="22"/>
        </w:rPr>
        <w:t>6.1 References</w:t>
      </w:r>
      <w:bookmarkEnd w:id="39"/>
    </w:p>
    <w:p w14:paraId="78D9D0D5" w14:textId="570EF7CA" w:rsidR="0FEC4EEA" w:rsidRDefault="00DD1539" w:rsidP="67BAD222">
      <w:pPr>
        <w:spacing w:before="120" w:after="120" w:line="360" w:lineRule="auto"/>
        <w:rPr>
          <w:rFonts w:ascii="Arial" w:eastAsia="Arial" w:hAnsi="Arial" w:cs="Arial"/>
          <w:sz w:val="22"/>
          <w:szCs w:val="22"/>
        </w:rPr>
      </w:pPr>
      <w:r>
        <w:rPr>
          <w:rFonts w:ascii="Arial" w:eastAsia="Arial" w:hAnsi="Arial" w:cs="Arial"/>
          <w:sz w:val="22"/>
          <w:szCs w:val="22"/>
        </w:rPr>
        <w:t>The</w:t>
      </w:r>
      <w:r w:rsidR="6F27DE8D" w:rsidRPr="24E26AF7">
        <w:rPr>
          <w:rFonts w:ascii="Arial" w:eastAsia="Arial" w:hAnsi="Arial" w:cs="Arial"/>
          <w:sz w:val="22"/>
          <w:szCs w:val="22"/>
        </w:rPr>
        <w:t xml:space="preserve"> reference list provides full bibliographic details for all sources cited throughout this dissertation. It includes peer-reviewed journal articles, academic books, government publications, policy documents, and reports from recognised national and international organisations. </w:t>
      </w:r>
    </w:p>
    <w:p w14:paraId="7220CBB3" w14:textId="3374E2C1" w:rsidR="0FEC4EEA" w:rsidRDefault="6F27DE8D"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All sources are presented in UWTSD Harvard referencing format, with consistent application of author details, publication dates, titles, publication information, and accessed dates for online materials. The references are listed in alphabetical order by author surname.</w:t>
      </w:r>
    </w:p>
    <w:p w14:paraId="781E0759" w14:textId="1B8438FD" w:rsidR="00EE3DBA" w:rsidRPr="00BE61AB" w:rsidRDefault="6D39B4F2" w:rsidP="24E26AF7">
      <w:pPr>
        <w:pStyle w:val="Heading2"/>
        <w:spacing w:line="360" w:lineRule="auto"/>
        <w:rPr>
          <w:rFonts w:ascii="Arial" w:eastAsia="Arial" w:hAnsi="Arial" w:cs="Arial"/>
          <w:b/>
          <w:bCs/>
          <w:color w:val="auto"/>
          <w:sz w:val="22"/>
          <w:szCs w:val="22"/>
        </w:rPr>
      </w:pPr>
      <w:bookmarkStart w:id="40" w:name="_Toc1618348700"/>
      <w:r w:rsidRPr="24E26AF7">
        <w:rPr>
          <w:rFonts w:ascii="Arial" w:eastAsia="Arial" w:hAnsi="Arial" w:cs="Arial"/>
          <w:b/>
          <w:bCs/>
          <w:color w:val="auto"/>
          <w:sz w:val="22"/>
          <w:szCs w:val="22"/>
        </w:rPr>
        <w:t>6.2 Appendices</w:t>
      </w:r>
      <w:bookmarkEnd w:id="40"/>
    </w:p>
    <w:p w14:paraId="42ADE318" w14:textId="57BC561C" w:rsidR="71AFDC8B" w:rsidRDefault="28A84F40" w:rsidP="67BAD222">
      <w:pPr>
        <w:spacing w:before="120" w:after="120" w:line="360" w:lineRule="auto"/>
        <w:rPr>
          <w:rFonts w:ascii="Arial" w:eastAsia="Arial" w:hAnsi="Arial" w:cs="Arial"/>
          <w:sz w:val="22"/>
          <w:szCs w:val="22"/>
        </w:rPr>
      </w:pPr>
      <w:r w:rsidRPr="24E26AF7">
        <w:rPr>
          <w:rFonts w:ascii="Arial" w:eastAsia="Arial" w:hAnsi="Arial" w:cs="Arial"/>
          <w:sz w:val="22"/>
          <w:szCs w:val="22"/>
        </w:rPr>
        <w:t>The appendices contain supplementary materials that support the research process and enhance transparency but are not included in the main body to maintain clarity and meet word count requirements.</w:t>
      </w:r>
    </w:p>
    <w:p w14:paraId="58BECDDB" w14:textId="44C61EBA" w:rsidR="3A79D713" w:rsidRDefault="2E16B3A5" w:rsidP="67BAD222">
      <w:pPr>
        <w:spacing w:before="240" w:after="240" w:line="360" w:lineRule="auto"/>
        <w:rPr>
          <w:rFonts w:ascii="Arial" w:eastAsia="Arial" w:hAnsi="Arial" w:cs="Arial"/>
          <w:sz w:val="22"/>
          <w:szCs w:val="22"/>
        </w:rPr>
      </w:pPr>
      <w:r w:rsidRPr="24E26AF7">
        <w:rPr>
          <w:rFonts w:ascii="Arial" w:eastAsia="Arial" w:hAnsi="Arial" w:cs="Arial"/>
          <w:sz w:val="22"/>
          <w:szCs w:val="22"/>
        </w:rPr>
        <w:t>The appendices include:</w:t>
      </w:r>
    </w:p>
    <w:p w14:paraId="3BCD3ABE" w14:textId="5D1C2325" w:rsidR="3A79D713" w:rsidRDefault="2E16B3A5" w:rsidP="67BAD222">
      <w:pPr>
        <w:spacing w:before="240" w:after="240" w:line="360" w:lineRule="auto"/>
        <w:rPr>
          <w:rFonts w:ascii="Arial" w:eastAsia="Arial" w:hAnsi="Arial" w:cs="Arial"/>
          <w:sz w:val="22"/>
          <w:szCs w:val="22"/>
        </w:rPr>
      </w:pPr>
      <w:r w:rsidRPr="24E26AF7">
        <w:rPr>
          <w:rFonts w:ascii="Arial" w:eastAsia="Arial" w:hAnsi="Arial" w:cs="Arial"/>
          <w:b/>
          <w:bCs/>
          <w:sz w:val="22"/>
          <w:szCs w:val="22"/>
        </w:rPr>
        <w:t>Appendix A</w:t>
      </w:r>
      <w:r w:rsidRPr="24E26AF7">
        <w:rPr>
          <w:rFonts w:ascii="Arial" w:eastAsia="Arial" w:hAnsi="Arial" w:cs="Arial"/>
          <w:sz w:val="22"/>
          <w:szCs w:val="22"/>
        </w:rPr>
        <w:t xml:space="preserve"> – Results Summary Table</w:t>
      </w:r>
      <w:r w:rsidR="3A79D713">
        <w:br/>
      </w:r>
      <w:r w:rsidRPr="24E26AF7">
        <w:rPr>
          <w:rFonts w:ascii="Arial" w:eastAsia="Arial" w:hAnsi="Arial" w:cs="Arial"/>
          <w:b/>
          <w:bCs/>
          <w:sz w:val="22"/>
          <w:szCs w:val="22"/>
        </w:rPr>
        <w:t>Appendix B</w:t>
      </w:r>
      <w:r w:rsidRPr="24E26AF7">
        <w:rPr>
          <w:rFonts w:ascii="Arial" w:eastAsia="Arial" w:hAnsi="Arial" w:cs="Arial"/>
          <w:sz w:val="22"/>
          <w:szCs w:val="22"/>
        </w:rPr>
        <w:t xml:space="preserve"> – Source Tracking Table</w:t>
      </w:r>
      <w:r w:rsidR="3A79D713">
        <w:br/>
      </w:r>
      <w:r w:rsidRPr="24E26AF7">
        <w:rPr>
          <w:rFonts w:ascii="Arial" w:eastAsia="Arial" w:hAnsi="Arial" w:cs="Arial"/>
          <w:b/>
          <w:bCs/>
          <w:sz w:val="22"/>
          <w:szCs w:val="22"/>
        </w:rPr>
        <w:t>Appendix C</w:t>
      </w:r>
      <w:r w:rsidRPr="24E26AF7">
        <w:rPr>
          <w:rFonts w:ascii="Arial" w:eastAsia="Arial" w:hAnsi="Arial" w:cs="Arial"/>
          <w:sz w:val="22"/>
          <w:szCs w:val="22"/>
        </w:rPr>
        <w:t xml:space="preserve"> – Thematic Coding and Evidence Map</w:t>
      </w:r>
    </w:p>
    <w:p w14:paraId="08539DF0" w14:textId="02AA4C19" w:rsidR="3A79D713" w:rsidRDefault="2E16B3A5" w:rsidP="67BAD222">
      <w:pPr>
        <w:spacing w:before="240" w:after="240" w:line="360" w:lineRule="auto"/>
        <w:rPr>
          <w:rFonts w:ascii="Arial" w:eastAsia="Arial" w:hAnsi="Arial" w:cs="Arial"/>
          <w:sz w:val="22"/>
          <w:szCs w:val="22"/>
        </w:rPr>
      </w:pPr>
      <w:r w:rsidRPr="24E26AF7">
        <w:rPr>
          <w:rFonts w:ascii="Arial" w:eastAsia="Arial" w:hAnsi="Arial" w:cs="Arial"/>
          <w:sz w:val="22"/>
          <w:szCs w:val="22"/>
        </w:rPr>
        <w:t>These materials demonstrate the systematic approach used to identify, evaluate, and analyse literature in developing the thematic findings presented in Chapter 4.</w:t>
      </w:r>
    </w:p>
    <w:p w14:paraId="5D102081" w14:textId="0ABD40F7" w:rsidR="67BAD222" w:rsidRDefault="67BAD222" w:rsidP="67BAD222">
      <w:pPr>
        <w:spacing w:before="120" w:after="120" w:line="360" w:lineRule="auto"/>
        <w:rPr>
          <w:rFonts w:ascii="Arial" w:eastAsia="Arial" w:hAnsi="Arial" w:cs="Arial"/>
          <w:sz w:val="22"/>
          <w:szCs w:val="22"/>
        </w:rPr>
      </w:pPr>
    </w:p>
    <w:p w14:paraId="60A592BB" w14:textId="77777777" w:rsidR="00EE3DBA" w:rsidRDefault="00EE3DBA" w:rsidP="00BE61AB">
      <w:pPr>
        <w:spacing w:before="120" w:after="120" w:line="360" w:lineRule="auto"/>
        <w:rPr>
          <w:rFonts w:ascii="Arial" w:eastAsia="Arial" w:hAnsi="Arial" w:cs="Arial"/>
          <w:sz w:val="22"/>
          <w:szCs w:val="22"/>
        </w:rPr>
      </w:pPr>
    </w:p>
    <w:p w14:paraId="6FBB4B3C" w14:textId="77777777" w:rsidR="00DD1539" w:rsidRDefault="00DD1539" w:rsidP="00BE61AB">
      <w:pPr>
        <w:spacing w:before="120" w:after="120" w:line="360" w:lineRule="auto"/>
        <w:rPr>
          <w:rFonts w:ascii="Arial" w:eastAsia="Arial" w:hAnsi="Arial" w:cs="Arial"/>
          <w:sz w:val="22"/>
          <w:szCs w:val="22"/>
        </w:rPr>
      </w:pPr>
    </w:p>
    <w:p w14:paraId="330012B0" w14:textId="77777777" w:rsidR="00DD1539" w:rsidRPr="00EE3DBA" w:rsidRDefault="00DD1539" w:rsidP="00BE61AB">
      <w:pPr>
        <w:spacing w:before="120" w:after="120" w:line="360" w:lineRule="auto"/>
        <w:rPr>
          <w:rFonts w:ascii="Arial" w:eastAsia="Arial" w:hAnsi="Arial" w:cs="Arial"/>
          <w:sz w:val="22"/>
          <w:szCs w:val="22"/>
        </w:rPr>
      </w:pPr>
    </w:p>
    <w:p w14:paraId="467579F6" w14:textId="6BCC4B9B" w:rsidR="67BAD222" w:rsidRDefault="67BAD222" w:rsidP="24E26AF7">
      <w:pPr>
        <w:spacing w:before="120" w:after="120" w:line="360" w:lineRule="auto"/>
        <w:rPr>
          <w:rFonts w:ascii="Arial" w:eastAsia="Arial" w:hAnsi="Arial" w:cs="Arial"/>
          <w:sz w:val="22"/>
          <w:szCs w:val="22"/>
        </w:rPr>
      </w:pPr>
    </w:p>
    <w:p w14:paraId="2E0855E9" w14:textId="77777777" w:rsidR="00CE5FC0" w:rsidRDefault="00CE5FC0" w:rsidP="24E26AF7">
      <w:pPr>
        <w:spacing w:before="120" w:after="120" w:line="360" w:lineRule="auto"/>
        <w:rPr>
          <w:rFonts w:ascii="Arial" w:eastAsia="Arial" w:hAnsi="Arial" w:cs="Arial"/>
          <w:sz w:val="22"/>
          <w:szCs w:val="22"/>
        </w:rPr>
      </w:pPr>
    </w:p>
    <w:p w14:paraId="461FF746" w14:textId="77777777" w:rsidR="00CE5FC0" w:rsidRDefault="00CE5FC0" w:rsidP="24E26AF7">
      <w:pPr>
        <w:spacing w:before="120" w:after="120" w:line="360" w:lineRule="auto"/>
        <w:rPr>
          <w:rFonts w:ascii="Arial" w:eastAsia="Arial" w:hAnsi="Arial" w:cs="Arial"/>
          <w:sz w:val="22"/>
          <w:szCs w:val="22"/>
        </w:rPr>
      </w:pPr>
    </w:p>
    <w:p w14:paraId="5009DE39" w14:textId="77777777" w:rsidR="00CE5FC0" w:rsidRDefault="00CE5FC0" w:rsidP="24E26AF7">
      <w:pPr>
        <w:spacing w:before="120" w:after="120" w:line="360" w:lineRule="auto"/>
        <w:rPr>
          <w:rFonts w:ascii="Arial" w:eastAsia="Arial" w:hAnsi="Arial" w:cs="Arial"/>
          <w:sz w:val="22"/>
          <w:szCs w:val="22"/>
        </w:rPr>
      </w:pPr>
    </w:p>
    <w:p w14:paraId="1F07736E" w14:textId="51947800" w:rsidR="15B73D9B" w:rsidRDefault="15B73D9B" w:rsidP="67BAD222">
      <w:pPr>
        <w:pStyle w:val="Heading1"/>
        <w:rPr>
          <w:rFonts w:ascii="Arial" w:eastAsia="Arial" w:hAnsi="Arial" w:cs="Arial"/>
          <w:b/>
          <w:bCs/>
          <w:color w:val="auto"/>
          <w:sz w:val="22"/>
          <w:szCs w:val="22"/>
        </w:rPr>
      </w:pPr>
      <w:bookmarkStart w:id="41" w:name="_Toc319260525"/>
      <w:r w:rsidRPr="67BAD222">
        <w:rPr>
          <w:rFonts w:ascii="Arial" w:eastAsia="Arial" w:hAnsi="Arial" w:cs="Arial"/>
          <w:b/>
          <w:bCs/>
          <w:color w:val="auto"/>
          <w:sz w:val="22"/>
          <w:szCs w:val="22"/>
        </w:rPr>
        <w:lastRenderedPageBreak/>
        <w:t>References</w:t>
      </w:r>
      <w:bookmarkEnd w:id="41"/>
    </w:p>
    <w:p w14:paraId="0D391870" w14:textId="6C6B1A6D"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Barnett, P., Mackay, E., Matthews, H., Gate, R., Greenwood, H., Ariyo, K., Bhui, K. and Smith, S. (2019) ‘Ethnic variations in compulsory detention under the Mental Health Act: a systematic review and meta-analysis’, </w:t>
      </w:r>
      <w:r w:rsidRPr="67BAD222">
        <w:rPr>
          <w:rFonts w:ascii="Arial" w:eastAsia="Arial" w:hAnsi="Arial" w:cs="Arial"/>
          <w:i/>
          <w:iCs/>
          <w:sz w:val="22"/>
          <w:szCs w:val="22"/>
        </w:rPr>
        <w:t>The Lancet Psychiatry</w:t>
      </w:r>
      <w:r w:rsidRPr="67BAD222">
        <w:rPr>
          <w:rFonts w:ascii="Arial" w:eastAsia="Arial" w:hAnsi="Arial" w:cs="Arial"/>
          <w:sz w:val="22"/>
          <w:szCs w:val="22"/>
        </w:rPr>
        <w:t>, 6(4), pp. 305–317.</w:t>
      </w:r>
    </w:p>
    <w:p w14:paraId="327E09D8" w14:textId="5D9F77DD"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Bhui, K., Halvorsrud, K., Nazroo, J., et al. (2018) ‘Cultural competence in mental health services: a qualitative study’, </w:t>
      </w:r>
      <w:r w:rsidRPr="67BAD222">
        <w:rPr>
          <w:rFonts w:ascii="Arial" w:eastAsia="Arial" w:hAnsi="Arial" w:cs="Arial"/>
          <w:i/>
          <w:iCs/>
          <w:sz w:val="22"/>
          <w:szCs w:val="22"/>
        </w:rPr>
        <w:t>The British Journal of Psychiatry</w:t>
      </w:r>
      <w:r w:rsidRPr="67BAD222">
        <w:rPr>
          <w:rFonts w:ascii="Arial" w:eastAsia="Arial" w:hAnsi="Arial" w:cs="Arial"/>
          <w:sz w:val="22"/>
          <w:szCs w:val="22"/>
        </w:rPr>
        <w:t>, 213(4), pp. 574–578.</w:t>
      </w:r>
    </w:p>
    <w:p w14:paraId="4B7339B2" w14:textId="307D9491"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Bhugra, D., Bhui, K., Wong, S.Y.S. and Gilman, S.E. (2021) </w:t>
      </w:r>
      <w:r w:rsidRPr="67BAD222">
        <w:rPr>
          <w:rFonts w:ascii="Arial" w:eastAsia="Arial" w:hAnsi="Arial" w:cs="Arial"/>
          <w:i/>
          <w:iCs/>
          <w:sz w:val="22"/>
          <w:szCs w:val="22"/>
        </w:rPr>
        <w:t>Oxford Textbook of Public Mental Health</w:t>
      </w:r>
      <w:r w:rsidRPr="67BAD222">
        <w:rPr>
          <w:rFonts w:ascii="Arial" w:eastAsia="Arial" w:hAnsi="Arial" w:cs="Arial"/>
          <w:sz w:val="22"/>
          <w:szCs w:val="22"/>
        </w:rPr>
        <w:t>. Oxford: Oxford University Press.</w:t>
      </w:r>
    </w:p>
    <w:p w14:paraId="49CFEB9B" w14:textId="7A44A22D"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Black Thrive (2021) </w:t>
      </w:r>
      <w:r w:rsidRPr="67BAD222">
        <w:rPr>
          <w:rFonts w:ascii="Arial" w:eastAsia="Arial" w:hAnsi="Arial" w:cs="Arial"/>
          <w:i/>
          <w:iCs/>
          <w:sz w:val="22"/>
          <w:szCs w:val="22"/>
        </w:rPr>
        <w:t>Black Thrive Annual Report 2020–21</w:t>
      </w:r>
      <w:r w:rsidRPr="67BAD222">
        <w:rPr>
          <w:rFonts w:ascii="Arial" w:eastAsia="Arial" w:hAnsi="Arial" w:cs="Arial"/>
          <w:sz w:val="22"/>
          <w:szCs w:val="22"/>
        </w:rPr>
        <w:t>. London: Black Thrive Partnership.</w:t>
      </w:r>
    </w:p>
    <w:p w14:paraId="10D6DE90" w14:textId="73D22FF1"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Booth, A., Sutton, A. and Papaioannou, D. (2016) </w:t>
      </w:r>
      <w:r w:rsidRPr="67BAD222">
        <w:rPr>
          <w:rFonts w:ascii="Arial" w:eastAsia="Arial" w:hAnsi="Arial" w:cs="Arial"/>
          <w:i/>
          <w:iCs/>
          <w:sz w:val="22"/>
          <w:szCs w:val="22"/>
        </w:rPr>
        <w:t>Systematic Approaches to a Successful Literature Review</w:t>
      </w:r>
      <w:r w:rsidRPr="67BAD222">
        <w:rPr>
          <w:rFonts w:ascii="Arial" w:eastAsia="Arial" w:hAnsi="Arial" w:cs="Arial"/>
          <w:sz w:val="22"/>
          <w:szCs w:val="22"/>
        </w:rPr>
        <w:t>. 2nd edn. London: Sage.</w:t>
      </w:r>
    </w:p>
    <w:p w14:paraId="6453A945" w14:textId="723D1906"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Braun, V. and Clarke, V. (2006) ‘Using thematic analysis in psychology’, </w:t>
      </w:r>
      <w:r w:rsidRPr="67BAD222">
        <w:rPr>
          <w:rFonts w:ascii="Arial" w:eastAsia="Arial" w:hAnsi="Arial" w:cs="Arial"/>
          <w:i/>
          <w:iCs/>
          <w:sz w:val="22"/>
          <w:szCs w:val="22"/>
        </w:rPr>
        <w:t>Qualitative Research in Psychology</w:t>
      </w:r>
      <w:r w:rsidRPr="67BAD222">
        <w:rPr>
          <w:rFonts w:ascii="Arial" w:eastAsia="Arial" w:hAnsi="Arial" w:cs="Arial"/>
          <w:sz w:val="22"/>
          <w:szCs w:val="22"/>
        </w:rPr>
        <w:t>, 3(2), pp. 77–101.</w:t>
      </w:r>
    </w:p>
    <w:p w14:paraId="3B336885" w14:textId="2B3EF10B"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Care Quality Commission (2022) </w:t>
      </w:r>
      <w:r w:rsidRPr="67BAD222">
        <w:rPr>
          <w:rFonts w:ascii="Arial" w:eastAsia="Arial" w:hAnsi="Arial" w:cs="Arial"/>
          <w:i/>
          <w:iCs/>
          <w:sz w:val="22"/>
          <w:szCs w:val="22"/>
        </w:rPr>
        <w:t>Monitoring the Mental Health Act in 2021/22</w:t>
      </w:r>
      <w:r w:rsidRPr="67BAD222">
        <w:rPr>
          <w:rFonts w:ascii="Arial" w:eastAsia="Arial" w:hAnsi="Arial" w:cs="Arial"/>
          <w:sz w:val="22"/>
          <w:szCs w:val="22"/>
        </w:rPr>
        <w:t>. London: CQC.</w:t>
      </w:r>
    </w:p>
    <w:p w14:paraId="7E0C9CA1" w14:textId="5E3407D9"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Clement, S., Schauman, O., Graham, T., et al. (2015) ‘What is the impact of mental health-related stigma on help-seeking? A systematic review’, </w:t>
      </w:r>
      <w:r w:rsidRPr="67BAD222">
        <w:rPr>
          <w:rFonts w:ascii="Arial" w:eastAsia="Arial" w:hAnsi="Arial" w:cs="Arial"/>
          <w:i/>
          <w:iCs/>
          <w:sz w:val="22"/>
          <w:szCs w:val="22"/>
        </w:rPr>
        <w:t>Psychological Medicine</w:t>
      </w:r>
      <w:r w:rsidRPr="67BAD222">
        <w:rPr>
          <w:rFonts w:ascii="Arial" w:eastAsia="Arial" w:hAnsi="Arial" w:cs="Arial"/>
          <w:sz w:val="22"/>
          <w:szCs w:val="22"/>
        </w:rPr>
        <w:t>, 45(1), pp. 11–27.</w:t>
      </w:r>
    </w:p>
    <w:p w14:paraId="08CC0A50" w14:textId="3D8DCB67"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Daly, M., Sutin, A.R. and Robinson, E. (2022) ‘Longitudinal changes in mental health during the COVID-19 pandemic’, </w:t>
      </w:r>
      <w:r w:rsidRPr="67BAD222">
        <w:rPr>
          <w:rFonts w:ascii="Arial" w:eastAsia="Arial" w:hAnsi="Arial" w:cs="Arial"/>
          <w:i/>
          <w:iCs/>
          <w:sz w:val="22"/>
          <w:szCs w:val="22"/>
        </w:rPr>
        <w:t>Psychological Medicine</w:t>
      </w:r>
      <w:r w:rsidRPr="67BAD222">
        <w:rPr>
          <w:rFonts w:ascii="Arial" w:eastAsia="Arial" w:hAnsi="Arial" w:cs="Arial"/>
          <w:sz w:val="22"/>
          <w:szCs w:val="22"/>
        </w:rPr>
        <w:t>, 52(1), pp. 1–10.</w:t>
      </w:r>
    </w:p>
    <w:p w14:paraId="2B3EBF68" w14:textId="7C9A7AB1"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Delgado, R. and Stefancic, J. (2017) </w:t>
      </w:r>
      <w:r w:rsidRPr="67BAD222">
        <w:rPr>
          <w:rFonts w:ascii="Arial" w:eastAsia="Arial" w:hAnsi="Arial" w:cs="Arial"/>
          <w:i/>
          <w:iCs/>
          <w:sz w:val="22"/>
          <w:szCs w:val="22"/>
        </w:rPr>
        <w:t>Critical Race Theory: An Introduction</w:t>
      </w:r>
      <w:r w:rsidRPr="67BAD222">
        <w:rPr>
          <w:rFonts w:ascii="Arial" w:eastAsia="Arial" w:hAnsi="Arial" w:cs="Arial"/>
          <w:sz w:val="22"/>
          <w:szCs w:val="22"/>
        </w:rPr>
        <w:t>. 3rd edn. New York: NYU Press.</w:t>
      </w:r>
    </w:p>
    <w:p w14:paraId="2D3BD858" w14:textId="46BF423F"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Department of Health (2005) </w:t>
      </w:r>
      <w:r w:rsidRPr="67BAD222">
        <w:rPr>
          <w:rFonts w:ascii="Arial" w:eastAsia="Arial" w:hAnsi="Arial" w:cs="Arial"/>
          <w:i/>
          <w:iCs/>
          <w:sz w:val="22"/>
          <w:szCs w:val="22"/>
        </w:rPr>
        <w:t>Delivering Race Equality in Mental Health Care</w:t>
      </w:r>
      <w:r w:rsidRPr="67BAD222">
        <w:rPr>
          <w:rFonts w:ascii="Arial" w:eastAsia="Arial" w:hAnsi="Arial" w:cs="Arial"/>
          <w:sz w:val="22"/>
          <w:szCs w:val="22"/>
        </w:rPr>
        <w:t>. London: Department of Health.</w:t>
      </w:r>
    </w:p>
    <w:p w14:paraId="046A5EB0" w14:textId="760D7A0E"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Edge, D., Degnan, A., Cotterill, S., et al. (2020) ‘Culturally adapted interventions for ethnic minorities’, </w:t>
      </w:r>
      <w:r w:rsidRPr="67BAD222">
        <w:rPr>
          <w:rFonts w:ascii="Arial" w:eastAsia="Arial" w:hAnsi="Arial" w:cs="Arial"/>
          <w:i/>
          <w:iCs/>
          <w:sz w:val="22"/>
          <w:szCs w:val="22"/>
        </w:rPr>
        <w:t>BMC Psychiatry</w:t>
      </w:r>
      <w:r w:rsidRPr="67BAD222">
        <w:rPr>
          <w:rFonts w:ascii="Arial" w:eastAsia="Arial" w:hAnsi="Arial" w:cs="Arial"/>
          <w:sz w:val="22"/>
          <w:szCs w:val="22"/>
        </w:rPr>
        <w:t>, 20(1), pp. 1–12.</w:t>
      </w:r>
    </w:p>
    <w:p w14:paraId="30AC55F2" w14:textId="462F0C5E"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Fernando, S. (2010) </w:t>
      </w:r>
      <w:r w:rsidRPr="67BAD222">
        <w:rPr>
          <w:rFonts w:ascii="Arial" w:eastAsia="Arial" w:hAnsi="Arial" w:cs="Arial"/>
          <w:i/>
          <w:iCs/>
          <w:sz w:val="22"/>
          <w:szCs w:val="22"/>
        </w:rPr>
        <w:t>Mental Health, Race and Culture</w:t>
      </w:r>
      <w:r w:rsidRPr="67BAD222">
        <w:rPr>
          <w:rFonts w:ascii="Arial" w:eastAsia="Arial" w:hAnsi="Arial" w:cs="Arial"/>
          <w:sz w:val="22"/>
          <w:szCs w:val="22"/>
        </w:rPr>
        <w:t>. 3rd edn. Basingstoke: Palgrave Macmillan.</w:t>
      </w:r>
    </w:p>
    <w:p w14:paraId="1F45B7A9" w14:textId="128BE1C0"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lastRenderedPageBreak/>
        <w:t xml:space="preserve">Fernando, S. (2017) </w:t>
      </w:r>
      <w:r w:rsidRPr="67BAD222">
        <w:rPr>
          <w:rFonts w:ascii="Arial" w:eastAsia="Arial" w:hAnsi="Arial" w:cs="Arial"/>
          <w:i/>
          <w:iCs/>
          <w:sz w:val="22"/>
          <w:szCs w:val="22"/>
        </w:rPr>
        <w:t>Institutional Racism in Psychiatry and Clinical Psychology</w:t>
      </w:r>
      <w:r w:rsidRPr="67BAD222">
        <w:rPr>
          <w:rFonts w:ascii="Arial" w:eastAsia="Arial" w:hAnsi="Arial" w:cs="Arial"/>
          <w:sz w:val="22"/>
          <w:szCs w:val="22"/>
        </w:rPr>
        <w:t>. London: Palgrave.</w:t>
      </w:r>
    </w:p>
    <w:p w14:paraId="14E68E67" w14:textId="49369BCB"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GMCA (2021) </w:t>
      </w:r>
      <w:r w:rsidRPr="67BAD222">
        <w:rPr>
          <w:rFonts w:ascii="Arial" w:eastAsia="Arial" w:hAnsi="Arial" w:cs="Arial"/>
          <w:i/>
          <w:iCs/>
          <w:sz w:val="22"/>
          <w:szCs w:val="22"/>
        </w:rPr>
        <w:t>Greater Manchester Reducing Health Inequalities Strategy</w:t>
      </w:r>
      <w:r w:rsidRPr="67BAD222">
        <w:rPr>
          <w:rFonts w:ascii="Arial" w:eastAsia="Arial" w:hAnsi="Arial" w:cs="Arial"/>
          <w:sz w:val="22"/>
          <w:szCs w:val="22"/>
        </w:rPr>
        <w:t>. Manchester: GMCA.</w:t>
      </w:r>
    </w:p>
    <w:p w14:paraId="1324ECC1" w14:textId="49A65598"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Halvorsrud, K., Nazroo, J., Otis, M., et al. (2018) ‘Ethnic inequalities in severe mental illness’, </w:t>
      </w:r>
      <w:r w:rsidRPr="67BAD222">
        <w:rPr>
          <w:rFonts w:ascii="Arial" w:eastAsia="Arial" w:hAnsi="Arial" w:cs="Arial"/>
          <w:i/>
          <w:iCs/>
          <w:sz w:val="22"/>
          <w:szCs w:val="22"/>
        </w:rPr>
        <w:t>Social Psychiatry and Psychiatric Epidemiology</w:t>
      </w:r>
      <w:r w:rsidRPr="67BAD222">
        <w:rPr>
          <w:rFonts w:ascii="Arial" w:eastAsia="Arial" w:hAnsi="Arial" w:cs="Arial"/>
          <w:sz w:val="22"/>
          <w:szCs w:val="22"/>
        </w:rPr>
        <w:t xml:space="preserve">, 53(3), pp. 239–247.Henderson, C., Evans-Lacko, S. and Thornicroft, G. (2013) ‘Mental illness stigma, help-seeking and public health’, </w:t>
      </w:r>
      <w:r w:rsidRPr="67BAD222">
        <w:rPr>
          <w:rFonts w:ascii="Arial" w:eastAsia="Arial" w:hAnsi="Arial" w:cs="Arial"/>
          <w:i/>
          <w:iCs/>
          <w:sz w:val="22"/>
          <w:szCs w:val="22"/>
        </w:rPr>
        <w:t>The British Journal of Psychiatry</w:t>
      </w:r>
      <w:r w:rsidRPr="67BAD222">
        <w:rPr>
          <w:rFonts w:ascii="Arial" w:eastAsia="Arial" w:hAnsi="Arial" w:cs="Arial"/>
          <w:sz w:val="22"/>
          <w:szCs w:val="22"/>
        </w:rPr>
        <w:t>, 202(s55), pp. s70–s73.</w:t>
      </w:r>
    </w:p>
    <w:p w14:paraId="0D5D1E9E" w14:textId="18417927"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Kapadia, D., Zhang, J., Salway, S., et al. (2022) ‘Ethnic inequalities in mental health in England’, </w:t>
      </w:r>
      <w:r w:rsidRPr="67BAD222">
        <w:rPr>
          <w:rFonts w:ascii="Arial" w:eastAsia="Arial" w:hAnsi="Arial" w:cs="Arial"/>
          <w:i/>
          <w:iCs/>
          <w:sz w:val="22"/>
          <w:szCs w:val="22"/>
        </w:rPr>
        <w:t>Journal of Epidemiology and Community Health</w:t>
      </w:r>
      <w:r w:rsidRPr="67BAD222">
        <w:rPr>
          <w:rFonts w:ascii="Arial" w:eastAsia="Arial" w:hAnsi="Arial" w:cs="Arial"/>
          <w:sz w:val="22"/>
          <w:szCs w:val="22"/>
        </w:rPr>
        <w:t>, 76(2), pp. 182–190.</w:t>
      </w:r>
    </w:p>
    <w:p w14:paraId="11D8EB01" w14:textId="0DD8BB61"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Keating, F., Robertson, D. and Kotecha, N. (2012) ‘Ethnic diversity and mental health’, </w:t>
      </w:r>
      <w:r w:rsidRPr="67BAD222">
        <w:rPr>
          <w:rFonts w:ascii="Arial" w:eastAsia="Arial" w:hAnsi="Arial" w:cs="Arial"/>
          <w:i/>
          <w:iCs/>
          <w:sz w:val="22"/>
          <w:szCs w:val="22"/>
        </w:rPr>
        <w:t>Diversity in Health and Care</w:t>
      </w:r>
      <w:r w:rsidRPr="67BAD222">
        <w:rPr>
          <w:rFonts w:ascii="Arial" w:eastAsia="Arial" w:hAnsi="Arial" w:cs="Arial"/>
          <w:sz w:val="22"/>
          <w:szCs w:val="22"/>
        </w:rPr>
        <w:t>, 9(2), pp. 73–80.</w:t>
      </w:r>
    </w:p>
    <w:p w14:paraId="1145D810" w14:textId="6B5A7A1C"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Khan, M., Iliffe, S., et al. (2023) ‘Treatment completion disparities in IAPT services’, </w:t>
      </w:r>
      <w:r w:rsidRPr="67BAD222">
        <w:rPr>
          <w:rFonts w:ascii="Arial" w:eastAsia="Arial" w:hAnsi="Arial" w:cs="Arial"/>
          <w:i/>
          <w:iCs/>
          <w:sz w:val="22"/>
          <w:szCs w:val="22"/>
        </w:rPr>
        <w:t>BMJ Open</w:t>
      </w:r>
      <w:r w:rsidRPr="67BAD222">
        <w:rPr>
          <w:rFonts w:ascii="Arial" w:eastAsia="Arial" w:hAnsi="Arial" w:cs="Arial"/>
          <w:sz w:val="22"/>
          <w:szCs w:val="22"/>
        </w:rPr>
        <w:t>, 13(2), e067842.</w:t>
      </w:r>
    </w:p>
    <w:p w14:paraId="5D4315E3" w14:textId="66991B9E"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Kirmayer, L.J., Fung, K., Rousseau, C., et al. (2018) ‘Guidelines for training in cultural psychiatry’, </w:t>
      </w:r>
      <w:r w:rsidRPr="67BAD222">
        <w:rPr>
          <w:rFonts w:ascii="Arial" w:eastAsia="Arial" w:hAnsi="Arial" w:cs="Arial"/>
          <w:i/>
          <w:iCs/>
          <w:sz w:val="22"/>
          <w:szCs w:val="22"/>
        </w:rPr>
        <w:t>Canadian Journal of Psychiatry</w:t>
      </w:r>
      <w:r w:rsidRPr="67BAD222">
        <w:rPr>
          <w:rFonts w:ascii="Arial" w:eastAsia="Arial" w:hAnsi="Arial" w:cs="Arial"/>
          <w:sz w:val="22"/>
          <w:szCs w:val="22"/>
        </w:rPr>
        <w:t>, 63(6), pp. 352–364.</w:t>
      </w:r>
    </w:p>
    <w:p w14:paraId="76CDE760" w14:textId="78DE8D4C"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Littlewood, R. and Lipsedge, M. (1989) </w:t>
      </w:r>
      <w:r w:rsidRPr="67BAD222">
        <w:rPr>
          <w:rFonts w:ascii="Arial" w:eastAsia="Arial" w:hAnsi="Arial" w:cs="Arial"/>
          <w:i/>
          <w:iCs/>
          <w:sz w:val="22"/>
          <w:szCs w:val="22"/>
        </w:rPr>
        <w:t>Aliens and Alienists</w:t>
      </w:r>
      <w:r w:rsidRPr="67BAD222">
        <w:rPr>
          <w:rFonts w:ascii="Arial" w:eastAsia="Arial" w:hAnsi="Arial" w:cs="Arial"/>
          <w:sz w:val="22"/>
          <w:szCs w:val="22"/>
        </w:rPr>
        <w:t>. 2nd edn. London: Unwin Hyman.</w:t>
      </w:r>
    </w:p>
    <w:p w14:paraId="3EDE1C55" w14:textId="1777162F"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Macpherson, W. (1999) </w:t>
      </w:r>
      <w:r w:rsidRPr="67BAD222">
        <w:rPr>
          <w:rFonts w:ascii="Arial" w:eastAsia="Arial" w:hAnsi="Arial" w:cs="Arial"/>
          <w:i/>
          <w:iCs/>
          <w:sz w:val="22"/>
          <w:szCs w:val="22"/>
        </w:rPr>
        <w:t>The Stephen Lawrence Inquiry</w:t>
      </w:r>
      <w:r w:rsidRPr="67BAD222">
        <w:rPr>
          <w:rFonts w:ascii="Arial" w:eastAsia="Arial" w:hAnsi="Arial" w:cs="Arial"/>
          <w:sz w:val="22"/>
          <w:szCs w:val="22"/>
        </w:rPr>
        <w:t>. London: HMSO.</w:t>
      </w:r>
    </w:p>
    <w:p w14:paraId="1F83413E" w14:textId="13A4E539"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Marmot, M. (2020) </w:t>
      </w:r>
      <w:r w:rsidRPr="67BAD222">
        <w:rPr>
          <w:rFonts w:ascii="Arial" w:eastAsia="Arial" w:hAnsi="Arial" w:cs="Arial"/>
          <w:i/>
          <w:iCs/>
          <w:sz w:val="22"/>
          <w:szCs w:val="22"/>
        </w:rPr>
        <w:t>Health Equity in England: The Marmot Review 10 Years On</w:t>
      </w:r>
      <w:r w:rsidRPr="67BAD222">
        <w:rPr>
          <w:rFonts w:ascii="Arial" w:eastAsia="Arial" w:hAnsi="Arial" w:cs="Arial"/>
          <w:sz w:val="22"/>
          <w:szCs w:val="22"/>
        </w:rPr>
        <w:t>. London: Institute of Health Equity.</w:t>
      </w:r>
    </w:p>
    <w:p w14:paraId="28423A5C" w14:textId="68E0CCA9"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McKenzie, K. (2020) ‘Institutional racism in mental health services’, </w:t>
      </w:r>
      <w:r w:rsidRPr="67BAD222">
        <w:rPr>
          <w:rFonts w:ascii="Arial" w:eastAsia="Arial" w:hAnsi="Arial" w:cs="Arial"/>
          <w:i/>
          <w:iCs/>
          <w:sz w:val="22"/>
          <w:szCs w:val="22"/>
        </w:rPr>
        <w:t>The Lancet Psychiatry</w:t>
      </w:r>
      <w:r w:rsidRPr="67BAD222">
        <w:rPr>
          <w:rFonts w:ascii="Arial" w:eastAsia="Arial" w:hAnsi="Arial" w:cs="Arial"/>
          <w:sz w:val="22"/>
          <w:szCs w:val="22"/>
        </w:rPr>
        <w:t>, 7(2), pp. 105–106.</w:t>
      </w:r>
    </w:p>
    <w:p w14:paraId="4664DE36" w14:textId="6881FCBD"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Memon, A., Taylor, K., Mohebati, L., et al. (2016) ‘Perceived barriers to accessing mental health services’, </w:t>
      </w:r>
      <w:r w:rsidRPr="67BAD222">
        <w:rPr>
          <w:rFonts w:ascii="Arial" w:eastAsia="Arial" w:hAnsi="Arial" w:cs="Arial"/>
          <w:i/>
          <w:iCs/>
          <w:sz w:val="22"/>
          <w:szCs w:val="22"/>
        </w:rPr>
        <w:t>Ethnicity &amp; Health</w:t>
      </w:r>
      <w:r w:rsidRPr="67BAD222">
        <w:rPr>
          <w:rFonts w:ascii="Arial" w:eastAsia="Arial" w:hAnsi="Arial" w:cs="Arial"/>
          <w:sz w:val="22"/>
          <w:szCs w:val="22"/>
        </w:rPr>
        <w:t>, 21(6), pp. 1–19.</w:t>
      </w:r>
    </w:p>
    <w:p w14:paraId="064258F0" w14:textId="710B2E4E"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Mental Health Commission of Canada (2012) </w:t>
      </w:r>
      <w:r w:rsidRPr="67BAD222">
        <w:rPr>
          <w:rFonts w:ascii="Arial" w:eastAsia="Arial" w:hAnsi="Arial" w:cs="Arial"/>
          <w:i/>
          <w:iCs/>
          <w:sz w:val="22"/>
          <w:szCs w:val="22"/>
        </w:rPr>
        <w:t>Changing Directions, Changing Lives</w:t>
      </w:r>
      <w:r w:rsidRPr="67BAD222">
        <w:rPr>
          <w:rFonts w:ascii="Arial" w:eastAsia="Arial" w:hAnsi="Arial" w:cs="Arial"/>
          <w:sz w:val="22"/>
          <w:szCs w:val="22"/>
        </w:rPr>
        <w:t>. Calgary: MHCC.</w:t>
      </w:r>
    </w:p>
    <w:p w14:paraId="246E79EE" w14:textId="53E7AB70"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lastRenderedPageBreak/>
        <w:t xml:space="preserve">Mental Health Foundation (2023) </w:t>
      </w:r>
      <w:r w:rsidRPr="67BAD222">
        <w:rPr>
          <w:rFonts w:ascii="Arial" w:eastAsia="Arial" w:hAnsi="Arial" w:cs="Arial"/>
          <w:i/>
          <w:iCs/>
          <w:sz w:val="22"/>
          <w:szCs w:val="22"/>
        </w:rPr>
        <w:t>Mental Health Statistics: UK and Worldwide</w:t>
      </w:r>
      <w:r w:rsidRPr="67BAD222">
        <w:rPr>
          <w:rFonts w:ascii="Arial" w:eastAsia="Arial" w:hAnsi="Arial" w:cs="Arial"/>
          <w:sz w:val="22"/>
          <w:szCs w:val="22"/>
        </w:rPr>
        <w:t xml:space="preserve">. Available at: </w:t>
      </w:r>
      <w:hyperlink r:id="rId17">
        <w:r w:rsidRPr="67BAD222">
          <w:rPr>
            <w:rStyle w:val="Hyperlink"/>
            <w:rFonts w:ascii="Arial" w:eastAsia="Arial" w:hAnsi="Arial" w:cs="Arial"/>
            <w:sz w:val="22"/>
            <w:szCs w:val="22"/>
          </w:rPr>
          <w:t>https://www.mentalhealth.org.uk</w:t>
        </w:r>
      </w:hyperlink>
      <w:r w:rsidRPr="67BAD222">
        <w:rPr>
          <w:rFonts w:ascii="Arial" w:eastAsia="Arial" w:hAnsi="Arial" w:cs="Arial"/>
          <w:sz w:val="22"/>
          <w:szCs w:val="22"/>
        </w:rPr>
        <w:t xml:space="preserve"> (Accessed: 15 October 2023).</w:t>
      </w:r>
    </w:p>
    <w:p w14:paraId="160F0760" w14:textId="3D15127B"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Mind (2023) </w:t>
      </w:r>
      <w:r w:rsidRPr="67BAD222">
        <w:rPr>
          <w:rFonts w:ascii="Arial" w:eastAsia="Arial" w:hAnsi="Arial" w:cs="Arial"/>
          <w:i/>
          <w:iCs/>
          <w:sz w:val="22"/>
          <w:szCs w:val="22"/>
        </w:rPr>
        <w:t>Mental Health Facts and Statistics</w:t>
      </w:r>
      <w:r w:rsidRPr="67BAD222">
        <w:rPr>
          <w:rFonts w:ascii="Arial" w:eastAsia="Arial" w:hAnsi="Arial" w:cs="Arial"/>
          <w:sz w:val="22"/>
          <w:szCs w:val="22"/>
        </w:rPr>
        <w:t xml:space="preserve">. Available at: </w:t>
      </w:r>
      <w:hyperlink r:id="rId18">
        <w:r w:rsidRPr="67BAD222">
          <w:rPr>
            <w:rStyle w:val="Hyperlink"/>
            <w:rFonts w:ascii="Arial" w:eastAsia="Arial" w:hAnsi="Arial" w:cs="Arial"/>
            <w:sz w:val="22"/>
            <w:szCs w:val="22"/>
          </w:rPr>
          <w:t>https://www.mind.org.uk</w:t>
        </w:r>
      </w:hyperlink>
      <w:r w:rsidRPr="67BAD222">
        <w:rPr>
          <w:rFonts w:ascii="Arial" w:eastAsia="Arial" w:hAnsi="Arial" w:cs="Arial"/>
          <w:sz w:val="22"/>
          <w:szCs w:val="22"/>
        </w:rPr>
        <w:t xml:space="preserve"> (Accessed: 20 October 2023).</w:t>
      </w:r>
    </w:p>
    <w:p w14:paraId="3230B85D" w14:textId="6E0DB5B1"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Morgan, C. and Hutchinson, G. (2010) ‘The social determinants of psychosis’, </w:t>
      </w:r>
      <w:r w:rsidRPr="67BAD222">
        <w:rPr>
          <w:rFonts w:ascii="Arial" w:eastAsia="Arial" w:hAnsi="Arial" w:cs="Arial"/>
          <w:i/>
          <w:iCs/>
          <w:sz w:val="22"/>
          <w:szCs w:val="22"/>
        </w:rPr>
        <w:t>Psychological Medicine</w:t>
      </w:r>
      <w:r w:rsidRPr="67BAD222">
        <w:rPr>
          <w:rFonts w:ascii="Arial" w:eastAsia="Arial" w:hAnsi="Arial" w:cs="Arial"/>
          <w:sz w:val="22"/>
          <w:szCs w:val="22"/>
        </w:rPr>
        <w:t>, 40(9), pp. 1–8.</w:t>
      </w:r>
    </w:p>
    <w:p w14:paraId="5AC7F69C" w14:textId="1445C445"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Morgan, C., Knowles, G., Hutchinson, G. (2014) ‘Pathways to care and ethnicity’, </w:t>
      </w:r>
      <w:r w:rsidRPr="67BAD222">
        <w:rPr>
          <w:rFonts w:ascii="Arial" w:eastAsia="Arial" w:hAnsi="Arial" w:cs="Arial"/>
          <w:i/>
          <w:iCs/>
          <w:sz w:val="22"/>
          <w:szCs w:val="22"/>
        </w:rPr>
        <w:t>The British Journal of Psychiatry</w:t>
      </w:r>
      <w:r w:rsidRPr="67BAD222">
        <w:rPr>
          <w:rFonts w:ascii="Arial" w:eastAsia="Arial" w:hAnsi="Arial" w:cs="Arial"/>
          <w:sz w:val="22"/>
          <w:szCs w:val="22"/>
        </w:rPr>
        <w:t>, 204(4), pp. 1–8.</w:t>
      </w:r>
    </w:p>
    <w:p w14:paraId="5E55BB52" w14:textId="5BA5D757"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Nazroo, J. and Bhui, K. (2021) ‘Ethnic inequalities in mental health in the UK’, in Bhugra, D. et al. (eds.) </w:t>
      </w:r>
      <w:r w:rsidRPr="67BAD222">
        <w:rPr>
          <w:rFonts w:ascii="Arial" w:eastAsia="Arial" w:hAnsi="Arial" w:cs="Arial"/>
          <w:i/>
          <w:iCs/>
          <w:sz w:val="22"/>
          <w:szCs w:val="22"/>
        </w:rPr>
        <w:t>Oxford Textbook of Public Mental Health</w:t>
      </w:r>
      <w:r w:rsidRPr="67BAD222">
        <w:rPr>
          <w:rFonts w:ascii="Arial" w:eastAsia="Arial" w:hAnsi="Arial" w:cs="Arial"/>
          <w:sz w:val="22"/>
          <w:szCs w:val="22"/>
        </w:rPr>
        <w:t>. Oxford: OUP, pp. 225–234.</w:t>
      </w:r>
    </w:p>
    <w:p w14:paraId="10797731" w14:textId="637170BF"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NHS Digital (2023) </w:t>
      </w:r>
      <w:r w:rsidRPr="67BAD222">
        <w:rPr>
          <w:rFonts w:ascii="Arial" w:eastAsia="Arial" w:hAnsi="Arial" w:cs="Arial"/>
          <w:i/>
          <w:iCs/>
          <w:sz w:val="22"/>
          <w:szCs w:val="22"/>
        </w:rPr>
        <w:t>Mental Health Services Monthly Statistics</w:t>
      </w:r>
      <w:r w:rsidRPr="67BAD222">
        <w:rPr>
          <w:rFonts w:ascii="Arial" w:eastAsia="Arial" w:hAnsi="Arial" w:cs="Arial"/>
          <w:sz w:val="22"/>
          <w:szCs w:val="22"/>
        </w:rPr>
        <w:t>. Leeds: NHS Digital.</w:t>
      </w:r>
    </w:p>
    <w:p w14:paraId="22A0F0B7" w14:textId="7E29BE74"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NHS England (2019) </w:t>
      </w:r>
      <w:r w:rsidRPr="67BAD222">
        <w:rPr>
          <w:rFonts w:ascii="Arial" w:eastAsia="Arial" w:hAnsi="Arial" w:cs="Arial"/>
          <w:i/>
          <w:iCs/>
          <w:sz w:val="22"/>
          <w:szCs w:val="22"/>
        </w:rPr>
        <w:t>The NHS Long Term Plan</w:t>
      </w:r>
      <w:r w:rsidRPr="67BAD222">
        <w:rPr>
          <w:rFonts w:ascii="Arial" w:eastAsia="Arial" w:hAnsi="Arial" w:cs="Arial"/>
          <w:sz w:val="22"/>
          <w:szCs w:val="22"/>
        </w:rPr>
        <w:t>. London: NHS England.</w:t>
      </w:r>
    </w:p>
    <w:p w14:paraId="582F659E" w14:textId="63EB357A"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NHS England (2022) </w:t>
      </w:r>
      <w:r w:rsidRPr="67BAD222">
        <w:rPr>
          <w:rFonts w:ascii="Arial" w:eastAsia="Arial" w:hAnsi="Arial" w:cs="Arial"/>
          <w:i/>
          <w:iCs/>
          <w:sz w:val="22"/>
          <w:szCs w:val="22"/>
        </w:rPr>
        <w:t>Core20PLUS5: An Approach to Reducing Health Inequalities</w:t>
      </w:r>
      <w:r w:rsidRPr="67BAD222">
        <w:rPr>
          <w:rFonts w:ascii="Arial" w:eastAsia="Arial" w:hAnsi="Arial" w:cs="Arial"/>
          <w:sz w:val="22"/>
          <w:szCs w:val="22"/>
        </w:rPr>
        <w:t>. London: NHS England.</w:t>
      </w:r>
    </w:p>
    <w:p w14:paraId="0E548055" w14:textId="0854D8F0"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Office of Minority Health (2018) </w:t>
      </w:r>
      <w:r w:rsidRPr="67BAD222">
        <w:rPr>
          <w:rFonts w:ascii="Arial" w:eastAsia="Arial" w:hAnsi="Arial" w:cs="Arial"/>
          <w:i/>
          <w:iCs/>
          <w:sz w:val="22"/>
          <w:szCs w:val="22"/>
        </w:rPr>
        <w:t>National CLAS Standards</w:t>
      </w:r>
      <w:r w:rsidRPr="67BAD222">
        <w:rPr>
          <w:rFonts w:ascii="Arial" w:eastAsia="Arial" w:hAnsi="Arial" w:cs="Arial"/>
          <w:sz w:val="22"/>
          <w:szCs w:val="22"/>
        </w:rPr>
        <w:t>. Washington DC: US Department of Health.</w:t>
      </w:r>
    </w:p>
    <w:p w14:paraId="2AB3F2EA" w14:textId="4F50CB3C"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Pilgrim, D. and Rogers, A. (2019) </w:t>
      </w:r>
      <w:r w:rsidRPr="67BAD222">
        <w:rPr>
          <w:rFonts w:ascii="Arial" w:eastAsia="Arial" w:hAnsi="Arial" w:cs="Arial"/>
          <w:i/>
          <w:iCs/>
          <w:sz w:val="22"/>
          <w:szCs w:val="22"/>
        </w:rPr>
        <w:t>A Sociology of Mental Health and Illness</w:t>
      </w:r>
      <w:r w:rsidRPr="67BAD222">
        <w:rPr>
          <w:rFonts w:ascii="Arial" w:eastAsia="Arial" w:hAnsi="Arial" w:cs="Arial"/>
          <w:sz w:val="22"/>
          <w:szCs w:val="22"/>
        </w:rPr>
        <w:t>. 6th edn. Maidenhead: Open University Press.</w:t>
      </w:r>
    </w:p>
    <w:p w14:paraId="115A533D" w14:textId="5BCEE9E3"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Porter, R. (2002) </w:t>
      </w:r>
      <w:r w:rsidRPr="67BAD222">
        <w:rPr>
          <w:rFonts w:ascii="Arial" w:eastAsia="Arial" w:hAnsi="Arial" w:cs="Arial"/>
          <w:i/>
          <w:iCs/>
          <w:sz w:val="22"/>
          <w:szCs w:val="22"/>
        </w:rPr>
        <w:t>Madness: A Brief History</w:t>
      </w:r>
      <w:r w:rsidRPr="67BAD222">
        <w:rPr>
          <w:rFonts w:ascii="Arial" w:eastAsia="Arial" w:hAnsi="Arial" w:cs="Arial"/>
          <w:sz w:val="22"/>
          <w:szCs w:val="22"/>
        </w:rPr>
        <w:t>. Oxford: OUP.</w:t>
      </w:r>
    </w:p>
    <w:p w14:paraId="76EF8E01" w14:textId="5FF7A3F2"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Propper, C., Stoye, G. and Zaranko, B. (2020) ‘The wider impacts of NHS funding pressures’, </w:t>
      </w:r>
      <w:r w:rsidRPr="67BAD222">
        <w:rPr>
          <w:rFonts w:ascii="Arial" w:eastAsia="Arial" w:hAnsi="Arial" w:cs="Arial"/>
          <w:i/>
          <w:iCs/>
          <w:sz w:val="22"/>
          <w:szCs w:val="22"/>
        </w:rPr>
        <w:t>Health Economics</w:t>
      </w:r>
      <w:r w:rsidRPr="67BAD222">
        <w:rPr>
          <w:rFonts w:ascii="Arial" w:eastAsia="Arial" w:hAnsi="Arial" w:cs="Arial"/>
          <w:sz w:val="22"/>
          <w:szCs w:val="22"/>
        </w:rPr>
        <w:t>, 29(7), pp. 1–15.</w:t>
      </w:r>
    </w:p>
    <w:p w14:paraId="57AA1CF9" w14:textId="17385585"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Raleigh, V. and Holmes, J. (2021) </w:t>
      </w:r>
      <w:r w:rsidRPr="67BAD222">
        <w:rPr>
          <w:rFonts w:ascii="Arial" w:eastAsia="Arial" w:hAnsi="Arial" w:cs="Arial"/>
          <w:i/>
          <w:iCs/>
          <w:sz w:val="22"/>
          <w:szCs w:val="22"/>
        </w:rPr>
        <w:t>The Health of People from Ethnic Minority Groups in England</w:t>
      </w:r>
      <w:r w:rsidRPr="67BAD222">
        <w:rPr>
          <w:rFonts w:ascii="Arial" w:eastAsia="Arial" w:hAnsi="Arial" w:cs="Arial"/>
          <w:sz w:val="22"/>
          <w:szCs w:val="22"/>
        </w:rPr>
        <w:t>. London: The King’s Fund.</w:t>
      </w:r>
    </w:p>
    <w:p w14:paraId="7931E772" w14:textId="2C4FD049"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Sue, D.W., Arredondo, P. and McDavis, R.J. (2009) ‘Multicultural counselling competencies’, in Ponterotto, J.G. et al. (eds.) </w:t>
      </w:r>
      <w:r w:rsidRPr="67BAD222">
        <w:rPr>
          <w:rFonts w:ascii="Arial" w:eastAsia="Arial" w:hAnsi="Arial" w:cs="Arial"/>
          <w:i/>
          <w:iCs/>
          <w:sz w:val="22"/>
          <w:szCs w:val="22"/>
        </w:rPr>
        <w:t>Handbook of Multicultural Counselling</w:t>
      </w:r>
      <w:r w:rsidRPr="67BAD222">
        <w:rPr>
          <w:rFonts w:ascii="Arial" w:eastAsia="Arial" w:hAnsi="Arial" w:cs="Arial"/>
          <w:sz w:val="22"/>
          <w:szCs w:val="22"/>
        </w:rPr>
        <w:t>. 3rd edn. Thousand Oaks: Sage.</w:t>
      </w:r>
    </w:p>
    <w:p w14:paraId="74F83D1B" w14:textId="1A00F3A3"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Snyder, H. (2019) ‘Literature review as a research methodology’, </w:t>
      </w:r>
      <w:r w:rsidRPr="67BAD222">
        <w:rPr>
          <w:rFonts w:ascii="Arial" w:eastAsia="Arial" w:hAnsi="Arial" w:cs="Arial"/>
          <w:i/>
          <w:iCs/>
          <w:sz w:val="22"/>
          <w:szCs w:val="22"/>
        </w:rPr>
        <w:t>Journal of Business Research</w:t>
      </w:r>
      <w:r w:rsidRPr="67BAD222">
        <w:rPr>
          <w:rFonts w:ascii="Arial" w:eastAsia="Arial" w:hAnsi="Arial" w:cs="Arial"/>
          <w:sz w:val="22"/>
          <w:szCs w:val="22"/>
        </w:rPr>
        <w:t>, 104, pp. 333–339.</w:t>
      </w:r>
    </w:p>
    <w:p w14:paraId="040010A0" w14:textId="7386366F"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lastRenderedPageBreak/>
        <w:t xml:space="preserve">Williams, D.R. and Mohammed, S.A. (2013) ‘Racism and health I’, </w:t>
      </w:r>
      <w:r w:rsidRPr="67BAD222">
        <w:rPr>
          <w:rFonts w:ascii="Arial" w:eastAsia="Arial" w:hAnsi="Arial" w:cs="Arial"/>
          <w:i/>
          <w:iCs/>
          <w:sz w:val="22"/>
          <w:szCs w:val="22"/>
        </w:rPr>
        <w:t>American Behavioral Scientist</w:t>
      </w:r>
      <w:r w:rsidRPr="67BAD222">
        <w:rPr>
          <w:rFonts w:ascii="Arial" w:eastAsia="Arial" w:hAnsi="Arial" w:cs="Arial"/>
          <w:sz w:val="22"/>
          <w:szCs w:val="22"/>
        </w:rPr>
        <w:t>, 57(8), pp. 1152–1173.</w:t>
      </w:r>
    </w:p>
    <w:p w14:paraId="3ED00C15" w14:textId="736322E2" w:rsidR="15B73D9B" w:rsidRDefault="15B73D9B" w:rsidP="67BAD222">
      <w:pPr>
        <w:spacing w:before="240" w:after="240" w:line="360" w:lineRule="auto"/>
        <w:rPr>
          <w:rFonts w:ascii="Arial" w:eastAsia="Arial" w:hAnsi="Arial" w:cs="Arial"/>
          <w:sz w:val="22"/>
          <w:szCs w:val="22"/>
        </w:rPr>
      </w:pPr>
      <w:r w:rsidRPr="67BAD222">
        <w:rPr>
          <w:rFonts w:ascii="Arial" w:eastAsia="Arial" w:hAnsi="Arial" w:cs="Arial"/>
          <w:sz w:val="22"/>
          <w:szCs w:val="22"/>
        </w:rPr>
        <w:t xml:space="preserve">Williams, P., Lawrence, V. and Davis, S. (2022) ‘Understanding ethnic inequalities in mental health care pathways’, </w:t>
      </w:r>
      <w:r w:rsidRPr="67BAD222">
        <w:rPr>
          <w:rFonts w:ascii="Arial" w:eastAsia="Arial" w:hAnsi="Arial" w:cs="Arial"/>
          <w:i/>
          <w:iCs/>
          <w:sz w:val="22"/>
          <w:szCs w:val="22"/>
        </w:rPr>
        <w:t>Social Psychiatry and Psychiatric Epidemiology</w:t>
      </w:r>
      <w:r w:rsidRPr="67BAD222">
        <w:rPr>
          <w:rFonts w:ascii="Arial" w:eastAsia="Arial" w:hAnsi="Arial" w:cs="Arial"/>
          <w:sz w:val="22"/>
          <w:szCs w:val="22"/>
        </w:rPr>
        <w:t>, 57(3), pp. 441–452.</w:t>
      </w:r>
    </w:p>
    <w:p w14:paraId="17B3CB5D" w14:textId="73B1E69F" w:rsidR="001C06F3" w:rsidRPr="001C06F3" w:rsidRDefault="15B73D9B" w:rsidP="77176F4C">
      <w:pPr>
        <w:spacing w:before="240" w:after="240" w:line="360" w:lineRule="auto"/>
        <w:rPr>
          <w:rFonts w:ascii="Arial" w:eastAsia="Arial" w:hAnsi="Arial" w:cs="Arial"/>
          <w:sz w:val="22"/>
          <w:szCs w:val="22"/>
        </w:rPr>
      </w:pPr>
      <w:r w:rsidRPr="77176F4C">
        <w:rPr>
          <w:rFonts w:ascii="Arial" w:eastAsia="Arial" w:hAnsi="Arial" w:cs="Arial"/>
          <w:sz w:val="22"/>
          <w:szCs w:val="22"/>
        </w:rPr>
        <w:t xml:space="preserve">World Health Organisation (2022) </w:t>
      </w:r>
      <w:r w:rsidRPr="77176F4C">
        <w:rPr>
          <w:rFonts w:ascii="Arial" w:eastAsia="Arial" w:hAnsi="Arial" w:cs="Arial"/>
          <w:i/>
          <w:iCs/>
          <w:sz w:val="22"/>
          <w:szCs w:val="22"/>
        </w:rPr>
        <w:t>World Mental Health Report</w:t>
      </w:r>
      <w:r w:rsidRPr="77176F4C">
        <w:rPr>
          <w:rFonts w:ascii="Arial" w:eastAsia="Arial" w:hAnsi="Arial" w:cs="Arial"/>
          <w:sz w:val="22"/>
          <w:szCs w:val="22"/>
        </w:rPr>
        <w:t>. Geneva: WHO.</w:t>
      </w:r>
      <w:r w:rsidR="3988C252" w:rsidRPr="77176F4C">
        <w:rPr>
          <w:rFonts w:ascii="Arial" w:eastAsia="Arial" w:hAnsi="Arial" w:cs="Arial"/>
          <w:sz w:val="22"/>
          <w:szCs w:val="22"/>
        </w:rPr>
        <w:t xml:space="preserve">Mental Health Foundation (2023) </w:t>
      </w:r>
      <w:r w:rsidR="3988C252" w:rsidRPr="77176F4C">
        <w:rPr>
          <w:rFonts w:ascii="Arial" w:eastAsia="Arial" w:hAnsi="Arial" w:cs="Arial"/>
          <w:i/>
          <w:iCs/>
          <w:sz w:val="22"/>
          <w:szCs w:val="22"/>
        </w:rPr>
        <w:t>Mental Health Statistics: UK and Worldwide</w:t>
      </w:r>
      <w:r w:rsidR="3988C252" w:rsidRPr="77176F4C">
        <w:rPr>
          <w:rFonts w:ascii="Arial" w:eastAsia="Arial" w:hAnsi="Arial" w:cs="Arial"/>
          <w:sz w:val="22"/>
          <w:szCs w:val="22"/>
        </w:rPr>
        <w:t xml:space="preserve">. Available at: </w:t>
      </w:r>
      <w:hyperlink r:id="rId19">
        <w:r w:rsidR="3988C252" w:rsidRPr="77176F4C">
          <w:rPr>
            <w:rStyle w:val="Hyperlink"/>
            <w:rFonts w:ascii="Arial" w:eastAsia="Arial" w:hAnsi="Arial" w:cs="Arial"/>
            <w:sz w:val="22"/>
            <w:szCs w:val="22"/>
          </w:rPr>
          <w:t>https://www.mentalhealth.org.uk/explore-mental-health/statistics</w:t>
        </w:r>
      </w:hyperlink>
      <w:r w:rsidR="3988C252" w:rsidRPr="77176F4C">
        <w:rPr>
          <w:rFonts w:ascii="Arial" w:eastAsia="Arial" w:hAnsi="Arial" w:cs="Arial"/>
          <w:sz w:val="22"/>
          <w:szCs w:val="22"/>
        </w:rPr>
        <w:t xml:space="preserve"> (Accessed: 15 October 2023).</w:t>
      </w:r>
      <w:r w:rsidR="4450609E" w:rsidRPr="77176F4C">
        <w:rPr>
          <w:rFonts w:ascii="Arial" w:eastAsia="Arial" w:hAnsi="Arial" w:cs="Arial"/>
          <w:sz w:val="22"/>
          <w:szCs w:val="22"/>
        </w:rPr>
        <w:t xml:space="preserve"> </w:t>
      </w:r>
      <w:r w:rsidR="3988C252" w:rsidRPr="77176F4C">
        <w:rPr>
          <w:rFonts w:ascii="Arial" w:eastAsia="Arial" w:hAnsi="Arial" w:cs="Arial"/>
          <w:sz w:val="22"/>
          <w:szCs w:val="22"/>
        </w:rPr>
        <w:t xml:space="preserve">Miller, M. (2018) 'Evaluating digital sources: applying the CRAAP test', </w:t>
      </w:r>
      <w:r w:rsidR="3988C252" w:rsidRPr="77176F4C">
        <w:rPr>
          <w:rFonts w:ascii="Arial" w:eastAsia="Arial" w:hAnsi="Arial" w:cs="Arial"/>
          <w:i/>
          <w:iCs/>
          <w:sz w:val="22"/>
          <w:szCs w:val="22"/>
        </w:rPr>
        <w:t>Library Faculty Publications and Presentations</w:t>
      </w:r>
      <w:r w:rsidR="3988C252" w:rsidRPr="77176F4C">
        <w:rPr>
          <w:rFonts w:ascii="Arial" w:eastAsia="Arial" w:hAnsi="Arial" w:cs="Arial"/>
          <w:sz w:val="22"/>
          <w:szCs w:val="22"/>
        </w:rPr>
        <w:t>, 157, pp. 1-4.</w:t>
      </w:r>
    </w:p>
    <w:p w14:paraId="678D5FB6"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Mind (2023) </w:t>
      </w:r>
      <w:r w:rsidRPr="67BAD222">
        <w:rPr>
          <w:rFonts w:ascii="Arial" w:eastAsia="Arial" w:hAnsi="Arial" w:cs="Arial"/>
          <w:i/>
          <w:iCs/>
          <w:sz w:val="22"/>
          <w:szCs w:val="22"/>
        </w:rPr>
        <w:t>Mental Health Facts and Statistics</w:t>
      </w:r>
      <w:r w:rsidRPr="67BAD222">
        <w:rPr>
          <w:rFonts w:ascii="Arial" w:eastAsia="Arial" w:hAnsi="Arial" w:cs="Arial"/>
          <w:sz w:val="22"/>
          <w:szCs w:val="22"/>
        </w:rPr>
        <w:t xml:space="preserve">. Available at: </w:t>
      </w:r>
      <w:hyperlink r:id="rId20">
        <w:r w:rsidRPr="67BAD222">
          <w:rPr>
            <w:rStyle w:val="Hyperlink"/>
            <w:rFonts w:ascii="Arial" w:eastAsia="Arial" w:hAnsi="Arial" w:cs="Arial"/>
            <w:sz w:val="22"/>
            <w:szCs w:val="22"/>
          </w:rPr>
          <w:t>https://www.mind.org.uk/information-support/types-of-mental-health-problems/statistics-and-facts-about-mental-health/</w:t>
        </w:r>
      </w:hyperlink>
      <w:r w:rsidRPr="67BAD222">
        <w:rPr>
          <w:rFonts w:ascii="Arial" w:eastAsia="Arial" w:hAnsi="Arial" w:cs="Arial"/>
          <w:sz w:val="22"/>
          <w:szCs w:val="22"/>
        </w:rPr>
        <w:t xml:space="preserve"> (Accessed: 20 October 2023).</w:t>
      </w:r>
    </w:p>
    <w:p w14:paraId="359DBA69"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Nazroo, J. and Bhui, K. (2021) 'Ethnic inequalities in mental health in the UK: patterns and pathways', in Bhugra, D., Bhui, K., Wong, S.Y.S., and Gilman, S.E. (eds.) </w:t>
      </w:r>
      <w:r w:rsidRPr="67BAD222">
        <w:rPr>
          <w:rFonts w:ascii="Arial" w:eastAsia="Arial" w:hAnsi="Arial" w:cs="Arial"/>
          <w:i/>
          <w:iCs/>
          <w:sz w:val="22"/>
          <w:szCs w:val="22"/>
        </w:rPr>
        <w:t>Oxford Textbook of Public Mental Health</w:t>
      </w:r>
      <w:r w:rsidRPr="67BAD222">
        <w:rPr>
          <w:rFonts w:ascii="Arial" w:eastAsia="Arial" w:hAnsi="Arial" w:cs="Arial"/>
          <w:sz w:val="22"/>
          <w:szCs w:val="22"/>
        </w:rPr>
        <w:t>. Oxford: Oxford University Press, pp. 225-234.</w:t>
      </w:r>
    </w:p>
    <w:p w14:paraId="7F051A31"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NHS Digital (2023) </w:t>
      </w:r>
      <w:r w:rsidRPr="67BAD222">
        <w:rPr>
          <w:rFonts w:ascii="Arial" w:eastAsia="Arial" w:hAnsi="Arial" w:cs="Arial"/>
          <w:i/>
          <w:iCs/>
          <w:sz w:val="22"/>
          <w:szCs w:val="22"/>
        </w:rPr>
        <w:t>Mental Health Services Monthly Statistics: Final September, Provisional October 2023</w:t>
      </w:r>
      <w:r w:rsidRPr="67BAD222">
        <w:rPr>
          <w:rFonts w:ascii="Arial" w:eastAsia="Arial" w:hAnsi="Arial" w:cs="Arial"/>
          <w:sz w:val="22"/>
          <w:szCs w:val="22"/>
        </w:rPr>
        <w:t>. Leeds: NHS Digital.</w:t>
      </w:r>
    </w:p>
    <w:p w14:paraId="01CAD805" w14:textId="255FBF09"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NHS England (2019)</w:t>
      </w:r>
      <w:r w:rsidR="33567C22" w:rsidRPr="67BAD222">
        <w:rPr>
          <w:rFonts w:ascii="Arial" w:eastAsia="Arial" w:hAnsi="Arial" w:cs="Arial"/>
          <w:sz w:val="22"/>
          <w:szCs w:val="22"/>
        </w:rPr>
        <w:t>.</w:t>
      </w:r>
      <w:r w:rsidRPr="67BAD222">
        <w:rPr>
          <w:rFonts w:ascii="Arial" w:eastAsia="Arial" w:hAnsi="Arial" w:cs="Arial"/>
          <w:sz w:val="22"/>
          <w:szCs w:val="22"/>
        </w:rPr>
        <w:t xml:space="preserve"> </w:t>
      </w:r>
      <w:r w:rsidRPr="67BAD222">
        <w:rPr>
          <w:rFonts w:ascii="Arial" w:eastAsia="Arial" w:hAnsi="Arial" w:cs="Arial"/>
          <w:i/>
          <w:iCs/>
          <w:sz w:val="22"/>
          <w:szCs w:val="22"/>
        </w:rPr>
        <w:t>The NHS Long Term Plan</w:t>
      </w:r>
      <w:r w:rsidRPr="67BAD222">
        <w:rPr>
          <w:rFonts w:ascii="Arial" w:eastAsia="Arial" w:hAnsi="Arial" w:cs="Arial"/>
          <w:sz w:val="22"/>
          <w:szCs w:val="22"/>
        </w:rPr>
        <w:t>. London: NHS England.</w:t>
      </w:r>
    </w:p>
    <w:p w14:paraId="5DCDE200" w14:textId="38AB1E0D"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NHS England (2022)</w:t>
      </w:r>
      <w:r w:rsidR="33567C22" w:rsidRPr="67BAD222">
        <w:rPr>
          <w:rFonts w:ascii="Arial" w:eastAsia="Arial" w:hAnsi="Arial" w:cs="Arial"/>
          <w:sz w:val="22"/>
          <w:szCs w:val="22"/>
        </w:rPr>
        <w:t>.</w:t>
      </w:r>
      <w:r w:rsidRPr="67BAD222">
        <w:rPr>
          <w:rFonts w:ascii="Arial" w:eastAsia="Arial" w:hAnsi="Arial" w:cs="Arial"/>
          <w:sz w:val="22"/>
          <w:szCs w:val="22"/>
        </w:rPr>
        <w:t xml:space="preserve"> </w:t>
      </w:r>
      <w:r w:rsidRPr="67BAD222">
        <w:rPr>
          <w:rFonts w:ascii="Arial" w:eastAsia="Arial" w:hAnsi="Arial" w:cs="Arial"/>
          <w:i/>
          <w:iCs/>
          <w:sz w:val="22"/>
          <w:szCs w:val="22"/>
        </w:rPr>
        <w:t>Core20PLUS5: An Approach to Reducing Health Inequalities</w:t>
      </w:r>
      <w:r w:rsidRPr="67BAD222">
        <w:rPr>
          <w:rFonts w:ascii="Arial" w:eastAsia="Arial" w:hAnsi="Arial" w:cs="Arial"/>
          <w:sz w:val="22"/>
          <w:szCs w:val="22"/>
        </w:rPr>
        <w:t>. London: NHS England.</w:t>
      </w:r>
    </w:p>
    <w:p w14:paraId="3E63FDF5"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Office of Minority Health (2018) </w:t>
      </w:r>
      <w:r w:rsidRPr="67BAD222">
        <w:rPr>
          <w:rFonts w:ascii="Arial" w:eastAsia="Arial" w:hAnsi="Arial" w:cs="Arial"/>
          <w:i/>
          <w:iCs/>
          <w:sz w:val="22"/>
          <w:szCs w:val="22"/>
        </w:rPr>
        <w:t>National Standards for Culturally and Linguistically Appropriate Services (CLAS) in Health and Health Care</w:t>
      </w:r>
      <w:r w:rsidRPr="67BAD222">
        <w:rPr>
          <w:rFonts w:ascii="Arial" w:eastAsia="Arial" w:hAnsi="Arial" w:cs="Arial"/>
          <w:sz w:val="22"/>
          <w:szCs w:val="22"/>
        </w:rPr>
        <w:t>. Washington, DC: U.S. Department of Health and Human Services.</w:t>
      </w:r>
    </w:p>
    <w:p w14:paraId="1D127653"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Pilgrim, D. and Rogers, A. (2019) </w:t>
      </w:r>
      <w:r w:rsidRPr="67BAD222">
        <w:rPr>
          <w:rFonts w:ascii="Arial" w:eastAsia="Arial" w:hAnsi="Arial" w:cs="Arial"/>
          <w:i/>
          <w:iCs/>
          <w:sz w:val="22"/>
          <w:szCs w:val="22"/>
        </w:rPr>
        <w:t>A Sociology of Mental Health and Illness</w:t>
      </w:r>
      <w:r w:rsidRPr="67BAD222">
        <w:rPr>
          <w:rFonts w:ascii="Arial" w:eastAsia="Arial" w:hAnsi="Arial" w:cs="Arial"/>
          <w:sz w:val="22"/>
          <w:szCs w:val="22"/>
        </w:rPr>
        <w:t>. 6th edn. Maidenhead: Open University Press.</w:t>
      </w:r>
    </w:p>
    <w:p w14:paraId="68520B37" w14:textId="3B4EEDF5"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Porter, R. (2002) </w:t>
      </w:r>
      <w:r w:rsidRPr="67BAD222">
        <w:rPr>
          <w:rFonts w:ascii="Arial" w:eastAsia="Arial" w:hAnsi="Arial" w:cs="Arial"/>
          <w:i/>
          <w:iCs/>
          <w:sz w:val="22"/>
          <w:szCs w:val="22"/>
        </w:rPr>
        <w:t>Madness: A Brief History</w:t>
      </w:r>
      <w:r w:rsidRPr="67BAD222">
        <w:rPr>
          <w:rFonts w:ascii="Arial" w:eastAsia="Arial" w:hAnsi="Arial" w:cs="Arial"/>
          <w:sz w:val="22"/>
          <w:szCs w:val="22"/>
        </w:rPr>
        <w:t>. Oxford: Oxford University Press.</w:t>
      </w:r>
      <w:r w:rsidR="1F321178" w:rsidRPr="67BAD222">
        <w:rPr>
          <w:rFonts w:ascii="Arial" w:eastAsia="Arial" w:hAnsi="Arial" w:cs="Arial"/>
          <w:sz w:val="22"/>
          <w:szCs w:val="22"/>
        </w:rPr>
        <w:t>`</w:t>
      </w:r>
    </w:p>
    <w:p w14:paraId="2E853E9C"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Snyder, H. (2019) 'Literature review as a research methodology: an overview and guidelines', </w:t>
      </w:r>
      <w:r w:rsidRPr="67BAD222">
        <w:rPr>
          <w:rFonts w:ascii="Arial" w:eastAsia="Arial" w:hAnsi="Arial" w:cs="Arial"/>
          <w:i/>
          <w:iCs/>
          <w:sz w:val="22"/>
          <w:szCs w:val="22"/>
        </w:rPr>
        <w:t>Journal of Business Research</w:t>
      </w:r>
      <w:r w:rsidRPr="67BAD222">
        <w:rPr>
          <w:rFonts w:ascii="Arial" w:eastAsia="Arial" w:hAnsi="Arial" w:cs="Arial"/>
          <w:sz w:val="22"/>
          <w:szCs w:val="22"/>
        </w:rPr>
        <w:t>, 104, pp. 333-339.</w:t>
      </w:r>
    </w:p>
    <w:p w14:paraId="48BFA34A" w14:textId="33284988"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Sue, D.W., Arredondo, P., and McDavis, R.J. (2009) 'Multicultural </w:t>
      </w:r>
      <w:r w:rsidR="33567C22" w:rsidRPr="67BAD222">
        <w:rPr>
          <w:rFonts w:ascii="Arial" w:eastAsia="Arial" w:hAnsi="Arial" w:cs="Arial"/>
          <w:sz w:val="22"/>
          <w:szCs w:val="22"/>
        </w:rPr>
        <w:t>counselling competencies and standards: a call to the profession', in Ponterotto, J.G., Casas, J.M., Suzuki, L.A., and Alexander, C.M. (eds.) Handbook of Multicultural Counselling</w:t>
      </w:r>
      <w:r w:rsidRPr="67BAD222">
        <w:rPr>
          <w:rFonts w:ascii="Arial" w:eastAsia="Arial" w:hAnsi="Arial" w:cs="Arial"/>
          <w:sz w:val="22"/>
          <w:szCs w:val="22"/>
        </w:rPr>
        <w:t>. 3rd edn. Thousand Oaks, CA: Sage, pp. 337-354.</w:t>
      </w:r>
    </w:p>
    <w:p w14:paraId="7AE825B2"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lastRenderedPageBreak/>
        <w:t xml:space="preserve">Williams, D.R. and Mohammed, S.A. (2013) 'Racism and health I: pathways and scientific evidence', </w:t>
      </w:r>
      <w:r w:rsidRPr="67BAD222">
        <w:rPr>
          <w:rFonts w:ascii="Arial" w:eastAsia="Arial" w:hAnsi="Arial" w:cs="Arial"/>
          <w:i/>
          <w:iCs/>
          <w:sz w:val="22"/>
          <w:szCs w:val="22"/>
        </w:rPr>
        <w:t>American Behavioral Scientist</w:t>
      </w:r>
      <w:r w:rsidRPr="67BAD222">
        <w:rPr>
          <w:rFonts w:ascii="Arial" w:eastAsia="Arial" w:hAnsi="Arial" w:cs="Arial"/>
          <w:sz w:val="22"/>
          <w:szCs w:val="22"/>
        </w:rPr>
        <w:t>, 57(8), pp. 1152-1173.</w:t>
      </w:r>
    </w:p>
    <w:p w14:paraId="36FB195F"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Williams, P., Lawrence, V., and Davis, S. (2022) 'Understanding ethnic inequalities in mental health care pathways', </w:t>
      </w:r>
      <w:r w:rsidRPr="67BAD222">
        <w:rPr>
          <w:rFonts w:ascii="Arial" w:eastAsia="Arial" w:hAnsi="Arial" w:cs="Arial"/>
          <w:i/>
          <w:iCs/>
          <w:sz w:val="22"/>
          <w:szCs w:val="22"/>
        </w:rPr>
        <w:t>Social Psychiatry and Psychiatric Epidemiology</w:t>
      </w:r>
      <w:r w:rsidRPr="67BAD222">
        <w:rPr>
          <w:rFonts w:ascii="Arial" w:eastAsia="Arial" w:hAnsi="Arial" w:cs="Arial"/>
          <w:sz w:val="22"/>
          <w:szCs w:val="22"/>
        </w:rPr>
        <w:t>, 57(3), pp. 441-452.</w:t>
      </w:r>
    </w:p>
    <w:p w14:paraId="5A092727" w14:textId="77777777" w:rsidR="001C06F3" w:rsidRPr="001C06F3" w:rsidRDefault="3988C252" w:rsidP="00BE61AB">
      <w:pPr>
        <w:spacing w:before="120" w:after="120" w:line="360" w:lineRule="auto"/>
        <w:rPr>
          <w:rFonts w:ascii="Arial" w:eastAsia="Arial" w:hAnsi="Arial" w:cs="Arial"/>
          <w:sz w:val="22"/>
          <w:szCs w:val="22"/>
        </w:rPr>
      </w:pPr>
      <w:r w:rsidRPr="67BAD222">
        <w:rPr>
          <w:rFonts w:ascii="Arial" w:eastAsia="Arial" w:hAnsi="Arial" w:cs="Arial"/>
          <w:sz w:val="22"/>
          <w:szCs w:val="22"/>
        </w:rPr>
        <w:t xml:space="preserve">World Health Organisation (2022) </w:t>
      </w:r>
      <w:r w:rsidRPr="67BAD222">
        <w:rPr>
          <w:rFonts w:ascii="Arial" w:eastAsia="Arial" w:hAnsi="Arial" w:cs="Arial"/>
          <w:i/>
          <w:iCs/>
          <w:sz w:val="22"/>
          <w:szCs w:val="22"/>
        </w:rPr>
        <w:t>World Mental Health Report: Transforming Mental Health for All</w:t>
      </w:r>
      <w:r w:rsidRPr="67BAD222">
        <w:rPr>
          <w:rFonts w:ascii="Arial" w:eastAsia="Arial" w:hAnsi="Arial" w:cs="Arial"/>
          <w:sz w:val="22"/>
          <w:szCs w:val="22"/>
        </w:rPr>
        <w:t>. Geneva: World Health Organisation.</w:t>
      </w:r>
    </w:p>
    <w:p w14:paraId="3F88F59A" w14:textId="0E01E91A" w:rsidR="6B0ACE94" w:rsidRPr="001C06F3" w:rsidRDefault="6B0ACE94" w:rsidP="4B3CCB66"/>
    <w:sectPr w:rsidR="6B0ACE94" w:rsidRPr="001C06F3" w:rsidSect="00BE61AB">
      <w:headerReference w:type="default" r:id="rId21"/>
      <w:footerReference w:type="default" r:id="rId22"/>
      <w:headerReference w:type="first" r:id="rId23"/>
      <w:footerReference w:type="firs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D239E" w14:textId="77777777" w:rsidR="00711541" w:rsidRDefault="00711541" w:rsidP="00D41346">
      <w:pPr>
        <w:spacing w:after="0" w:line="240" w:lineRule="auto"/>
      </w:pPr>
      <w:r>
        <w:separator/>
      </w:r>
    </w:p>
  </w:endnote>
  <w:endnote w:type="continuationSeparator" w:id="0">
    <w:p w14:paraId="42EAEBBD" w14:textId="77777777" w:rsidR="00711541" w:rsidRDefault="00711541" w:rsidP="00D41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269167"/>
      <w:docPartObj>
        <w:docPartGallery w:val="Page Numbers (Bottom of Page)"/>
        <w:docPartUnique/>
      </w:docPartObj>
    </w:sdtPr>
    <w:sdtEndPr>
      <w:rPr>
        <w:noProof/>
      </w:rPr>
    </w:sdtEndPr>
    <w:sdtContent>
      <w:p w14:paraId="25E3E925" w14:textId="341AC9FB" w:rsidR="00D41346" w:rsidRDefault="00D41346">
        <w:pPr>
          <w:pStyle w:val="Footer"/>
        </w:pPr>
        <w:r>
          <w:fldChar w:fldCharType="begin"/>
        </w:r>
        <w:r>
          <w:instrText xml:space="preserve"> PAGE   \* MERGEFORMAT </w:instrText>
        </w:r>
        <w:r>
          <w:fldChar w:fldCharType="separate"/>
        </w:r>
        <w:r>
          <w:rPr>
            <w:noProof/>
          </w:rPr>
          <w:t>2</w:t>
        </w:r>
        <w:r>
          <w:rPr>
            <w:noProof/>
          </w:rPr>
          <w:fldChar w:fldCharType="end"/>
        </w:r>
      </w:p>
    </w:sdtContent>
  </w:sdt>
  <w:p w14:paraId="707E8FF6" w14:textId="77777777" w:rsidR="00D41346" w:rsidRDefault="00D413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B3CCB66" w14:paraId="78E5EB0C" w14:textId="77777777" w:rsidTr="4B3CCB66">
      <w:trPr>
        <w:trHeight w:val="300"/>
      </w:trPr>
      <w:tc>
        <w:tcPr>
          <w:tcW w:w="3005" w:type="dxa"/>
        </w:tcPr>
        <w:p w14:paraId="7E26D219" w14:textId="3309D19D" w:rsidR="4B3CCB66" w:rsidRDefault="4B3CCB66" w:rsidP="4B3CCB66">
          <w:pPr>
            <w:pStyle w:val="Header"/>
            <w:ind w:left="-115"/>
          </w:pPr>
        </w:p>
      </w:tc>
      <w:tc>
        <w:tcPr>
          <w:tcW w:w="3005" w:type="dxa"/>
        </w:tcPr>
        <w:p w14:paraId="38B3097E" w14:textId="7BE70147" w:rsidR="4B3CCB66" w:rsidRDefault="4B3CCB66" w:rsidP="4B3CCB66">
          <w:pPr>
            <w:pStyle w:val="Header"/>
            <w:jc w:val="center"/>
          </w:pPr>
        </w:p>
      </w:tc>
      <w:tc>
        <w:tcPr>
          <w:tcW w:w="3005" w:type="dxa"/>
        </w:tcPr>
        <w:p w14:paraId="2643C8E9" w14:textId="1D4B84F7" w:rsidR="4B3CCB66" w:rsidRDefault="4B3CCB66" w:rsidP="4B3CCB66">
          <w:pPr>
            <w:pStyle w:val="Header"/>
            <w:ind w:right="-115"/>
            <w:jc w:val="right"/>
          </w:pPr>
        </w:p>
      </w:tc>
    </w:tr>
  </w:tbl>
  <w:p w14:paraId="1F4061FB" w14:textId="63981AF5" w:rsidR="4B3CCB66" w:rsidRDefault="4B3CCB66" w:rsidP="4B3CC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F82D1" w14:textId="77777777" w:rsidR="00711541" w:rsidRDefault="00711541" w:rsidP="00D41346">
      <w:pPr>
        <w:spacing w:after="0" w:line="240" w:lineRule="auto"/>
      </w:pPr>
      <w:r>
        <w:separator/>
      </w:r>
    </w:p>
  </w:footnote>
  <w:footnote w:type="continuationSeparator" w:id="0">
    <w:p w14:paraId="38341696" w14:textId="77777777" w:rsidR="00711541" w:rsidRDefault="00711541" w:rsidP="00D413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5651B" w14:textId="77777777" w:rsidR="0082608F" w:rsidRDefault="0082608F">
    <w:pPr>
      <w:pStyle w:val="Header"/>
    </w:pPr>
  </w:p>
  <w:p w14:paraId="673A2043" w14:textId="77777777" w:rsidR="0082608F" w:rsidRDefault="008260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B3CCB66" w14:paraId="40327CFD" w14:textId="77777777" w:rsidTr="4B3CCB66">
      <w:trPr>
        <w:trHeight w:val="300"/>
      </w:trPr>
      <w:tc>
        <w:tcPr>
          <w:tcW w:w="3005" w:type="dxa"/>
        </w:tcPr>
        <w:p w14:paraId="4DF25236" w14:textId="368280AF" w:rsidR="4B3CCB66" w:rsidRDefault="4B3CCB66" w:rsidP="4B3CCB66">
          <w:pPr>
            <w:pStyle w:val="Header"/>
            <w:ind w:left="-115"/>
          </w:pPr>
        </w:p>
      </w:tc>
      <w:tc>
        <w:tcPr>
          <w:tcW w:w="3005" w:type="dxa"/>
        </w:tcPr>
        <w:p w14:paraId="1B3B0EC3" w14:textId="662CAB7B" w:rsidR="4B3CCB66" w:rsidRDefault="4B3CCB66" w:rsidP="4B3CCB66">
          <w:pPr>
            <w:pStyle w:val="Header"/>
            <w:jc w:val="center"/>
          </w:pPr>
        </w:p>
      </w:tc>
      <w:tc>
        <w:tcPr>
          <w:tcW w:w="3005" w:type="dxa"/>
        </w:tcPr>
        <w:p w14:paraId="44793988" w14:textId="73A8D3A4" w:rsidR="4B3CCB66" w:rsidRDefault="4B3CCB66" w:rsidP="4B3CCB66">
          <w:pPr>
            <w:pStyle w:val="Header"/>
            <w:ind w:right="-115"/>
            <w:jc w:val="right"/>
          </w:pPr>
        </w:p>
      </w:tc>
    </w:tr>
  </w:tbl>
  <w:p w14:paraId="05A95E90" w14:textId="77D64F42" w:rsidR="4B3CCB66" w:rsidRDefault="4B3CCB66" w:rsidP="4B3CCB6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FE1C"/>
    <w:multiLevelType w:val="hybridMultilevel"/>
    <w:tmpl w:val="6B086CFA"/>
    <w:lvl w:ilvl="0" w:tplc="3ED00608">
      <w:start w:val="1"/>
      <w:numFmt w:val="bullet"/>
      <w:lvlText w:val=""/>
      <w:lvlJc w:val="left"/>
      <w:pPr>
        <w:ind w:left="720" w:hanging="360"/>
      </w:pPr>
      <w:rPr>
        <w:rFonts w:ascii="Symbol" w:hAnsi="Symbol" w:hint="default"/>
      </w:rPr>
    </w:lvl>
    <w:lvl w:ilvl="1" w:tplc="C40CABE4">
      <w:start w:val="1"/>
      <w:numFmt w:val="bullet"/>
      <w:lvlText w:val="o"/>
      <w:lvlJc w:val="left"/>
      <w:pPr>
        <w:ind w:left="1440" w:hanging="360"/>
      </w:pPr>
      <w:rPr>
        <w:rFonts w:ascii="Courier New" w:hAnsi="Courier New" w:hint="default"/>
      </w:rPr>
    </w:lvl>
    <w:lvl w:ilvl="2" w:tplc="FB4C1E64">
      <w:start w:val="1"/>
      <w:numFmt w:val="bullet"/>
      <w:lvlText w:val=""/>
      <w:lvlJc w:val="left"/>
      <w:pPr>
        <w:ind w:left="2160" w:hanging="360"/>
      </w:pPr>
      <w:rPr>
        <w:rFonts w:ascii="Wingdings" w:hAnsi="Wingdings" w:hint="default"/>
      </w:rPr>
    </w:lvl>
    <w:lvl w:ilvl="3" w:tplc="5B0C4152">
      <w:start w:val="1"/>
      <w:numFmt w:val="bullet"/>
      <w:lvlText w:val=""/>
      <w:lvlJc w:val="left"/>
      <w:pPr>
        <w:ind w:left="2880" w:hanging="360"/>
      </w:pPr>
      <w:rPr>
        <w:rFonts w:ascii="Symbol" w:hAnsi="Symbol" w:hint="default"/>
      </w:rPr>
    </w:lvl>
    <w:lvl w:ilvl="4" w:tplc="679EA39C">
      <w:start w:val="1"/>
      <w:numFmt w:val="bullet"/>
      <w:lvlText w:val="o"/>
      <w:lvlJc w:val="left"/>
      <w:pPr>
        <w:ind w:left="3600" w:hanging="360"/>
      </w:pPr>
      <w:rPr>
        <w:rFonts w:ascii="Courier New" w:hAnsi="Courier New" w:hint="default"/>
      </w:rPr>
    </w:lvl>
    <w:lvl w:ilvl="5" w:tplc="31BC68A4">
      <w:start w:val="1"/>
      <w:numFmt w:val="bullet"/>
      <w:lvlText w:val=""/>
      <w:lvlJc w:val="left"/>
      <w:pPr>
        <w:ind w:left="4320" w:hanging="360"/>
      </w:pPr>
      <w:rPr>
        <w:rFonts w:ascii="Wingdings" w:hAnsi="Wingdings" w:hint="default"/>
      </w:rPr>
    </w:lvl>
    <w:lvl w:ilvl="6" w:tplc="C88896AC">
      <w:start w:val="1"/>
      <w:numFmt w:val="bullet"/>
      <w:lvlText w:val=""/>
      <w:lvlJc w:val="left"/>
      <w:pPr>
        <w:ind w:left="5040" w:hanging="360"/>
      </w:pPr>
      <w:rPr>
        <w:rFonts w:ascii="Symbol" w:hAnsi="Symbol" w:hint="default"/>
      </w:rPr>
    </w:lvl>
    <w:lvl w:ilvl="7" w:tplc="AF6EAE1A">
      <w:start w:val="1"/>
      <w:numFmt w:val="bullet"/>
      <w:lvlText w:val="o"/>
      <w:lvlJc w:val="left"/>
      <w:pPr>
        <w:ind w:left="5760" w:hanging="360"/>
      </w:pPr>
      <w:rPr>
        <w:rFonts w:ascii="Courier New" w:hAnsi="Courier New" w:hint="default"/>
      </w:rPr>
    </w:lvl>
    <w:lvl w:ilvl="8" w:tplc="CDA26460">
      <w:start w:val="1"/>
      <w:numFmt w:val="bullet"/>
      <w:lvlText w:val=""/>
      <w:lvlJc w:val="left"/>
      <w:pPr>
        <w:ind w:left="6480" w:hanging="360"/>
      </w:pPr>
      <w:rPr>
        <w:rFonts w:ascii="Wingdings" w:hAnsi="Wingdings" w:hint="default"/>
      </w:rPr>
    </w:lvl>
  </w:abstractNum>
  <w:abstractNum w:abstractNumId="1" w15:restartNumberingAfterBreak="0">
    <w:nsid w:val="0B3E47DE"/>
    <w:multiLevelType w:val="hybridMultilevel"/>
    <w:tmpl w:val="8FECDB00"/>
    <w:lvl w:ilvl="0" w:tplc="1A3CD01A">
      <w:start w:val="1"/>
      <w:numFmt w:val="decimal"/>
      <w:lvlText w:val="%1."/>
      <w:lvlJc w:val="left"/>
      <w:pPr>
        <w:ind w:left="720" w:hanging="360"/>
      </w:pPr>
    </w:lvl>
    <w:lvl w:ilvl="1" w:tplc="0152F83E">
      <w:start w:val="1"/>
      <w:numFmt w:val="lowerLetter"/>
      <w:lvlText w:val="%2."/>
      <w:lvlJc w:val="left"/>
      <w:pPr>
        <w:ind w:left="1440" w:hanging="360"/>
      </w:pPr>
    </w:lvl>
    <w:lvl w:ilvl="2" w:tplc="058E849A">
      <w:start w:val="1"/>
      <w:numFmt w:val="lowerRoman"/>
      <w:lvlText w:val="%3."/>
      <w:lvlJc w:val="right"/>
      <w:pPr>
        <w:ind w:left="2160" w:hanging="180"/>
      </w:pPr>
    </w:lvl>
    <w:lvl w:ilvl="3" w:tplc="78EA2798">
      <w:start w:val="1"/>
      <w:numFmt w:val="decimal"/>
      <w:lvlText w:val="%4."/>
      <w:lvlJc w:val="left"/>
      <w:pPr>
        <w:ind w:left="2880" w:hanging="360"/>
      </w:pPr>
    </w:lvl>
    <w:lvl w:ilvl="4" w:tplc="7A96572E">
      <w:start w:val="1"/>
      <w:numFmt w:val="lowerLetter"/>
      <w:lvlText w:val="%5."/>
      <w:lvlJc w:val="left"/>
      <w:pPr>
        <w:ind w:left="3600" w:hanging="360"/>
      </w:pPr>
    </w:lvl>
    <w:lvl w:ilvl="5" w:tplc="141E46E0">
      <w:start w:val="1"/>
      <w:numFmt w:val="lowerRoman"/>
      <w:lvlText w:val="%6."/>
      <w:lvlJc w:val="right"/>
      <w:pPr>
        <w:ind w:left="4320" w:hanging="180"/>
      </w:pPr>
    </w:lvl>
    <w:lvl w:ilvl="6" w:tplc="51FA5D14">
      <w:start w:val="1"/>
      <w:numFmt w:val="decimal"/>
      <w:lvlText w:val="%7."/>
      <w:lvlJc w:val="left"/>
      <w:pPr>
        <w:ind w:left="5040" w:hanging="360"/>
      </w:pPr>
    </w:lvl>
    <w:lvl w:ilvl="7" w:tplc="1EAE5DBC">
      <w:start w:val="1"/>
      <w:numFmt w:val="lowerLetter"/>
      <w:lvlText w:val="%8."/>
      <w:lvlJc w:val="left"/>
      <w:pPr>
        <w:ind w:left="5760" w:hanging="360"/>
      </w:pPr>
    </w:lvl>
    <w:lvl w:ilvl="8" w:tplc="931AF8BE">
      <w:start w:val="1"/>
      <w:numFmt w:val="lowerRoman"/>
      <w:lvlText w:val="%9."/>
      <w:lvlJc w:val="right"/>
      <w:pPr>
        <w:ind w:left="6480" w:hanging="180"/>
      </w:pPr>
    </w:lvl>
  </w:abstractNum>
  <w:abstractNum w:abstractNumId="2" w15:restartNumberingAfterBreak="0">
    <w:nsid w:val="0BC76B49"/>
    <w:multiLevelType w:val="hybridMultilevel"/>
    <w:tmpl w:val="014AF4DE"/>
    <w:lvl w:ilvl="0" w:tplc="77AECCF8">
      <w:start w:val="1"/>
      <w:numFmt w:val="decimal"/>
      <w:lvlText w:val="%1."/>
      <w:lvlJc w:val="left"/>
      <w:pPr>
        <w:ind w:left="720" w:hanging="360"/>
      </w:pPr>
    </w:lvl>
    <w:lvl w:ilvl="1" w:tplc="FA4A9392">
      <w:start w:val="1"/>
      <w:numFmt w:val="lowerLetter"/>
      <w:lvlText w:val="%2."/>
      <w:lvlJc w:val="left"/>
      <w:pPr>
        <w:ind w:left="1440" w:hanging="360"/>
      </w:pPr>
    </w:lvl>
    <w:lvl w:ilvl="2" w:tplc="F51A7574">
      <w:start w:val="1"/>
      <w:numFmt w:val="lowerRoman"/>
      <w:lvlText w:val="%3."/>
      <w:lvlJc w:val="right"/>
      <w:pPr>
        <w:ind w:left="2160" w:hanging="180"/>
      </w:pPr>
    </w:lvl>
    <w:lvl w:ilvl="3" w:tplc="49BC3980">
      <w:start w:val="1"/>
      <w:numFmt w:val="decimal"/>
      <w:lvlText w:val="%4."/>
      <w:lvlJc w:val="left"/>
      <w:pPr>
        <w:ind w:left="2880" w:hanging="360"/>
      </w:pPr>
    </w:lvl>
    <w:lvl w:ilvl="4" w:tplc="6750C4E4">
      <w:start w:val="1"/>
      <w:numFmt w:val="lowerLetter"/>
      <w:lvlText w:val="%5."/>
      <w:lvlJc w:val="left"/>
      <w:pPr>
        <w:ind w:left="3600" w:hanging="360"/>
      </w:pPr>
    </w:lvl>
    <w:lvl w:ilvl="5" w:tplc="09401AF8">
      <w:start w:val="1"/>
      <w:numFmt w:val="lowerRoman"/>
      <w:lvlText w:val="%6."/>
      <w:lvlJc w:val="right"/>
      <w:pPr>
        <w:ind w:left="4320" w:hanging="180"/>
      </w:pPr>
    </w:lvl>
    <w:lvl w:ilvl="6" w:tplc="24A40C80">
      <w:start w:val="1"/>
      <w:numFmt w:val="decimal"/>
      <w:lvlText w:val="%7."/>
      <w:lvlJc w:val="left"/>
      <w:pPr>
        <w:ind w:left="5040" w:hanging="360"/>
      </w:pPr>
    </w:lvl>
    <w:lvl w:ilvl="7" w:tplc="043007D8">
      <w:start w:val="1"/>
      <w:numFmt w:val="lowerLetter"/>
      <w:lvlText w:val="%8."/>
      <w:lvlJc w:val="left"/>
      <w:pPr>
        <w:ind w:left="5760" w:hanging="360"/>
      </w:pPr>
    </w:lvl>
    <w:lvl w:ilvl="8" w:tplc="48485E28">
      <w:start w:val="1"/>
      <w:numFmt w:val="lowerRoman"/>
      <w:lvlText w:val="%9."/>
      <w:lvlJc w:val="right"/>
      <w:pPr>
        <w:ind w:left="6480" w:hanging="180"/>
      </w:pPr>
    </w:lvl>
  </w:abstractNum>
  <w:abstractNum w:abstractNumId="3" w15:restartNumberingAfterBreak="0">
    <w:nsid w:val="16E0D447"/>
    <w:multiLevelType w:val="hybridMultilevel"/>
    <w:tmpl w:val="B96C10E8"/>
    <w:lvl w:ilvl="0" w:tplc="06869B9C">
      <w:start w:val="1"/>
      <w:numFmt w:val="bullet"/>
      <w:lvlText w:val=""/>
      <w:lvlJc w:val="left"/>
      <w:pPr>
        <w:ind w:left="720" w:hanging="360"/>
      </w:pPr>
      <w:rPr>
        <w:rFonts w:ascii="Symbol" w:hAnsi="Symbol" w:hint="default"/>
      </w:rPr>
    </w:lvl>
    <w:lvl w:ilvl="1" w:tplc="2850082E">
      <w:start w:val="1"/>
      <w:numFmt w:val="bullet"/>
      <w:lvlText w:val="o"/>
      <w:lvlJc w:val="left"/>
      <w:pPr>
        <w:ind w:left="1440" w:hanging="360"/>
      </w:pPr>
      <w:rPr>
        <w:rFonts w:ascii="Courier New" w:hAnsi="Courier New" w:hint="default"/>
      </w:rPr>
    </w:lvl>
    <w:lvl w:ilvl="2" w:tplc="0FB6FF64">
      <w:start w:val="1"/>
      <w:numFmt w:val="bullet"/>
      <w:lvlText w:val=""/>
      <w:lvlJc w:val="left"/>
      <w:pPr>
        <w:ind w:left="2160" w:hanging="360"/>
      </w:pPr>
      <w:rPr>
        <w:rFonts w:ascii="Wingdings" w:hAnsi="Wingdings" w:hint="default"/>
      </w:rPr>
    </w:lvl>
    <w:lvl w:ilvl="3" w:tplc="22963614">
      <w:start w:val="1"/>
      <w:numFmt w:val="bullet"/>
      <w:lvlText w:val=""/>
      <w:lvlJc w:val="left"/>
      <w:pPr>
        <w:ind w:left="2880" w:hanging="360"/>
      </w:pPr>
      <w:rPr>
        <w:rFonts w:ascii="Symbol" w:hAnsi="Symbol" w:hint="default"/>
      </w:rPr>
    </w:lvl>
    <w:lvl w:ilvl="4" w:tplc="13143298">
      <w:start w:val="1"/>
      <w:numFmt w:val="bullet"/>
      <w:lvlText w:val="o"/>
      <w:lvlJc w:val="left"/>
      <w:pPr>
        <w:ind w:left="3600" w:hanging="360"/>
      </w:pPr>
      <w:rPr>
        <w:rFonts w:ascii="Courier New" w:hAnsi="Courier New" w:hint="default"/>
      </w:rPr>
    </w:lvl>
    <w:lvl w:ilvl="5" w:tplc="3A32EB34">
      <w:start w:val="1"/>
      <w:numFmt w:val="bullet"/>
      <w:lvlText w:val=""/>
      <w:lvlJc w:val="left"/>
      <w:pPr>
        <w:ind w:left="4320" w:hanging="360"/>
      </w:pPr>
      <w:rPr>
        <w:rFonts w:ascii="Wingdings" w:hAnsi="Wingdings" w:hint="default"/>
      </w:rPr>
    </w:lvl>
    <w:lvl w:ilvl="6" w:tplc="B860ED26">
      <w:start w:val="1"/>
      <w:numFmt w:val="bullet"/>
      <w:lvlText w:val=""/>
      <w:lvlJc w:val="left"/>
      <w:pPr>
        <w:ind w:left="5040" w:hanging="360"/>
      </w:pPr>
      <w:rPr>
        <w:rFonts w:ascii="Symbol" w:hAnsi="Symbol" w:hint="default"/>
      </w:rPr>
    </w:lvl>
    <w:lvl w:ilvl="7" w:tplc="87EE1A0A">
      <w:start w:val="1"/>
      <w:numFmt w:val="bullet"/>
      <w:lvlText w:val="o"/>
      <w:lvlJc w:val="left"/>
      <w:pPr>
        <w:ind w:left="5760" w:hanging="360"/>
      </w:pPr>
      <w:rPr>
        <w:rFonts w:ascii="Courier New" w:hAnsi="Courier New" w:hint="default"/>
      </w:rPr>
    </w:lvl>
    <w:lvl w:ilvl="8" w:tplc="6652C818">
      <w:start w:val="1"/>
      <w:numFmt w:val="bullet"/>
      <w:lvlText w:val=""/>
      <w:lvlJc w:val="left"/>
      <w:pPr>
        <w:ind w:left="6480" w:hanging="360"/>
      </w:pPr>
      <w:rPr>
        <w:rFonts w:ascii="Wingdings" w:hAnsi="Wingdings" w:hint="default"/>
      </w:rPr>
    </w:lvl>
  </w:abstractNum>
  <w:abstractNum w:abstractNumId="4" w15:restartNumberingAfterBreak="0">
    <w:nsid w:val="33312145"/>
    <w:multiLevelType w:val="multilevel"/>
    <w:tmpl w:val="01128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68803E"/>
    <w:multiLevelType w:val="hybridMultilevel"/>
    <w:tmpl w:val="5D38B59A"/>
    <w:lvl w:ilvl="0" w:tplc="7A1A9792">
      <w:start w:val="1"/>
      <w:numFmt w:val="bullet"/>
      <w:lvlText w:val=""/>
      <w:lvlJc w:val="left"/>
      <w:pPr>
        <w:ind w:left="720" w:hanging="360"/>
      </w:pPr>
      <w:rPr>
        <w:rFonts w:ascii="Symbol" w:hAnsi="Symbol" w:hint="default"/>
      </w:rPr>
    </w:lvl>
    <w:lvl w:ilvl="1" w:tplc="537E8EF6">
      <w:start w:val="1"/>
      <w:numFmt w:val="bullet"/>
      <w:lvlText w:val="o"/>
      <w:lvlJc w:val="left"/>
      <w:pPr>
        <w:ind w:left="1440" w:hanging="360"/>
      </w:pPr>
      <w:rPr>
        <w:rFonts w:ascii="Courier New" w:hAnsi="Courier New" w:hint="default"/>
      </w:rPr>
    </w:lvl>
    <w:lvl w:ilvl="2" w:tplc="210AC588">
      <w:start w:val="1"/>
      <w:numFmt w:val="bullet"/>
      <w:lvlText w:val=""/>
      <w:lvlJc w:val="left"/>
      <w:pPr>
        <w:ind w:left="2160" w:hanging="360"/>
      </w:pPr>
      <w:rPr>
        <w:rFonts w:ascii="Wingdings" w:hAnsi="Wingdings" w:hint="default"/>
      </w:rPr>
    </w:lvl>
    <w:lvl w:ilvl="3" w:tplc="71E6DE7C">
      <w:start w:val="1"/>
      <w:numFmt w:val="bullet"/>
      <w:lvlText w:val=""/>
      <w:lvlJc w:val="left"/>
      <w:pPr>
        <w:ind w:left="2880" w:hanging="360"/>
      </w:pPr>
      <w:rPr>
        <w:rFonts w:ascii="Symbol" w:hAnsi="Symbol" w:hint="default"/>
      </w:rPr>
    </w:lvl>
    <w:lvl w:ilvl="4" w:tplc="F22ACEC8">
      <w:start w:val="1"/>
      <w:numFmt w:val="bullet"/>
      <w:lvlText w:val="o"/>
      <w:lvlJc w:val="left"/>
      <w:pPr>
        <w:ind w:left="3600" w:hanging="360"/>
      </w:pPr>
      <w:rPr>
        <w:rFonts w:ascii="Courier New" w:hAnsi="Courier New" w:hint="default"/>
      </w:rPr>
    </w:lvl>
    <w:lvl w:ilvl="5" w:tplc="4AF869E0">
      <w:start w:val="1"/>
      <w:numFmt w:val="bullet"/>
      <w:lvlText w:val=""/>
      <w:lvlJc w:val="left"/>
      <w:pPr>
        <w:ind w:left="4320" w:hanging="360"/>
      </w:pPr>
      <w:rPr>
        <w:rFonts w:ascii="Wingdings" w:hAnsi="Wingdings" w:hint="default"/>
      </w:rPr>
    </w:lvl>
    <w:lvl w:ilvl="6" w:tplc="488EE5D6">
      <w:start w:val="1"/>
      <w:numFmt w:val="bullet"/>
      <w:lvlText w:val=""/>
      <w:lvlJc w:val="left"/>
      <w:pPr>
        <w:ind w:left="5040" w:hanging="360"/>
      </w:pPr>
      <w:rPr>
        <w:rFonts w:ascii="Symbol" w:hAnsi="Symbol" w:hint="default"/>
      </w:rPr>
    </w:lvl>
    <w:lvl w:ilvl="7" w:tplc="DF8EF608">
      <w:start w:val="1"/>
      <w:numFmt w:val="bullet"/>
      <w:lvlText w:val="o"/>
      <w:lvlJc w:val="left"/>
      <w:pPr>
        <w:ind w:left="5760" w:hanging="360"/>
      </w:pPr>
      <w:rPr>
        <w:rFonts w:ascii="Courier New" w:hAnsi="Courier New" w:hint="default"/>
      </w:rPr>
    </w:lvl>
    <w:lvl w:ilvl="8" w:tplc="52169B7A">
      <w:start w:val="1"/>
      <w:numFmt w:val="bullet"/>
      <w:lvlText w:val=""/>
      <w:lvlJc w:val="left"/>
      <w:pPr>
        <w:ind w:left="6480" w:hanging="360"/>
      </w:pPr>
      <w:rPr>
        <w:rFonts w:ascii="Wingdings" w:hAnsi="Wingdings" w:hint="default"/>
      </w:rPr>
    </w:lvl>
  </w:abstractNum>
  <w:abstractNum w:abstractNumId="6" w15:restartNumberingAfterBreak="0">
    <w:nsid w:val="53B56493"/>
    <w:multiLevelType w:val="hybridMultilevel"/>
    <w:tmpl w:val="3E665838"/>
    <w:lvl w:ilvl="0" w:tplc="AD90DAB0">
      <w:start w:val="1"/>
      <w:numFmt w:val="bullet"/>
      <w:lvlText w:val=""/>
      <w:lvlJc w:val="left"/>
      <w:pPr>
        <w:ind w:left="720" w:hanging="360"/>
      </w:pPr>
      <w:rPr>
        <w:rFonts w:ascii="Symbol" w:hAnsi="Symbol" w:hint="default"/>
      </w:rPr>
    </w:lvl>
    <w:lvl w:ilvl="1" w:tplc="401261DA">
      <w:start w:val="1"/>
      <w:numFmt w:val="bullet"/>
      <w:lvlText w:val="o"/>
      <w:lvlJc w:val="left"/>
      <w:pPr>
        <w:ind w:left="1440" w:hanging="360"/>
      </w:pPr>
      <w:rPr>
        <w:rFonts w:ascii="Courier New" w:hAnsi="Courier New" w:hint="default"/>
      </w:rPr>
    </w:lvl>
    <w:lvl w:ilvl="2" w:tplc="6BAE945A">
      <w:start w:val="1"/>
      <w:numFmt w:val="bullet"/>
      <w:lvlText w:val=""/>
      <w:lvlJc w:val="left"/>
      <w:pPr>
        <w:ind w:left="2160" w:hanging="360"/>
      </w:pPr>
      <w:rPr>
        <w:rFonts w:ascii="Wingdings" w:hAnsi="Wingdings" w:hint="default"/>
      </w:rPr>
    </w:lvl>
    <w:lvl w:ilvl="3" w:tplc="B5FE5FC0">
      <w:start w:val="1"/>
      <w:numFmt w:val="bullet"/>
      <w:lvlText w:val=""/>
      <w:lvlJc w:val="left"/>
      <w:pPr>
        <w:ind w:left="2880" w:hanging="360"/>
      </w:pPr>
      <w:rPr>
        <w:rFonts w:ascii="Symbol" w:hAnsi="Symbol" w:hint="default"/>
      </w:rPr>
    </w:lvl>
    <w:lvl w:ilvl="4" w:tplc="9F5ABC94">
      <w:start w:val="1"/>
      <w:numFmt w:val="bullet"/>
      <w:lvlText w:val="o"/>
      <w:lvlJc w:val="left"/>
      <w:pPr>
        <w:ind w:left="3600" w:hanging="360"/>
      </w:pPr>
      <w:rPr>
        <w:rFonts w:ascii="Courier New" w:hAnsi="Courier New" w:hint="default"/>
      </w:rPr>
    </w:lvl>
    <w:lvl w:ilvl="5" w:tplc="FCF61B0E">
      <w:start w:val="1"/>
      <w:numFmt w:val="bullet"/>
      <w:lvlText w:val=""/>
      <w:lvlJc w:val="left"/>
      <w:pPr>
        <w:ind w:left="4320" w:hanging="360"/>
      </w:pPr>
      <w:rPr>
        <w:rFonts w:ascii="Wingdings" w:hAnsi="Wingdings" w:hint="default"/>
      </w:rPr>
    </w:lvl>
    <w:lvl w:ilvl="6" w:tplc="4B22E076">
      <w:start w:val="1"/>
      <w:numFmt w:val="bullet"/>
      <w:lvlText w:val=""/>
      <w:lvlJc w:val="left"/>
      <w:pPr>
        <w:ind w:left="5040" w:hanging="360"/>
      </w:pPr>
      <w:rPr>
        <w:rFonts w:ascii="Symbol" w:hAnsi="Symbol" w:hint="default"/>
      </w:rPr>
    </w:lvl>
    <w:lvl w:ilvl="7" w:tplc="BF48C5EA">
      <w:start w:val="1"/>
      <w:numFmt w:val="bullet"/>
      <w:lvlText w:val="o"/>
      <w:lvlJc w:val="left"/>
      <w:pPr>
        <w:ind w:left="5760" w:hanging="360"/>
      </w:pPr>
      <w:rPr>
        <w:rFonts w:ascii="Courier New" w:hAnsi="Courier New" w:hint="default"/>
      </w:rPr>
    </w:lvl>
    <w:lvl w:ilvl="8" w:tplc="483226E0">
      <w:start w:val="1"/>
      <w:numFmt w:val="bullet"/>
      <w:lvlText w:val=""/>
      <w:lvlJc w:val="left"/>
      <w:pPr>
        <w:ind w:left="6480" w:hanging="360"/>
      </w:pPr>
      <w:rPr>
        <w:rFonts w:ascii="Wingdings" w:hAnsi="Wingdings" w:hint="default"/>
      </w:rPr>
    </w:lvl>
  </w:abstractNum>
  <w:abstractNum w:abstractNumId="7" w15:restartNumberingAfterBreak="0">
    <w:nsid w:val="5A8F3616"/>
    <w:multiLevelType w:val="hybridMultilevel"/>
    <w:tmpl w:val="8254776C"/>
    <w:lvl w:ilvl="0" w:tplc="F60CE00E">
      <w:start w:val="1"/>
      <w:numFmt w:val="bullet"/>
      <w:lvlText w:val=""/>
      <w:lvlJc w:val="left"/>
      <w:pPr>
        <w:ind w:left="720" w:hanging="360"/>
      </w:pPr>
      <w:rPr>
        <w:rFonts w:ascii="Symbol" w:hAnsi="Symbol" w:hint="default"/>
      </w:rPr>
    </w:lvl>
    <w:lvl w:ilvl="1" w:tplc="29C6DC1A">
      <w:start w:val="1"/>
      <w:numFmt w:val="bullet"/>
      <w:lvlText w:val="o"/>
      <w:lvlJc w:val="left"/>
      <w:pPr>
        <w:ind w:left="1440" w:hanging="360"/>
      </w:pPr>
      <w:rPr>
        <w:rFonts w:ascii="Courier New" w:hAnsi="Courier New" w:hint="default"/>
      </w:rPr>
    </w:lvl>
    <w:lvl w:ilvl="2" w:tplc="57D62002">
      <w:start w:val="1"/>
      <w:numFmt w:val="bullet"/>
      <w:lvlText w:val=""/>
      <w:lvlJc w:val="left"/>
      <w:pPr>
        <w:ind w:left="2160" w:hanging="360"/>
      </w:pPr>
      <w:rPr>
        <w:rFonts w:ascii="Wingdings" w:hAnsi="Wingdings" w:hint="default"/>
      </w:rPr>
    </w:lvl>
    <w:lvl w:ilvl="3" w:tplc="60DC5312">
      <w:start w:val="1"/>
      <w:numFmt w:val="bullet"/>
      <w:lvlText w:val=""/>
      <w:lvlJc w:val="left"/>
      <w:pPr>
        <w:ind w:left="2880" w:hanging="360"/>
      </w:pPr>
      <w:rPr>
        <w:rFonts w:ascii="Symbol" w:hAnsi="Symbol" w:hint="default"/>
      </w:rPr>
    </w:lvl>
    <w:lvl w:ilvl="4" w:tplc="4B9C2F50">
      <w:start w:val="1"/>
      <w:numFmt w:val="bullet"/>
      <w:lvlText w:val="o"/>
      <w:lvlJc w:val="left"/>
      <w:pPr>
        <w:ind w:left="3600" w:hanging="360"/>
      </w:pPr>
      <w:rPr>
        <w:rFonts w:ascii="Courier New" w:hAnsi="Courier New" w:hint="default"/>
      </w:rPr>
    </w:lvl>
    <w:lvl w:ilvl="5" w:tplc="7E70FB9A">
      <w:start w:val="1"/>
      <w:numFmt w:val="bullet"/>
      <w:lvlText w:val=""/>
      <w:lvlJc w:val="left"/>
      <w:pPr>
        <w:ind w:left="4320" w:hanging="360"/>
      </w:pPr>
      <w:rPr>
        <w:rFonts w:ascii="Wingdings" w:hAnsi="Wingdings" w:hint="default"/>
      </w:rPr>
    </w:lvl>
    <w:lvl w:ilvl="6" w:tplc="F86C1030">
      <w:start w:val="1"/>
      <w:numFmt w:val="bullet"/>
      <w:lvlText w:val=""/>
      <w:lvlJc w:val="left"/>
      <w:pPr>
        <w:ind w:left="5040" w:hanging="360"/>
      </w:pPr>
      <w:rPr>
        <w:rFonts w:ascii="Symbol" w:hAnsi="Symbol" w:hint="default"/>
      </w:rPr>
    </w:lvl>
    <w:lvl w:ilvl="7" w:tplc="889AEC02">
      <w:start w:val="1"/>
      <w:numFmt w:val="bullet"/>
      <w:lvlText w:val="o"/>
      <w:lvlJc w:val="left"/>
      <w:pPr>
        <w:ind w:left="5760" w:hanging="360"/>
      </w:pPr>
      <w:rPr>
        <w:rFonts w:ascii="Courier New" w:hAnsi="Courier New" w:hint="default"/>
      </w:rPr>
    </w:lvl>
    <w:lvl w:ilvl="8" w:tplc="A8D09EEE">
      <w:start w:val="1"/>
      <w:numFmt w:val="bullet"/>
      <w:lvlText w:val=""/>
      <w:lvlJc w:val="left"/>
      <w:pPr>
        <w:ind w:left="6480" w:hanging="360"/>
      </w:pPr>
      <w:rPr>
        <w:rFonts w:ascii="Wingdings" w:hAnsi="Wingdings" w:hint="default"/>
      </w:rPr>
    </w:lvl>
  </w:abstractNum>
  <w:abstractNum w:abstractNumId="8" w15:restartNumberingAfterBreak="0">
    <w:nsid w:val="646945A9"/>
    <w:multiLevelType w:val="hybridMultilevel"/>
    <w:tmpl w:val="427CE5D2"/>
    <w:lvl w:ilvl="0" w:tplc="4A645EB8">
      <w:start w:val="1"/>
      <w:numFmt w:val="bullet"/>
      <w:lvlText w:val=""/>
      <w:lvlJc w:val="left"/>
      <w:pPr>
        <w:ind w:left="720" w:hanging="360"/>
      </w:pPr>
      <w:rPr>
        <w:rFonts w:ascii="Symbol" w:hAnsi="Symbol" w:hint="default"/>
      </w:rPr>
    </w:lvl>
    <w:lvl w:ilvl="1" w:tplc="256CF4DA">
      <w:start w:val="1"/>
      <w:numFmt w:val="bullet"/>
      <w:lvlText w:val="o"/>
      <w:lvlJc w:val="left"/>
      <w:pPr>
        <w:ind w:left="1440" w:hanging="360"/>
      </w:pPr>
      <w:rPr>
        <w:rFonts w:ascii="Courier New" w:hAnsi="Courier New" w:hint="default"/>
      </w:rPr>
    </w:lvl>
    <w:lvl w:ilvl="2" w:tplc="06A40836">
      <w:start w:val="1"/>
      <w:numFmt w:val="bullet"/>
      <w:lvlText w:val=""/>
      <w:lvlJc w:val="left"/>
      <w:pPr>
        <w:ind w:left="2160" w:hanging="360"/>
      </w:pPr>
      <w:rPr>
        <w:rFonts w:ascii="Wingdings" w:hAnsi="Wingdings" w:hint="default"/>
      </w:rPr>
    </w:lvl>
    <w:lvl w:ilvl="3" w:tplc="5EF41180">
      <w:start w:val="1"/>
      <w:numFmt w:val="bullet"/>
      <w:lvlText w:val=""/>
      <w:lvlJc w:val="left"/>
      <w:pPr>
        <w:ind w:left="2880" w:hanging="360"/>
      </w:pPr>
      <w:rPr>
        <w:rFonts w:ascii="Symbol" w:hAnsi="Symbol" w:hint="default"/>
      </w:rPr>
    </w:lvl>
    <w:lvl w:ilvl="4" w:tplc="C71AE296">
      <w:start w:val="1"/>
      <w:numFmt w:val="bullet"/>
      <w:lvlText w:val="o"/>
      <w:lvlJc w:val="left"/>
      <w:pPr>
        <w:ind w:left="3600" w:hanging="360"/>
      </w:pPr>
      <w:rPr>
        <w:rFonts w:ascii="Courier New" w:hAnsi="Courier New" w:hint="default"/>
      </w:rPr>
    </w:lvl>
    <w:lvl w:ilvl="5" w:tplc="48B81448">
      <w:start w:val="1"/>
      <w:numFmt w:val="bullet"/>
      <w:lvlText w:val=""/>
      <w:lvlJc w:val="left"/>
      <w:pPr>
        <w:ind w:left="4320" w:hanging="360"/>
      </w:pPr>
      <w:rPr>
        <w:rFonts w:ascii="Wingdings" w:hAnsi="Wingdings" w:hint="default"/>
      </w:rPr>
    </w:lvl>
    <w:lvl w:ilvl="6" w:tplc="68B44D1E">
      <w:start w:val="1"/>
      <w:numFmt w:val="bullet"/>
      <w:lvlText w:val=""/>
      <w:lvlJc w:val="left"/>
      <w:pPr>
        <w:ind w:left="5040" w:hanging="360"/>
      </w:pPr>
      <w:rPr>
        <w:rFonts w:ascii="Symbol" w:hAnsi="Symbol" w:hint="default"/>
      </w:rPr>
    </w:lvl>
    <w:lvl w:ilvl="7" w:tplc="D7B0255E">
      <w:start w:val="1"/>
      <w:numFmt w:val="bullet"/>
      <w:lvlText w:val="o"/>
      <w:lvlJc w:val="left"/>
      <w:pPr>
        <w:ind w:left="5760" w:hanging="360"/>
      </w:pPr>
      <w:rPr>
        <w:rFonts w:ascii="Courier New" w:hAnsi="Courier New" w:hint="default"/>
      </w:rPr>
    </w:lvl>
    <w:lvl w:ilvl="8" w:tplc="E0885756">
      <w:start w:val="1"/>
      <w:numFmt w:val="bullet"/>
      <w:lvlText w:val=""/>
      <w:lvlJc w:val="left"/>
      <w:pPr>
        <w:ind w:left="6480" w:hanging="360"/>
      </w:pPr>
      <w:rPr>
        <w:rFonts w:ascii="Wingdings" w:hAnsi="Wingdings" w:hint="default"/>
      </w:rPr>
    </w:lvl>
  </w:abstractNum>
  <w:abstractNum w:abstractNumId="9" w15:restartNumberingAfterBreak="0">
    <w:nsid w:val="7084B965"/>
    <w:multiLevelType w:val="hybridMultilevel"/>
    <w:tmpl w:val="7C2C39D0"/>
    <w:lvl w:ilvl="0" w:tplc="50ECFE7A">
      <w:start w:val="1"/>
      <w:numFmt w:val="bullet"/>
      <w:lvlText w:val=""/>
      <w:lvlJc w:val="left"/>
      <w:pPr>
        <w:ind w:left="720" w:hanging="360"/>
      </w:pPr>
      <w:rPr>
        <w:rFonts w:ascii="Symbol" w:hAnsi="Symbol" w:hint="default"/>
      </w:rPr>
    </w:lvl>
    <w:lvl w:ilvl="1" w:tplc="5A26C008">
      <w:start w:val="1"/>
      <w:numFmt w:val="bullet"/>
      <w:lvlText w:val="o"/>
      <w:lvlJc w:val="left"/>
      <w:pPr>
        <w:ind w:left="1440" w:hanging="360"/>
      </w:pPr>
      <w:rPr>
        <w:rFonts w:ascii="Courier New" w:hAnsi="Courier New" w:hint="default"/>
      </w:rPr>
    </w:lvl>
    <w:lvl w:ilvl="2" w:tplc="70586E5C">
      <w:start w:val="1"/>
      <w:numFmt w:val="bullet"/>
      <w:lvlText w:val=""/>
      <w:lvlJc w:val="left"/>
      <w:pPr>
        <w:ind w:left="2160" w:hanging="360"/>
      </w:pPr>
      <w:rPr>
        <w:rFonts w:ascii="Wingdings" w:hAnsi="Wingdings" w:hint="default"/>
      </w:rPr>
    </w:lvl>
    <w:lvl w:ilvl="3" w:tplc="50B2331C">
      <w:start w:val="1"/>
      <w:numFmt w:val="bullet"/>
      <w:lvlText w:val=""/>
      <w:lvlJc w:val="left"/>
      <w:pPr>
        <w:ind w:left="2880" w:hanging="360"/>
      </w:pPr>
      <w:rPr>
        <w:rFonts w:ascii="Symbol" w:hAnsi="Symbol" w:hint="default"/>
      </w:rPr>
    </w:lvl>
    <w:lvl w:ilvl="4" w:tplc="496ADA06">
      <w:start w:val="1"/>
      <w:numFmt w:val="bullet"/>
      <w:lvlText w:val="o"/>
      <w:lvlJc w:val="left"/>
      <w:pPr>
        <w:ind w:left="3600" w:hanging="360"/>
      </w:pPr>
      <w:rPr>
        <w:rFonts w:ascii="Courier New" w:hAnsi="Courier New" w:hint="default"/>
      </w:rPr>
    </w:lvl>
    <w:lvl w:ilvl="5" w:tplc="DBCCCEB2">
      <w:start w:val="1"/>
      <w:numFmt w:val="bullet"/>
      <w:lvlText w:val=""/>
      <w:lvlJc w:val="left"/>
      <w:pPr>
        <w:ind w:left="4320" w:hanging="360"/>
      </w:pPr>
      <w:rPr>
        <w:rFonts w:ascii="Wingdings" w:hAnsi="Wingdings" w:hint="default"/>
      </w:rPr>
    </w:lvl>
    <w:lvl w:ilvl="6" w:tplc="0EC0295E">
      <w:start w:val="1"/>
      <w:numFmt w:val="bullet"/>
      <w:lvlText w:val=""/>
      <w:lvlJc w:val="left"/>
      <w:pPr>
        <w:ind w:left="5040" w:hanging="360"/>
      </w:pPr>
      <w:rPr>
        <w:rFonts w:ascii="Symbol" w:hAnsi="Symbol" w:hint="default"/>
      </w:rPr>
    </w:lvl>
    <w:lvl w:ilvl="7" w:tplc="46AE04C8">
      <w:start w:val="1"/>
      <w:numFmt w:val="bullet"/>
      <w:lvlText w:val="o"/>
      <w:lvlJc w:val="left"/>
      <w:pPr>
        <w:ind w:left="5760" w:hanging="360"/>
      </w:pPr>
      <w:rPr>
        <w:rFonts w:ascii="Courier New" w:hAnsi="Courier New" w:hint="default"/>
      </w:rPr>
    </w:lvl>
    <w:lvl w:ilvl="8" w:tplc="D99A8196">
      <w:start w:val="1"/>
      <w:numFmt w:val="bullet"/>
      <w:lvlText w:val=""/>
      <w:lvlJc w:val="left"/>
      <w:pPr>
        <w:ind w:left="6480" w:hanging="360"/>
      </w:pPr>
      <w:rPr>
        <w:rFonts w:ascii="Wingdings" w:hAnsi="Wingdings" w:hint="default"/>
      </w:rPr>
    </w:lvl>
  </w:abstractNum>
  <w:abstractNum w:abstractNumId="10" w15:restartNumberingAfterBreak="0">
    <w:nsid w:val="78AF2434"/>
    <w:multiLevelType w:val="multilevel"/>
    <w:tmpl w:val="20CA56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DC36722"/>
    <w:multiLevelType w:val="multilevel"/>
    <w:tmpl w:val="B8F8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0291B2"/>
    <w:multiLevelType w:val="hybridMultilevel"/>
    <w:tmpl w:val="73C6DEAA"/>
    <w:lvl w:ilvl="0" w:tplc="E3E091BA">
      <w:start w:val="1"/>
      <w:numFmt w:val="bullet"/>
      <w:lvlText w:val=""/>
      <w:lvlJc w:val="left"/>
      <w:pPr>
        <w:ind w:left="720" w:hanging="360"/>
      </w:pPr>
      <w:rPr>
        <w:rFonts w:ascii="Symbol" w:hAnsi="Symbol" w:hint="default"/>
      </w:rPr>
    </w:lvl>
    <w:lvl w:ilvl="1" w:tplc="2A0C5DE6">
      <w:start w:val="1"/>
      <w:numFmt w:val="bullet"/>
      <w:lvlText w:val="o"/>
      <w:lvlJc w:val="left"/>
      <w:pPr>
        <w:ind w:left="1440" w:hanging="360"/>
      </w:pPr>
      <w:rPr>
        <w:rFonts w:ascii="Courier New" w:hAnsi="Courier New" w:hint="default"/>
      </w:rPr>
    </w:lvl>
    <w:lvl w:ilvl="2" w:tplc="96EA3226">
      <w:start w:val="1"/>
      <w:numFmt w:val="bullet"/>
      <w:lvlText w:val=""/>
      <w:lvlJc w:val="left"/>
      <w:pPr>
        <w:ind w:left="2160" w:hanging="360"/>
      </w:pPr>
      <w:rPr>
        <w:rFonts w:ascii="Wingdings" w:hAnsi="Wingdings" w:hint="default"/>
      </w:rPr>
    </w:lvl>
    <w:lvl w:ilvl="3" w:tplc="608EBDBA">
      <w:start w:val="1"/>
      <w:numFmt w:val="bullet"/>
      <w:lvlText w:val=""/>
      <w:lvlJc w:val="left"/>
      <w:pPr>
        <w:ind w:left="2880" w:hanging="360"/>
      </w:pPr>
      <w:rPr>
        <w:rFonts w:ascii="Symbol" w:hAnsi="Symbol" w:hint="default"/>
      </w:rPr>
    </w:lvl>
    <w:lvl w:ilvl="4" w:tplc="13A2AA3C">
      <w:start w:val="1"/>
      <w:numFmt w:val="bullet"/>
      <w:lvlText w:val="o"/>
      <w:lvlJc w:val="left"/>
      <w:pPr>
        <w:ind w:left="3600" w:hanging="360"/>
      </w:pPr>
      <w:rPr>
        <w:rFonts w:ascii="Courier New" w:hAnsi="Courier New" w:hint="default"/>
      </w:rPr>
    </w:lvl>
    <w:lvl w:ilvl="5" w:tplc="35C8A90C">
      <w:start w:val="1"/>
      <w:numFmt w:val="bullet"/>
      <w:lvlText w:val=""/>
      <w:lvlJc w:val="left"/>
      <w:pPr>
        <w:ind w:left="4320" w:hanging="360"/>
      </w:pPr>
      <w:rPr>
        <w:rFonts w:ascii="Wingdings" w:hAnsi="Wingdings" w:hint="default"/>
      </w:rPr>
    </w:lvl>
    <w:lvl w:ilvl="6" w:tplc="E2FED250">
      <w:start w:val="1"/>
      <w:numFmt w:val="bullet"/>
      <w:lvlText w:val=""/>
      <w:lvlJc w:val="left"/>
      <w:pPr>
        <w:ind w:left="5040" w:hanging="360"/>
      </w:pPr>
      <w:rPr>
        <w:rFonts w:ascii="Symbol" w:hAnsi="Symbol" w:hint="default"/>
      </w:rPr>
    </w:lvl>
    <w:lvl w:ilvl="7" w:tplc="D274279A">
      <w:start w:val="1"/>
      <w:numFmt w:val="bullet"/>
      <w:lvlText w:val="o"/>
      <w:lvlJc w:val="left"/>
      <w:pPr>
        <w:ind w:left="5760" w:hanging="360"/>
      </w:pPr>
      <w:rPr>
        <w:rFonts w:ascii="Courier New" w:hAnsi="Courier New" w:hint="default"/>
      </w:rPr>
    </w:lvl>
    <w:lvl w:ilvl="8" w:tplc="90CA29A4">
      <w:start w:val="1"/>
      <w:numFmt w:val="bullet"/>
      <w:lvlText w:val=""/>
      <w:lvlJc w:val="left"/>
      <w:pPr>
        <w:ind w:left="6480" w:hanging="360"/>
      </w:pPr>
      <w:rPr>
        <w:rFonts w:ascii="Wingdings" w:hAnsi="Wingdings" w:hint="default"/>
      </w:rPr>
    </w:lvl>
  </w:abstractNum>
  <w:num w:numId="1" w16cid:durableId="1516074140">
    <w:abstractNumId w:val="5"/>
  </w:num>
  <w:num w:numId="2" w16cid:durableId="1589928427">
    <w:abstractNumId w:val="6"/>
  </w:num>
  <w:num w:numId="3" w16cid:durableId="1075780601">
    <w:abstractNumId w:val="2"/>
  </w:num>
  <w:num w:numId="4" w16cid:durableId="1607081018">
    <w:abstractNumId w:val="1"/>
  </w:num>
  <w:num w:numId="5" w16cid:durableId="1920943383">
    <w:abstractNumId w:val="3"/>
  </w:num>
  <w:num w:numId="6" w16cid:durableId="921183351">
    <w:abstractNumId w:val="0"/>
  </w:num>
  <w:num w:numId="7" w16cid:durableId="1167791690">
    <w:abstractNumId w:val="8"/>
  </w:num>
  <w:num w:numId="8" w16cid:durableId="775907549">
    <w:abstractNumId w:val="7"/>
  </w:num>
  <w:num w:numId="9" w16cid:durableId="68046566">
    <w:abstractNumId w:val="9"/>
  </w:num>
  <w:num w:numId="10" w16cid:durableId="464860843">
    <w:abstractNumId w:val="12"/>
  </w:num>
  <w:num w:numId="11" w16cid:durableId="1503621602">
    <w:abstractNumId w:val="11"/>
  </w:num>
  <w:num w:numId="12" w16cid:durableId="63722701">
    <w:abstractNumId w:val="4"/>
  </w:num>
  <w:num w:numId="13" w16cid:durableId="14436955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6B0197"/>
    <w:rsid w:val="001701DD"/>
    <w:rsid w:val="001C06F3"/>
    <w:rsid w:val="00223A55"/>
    <w:rsid w:val="002F4485"/>
    <w:rsid w:val="002F4A82"/>
    <w:rsid w:val="0041BCEF"/>
    <w:rsid w:val="0050769E"/>
    <w:rsid w:val="0053F806"/>
    <w:rsid w:val="00565776"/>
    <w:rsid w:val="0062769E"/>
    <w:rsid w:val="00711541"/>
    <w:rsid w:val="007D40F3"/>
    <w:rsid w:val="0082608F"/>
    <w:rsid w:val="0083545D"/>
    <w:rsid w:val="00897B14"/>
    <w:rsid w:val="009D6957"/>
    <w:rsid w:val="00B0461B"/>
    <w:rsid w:val="00B54A59"/>
    <w:rsid w:val="00BE61AB"/>
    <w:rsid w:val="00C36C51"/>
    <w:rsid w:val="00C46477"/>
    <w:rsid w:val="00CE5FC0"/>
    <w:rsid w:val="00D41346"/>
    <w:rsid w:val="00DD1539"/>
    <w:rsid w:val="00E07C02"/>
    <w:rsid w:val="00E66F26"/>
    <w:rsid w:val="00E92A37"/>
    <w:rsid w:val="00ED7E13"/>
    <w:rsid w:val="00EE3DBA"/>
    <w:rsid w:val="011242FB"/>
    <w:rsid w:val="0128B98D"/>
    <w:rsid w:val="016EF094"/>
    <w:rsid w:val="01945223"/>
    <w:rsid w:val="01CC6139"/>
    <w:rsid w:val="02459FA0"/>
    <w:rsid w:val="027A6B36"/>
    <w:rsid w:val="02876D10"/>
    <w:rsid w:val="02AF74D2"/>
    <w:rsid w:val="02EB31D9"/>
    <w:rsid w:val="02F427A1"/>
    <w:rsid w:val="031B1EBE"/>
    <w:rsid w:val="0360C978"/>
    <w:rsid w:val="038FB199"/>
    <w:rsid w:val="03AB741B"/>
    <w:rsid w:val="03AE6561"/>
    <w:rsid w:val="040188D9"/>
    <w:rsid w:val="045DC5BD"/>
    <w:rsid w:val="046E2FB1"/>
    <w:rsid w:val="047CBA5D"/>
    <w:rsid w:val="0495A1F1"/>
    <w:rsid w:val="04A1951F"/>
    <w:rsid w:val="04FC5B58"/>
    <w:rsid w:val="04FDA276"/>
    <w:rsid w:val="050CA71D"/>
    <w:rsid w:val="0515ADF2"/>
    <w:rsid w:val="05571243"/>
    <w:rsid w:val="058BC5BC"/>
    <w:rsid w:val="05E7B11A"/>
    <w:rsid w:val="060139C0"/>
    <w:rsid w:val="06D4A028"/>
    <w:rsid w:val="07825970"/>
    <w:rsid w:val="0786B938"/>
    <w:rsid w:val="078FE013"/>
    <w:rsid w:val="07DC0750"/>
    <w:rsid w:val="0807A439"/>
    <w:rsid w:val="0820E3C0"/>
    <w:rsid w:val="0903769F"/>
    <w:rsid w:val="090ED792"/>
    <w:rsid w:val="09528F71"/>
    <w:rsid w:val="0981AEA1"/>
    <w:rsid w:val="09B799BF"/>
    <w:rsid w:val="09C90699"/>
    <w:rsid w:val="09EF8D5B"/>
    <w:rsid w:val="09FB7857"/>
    <w:rsid w:val="0A029E29"/>
    <w:rsid w:val="0A30DE7F"/>
    <w:rsid w:val="0A81903E"/>
    <w:rsid w:val="0AADAD71"/>
    <w:rsid w:val="0AE8BF29"/>
    <w:rsid w:val="0B296E60"/>
    <w:rsid w:val="0B33FCA2"/>
    <w:rsid w:val="0B3FFCAD"/>
    <w:rsid w:val="0B48F888"/>
    <w:rsid w:val="0B9A0C96"/>
    <w:rsid w:val="0B9DBE60"/>
    <w:rsid w:val="0BB5BCDF"/>
    <w:rsid w:val="0C0BDCC3"/>
    <w:rsid w:val="0C131525"/>
    <w:rsid w:val="0C17E48C"/>
    <w:rsid w:val="0C4AA0E6"/>
    <w:rsid w:val="0C81676E"/>
    <w:rsid w:val="0D2876A4"/>
    <w:rsid w:val="0D4061A4"/>
    <w:rsid w:val="0D40F8AC"/>
    <w:rsid w:val="0D592672"/>
    <w:rsid w:val="0D60C7FB"/>
    <w:rsid w:val="0D910F24"/>
    <w:rsid w:val="0DB0DC09"/>
    <w:rsid w:val="0DBD6B4B"/>
    <w:rsid w:val="0DD05B40"/>
    <w:rsid w:val="0E159344"/>
    <w:rsid w:val="0E959C32"/>
    <w:rsid w:val="0EAA1882"/>
    <w:rsid w:val="0EAA3C05"/>
    <w:rsid w:val="0ED7E445"/>
    <w:rsid w:val="0F0B3EF3"/>
    <w:rsid w:val="0F0FBAA5"/>
    <w:rsid w:val="0F21E316"/>
    <w:rsid w:val="0F2A5D9E"/>
    <w:rsid w:val="0F8090A9"/>
    <w:rsid w:val="0F8993B8"/>
    <w:rsid w:val="0FC3F94A"/>
    <w:rsid w:val="0FE5D8A9"/>
    <w:rsid w:val="0FEC4EEA"/>
    <w:rsid w:val="1006D921"/>
    <w:rsid w:val="1019ED02"/>
    <w:rsid w:val="101F39AE"/>
    <w:rsid w:val="102AE7AD"/>
    <w:rsid w:val="10A6DFCD"/>
    <w:rsid w:val="10DFDF25"/>
    <w:rsid w:val="10F08E46"/>
    <w:rsid w:val="10F1217A"/>
    <w:rsid w:val="110FA538"/>
    <w:rsid w:val="111D95A6"/>
    <w:rsid w:val="112F6542"/>
    <w:rsid w:val="116DDBD2"/>
    <w:rsid w:val="1173A7E3"/>
    <w:rsid w:val="117BD4B4"/>
    <w:rsid w:val="1181A67B"/>
    <w:rsid w:val="1195A290"/>
    <w:rsid w:val="11C4774E"/>
    <w:rsid w:val="12608E01"/>
    <w:rsid w:val="12BEF0D2"/>
    <w:rsid w:val="12E47B63"/>
    <w:rsid w:val="130ADEE3"/>
    <w:rsid w:val="134229FE"/>
    <w:rsid w:val="1369B6F1"/>
    <w:rsid w:val="13815888"/>
    <w:rsid w:val="13A92C08"/>
    <w:rsid w:val="13F51F04"/>
    <w:rsid w:val="13F64F6B"/>
    <w:rsid w:val="13F6D855"/>
    <w:rsid w:val="148136A9"/>
    <w:rsid w:val="148984DB"/>
    <w:rsid w:val="14A6A76F"/>
    <w:rsid w:val="14C76E95"/>
    <w:rsid w:val="14D298CD"/>
    <w:rsid w:val="14DC3E51"/>
    <w:rsid w:val="1500D781"/>
    <w:rsid w:val="157DEE16"/>
    <w:rsid w:val="15A88A99"/>
    <w:rsid w:val="15B73D9B"/>
    <w:rsid w:val="15CB536E"/>
    <w:rsid w:val="15FFDA29"/>
    <w:rsid w:val="16341286"/>
    <w:rsid w:val="16592C57"/>
    <w:rsid w:val="16643929"/>
    <w:rsid w:val="169E6213"/>
    <w:rsid w:val="16B3DCCE"/>
    <w:rsid w:val="16C8F8BC"/>
    <w:rsid w:val="16FE6A43"/>
    <w:rsid w:val="170FD04E"/>
    <w:rsid w:val="1732AD21"/>
    <w:rsid w:val="174AE14C"/>
    <w:rsid w:val="17D77E08"/>
    <w:rsid w:val="17E06378"/>
    <w:rsid w:val="17FAC215"/>
    <w:rsid w:val="18049625"/>
    <w:rsid w:val="181A91CB"/>
    <w:rsid w:val="1822790E"/>
    <w:rsid w:val="186191CD"/>
    <w:rsid w:val="18F15BCD"/>
    <w:rsid w:val="193B674E"/>
    <w:rsid w:val="199D4B20"/>
    <w:rsid w:val="19F1DE17"/>
    <w:rsid w:val="19FBB2B9"/>
    <w:rsid w:val="1A219AFE"/>
    <w:rsid w:val="1A29CDEE"/>
    <w:rsid w:val="1A8EB656"/>
    <w:rsid w:val="1A961A22"/>
    <w:rsid w:val="1A9E8275"/>
    <w:rsid w:val="1AB74A04"/>
    <w:rsid w:val="1ABB0053"/>
    <w:rsid w:val="1B382E07"/>
    <w:rsid w:val="1B6E66EE"/>
    <w:rsid w:val="1B94EA45"/>
    <w:rsid w:val="1B9FC6B1"/>
    <w:rsid w:val="1BB01E1B"/>
    <w:rsid w:val="1BCBB5F3"/>
    <w:rsid w:val="1C5A34F5"/>
    <w:rsid w:val="1C6AFAD3"/>
    <w:rsid w:val="1CEAE32C"/>
    <w:rsid w:val="1CEEB064"/>
    <w:rsid w:val="1D020DF0"/>
    <w:rsid w:val="1D128556"/>
    <w:rsid w:val="1D6C4A85"/>
    <w:rsid w:val="1D759413"/>
    <w:rsid w:val="1D768A69"/>
    <w:rsid w:val="1D87EFCB"/>
    <w:rsid w:val="1DF2BF79"/>
    <w:rsid w:val="1E15052C"/>
    <w:rsid w:val="1E82FC98"/>
    <w:rsid w:val="1EF7CD08"/>
    <w:rsid w:val="1F2A18B4"/>
    <w:rsid w:val="1F321178"/>
    <w:rsid w:val="1F6D7D35"/>
    <w:rsid w:val="1FA8B827"/>
    <w:rsid w:val="1FCE8387"/>
    <w:rsid w:val="1FCF977E"/>
    <w:rsid w:val="1FE2AF55"/>
    <w:rsid w:val="204E011A"/>
    <w:rsid w:val="207A47E7"/>
    <w:rsid w:val="20CCED81"/>
    <w:rsid w:val="20E00D79"/>
    <w:rsid w:val="218ADE1F"/>
    <w:rsid w:val="21A8D738"/>
    <w:rsid w:val="21B4C185"/>
    <w:rsid w:val="223AB390"/>
    <w:rsid w:val="22A08A64"/>
    <w:rsid w:val="22D74888"/>
    <w:rsid w:val="22DD5727"/>
    <w:rsid w:val="22E1DDE3"/>
    <w:rsid w:val="22F01D10"/>
    <w:rsid w:val="230FAFC2"/>
    <w:rsid w:val="23906FA6"/>
    <w:rsid w:val="23A3C772"/>
    <w:rsid w:val="23B106A4"/>
    <w:rsid w:val="24039857"/>
    <w:rsid w:val="240B45FE"/>
    <w:rsid w:val="2439CBCA"/>
    <w:rsid w:val="245D9E0E"/>
    <w:rsid w:val="2464818E"/>
    <w:rsid w:val="249A1077"/>
    <w:rsid w:val="24A4686F"/>
    <w:rsid w:val="24A91847"/>
    <w:rsid w:val="24E26AF7"/>
    <w:rsid w:val="251D982E"/>
    <w:rsid w:val="253F734F"/>
    <w:rsid w:val="254E3AD3"/>
    <w:rsid w:val="255300A0"/>
    <w:rsid w:val="25F23A87"/>
    <w:rsid w:val="26236AA3"/>
    <w:rsid w:val="264D92D2"/>
    <w:rsid w:val="2667AE7E"/>
    <w:rsid w:val="26B27BEC"/>
    <w:rsid w:val="26F160BA"/>
    <w:rsid w:val="27336B10"/>
    <w:rsid w:val="27693E9B"/>
    <w:rsid w:val="27F6AC19"/>
    <w:rsid w:val="2816AC62"/>
    <w:rsid w:val="283FC52E"/>
    <w:rsid w:val="287F6D77"/>
    <w:rsid w:val="28A84F40"/>
    <w:rsid w:val="28ADBA4D"/>
    <w:rsid w:val="291F6F02"/>
    <w:rsid w:val="2956FAD1"/>
    <w:rsid w:val="29B4318B"/>
    <w:rsid w:val="29CFA187"/>
    <w:rsid w:val="29D1725A"/>
    <w:rsid w:val="2A3F702E"/>
    <w:rsid w:val="2ADB2613"/>
    <w:rsid w:val="2AFA2855"/>
    <w:rsid w:val="2B059557"/>
    <w:rsid w:val="2B2BD418"/>
    <w:rsid w:val="2B486D2F"/>
    <w:rsid w:val="2B545AC7"/>
    <w:rsid w:val="2B591B08"/>
    <w:rsid w:val="2B8D8D75"/>
    <w:rsid w:val="2B90302B"/>
    <w:rsid w:val="2B9EC52D"/>
    <w:rsid w:val="2BB4FC22"/>
    <w:rsid w:val="2BDCE669"/>
    <w:rsid w:val="2BE00591"/>
    <w:rsid w:val="2BE113BE"/>
    <w:rsid w:val="2C5250EA"/>
    <w:rsid w:val="2C6DBD0B"/>
    <w:rsid w:val="2CF3C2C8"/>
    <w:rsid w:val="2D796418"/>
    <w:rsid w:val="2D92EA9B"/>
    <w:rsid w:val="2DA46C32"/>
    <w:rsid w:val="2DBD2A78"/>
    <w:rsid w:val="2DCCA076"/>
    <w:rsid w:val="2DD4C9F8"/>
    <w:rsid w:val="2E16B3A5"/>
    <w:rsid w:val="2E413076"/>
    <w:rsid w:val="2E44B8F7"/>
    <w:rsid w:val="2E73187D"/>
    <w:rsid w:val="2E864412"/>
    <w:rsid w:val="2F49140C"/>
    <w:rsid w:val="2F7113B9"/>
    <w:rsid w:val="2F77C2B8"/>
    <w:rsid w:val="2F865064"/>
    <w:rsid w:val="2F8FDA10"/>
    <w:rsid w:val="2FEF2E0C"/>
    <w:rsid w:val="3016F53C"/>
    <w:rsid w:val="30649BE0"/>
    <w:rsid w:val="3065B45D"/>
    <w:rsid w:val="31559E0D"/>
    <w:rsid w:val="315E3066"/>
    <w:rsid w:val="31670159"/>
    <w:rsid w:val="3199CCDB"/>
    <w:rsid w:val="319FC710"/>
    <w:rsid w:val="320D7E2E"/>
    <w:rsid w:val="32485B5A"/>
    <w:rsid w:val="32626634"/>
    <w:rsid w:val="3296F9C4"/>
    <w:rsid w:val="3299F34D"/>
    <w:rsid w:val="32BDCBB7"/>
    <w:rsid w:val="331CEA29"/>
    <w:rsid w:val="33514BD5"/>
    <w:rsid w:val="33567C22"/>
    <w:rsid w:val="34B40899"/>
    <w:rsid w:val="34B80399"/>
    <w:rsid w:val="34D57AAA"/>
    <w:rsid w:val="34DBDC91"/>
    <w:rsid w:val="34EFD930"/>
    <w:rsid w:val="35075825"/>
    <w:rsid w:val="352208CC"/>
    <w:rsid w:val="353CE67D"/>
    <w:rsid w:val="3546C995"/>
    <w:rsid w:val="354D2C80"/>
    <w:rsid w:val="356BEB64"/>
    <w:rsid w:val="3577179A"/>
    <w:rsid w:val="357CF490"/>
    <w:rsid w:val="3584EB0C"/>
    <w:rsid w:val="35CE3A85"/>
    <w:rsid w:val="35D18345"/>
    <w:rsid w:val="35EAF238"/>
    <w:rsid w:val="35FC6862"/>
    <w:rsid w:val="361A1DD1"/>
    <w:rsid w:val="361C3976"/>
    <w:rsid w:val="364677DD"/>
    <w:rsid w:val="3660848A"/>
    <w:rsid w:val="368E403A"/>
    <w:rsid w:val="369ED680"/>
    <w:rsid w:val="36B64FD7"/>
    <w:rsid w:val="375238EF"/>
    <w:rsid w:val="37AE467A"/>
    <w:rsid w:val="37AF1DF7"/>
    <w:rsid w:val="37CD1199"/>
    <w:rsid w:val="381425F3"/>
    <w:rsid w:val="381EC8FB"/>
    <w:rsid w:val="38567A17"/>
    <w:rsid w:val="3878E172"/>
    <w:rsid w:val="38E03C23"/>
    <w:rsid w:val="38F0E7D8"/>
    <w:rsid w:val="38FCEC5A"/>
    <w:rsid w:val="3988C252"/>
    <w:rsid w:val="39CB0F65"/>
    <w:rsid w:val="3A5143EA"/>
    <w:rsid w:val="3A79D713"/>
    <w:rsid w:val="3A8ED8E6"/>
    <w:rsid w:val="3ABA51F5"/>
    <w:rsid w:val="3ABCE0E0"/>
    <w:rsid w:val="3AE1CE7B"/>
    <w:rsid w:val="3B22FBED"/>
    <w:rsid w:val="3B4942CB"/>
    <w:rsid w:val="3B5AE795"/>
    <w:rsid w:val="3B762C86"/>
    <w:rsid w:val="3BDE5F21"/>
    <w:rsid w:val="3BDECEF0"/>
    <w:rsid w:val="3C2077E2"/>
    <w:rsid w:val="3C28D249"/>
    <w:rsid w:val="3C337B20"/>
    <w:rsid w:val="3C5B6B64"/>
    <w:rsid w:val="3C5B859D"/>
    <w:rsid w:val="3D4DC156"/>
    <w:rsid w:val="3D7EF524"/>
    <w:rsid w:val="3D856F17"/>
    <w:rsid w:val="3D8A5BC7"/>
    <w:rsid w:val="3DACBC4F"/>
    <w:rsid w:val="3DE87BE7"/>
    <w:rsid w:val="3E051DBD"/>
    <w:rsid w:val="3E786217"/>
    <w:rsid w:val="3EF83005"/>
    <w:rsid w:val="3F269B53"/>
    <w:rsid w:val="3F32ED4A"/>
    <w:rsid w:val="3F587F09"/>
    <w:rsid w:val="3F58F383"/>
    <w:rsid w:val="3FA9C9C8"/>
    <w:rsid w:val="3FAE5573"/>
    <w:rsid w:val="3FB526E8"/>
    <w:rsid w:val="3FBB8233"/>
    <w:rsid w:val="3FFBB816"/>
    <w:rsid w:val="402A1D26"/>
    <w:rsid w:val="40765CC2"/>
    <w:rsid w:val="4086D28B"/>
    <w:rsid w:val="409FCCED"/>
    <w:rsid w:val="40B3E545"/>
    <w:rsid w:val="40BEF3AD"/>
    <w:rsid w:val="4135EB18"/>
    <w:rsid w:val="41554A2F"/>
    <w:rsid w:val="41AFFC6B"/>
    <w:rsid w:val="41DB2705"/>
    <w:rsid w:val="42018A1B"/>
    <w:rsid w:val="4214450D"/>
    <w:rsid w:val="423F7E7C"/>
    <w:rsid w:val="4246A676"/>
    <w:rsid w:val="4293B59C"/>
    <w:rsid w:val="42B11411"/>
    <w:rsid w:val="42B9AB5D"/>
    <w:rsid w:val="434D2032"/>
    <w:rsid w:val="43A7EF8F"/>
    <w:rsid w:val="43B19201"/>
    <w:rsid w:val="44033E38"/>
    <w:rsid w:val="443224D8"/>
    <w:rsid w:val="4450609E"/>
    <w:rsid w:val="44612DE3"/>
    <w:rsid w:val="449DD6B0"/>
    <w:rsid w:val="44B42BEF"/>
    <w:rsid w:val="44BC5DA3"/>
    <w:rsid w:val="44DE0165"/>
    <w:rsid w:val="44FE9439"/>
    <w:rsid w:val="4517F6BB"/>
    <w:rsid w:val="4524335C"/>
    <w:rsid w:val="4545A447"/>
    <w:rsid w:val="45DED53B"/>
    <w:rsid w:val="461EF750"/>
    <w:rsid w:val="4669F9A7"/>
    <w:rsid w:val="46996EA7"/>
    <w:rsid w:val="46E1EB92"/>
    <w:rsid w:val="4743818E"/>
    <w:rsid w:val="475F7863"/>
    <w:rsid w:val="47774E86"/>
    <w:rsid w:val="47CBED36"/>
    <w:rsid w:val="47F2CB29"/>
    <w:rsid w:val="4801D8F4"/>
    <w:rsid w:val="48093E9A"/>
    <w:rsid w:val="481E4FDC"/>
    <w:rsid w:val="48812A38"/>
    <w:rsid w:val="4887ED9E"/>
    <w:rsid w:val="48B8180B"/>
    <w:rsid w:val="48F47E45"/>
    <w:rsid w:val="4923CA08"/>
    <w:rsid w:val="4936F70A"/>
    <w:rsid w:val="4946035D"/>
    <w:rsid w:val="496610D5"/>
    <w:rsid w:val="4982ABE1"/>
    <w:rsid w:val="49C4D518"/>
    <w:rsid w:val="49D012BB"/>
    <w:rsid w:val="49D576B2"/>
    <w:rsid w:val="49DE4A9C"/>
    <w:rsid w:val="4A229727"/>
    <w:rsid w:val="4AF2537B"/>
    <w:rsid w:val="4AF5D96B"/>
    <w:rsid w:val="4B2AAD1E"/>
    <w:rsid w:val="4B3CCB66"/>
    <w:rsid w:val="4B62D651"/>
    <w:rsid w:val="4B6C861F"/>
    <w:rsid w:val="4B7253D0"/>
    <w:rsid w:val="4BADE035"/>
    <w:rsid w:val="4BD792B4"/>
    <w:rsid w:val="4BDEAC94"/>
    <w:rsid w:val="4C12B521"/>
    <w:rsid w:val="4C23CB47"/>
    <w:rsid w:val="4C8DC371"/>
    <w:rsid w:val="4C980C9F"/>
    <w:rsid w:val="4CAE5237"/>
    <w:rsid w:val="4CDE36C2"/>
    <w:rsid w:val="4D1DBC19"/>
    <w:rsid w:val="4D1E527B"/>
    <w:rsid w:val="4D52D8ED"/>
    <w:rsid w:val="4DC7FBB7"/>
    <w:rsid w:val="4E202A42"/>
    <w:rsid w:val="4E514738"/>
    <w:rsid w:val="4E79ACDC"/>
    <w:rsid w:val="4EC9D1A3"/>
    <w:rsid w:val="4F43BCB2"/>
    <w:rsid w:val="4F75DCE8"/>
    <w:rsid w:val="4F777DD2"/>
    <w:rsid w:val="4F8A9101"/>
    <w:rsid w:val="4FCE249C"/>
    <w:rsid w:val="4FD317E5"/>
    <w:rsid w:val="50165EB2"/>
    <w:rsid w:val="5078A79B"/>
    <w:rsid w:val="5086D0D8"/>
    <w:rsid w:val="50ACFF73"/>
    <w:rsid w:val="50BB1FE4"/>
    <w:rsid w:val="50BC629F"/>
    <w:rsid w:val="50BF8334"/>
    <w:rsid w:val="512E6443"/>
    <w:rsid w:val="515F9312"/>
    <w:rsid w:val="51C603D7"/>
    <w:rsid w:val="51C66BAC"/>
    <w:rsid w:val="5223C113"/>
    <w:rsid w:val="523A075F"/>
    <w:rsid w:val="523C13C8"/>
    <w:rsid w:val="5246C6B5"/>
    <w:rsid w:val="524B5063"/>
    <w:rsid w:val="5272B9E2"/>
    <w:rsid w:val="529602A1"/>
    <w:rsid w:val="534A31C1"/>
    <w:rsid w:val="53575FA0"/>
    <w:rsid w:val="53760313"/>
    <w:rsid w:val="5380EB25"/>
    <w:rsid w:val="538A85BE"/>
    <w:rsid w:val="53AC328F"/>
    <w:rsid w:val="53C268A3"/>
    <w:rsid w:val="53D6C93E"/>
    <w:rsid w:val="53F159DC"/>
    <w:rsid w:val="53FC1B88"/>
    <w:rsid w:val="5461EAEF"/>
    <w:rsid w:val="54722397"/>
    <w:rsid w:val="5484C760"/>
    <w:rsid w:val="54C3D778"/>
    <w:rsid w:val="54C8B3BF"/>
    <w:rsid w:val="54D1A50C"/>
    <w:rsid w:val="554A3823"/>
    <w:rsid w:val="554A8FF0"/>
    <w:rsid w:val="556A239C"/>
    <w:rsid w:val="557551D4"/>
    <w:rsid w:val="5582D64B"/>
    <w:rsid w:val="558BC371"/>
    <w:rsid w:val="55FCF3B2"/>
    <w:rsid w:val="5687E2AF"/>
    <w:rsid w:val="568E03E8"/>
    <w:rsid w:val="56FD81A9"/>
    <w:rsid w:val="571DC3C4"/>
    <w:rsid w:val="573FDA11"/>
    <w:rsid w:val="5754E3FC"/>
    <w:rsid w:val="576B0197"/>
    <w:rsid w:val="57C705D3"/>
    <w:rsid w:val="5814E6A2"/>
    <w:rsid w:val="58500C75"/>
    <w:rsid w:val="58965CD8"/>
    <w:rsid w:val="5899F565"/>
    <w:rsid w:val="589FD5EE"/>
    <w:rsid w:val="58B5DEB3"/>
    <w:rsid w:val="58EDBAD5"/>
    <w:rsid w:val="58F665A4"/>
    <w:rsid w:val="59EC5AFE"/>
    <w:rsid w:val="5A25286D"/>
    <w:rsid w:val="5A2ACA9C"/>
    <w:rsid w:val="5A326949"/>
    <w:rsid w:val="5A393DC5"/>
    <w:rsid w:val="5A4214CA"/>
    <w:rsid w:val="5A559F6B"/>
    <w:rsid w:val="5A6D3864"/>
    <w:rsid w:val="5A8475A7"/>
    <w:rsid w:val="5A9B11EC"/>
    <w:rsid w:val="5AE96E83"/>
    <w:rsid w:val="5AEF50FA"/>
    <w:rsid w:val="5B473250"/>
    <w:rsid w:val="5B8372F7"/>
    <w:rsid w:val="5B9F3EEA"/>
    <w:rsid w:val="5BB0102C"/>
    <w:rsid w:val="5BCB10B6"/>
    <w:rsid w:val="5BE088E8"/>
    <w:rsid w:val="5C2704CE"/>
    <w:rsid w:val="5C28423A"/>
    <w:rsid w:val="5C46837C"/>
    <w:rsid w:val="5CE40B8E"/>
    <w:rsid w:val="5CFE446A"/>
    <w:rsid w:val="5D16C7FA"/>
    <w:rsid w:val="5D92F11D"/>
    <w:rsid w:val="5DA16A56"/>
    <w:rsid w:val="5DB9615B"/>
    <w:rsid w:val="5DF6B975"/>
    <w:rsid w:val="5E138BE2"/>
    <w:rsid w:val="5E7988BF"/>
    <w:rsid w:val="5EB8DA5B"/>
    <w:rsid w:val="5EDAD34E"/>
    <w:rsid w:val="5F0B4EE6"/>
    <w:rsid w:val="5F0DD080"/>
    <w:rsid w:val="5FD21FD6"/>
    <w:rsid w:val="60ACC4E4"/>
    <w:rsid w:val="60E168EB"/>
    <w:rsid w:val="60EDBB87"/>
    <w:rsid w:val="610A67D1"/>
    <w:rsid w:val="61204C34"/>
    <w:rsid w:val="61225796"/>
    <w:rsid w:val="612DB612"/>
    <w:rsid w:val="6161CC01"/>
    <w:rsid w:val="616467E6"/>
    <w:rsid w:val="61F22F10"/>
    <w:rsid w:val="621E7E6F"/>
    <w:rsid w:val="625B3CB5"/>
    <w:rsid w:val="6263F567"/>
    <w:rsid w:val="626677BF"/>
    <w:rsid w:val="6290A17E"/>
    <w:rsid w:val="62A97FAD"/>
    <w:rsid w:val="630F9EBC"/>
    <w:rsid w:val="63366031"/>
    <w:rsid w:val="63435E29"/>
    <w:rsid w:val="634AF8F9"/>
    <w:rsid w:val="6352A687"/>
    <w:rsid w:val="63598EF7"/>
    <w:rsid w:val="635A08FA"/>
    <w:rsid w:val="636539BC"/>
    <w:rsid w:val="638CE85E"/>
    <w:rsid w:val="64175CF3"/>
    <w:rsid w:val="6431B042"/>
    <w:rsid w:val="6472722D"/>
    <w:rsid w:val="648501D1"/>
    <w:rsid w:val="6486978B"/>
    <w:rsid w:val="64BBDF7B"/>
    <w:rsid w:val="64E0244A"/>
    <w:rsid w:val="652E49DA"/>
    <w:rsid w:val="65B8AAFC"/>
    <w:rsid w:val="65DAC47D"/>
    <w:rsid w:val="65DCBF2F"/>
    <w:rsid w:val="65E77CED"/>
    <w:rsid w:val="65F44128"/>
    <w:rsid w:val="660C97C2"/>
    <w:rsid w:val="664D5A25"/>
    <w:rsid w:val="66C68936"/>
    <w:rsid w:val="66DBC7DC"/>
    <w:rsid w:val="6733C3B9"/>
    <w:rsid w:val="67423523"/>
    <w:rsid w:val="6782B9CB"/>
    <w:rsid w:val="67BAD222"/>
    <w:rsid w:val="67F24330"/>
    <w:rsid w:val="67FB3CF0"/>
    <w:rsid w:val="68479A13"/>
    <w:rsid w:val="687E1853"/>
    <w:rsid w:val="689ED37D"/>
    <w:rsid w:val="68D87FF7"/>
    <w:rsid w:val="68E02F2C"/>
    <w:rsid w:val="68EFF77C"/>
    <w:rsid w:val="68F542BE"/>
    <w:rsid w:val="68FB9E60"/>
    <w:rsid w:val="691B7B64"/>
    <w:rsid w:val="694B6C3A"/>
    <w:rsid w:val="695D328E"/>
    <w:rsid w:val="696621FD"/>
    <w:rsid w:val="6A0094C1"/>
    <w:rsid w:val="6A090F77"/>
    <w:rsid w:val="6A0970A0"/>
    <w:rsid w:val="6A257348"/>
    <w:rsid w:val="6A4247AF"/>
    <w:rsid w:val="6A45185D"/>
    <w:rsid w:val="6A6A2517"/>
    <w:rsid w:val="6A7B98EE"/>
    <w:rsid w:val="6A86B59D"/>
    <w:rsid w:val="6ADA1942"/>
    <w:rsid w:val="6B0ACE94"/>
    <w:rsid w:val="6B105414"/>
    <w:rsid w:val="6B2A26E7"/>
    <w:rsid w:val="6B4761B8"/>
    <w:rsid w:val="6B9CAD75"/>
    <w:rsid w:val="6BE355E2"/>
    <w:rsid w:val="6BE477AD"/>
    <w:rsid w:val="6BEECC1C"/>
    <w:rsid w:val="6C0818AB"/>
    <w:rsid w:val="6C092EBA"/>
    <w:rsid w:val="6C121CDF"/>
    <w:rsid w:val="6C249BD8"/>
    <w:rsid w:val="6C2D70A5"/>
    <w:rsid w:val="6C506CB1"/>
    <w:rsid w:val="6C6778E6"/>
    <w:rsid w:val="6CA764CF"/>
    <w:rsid w:val="6CB17B42"/>
    <w:rsid w:val="6CBBB5FB"/>
    <w:rsid w:val="6CD27A13"/>
    <w:rsid w:val="6D16D35C"/>
    <w:rsid w:val="6D22BB84"/>
    <w:rsid w:val="6D3384A1"/>
    <w:rsid w:val="6D39B4F2"/>
    <w:rsid w:val="6D4B627E"/>
    <w:rsid w:val="6DA18EF1"/>
    <w:rsid w:val="6DBE5C2F"/>
    <w:rsid w:val="6DD5CD8B"/>
    <w:rsid w:val="6DDF6EB3"/>
    <w:rsid w:val="6E21C938"/>
    <w:rsid w:val="6E27F46E"/>
    <w:rsid w:val="6E32AEC7"/>
    <w:rsid w:val="6E7E7FC1"/>
    <w:rsid w:val="6E7F58F2"/>
    <w:rsid w:val="6EB44613"/>
    <w:rsid w:val="6ED211EE"/>
    <w:rsid w:val="6F0BAE60"/>
    <w:rsid w:val="6F27DE8D"/>
    <w:rsid w:val="6F5E4909"/>
    <w:rsid w:val="6F8D534D"/>
    <w:rsid w:val="6FB798B4"/>
    <w:rsid w:val="6FBED2A5"/>
    <w:rsid w:val="6FF73E5C"/>
    <w:rsid w:val="708C0E15"/>
    <w:rsid w:val="70C52A34"/>
    <w:rsid w:val="70CD5531"/>
    <w:rsid w:val="70DB1DBA"/>
    <w:rsid w:val="70E1D95A"/>
    <w:rsid w:val="71057793"/>
    <w:rsid w:val="711F91F2"/>
    <w:rsid w:val="7126CA0C"/>
    <w:rsid w:val="7177ED11"/>
    <w:rsid w:val="7188BB48"/>
    <w:rsid w:val="71939586"/>
    <w:rsid w:val="71AFDC8B"/>
    <w:rsid w:val="71C7938E"/>
    <w:rsid w:val="71F634AF"/>
    <w:rsid w:val="72AF967C"/>
    <w:rsid w:val="72BB6982"/>
    <w:rsid w:val="72F0E0A1"/>
    <w:rsid w:val="72F76B3F"/>
    <w:rsid w:val="73A28054"/>
    <w:rsid w:val="73B37186"/>
    <w:rsid w:val="73ECDF83"/>
    <w:rsid w:val="73F0CFA8"/>
    <w:rsid w:val="740D08B4"/>
    <w:rsid w:val="746BB401"/>
    <w:rsid w:val="74C2B663"/>
    <w:rsid w:val="7510A8C3"/>
    <w:rsid w:val="760C334E"/>
    <w:rsid w:val="764BA3C4"/>
    <w:rsid w:val="77002377"/>
    <w:rsid w:val="77176F4C"/>
    <w:rsid w:val="77222613"/>
    <w:rsid w:val="774C1BE0"/>
    <w:rsid w:val="7760BAD8"/>
    <w:rsid w:val="776F1B0C"/>
    <w:rsid w:val="77CCF422"/>
    <w:rsid w:val="77DF6EEA"/>
    <w:rsid w:val="78714015"/>
    <w:rsid w:val="78AEBDF9"/>
    <w:rsid w:val="78C49218"/>
    <w:rsid w:val="78CD37DC"/>
    <w:rsid w:val="78D8B059"/>
    <w:rsid w:val="78DC98E6"/>
    <w:rsid w:val="78EC70CC"/>
    <w:rsid w:val="79031FCD"/>
    <w:rsid w:val="794DD201"/>
    <w:rsid w:val="7989C3DF"/>
    <w:rsid w:val="79D33E22"/>
    <w:rsid w:val="7A01DB46"/>
    <w:rsid w:val="7A1F9C0E"/>
    <w:rsid w:val="7A3C5CB0"/>
    <w:rsid w:val="7A82D4DA"/>
    <w:rsid w:val="7A8E56CE"/>
    <w:rsid w:val="7A9D638D"/>
    <w:rsid w:val="7ABECD69"/>
    <w:rsid w:val="7AC428D0"/>
    <w:rsid w:val="7B2AAC48"/>
    <w:rsid w:val="7B431F8F"/>
    <w:rsid w:val="7BADDB75"/>
    <w:rsid w:val="7C22E7A1"/>
    <w:rsid w:val="7C3C2F95"/>
    <w:rsid w:val="7C6BBD75"/>
    <w:rsid w:val="7C7109E7"/>
    <w:rsid w:val="7CAFEE7C"/>
    <w:rsid w:val="7D1B0B43"/>
    <w:rsid w:val="7DE54D67"/>
    <w:rsid w:val="7E3BD40F"/>
    <w:rsid w:val="7E43D33F"/>
    <w:rsid w:val="7E4633E7"/>
    <w:rsid w:val="7E4912E3"/>
    <w:rsid w:val="7E917B3C"/>
    <w:rsid w:val="7E9A36F7"/>
    <w:rsid w:val="7EDB16C3"/>
    <w:rsid w:val="7EDFFA47"/>
    <w:rsid w:val="7EE9238E"/>
    <w:rsid w:val="7F4ABB58"/>
    <w:rsid w:val="7F4B8DE8"/>
    <w:rsid w:val="7F8941C7"/>
    <w:rsid w:val="7F9647FB"/>
    <w:rsid w:val="7F9F0CB0"/>
    <w:rsid w:val="7FE5F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B0197"/>
  <w15:chartTrackingRefBased/>
  <w15:docId w15:val="{9C86F516-02B1-458C-968E-8F431EAC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DB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E3DB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uiPriority w:val="9"/>
    <w:unhideWhenUsed/>
    <w:qFormat/>
    <w:rsid w:val="6B0AC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06F3"/>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1C06F3"/>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unhideWhenUsed/>
    <w:qFormat/>
    <w:rsid w:val="001C06F3"/>
    <w:pPr>
      <w:keepNext/>
      <w:keepLines/>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unhideWhenUsed/>
    <w:qFormat/>
    <w:rsid w:val="001C06F3"/>
    <w:pPr>
      <w:keepNext/>
      <w:keepLines/>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unhideWhenUsed/>
    <w:qFormat/>
    <w:rsid w:val="001C06F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C06F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B0ACE94"/>
    <w:pPr>
      <w:ind w:left="720"/>
      <w:contextualSpacing/>
    </w:pPr>
  </w:style>
  <w:style w:type="paragraph" w:styleId="Header">
    <w:name w:val="header"/>
    <w:basedOn w:val="Normal"/>
    <w:link w:val="HeaderChar"/>
    <w:uiPriority w:val="99"/>
    <w:unhideWhenUsed/>
    <w:rsid w:val="00D41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346"/>
  </w:style>
  <w:style w:type="paragraph" w:styleId="Footer">
    <w:name w:val="footer"/>
    <w:basedOn w:val="Normal"/>
    <w:link w:val="FooterChar"/>
    <w:uiPriority w:val="99"/>
    <w:unhideWhenUsed/>
    <w:rsid w:val="00D41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346"/>
  </w:style>
  <w:style w:type="paragraph" w:styleId="Revision">
    <w:name w:val="Revision"/>
    <w:hidden/>
    <w:uiPriority w:val="99"/>
    <w:semiHidden/>
    <w:rsid w:val="00D41346"/>
    <w:pPr>
      <w:spacing w:after="0" w:line="240" w:lineRule="auto"/>
    </w:pPr>
  </w:style>
  <w:style w:type="character" w:customStyle="1" w:styleId="Heading2Char">
    <w:name w:val="Heading 2 Char"/>
    <w:basedOn w:val="DefaultParagraphFont"/>
    <w:link w:val="Heading2"/>
    <w:uiPriority w:val="9"/>
    <w:rsid w:val="00EE3DBA"/>
    <w:rPr>
      <w:rFonts w:asciiTheme="majorHAnsi" w:eastAsiaTheme="majorEastAsia" w:hAnsiTheme="majorHAnsi" w:cstheme="majorBidi"/>
      <w:color w:val="0F4761" w:themeColor="accent1" w:themeShade="BF"/>
      <w:sz w:val="26"/>
      <w:szCs w:val="26"/>
    </w:rPr>
  </w:style>
  <w:style w:type="character" w:customStyle="1" w:styleId="Heading1Char">
    <w:name w:val="Heading 1 Char"/>
    <w:basedOn w:val="DefaultParagraphFont"/>
    <w:link w:val="Heading1"/>
    <w:uiPriority w:val="9"/>
    <w:rsid w:val="00EE3DBA"/>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1C06F3"/>
    <w:rPr>
      <w:color w:val="467886" w:themeColor="hyperlink"/>
      <w:u w:val="single"/>
    </w:rPr>
  </w:style>
  <w:style w:type="character" w:styleId="UnresolvedMention">
    <w:name w:val="Unresolved Mention"/>
    <w:basedOn w:val="DefaultParagraphFont"/>
    <w:uiPriority w:val="99"/>
    <w:semiHidden/>
    <w:unhideWhenUsed/>
    <w:rsid w:val="001C06F3"/>
    <w:rPr>
      <w:color w:val="605E5C"/>
      <w:shd w:val="clear" w:color="auto" w:fill="E1DFDD"/>
    </w:rPr>
  </w:style>
  <w:style w:type="character" w:customStyle="1" w:styleId="Heading4Char">
    <w:name w:val="Heading 4 Char"/>
    <w:basedOn w:val="DefaultParagraphFont"/>
    <w:link w:val="Heading4"/>
    <w:uiPriority w:val="9"/>
    <w:rsid w:val="001C06F3"/>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1C06F3"/>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rsid w:val="001C06F3"/>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rsid w:val="001C06F3"/>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rsid w:val="001C06F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C06F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C06F3"/>
    <w:pPr>
      <w:spacing w:line="259" w:lineRule="auto"/>
      <w:outlineLvl w:val="9"/>
    </w:pPr>
    <w:rPr>
      <w:lang w:val="en-US" w:eastAsia="en-US"/>
    </w:rPr>
  </w:style>
  <w:style w:type="paragraph" w:styleId="TOC1">
    <w:name w:val="toc 1"/>
    <w:basedOn w:val="Normal"/>
    <w:next w:val="Normal"/>
    <w:autoRedefine/>
    <w:uiPriority w:val="39"/>
    <w:unhideWhenUsed/>
    <w:rsid w:val="001C06F3"/>
    <w:pPr>
      <w:spacing w:after="100"/>
    </w:pPr>
  </w:style>
  <w:style w:type="paragraph" w:styleId="TOC2">
    <w:name w:val="toc 2"/>
    <w:basedOn w:val="Normal"/>
    <w:next w:val="Normal"/>
    <w:autoRedefine/>
    <w:uiPriority w:val="39"/>
    <w:unhideWhenUsed/>
    <w:rsid w:val="001C06F3"/>
    <w:pPr>
      <w:spacing w:after="100"/>
      <w:ind w:left="240"/>
    </w:pPr>
  </w:style>
  <w:style w:type="paragraph" w:styleId="TOC3">
    <w:name w:val="toc 3"/>
    <w:basedOn w:val="Normal"/>
    <w:next w:val="Normal"/>
    <w:autoRedefine/>
    <w:uiPriority w:val="39"/>
    <w:unhideWhenUsed/>
    <w:rsid w:val="00BE61AB"/>
    <w:pPr>
      <w:tabs>
        <w:tab w:val="right" w:leader="dot" w:pos="9016"/>
      </w:tabs>
      <w:spacing w:after="100"/>
      <w:ind w:left="480"/>
    </w:pPr>
    <w:rPr>
      <w:rFonts w:ascii="Arial" w:eastAsia="Arial" w:hAnsi="Arial" w:cs="Arial"/>
      <w:noProof/>
      <w:sz w:val="22"/>
      <w:szCs w:val="22"/>
    </w:rPr>
  </w:style>
  <w:style w:type="paragraph" w:styleId="NoSpacing">
    <w:name w:val="No Spacing"/>
    <w:link w:val="NoSpacingChar"/>
    <w:uiPriority w:val="1"/>
    <w:qFormat/>
    <w:rsid w:val="00BE61AB"/>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BE61AB"/>
    <w:rPr>
      <w:sz w:val="22"/>
      <w:szCs w:val="22"/>
      <w:lang w:val="en-US" w:eastAsia="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E92A3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ind.org.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mentalhealth.org.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mind.org.uk/information-support/types-of-mental-health-problems/statistics-and-facts-about-mental-health/"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hyperlink" Target="https://www.mentalhealth.org.uk/explore-mental-health/statistic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bbc28ab06dee9c9ad6d0bfe63528e31a">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8cc867dace6d4f1f2dc191f0a37d9ef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4481BF-E934-46E7-8306-8473D709D811}">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FDFE93A5-C951-494F-9E32-9D5A5199296C}">
  <ds:schemaRefs>
    <ds:schemaRef ds:uri="http://schemas.openxmlformats.org/officeDocument/2006/bibliography"/>
  </ds:schemaRefs>
</ds:datastoreItem>
</file>

<file path=customXml/itemProps4.xml><?xml version="1.0" encoding="utf-8"?>
<ds:datastoreItem xmlns:ds="http://schemas.openxmlformats.org/officeDocument/2006/customXml" ds:itemID="{120BAC22-1A0C-48E3-B32F-2E902456F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E063AC7-128F-4D3E-B604-77625A7C02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Pages>
  <Words>13041</Words>
  <Characters>74340</Characters>
  <Application>Microsoft Office Word</Application>
  <DocSecurity>0</DocSecurity>
  <Lines>619</Lines>
  <Paragraphs>174</Paragraphs>
  <ScaleCrop>false</ScaleCrop>
  <Company/>
  <LinksUpToDate>false</LinksUpToDate>
  <CharactersWithSpaces>87207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BMHP6020</dc:title>
  <dc:subject>To explore the barriers and challenges affecting ethnic minorities’ access to mental health services in the UK, with a focus on social, cultural, and systemic influences.</dc:subject>
  <dc:creator>2017884)</dc:creator>
  <cp:keywords/>
  <dc:description/>
  <cp:lastModifiedBy>Dilara Begum (2017884)</cp:lastModifiedBy>
  <cp:revision>10</cp:revision>
  <dcterms:created xsi:type="dcterms:W3CDTF">2026-02-03T10:04:00Z</dcterms:created>
  <dcterms:modified xsi:type="dcterms:W3CDTF">2026-03-23T11:01:00Z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bddc9780-52bd-4fb0-b79f-e87d1b9df66e</vt:lpwstr>
  </property>
  <property fmtid="{D5CDD505-2E9C-101B-9397-08002B2CF9AE}" pid="3" name="ContentTypeId">
    <vt:lpwstr>0x010100F79CC29ABECA4240AC0B18D52B09841D</vt:lpwstr>
  </property>
</Properties>
</file>