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3694852"/>
        <w:docPartObj>
          <w:docPartGallery w:val="Cover Pages"/>
          <w:docPartUnique/>
        </w:docPartObj>
      </w:sdtPr>
      <w:sdtContent>
        <w:p w14:paraId="26169641" w14:textId="73E75479" w:rsidR="00F1566B" w:rsidRDefault="00F1566B">
          <w:r>
            <w:rPr>
              <w:noProof/>
            </w:rPr>
            <mc:AlternateContent>
              <mc:Choice Requires="wpg">
                <w:drawing>
                  <wp:anchor distT="0" distB="0" distL="114300" distR="114300" simplePos="0" relativeHeight="251661312" behindDoc="0" locked="0" layoutInCell="1" allowOverlap="1" wp14:anchorId="4B8EF23C" wp14:editId="45EFD19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8ABFB18" w14:textId="5A85FEE7" w:rsidR="00F1566B" w:rsidRDefault="00AA65CC">
                                      <w:pPr>
                                        <w:pStyle w:val="NoSpacing"/>
                                        <w:spacing w:after="240"/>
                                        <w:jc w:val="right"/>
                                        <w:rPr>
                                          <w:color w:val="44546A" w:themeColor="text2"/>
                                          <w:spacing w:val="10"/>
                                          <w:sz w:val="36"/>
                                          <w:szCs w:val="36"/>
                                        </w:rPr>
                                      </w:pPr>
                                      <w:r w:rsidRPr="00AA65CC">
                                        <w:rPr>
                                          <w:color w:val="44546A" w:themeColor="text2"/>
                                          <w:spacing w:val="10"/>
                                          <w:sz w:val="36"/>
                                          <w:szCs w:val="36"/>
                                        </w:rPr>
                                        <w:t>STUDENT ID: 1916906</w:t>
                                      </w:r>
                                    </w:p>
                                  </w:sdtContent>
                                </w:sdt>
                                <w:p w14:paraId="08CC9B44" w14:textId="4B35BC7E" w:rsidR="00F1566B" w:rsidRDefault="00F1566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NAME:</w:t>
                                      </w:r>
                                    </w:sdtContent>
                                  </w:sdt>
                                  <w:r w:rsidR="00CD426D">
                                    <w:rPr>
                                      <w:color w:val="44546A" w:themeColor="text2"/>
                                      <w:spacing w:val="10"/>
                                      <w:sz w:val="28"/>
                                      <w:szCs w:val="28"/>
                                    </w:rPr>
                                    <w:t xml:space="preserve"> LACHEZAR NIKOLOV</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8EF23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8ABFB18" w14:textId="5A85FEE7" w:rsidR="00F1566B" w:rsidRDefault="00AA65CC">
                                <w:pPr>
                                  <w:pStyle w:val="NoSpacing"/>
                                  <w:spacing w:after="240"/>
                                  <w:jc w:val="right"/>
                                  <w:rPr>
                                    <w:color w:val="44546A" w:themeColor="text2"/>
                                    <w:spacing w:val="10"/>
                                    <w:sz w:val="36"/>
                                    <w:szCs w:val="36"/>
                                  </w:rPr>
                                </w:pPr>
                                <w:r w:rsidRPr="00AA65CC">
                                  <w:rPr>
                                    <w:color w:val="44546A" w:themeColor="text2"/>
                                    <w:spacing w:val="10"/>
                                    <w:sz w:val="36"/>
                                    <w:szCs w:val="36"/>
                                  </w:rPr>
                                  <w:t>STUDENT ID: 1916906</w:t>
                                </w:r>
                              </w:p>
                            </w:sdtContent>
                          </w:sdt>
                          <w:p w14:paraId="08CC9B44" w14:textId="4B35BC7E" w:rsidR="00F1566B" w:rsidRDefault="00F1566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NAME:</w:t>
                                </w:r>
                              </w:sdtContent>
                            </w:sdt>
                            <w:r w:rsidR="00CD426D">
                              <w:rPr>
                                <w:color w:val="44546A" w:themeColor="text2"/>
                                <w:spacing w:val="10"/>
                                <w:sz w:val="28"/>
                                <w:szCs w:val="28"/>
                              </w:rPr>
                              <w:t xml:space="preserve"> LACHEZAR NIKOLOV</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C48A058" wp14:editId="293C07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5C3A55" w14:textId="5A69B671" w:rsidR="00F1566B" w:rsidRDefault="00F1566B">
                                      <w:pPr>
                                        <w:pStyle w:val="NoSpacing"/>
                                        <w:spacing w:after="240" w:line="216" w:lineRule="auto"/>
                                        <w:rPr>
                                          <w:rFonts w:asciiTheme="majorHAnsi" w:hAnsiTheme="majorHAnsi"/>
                                          <w:color w:val="44546A" w:themeColor="text2"/>
                                          <w:spacing w:val="10"/>
                                          <w:sz w:val="36"/>
                                          <w:szCs w:val="36"/>
                                        </w:rPr>
                                      </w:pPr>
                                      <w:r w:rsidRPr="00F1566B">
                                        <w:rPr>
                                          <w:rFonts w:asciiTheme="majorHAnsi" w:hAnsiTheme="majorHAnsi"/>
                                          <w:color w:val="44546A" w:themeColor="text2"/>
                                          <w:spacing w:val="10"/>
                                          <w:sz w:val="36"/>
                                          <w:szCs w:val="36"/>
                                        </w:rPr>
                                        <w:t>Module Leader: Dr Konstantina Mari</w:t>
                                      </w:r>
                                      <w:r>
                                        <w:rPr>
                                          <w:rFonts w:asciiTheme="majorHAnsi" w:hAnsiTheme="majorHAnsi"/>
                                          <w:color w:val="44546A" w:themeColor="text2"/>
                                          <w:spacing w:val="10"/>
                                          <w:sz w:val="36"/>
                                          <w:szCs w:val="36"/>
                                        </w:rPr>
                                        <w:t>,</w:t>
                                      </w:r>
                                      <w:r w:rsidRPr="00F1566B">
                                        <w:rPr>
                                          <w:rFonts w:asciiTheme="majorHAnsi" w:hAnsiTheme="majorHAnsi"/>
                                          <w:color w:val="44546A" w:themeColor="text2"/>
                                          <w:spacing w:val="10"/>
                                          <w:sz w:val="36"/>
                                          <w:szCs w:val="36"/>
                                        </w:rPr>
                                        <w:t xml:space="preserve"> Dr </w:t>
                                      </w:r>
                                      <w:proofErr w:type="spellStart"/>
                                      <w:r w:rsidRPr="00F1566B">
                                        <w:rPr>
                                          <w:rFonts w:asciiTheme="majorHAnsi" w:hAnsiTheme="majorHAnsi"/>
                                          <w:color w:val="44546A" w:themeColor="text2"/>
                                          <w:spacing w:val="10"/>
                                          <w:sz w:val="36"/>
                                          <w:szCs w:val="36"/>
                                        </w:rPr>
                                        <w:t>Rexon</w:t>
                                      </w:r>
                                      <w:proofErr w:type="spellEnd"/>
                                      <w:r w:rsidRPr="00F1566B">
                                        <w:rPr>
                                          <w:rFonts w:asciiTheme="majorHAnsi" w:hAnsiTheme="majorHAnsi"/>
                                          <w:color w:val="44546A" w:themeColor="text2"/>
                                          <w:spacing w:val="10"/>
                                          <w:sz w:val="36"/>
                                          <w:szCs w:val="36"/>
                                        </w:rPr>
                                        <w:t xml:space="preserve"> </w:t>
                                      </w:r>
                                      <w:proofErr w:type="spellStart"/>
                                      <w:r w:rsidRPr="00F1566B">
                                        <w:rPr>
                                          <w:rFonts w:asciiTheme="majorHAnsi" w:hAnsiTheme="majorHAnsi"/>
                                          <w:color w:val="44546A" w:themeColor="text2"/>
                                          <w:spacing w:val="10"/>
                                          <w:sz w:val="36"/>
                                          <w:szCs w:val="36"/>
                                        </w:rPr>
                                        <w:t>Nting</w:t>
                                      </w:r>
                                      <w:proofErr w:type="spellEnd"/>
                                      <w:r>
                                        <w:rPr>
                                          <w:rFonts w:asciiTheme="majorHAnsi" w:hAnsiTheme="majorHAnsi"/>
                                          <w:color w:val="44546A" w:themeColor="text2"/>
                                          <w:spacing w:val="10"/>
                                          <w:sz w:val="36"/>
                                          <w:szCs w:val="36"/>
                                        </w:rPr>
                                        <w:t>,</w:t>
                                      </w:r>
                                      <w:r w:rsidRPr="00F1566B">
                                        <w:rPr>
                                          <w:rFonts w:asciiTheme="majorHAnsi" w:hAnsiTheme="majorHAnsi"/>
                                          <w:color w:val="44546A" w:themeColor="text2"/>
                                          <w:spacing w:val="10"/>
                                          <w:sz w:val="36"/>
                                          <w:szCs w:val="36"/>
                                        </w:rPr>
                                        <w:t xml:space="preserve"> Zainab Atta</w:t>
                                      </w:r>
                                    </w:p>
                                  </w:sdtContent>
                                </w:sdt>
                                <w:bookmarkStart w:id="0" w:name="_GoBack" w:displacedByCustomXml="nex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836CA5D" w14:textId="6EFB597D" w:rsidR="00F1566B" w:rsidRPr="00F1566B" w:rsidRDefault="00F1566B">
                                      <w:pPr>
                                        <w:pStyle w:val="NoSpacing"/>
                                        <w:spacing w:line="216" w:lineRule="auto"/>
                                        <w:rPr>
                                          <w:rFonts w:asciiTheme="majorHAnsi" w:hAnsiTheme="majorHAnsi"/>
                                          <w:caps/>
                                          <w:color w:val="44546A" w:themeColor="text2"/>
                                          <w:sz w:val="56"/>
                                          <w:szCs w:val="56"/>
                                        </w:rPr>
                                      </w:pPr>
                                      <w:r w:rsidRPr="00F1566B">
                                        <w:rPr>
                                          <w:rFonts w:asciiTheme="majorHAnsi" w:hAnsiTheme="majorHAnsi"/>
                                          <w:caps/>
                                          <w:color w:val="44546A" w:themeColor="text2"/>
                                          <w:sz w:val="56"/>
                                          <w:szCs w:val="56"/>
                                        </w:rPr>
                                        <w:t>LCBB6002</w:t>
                                      </w:r>
                                      <w:r w:rsidRPr="00F1566B">
                                        <w:rPr>
                                          <w:rFonts w:asciiTheme="majorHAnsi" w:hAnsiTheme="majorHAnsi"/>
                                          <w:caps/>
                                          <w:color w:val="44546A" w:themeColor="text2"/>
                                          <w:sz w:val="56"/>
                                          <w:szCs w:val="56"/>
                                        </w:rPr>
                                        <w:t xml:space="preserve"> international financial management</w:t>
                                      </w:r>
                                      <w:r>
                                        <w:rPr>
                                          <w:rFonts w:asciiTheme="majorHAnsi" w:hAnsiTheme="majorHAnsi"/>
                                          <w:caps/>
                                          <w:color w:val="44546A" w:themeColor="text2"/>
                                          <w:sz w:val="56"/>
                                          <w:szCs w:val="56"/>
                                        </w:rPr>
                                        <w:t xml:space="preserve"> a1</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48A05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5C3A55" w14:textId="5A69B671" w:rsidR="00F1566B" w:rsidRDefault="00F1566B">
                                <w:pPr>
                                  <w:pStyle w:val="NoSpacing"/>
                                  <w:spacing w:after="240" w:line="216" w:lineRule="auto"/>
                                  <w:rPr>
                                    <w:rFonts w:asciiTheme="majorHAnsi" w:hAnsiTheme="majorHAnsi"/>
                                    <w:color w:val="44546A" w:themeColor="text2"/>
                                    <w:spacing w:val="10"/>
                                    <w:sz w:val="36"/>
                                    <w:szCs w:val="36"/>
                                  </w:rPr>
                                </w:pPr>
                                <w:r w:rsidRPr="00F1566B">
                                  <w:rPr>
                                    <w:rFonts w:asciiTheme="majorHAnsi" w:hAnsiTheme="majorHAnsi"/>
                                    <w:color w:val="44546A" w:themeColor="text2"/>
                                    <w:spacing w:val="10"/>
                                    <w:sz w:val="36"/>
                                    <w:szCs w:val="36"/>
                                  </w:rPr>
                                  <w:t>Module Leader: Dr Konstantina Mari</w:t>
                                </w:r>
                                <w:r>
                                  <w:rPr>
                                    <w:rFonts w:asciiTheme="majorHAnsi" w:hAnsiTheme="majorHAnsi"/>
                                    <w:color w:val="44546A" w:themeColor="text2"/>
                                    <w:spacing w:val="10"/>
                                    <w:sz w:val="36"/>
                                    <w:szCs w:val="36"/>
                                  </w:rPr>
                                  <w:t>,</w:t>
                                </w:r>
                                <w:r w:rsidRPr="00F1566B">
                                  <w:rPr>
                                    <w:rFonts w:asciiTheme="majorHAnsi" w:hAnsiTheme="majorHAnsi"/>
                                    <w:color w:val="44546A" w:themeColor="text2"/>
                                    <w:spacing w:val="10"/>
                                    <w:sz w:val="36"/>
                                    <w:szCs w:val="36"/>
                                  </w:rPr>
                                  <w:t xml:space="preserve"> Dr </w:t>
                                </w:r>
                                <w:proofErr w:type="spellStart"/>
                                <w:r w:rsidRPr="00F1566B">
                                  <w:rPr>
                                    <w:rFonts w:asciiTheme="majorHAnsi" w:hAnsiTheme="majorHAnsi"/>
                                    <w:color w:val="44546A" w:themeColor="text2"/>
                                    <w:spacing w:val="10"/>
                                    <w:sz w:val="36"/>
                                    <w:szCs w:val="36"/>
                                  </w:rPr>
                                  <w:t>Rexon</w:t>
                                </w:r>
                                <w:proofErr w:type="spellEnd"/>
                                <w:r w:rsidRPr="00F1566B">
                                  <w:rPr>
                                    <w:rFonts w:asciiTheme="majorHAnsi" w:hAnsiTheme="majorHAnsi"/>
                                    <w:color w:val="44546A" w:themeColor="text2"/>
                                    <w:spacing w:val="10"/>
                                    <w:sz w:val="36"/>
                                    <w:szCs w:val="36"/>
                                  </w:rPr>
                                  <w:t xml:space="preserve"> </w:t>
                                </w:r>
                                <w:proofErr w:type="spellStart"/>
                                <w:r w:rsidRPr="00F1566B">
                                  <w:rPr>
                                    <w:rFonts w:asciiTheme="majorHAnsi" w:hAnsiTheme="majorHAnsi"/>
                                    <w:color w:val="44546A" w:themeColor="text2"/>
                                    <w:spacing w:val="10"/>
                                    <w:sz w:val="36"/>
                                    <w:szCs w:val="36"/>
                                  </w:rPr>
                                  <w:t>Nting</w:t>
                                </w:r>
                                <w:proofErr w:type="spellEnd"/>
                                <w:r>
                                  <w:rPr>
                                    <w:rFonts w:asciiTheme="majorHAnsi" w:hAnsiTheme="majorHAnsi"/>
                                    <w:color w:val="44546A" w:themeColor="text2"/>
                                    <w:spacing w:val="10"/>
                                    <w:sz w:val="36"/>
                                    <w:szCs w:val="36"/>
                                  </w:rPr>
                                  <w:t>,</w:t>
                                </w:r>
                                <w:r w:rsidRPr="00F1566B">
                                  <w:rPr>
                                    <w:rFonts w:asciiTheme="majorHAnsi" w:hAnsiTheme="majorHAnsi"/>
                                    <w:color w:val="44546A" w:themeColor="text2"/>
                                    <w:spacing w:val="10"/>
                                    <w:sz w:val="36"/>
                                    <w:szCs w:val="36"/>
                                  </w:rPr>
                                  <w:t xml:space="preserve"> Zainab Atta</w:t>
                                </w:r>
                              </w:p>
                            </w:sdtContent>
                          </w:sdt>
                          <w:bookmarkStart w:id="1" w:name="_GoBack" w:displacedByCustomXml="nex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836CA5D" w14:textId="6EFB597D" w:rsidR="00F1566B" w:rsidRPr="00F1566B" w:rsidRDefault="00F1566B">
                                <w:pPr>
                                  <w:pStyle w:val="NoSpacing"/>
                                  <w:spacing w:line="216" w:lineRule="auto"/>
                                  <w:rPr>
                                    <w:rFonts w:asciiTheme="majorHAnsi" w:hAnsiTheme="majorHAnsi"/>
                                    <w:caps/>
                                    <w:color w:val="44546A" w:themeColor="text2"/>
                                    <w:sz w:val="56"/>
                                    <w:szCs w:val="56"/>
                                  </w:rPr>
                                </w:pPr>
                                <w:r w:rsidRPr="00F1566B">
                                  <w:rPr>
                                    <w:rFonts w:asciiTheme="majorHAnsi" w:hAnsiTheme="majorHAnsi"/>
                                    <w:caps/>
                                    <w:color w:val="44546A" w:themeColor="text2"/>
                                    <w:sz w:val="56"/>
                                    <w:szCs w:val="56"/>
                                  </w:rPr>
                                  <w:t>LCBB6002</w:t>
                                </w:r>
                                <w:r w:rsidRPr="00F1566B">
                                  <w:rPr>
                                    <w:rFonts w:asciiTheme="majorHAnsi" w:hAnsiTheme="majorHAnsi"/>
                                    <w:caps/>
                                    <w:color w:val="44546A" w:themeColor="text2"/>
                                    <w:sz w:val="56"/>
                                    <w:szCs w:val="56"/>
                                  </w:rPr>
                                  <w:t xml:space="preserve"> international financial management</w:t>
                                </w:r>
                                <w:r>
                                  <w:rPr>
                                    <w:rFonts w:asciiTheme="majorHAnsi" w:hAnsiTheme="majorHAnsi"/>
                                    <w:caps/>
                                    <w:color w:val="44546A" w:themeColor="text2"/>
                                    <w:sz w:val="56"/>
                                    <w:szCs w:val="56"/>
                                  </w:rPr>
                                  <w:t xml:space="preserve"> a1</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EFB16F8" wp14:editId="01AD2B5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B895B2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E3C1889" w14:textId="6B6597FA" w:rsidR="00F1566B" w:rsidRDefault="00F1566B">
          <w:pPr>
            <w:spacing w:after="0" w:line="240" w:lineRule="auto"/>
          </w:pPr>
          <w:r>
            <w:br w:type="page"/>
          </w:r>
        </w:p>
      </w:sdtContent>
    </w:sdt>
    <w:sdt>
      <w:sdtPr>
        <w:rPr>
          <w:rFonts w:ascii="Arial" w:hAnsi="Arial" w:cs="Arial"/>
          <w:b w:val="0"/>
          <w:bCs w:val="0"/>
          <w:color w:val="auto"/>
        </w:rPr>
        <w:id w:val="116494741"/>
        <w:docPartObj>
          <w:docPartGallery w:val="Table of Contents"/>
          <w:docPartUnique/>
        </w:docPartObj>
      </w:sdtPr>
      <w:sdtEndPr>
        <w:rPr>
          <w:rFonts w:eastAsiaTheme="minorHAnsi"/>
          <w:noProof/>
          <w:sz w:val="24"/>
          <w:szCs w:val="22"/>
          <w:lang w:val="en-GB"/>
        </w:rPr>
      </w:sdtEndPr>
      <w:sdtContent>
        <w:p w14:paraId="73FC07E2" w14:textId="0CED378C" w:rsidR="00F1566B" w:rsidRPr="00F1566B" w:rsidRDefault="00F1566B" w:rsidP="00F1566B">
          <w:pPr>
            <w:pStyle w:val="TOCHeading"/>
            <w:jc w:val="center"/>
            <w:rPr>
              <w:rFonts w:ascii="Arial" w:hAnsi="Arial" w:cs="Arial"/>
              <w:b w:val="0"/>
              <w:bCs w:val="0"/>
              <w:color w:val="auto"/>
            </w:rPr>
          </w:pPr>
          <w:r w:rsidRPr="00F1566B">
            <w:rPr>
              <w:rFonts w:ascii="Arial" w:hAnsi="Arial" w:cs="Arial"/>
              <w:b w:val="0"/>
              <w:bCs w:val="0"/>
              <w:color w:val="auto"/>
            </w:rPr>
            <w:t>Table of Contents</w:t>
          </w:r>
        </w:p>
        <w:p w14:paraId="3068262C" w14:textId="3634165B" w:rsidR="00F1566B" w:rsidRPr="00F1566B" w:rsidRDefault="00F1566B" w:rsidP="00F1566B">
          <w:pPr>
            <w:pStyle w:val="TOC1"/>
            <w:tabs>
              <w:tab w:val="right" w:leader="dot" w:pos="9016"/>
            </w:tabs>
            <w:jc w:val="center"/>
            <w:rPr>
              <w:rFonts w:ascii="Arial" w:hAnsi="Arial" w:cs="Arial"/>
              <w:b w:val="0"/>
              <w:bCs w:val="0"/>
              <w:i w:val="0"/>
              <w:iCs w:val="0"/>
              <w:noProof/>
            </w:rPr>
          </w:pPr>
          <w:r w:rsidRPr="00F1566B">
            <w:rPr>
              <w:rFonts w:ascii="Arial" w:hAnsi="Arial" w:cs="Arial"/>
              <w:b w:val="0"/>
              <w:bCs w:val="0"/>
              <w:i w:val="0"/>
              <w:iCs w:val="0"/>
            </w:rPr>
            <w:fldChar w:fldCharType="begin"/>
          </w:r>
          <w:r w:rsidRPr="00F1566B">
            <w:rPr>
              <w:rFonts w:ascii="Arial" w:hAnsi="Arial" w:cs="Arial"/>
              <w:b w:val="0"/>
              <w:bCs w:val="0"/>
              <w:i w:val="0"/>
              <w:iCs w:val="0"/>
            </w:rPr>
            <w:instrText xml:space="preserve"> TOC \o "1-3" \h \z \u </w:instrText>
          </w:r>
          <w:r w:rsidRPr="00F1566B">
            <w:rPr>
              <w:rFonts w:ascii="Arial" w:hAnsi="Arial" w:cs="Arial"/>
              <w:b w:val="0"/>
              <w:bCs w:val="0"/>
              <w:i w:val="0"/>
              <w:iCs w:val="0"/>
            </w:rPr>
            <w:fldChar w:fldCharType="separate"/>
          </w:r>
          <w:hyperlink w:anchor="_Toc134186687" w:history="1">
            <w:r w:rsidRPr="00F1566B">
              <w:rPr>
                <w:rStyle w:val="Hyperlink"/>
                <w:rFonts w:ascii="Arial" w:hAnsi="Arial" w:cs="Arial"/>
                <w:b w:val="0"/>
                <w:bCs w:val="0"/>
                <w:i w:val="0"/>
                <w:iCs w:val="0"/>
                <w:noProof/>
                <w:color w:val="auto"/>
              </w:rPr>
              <w:t>Introduction</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_Toc134186687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2</w:t>
            </w:r>
            <w:r w:rsidRPr="00F1566B">
              <w:rPr>
                <w:rFonts w:ascii="Arial" w:hAnsi="Arial" w:cs="Arial"/>
                <w:b w:val="0"/>
                <w:bCs w:val="0"/>
                <w:i w:val="0"/>
                <w:iCs w:val="0"/>
                <w:noProof/>
                <w:webHidden/>
              </w:rPr>
              <w:fldChar w:fldCharType="end"/>
            </w:r>
          </w:hyperlink>
        </w:p>
        <w:p w14:paraId="268D4525" w14:textId="4BB5C5B8"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88" w:history="1">
            <w:r w:rsidRPr="00F1566B">
              <w:rPr>
                <w:rStyle w:val="Hyperlink"/>
                <w:rFonts w:ascii="Arial" w:hAnsi="Arial" w:cs="Arial"/>
                <w:b w:val="0"/>
                <w:bCs w:val="0"/>
                <w:i w:val="0"/>
                <w:iCs w:val="0"/>
                <w:noProof/>
                <w:color w:val="auto"/>
              </w:rPr>
              <w:t>Company Information</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_Toc134186688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2</w:t>
            </w:r>
            <w:r w:rsidRPr="00F1566B">
              <w:rPr>
                <w:rFonts w:ascii="Arial" w:hAnsi="Arial" w:cs="Arial"/>
                <w:b w:val="0"/>
                <w:bCs w:val="0"/>
                <w:i w:val="0"/>
                <w:iCs w:val="0"/>
                <w:noProof/>
                <w:webHidden/>
              </w:rPr>
              <w:fldChar w:fldCharType="end"/>
            </w:r>
          </w:hyperlink>
        </w:p>
        <w:p w14:paraId="14A26A25" w14:textId="032EFE90"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89" w:history="1">
            <w:r w:rsidRPr="00F1566B">
              <w:rPr>
                <w:rStyle w:val="Hyperlink"/>
                <w:rFonts w:ascii="Arial" w:hAnsi="Arial" w:cs="Arial"/>
                <w:b w:val="0"/>
                <w:bCs w:val="0"/>
                <w:i w:val="0"/>
                <w:iCs w:val="0"/>
                <w:noProof/>
                <w:color w:val="auto"/>
              </w:rPr>
              <w:t>IFM at Apple Inc</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_Toc134186689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2</w:t>
            </w:r>
            <w:r w:rsidRPr="00F1566B">
              <w:rPr>
                <w:rFonts w:ascii="Arial" w:hAnsi="Arial" w:cs="Arial"/>
                <w:b w:val="0"/>
                <w:bCs w:val="0"/>
                <w:i w:val="0"/>
                <w:iCs w:val="0"/>
                <w:noProof/>
                <w:webHidden/>
              </w:rPr>
              <w:fldChar w:fldCharType="end"/>
            </w:r>
          </w:hyperlink>
        </w:p>
        <w:p w14:paraId="35CECEC8" w14:textId="0AF04DD8"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0" w:history="1">
            <w:r w:rsidRPr="00F1566B">
              <w:rPr>
                <w:rStyle w:val="Hyperlink"/>
                <w:rFonts w:ascii="Arial" w:hAnsi="Arial" w:cs="Arial"/>
                <w:b w:val="0"/>
                <w:bCs w:val="0"/>
                <w:i w:val="0"/>
                <w:iCs w:val="0"/>
                <w:noProof/>
                <w:color w:val="auto"/>
              </w:rPr>
              <w:t>Dividend Distribution Policy</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_Toc134186690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3</w:t>
            </w:r>
            <w:r w:rsidRPr="00F1566B">
              <w:rPr>
                <w:rFonts w:ascii="Arial" w:hAnsi="Arial" w:cs="Arial"/>
                <w:b w:val="0"/>
                <w:bCs w:val="0"/>
                <w:i w:val="0"/>
                <w:iCs w:val="0"/>
                <w:noProof/>
                <w:webHidden/>
              </w:rPr>
              <w:fldChar w:fldCharType="end"/>
            </w:r>
          </w:hyperlink>
        </w:p>
        <w:p w14:paraId="59DF911E" w14:textId="6495AADB"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1" w:history="1">
            <w:r w:rsidRPr="00F1566B">
              <w:rPr>
                <w:rStyle w:val="Hyperlink"/>
                <w:rFonts w:ascii="Arial" w:hAnsi="Arial" w:cs="Arial"/>
                <w:b w:val="0"/>
                <w:bCs w:val="0"/>
                <w:i w:val="0"/>
                <w:iCs w:val="0"/>
                <w:noProof/>
                <w:color w:val="auto"/>
              </w:rPr>
              <w:t>Market Efficiency Hypothesis</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_Toc134186691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3</w:t>
            </w:r>
            <w:r w:rsidRPr="00F1566B">
              <w:rPr>
                <w:rFonts w:ascii="Arial" w:hAnsi="Arial" w:cs="Arial"/>
                <w:b w:val="0"/>
                <w:bCs w:val="0"/>
                <w:i w:val="0"/>
                <w:iCs w:val="0"/>
                <w:noProof/>
                <w:webHidden/>
              </w:rPr>
              <w:fldChar w:fldCharType="end"/>
            </w:r>
          </w:hyperlink>
        </w:p>
        <w:p w14:paraId="70CF0A28" w14:textId="3C7C46DA"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2" w:history="1">
            <w:r w:rsidRPr="00F1566B">
              <w:rPr>
                <w:rStyle w:val="Hyperlink"/>
                <w:rFonts w:ascii="Arial" w:hAnsi="Arial" w:cs="Arial"/>
                <w:b w:val="0"/>
                <w:bCs w:val="0"/>
                <w:i w:val="0"/>
                <w:iCs w:val="0"/>
                <w:noProof/>
                <w:color w:val="auto"/>
              </w:rPr>
              <w:t>Project Appraisal</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_Toc134186692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4</w:t>
            </w:r>
            <w:r w:rsidRPr="00F1566B">
              <w:rPr>
                <w:rFonts w:ascii="Arial" w:hAnsi="Arial" w:cs="Arial"/>
                <w:b w:val="0"/>
                <w:bCs w:val="0"/>
                <w:i w:val="0"/>
                <w:iCs w:val="0"/>
                <w:noProof/>
                <w:webHidden/>
              </w:rPr>
              <w:fldChar w:fldCharType="end"/>
            </w:r>
          </w:hyperlink>
        </w:p>
        <w:p w14:paraId="51C58DB3" w14:textId="0AC66942"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3" w:history="1">
            <w:r w:rsidRPr="00F1566B">
              <w:rPr>
                <w:rStyle w:val="Hyperlink"/>
                <w:rFonts w:ascii="Arial" w:hAnsi="Arial" w:cs="Arial"/>
                <w:b w:val="0"/>
                <w:bCs w:val="0"/>
                <w:i w:val="0"/>
                <w:iCs w:val="0"/>
                <w:noProof/>
                <w:color w:val="auto"/>
              </w:rPr>
              <w:t>Challenges in International Financial Markets</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_Toc134186693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4</w:t>
            </w:r>
            <w:r w:rsidRPr="00F1566B">
              <w:rPr>
                <w:rFonts w:ascii="Arial" w:hAnsi="Arial" w:cs="Arial"/>
                <w:b w:val="0"/>
                <w:bCs w:val="0"/>
                <w:i w:val="0"/>
                <w:iCs w:val="0"/>
                <w:noProof/>
                <w:webHidden/>
              </w:rPr>
              <w:fldChar w:fldCharType="end"/>
            </w:r>
          </w:hyperlink>
        </w:p>
        <w:p w14:paraId="22D9FEE5" w14:textId="0F4D258F"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4" w:history="1">
            <w:r w:rsidRPr="00F1566B">
              <w:rPr>
                <w:rStyle w:val="Hyperlink"/>
                <w:rFonts w:ascii="Arial" w:hAnsi="Arial" w:cs="Arial"/>
                <w:b w:val="0"/>
                <w:bCs w:val="0"/>
                <w:i w:val="0"/>
                <w:iCs w:val="0"/>
                <w:noProof/>
                <w:color w:val="auto"/>
              </w:rPr>
              <w:t>Conclusion</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_Toc134186694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5</w:t>
            </w:r>
            <w:r w:rsidRPr="00F1566B">
              <w:rPr>
                <w:rFonts w:ascii="Arial" w:hAnsi="Arial" w:cs="Arial"/>
                <w:b w:val="0"/>
                <w:bCs w:val="0"/>
                <w:i w:val="0"/>
                <w:iCs w:val="0"/>
                <w:noProof/>
                <w:webHidden/>
              </w:rPr>
              <w:fldChar w:fldCharType="end"/>
            </w:r>
          </w:hyperlink>
        </w:p>
        <w:p w14:paraId="20145C21" w14:textId="5C144462" w:rsidR="00F1566B" w:rsidRPr="00F1566B" w:rsidRDefault="00F1566B" w:rsidP="00F1566B">
          <w:pPr>
            <w:pStyle w:val="TOC1"/>
            <w:tabs>
              <w:tab w:val="right" w:leader="dot" w:pos="9016"/>
            </w:tabs>
            <w:jc w:val="center"/>
            <w:rPr>
              <w:rFonts w:ascii="Arial" w:hAnsi="Arial" w:cs="Arial"/>
              <w:b w:val="0"/>
              <w:bCs w:val="0"/>
              <w:i w:val="0"/>
              <w:iCs w:val="0"/>
              <w:noProof/>
            </w:rPr>
          </w:pPr>
          <w:hyperlink w:anchor="_Toc134186695" w:history="1">
            <w:r w:rsidRPr="00F1566B">
              <w:rPr>
                <w:rStyle w:val="Hyperlink"/>
                <w:rFonts w:ascii="Arial" w:hAnsi="Arial" w:cs="Arial"/>
                <w:b w:val="0"/>
                <w:bCs w:val="0"/>
                <w:i w:val="0"/>
                <w:iCs w:val="0"/>
                <w:noProof/>
                <w:color w:val="auto"/>
              </w:rPr>
              <w:t>References</w:t>
            </w:r>
            <w:r w:rsidRPr="00F1566B">
              <w:rPr>
                <w:rFonts w:ascii="Arial" w:hAnsi="Arial" w:cs="Arial"/>
                <w:b w:val="0"/>
                <w:bCs w:val="0"/>
                <w:i w:val="0"/>
                <w:iCs w:val="0"/>
                <w:noProof/>
                <w:webHidden/>
              </w:rPr>
              <w:tab/>
            </w:r>
            <w:r w:rsidRPr="00F1566B">
              <w:rPr>
                <w:rFonts w:ascii="Arial" w:hAnsi="Arial" w:cs="Arial"/>
                <w:b w:val="0"/>
                <w:bCs w:val="0"/>
                <w:i w:val="0"/>
                <w:iCs w:val="0"/>
                <w:noProof/>
                <w:webHidden/>
              </w:rPr>
              <w:fldChar w:fldCharType="begin"/>
            </w:r>
            <w:r w:rsidRPr="00F1566B">
              <w:rPr>
                <w:rFonts w:ascii="Arial" w:hAnsi="Arial" w:cs="Arial"/>
                <w:b w:val="0"/>
                <w:bCs w:val="0"/>
                <w:i w:val="0"/>
                <w:iCs w:val="0"/>
                <w:noProof/>
                <w:webHidden/>
              </w:rPr>
              <w:instrText xml:space="preserve"> PAGEREF _Toc134186695 \h </w:instrText>
            </w:r>
            <w:r w:rsidRPr="00F1566B">
              <w:rPr>
                <w:rFonts w:ascii="Arial" w:hAnsi="Arial" w:cs="Arial"/>
                <w:b w:val="0"/>
                <w:bCs w:val="0"/>
                <w:i w:val="0"/>
                <w:iCs w:val="0"/>
                <w:noProof/>
                <w:webHidden/>
              </w:rPr>
            </w:r>
            <w:r w:rsidRPr="00F1566B">
              <w:rPr>
                <w:rFonts w:ascii="Arial" w:hAnsi="Arial" w:cs="Arial"/>
                <w:b w:val="0"/>
                <w:bCs w:val="0"/>
                <w:i w:val="0"/>
                <w:iCs w:val="0"/>
                <w:noProof/>
                <w:webHidden/>
              </w:rPr>
              <w:fldChar w:fldCharType="separate"/>
            </w:r>
            <w:r w:rsidRPr="00F1566B">
              <w:rPr>
                <w:rFonts w:ascii="Arial" w:hAnsi="Arial" w:cs="Arial"/>
                <w:b w:val="0"/>
                <w:bCs w:val="0"/>
                <w:i w:val="0"/>
                <w:iCs w:val="0"/>
                <w:noProof/>
                <w:webHidden/>
              </w:rPr>
              <w:t>6</w:t>
            </w:r>
            <w:r w:rsidRPr="00F1566B">
              <w:rPr>
                <w:rFonts w:ascii="Arial" w:hAnsi="Arial" w:cs="Arial"/>
                <w:b w:val="0"/>
                <w:bCs w:val="0"/>
                <w:i w:val="0"/>
                <w:iCs w:val="0"/>
                <w:noProof/>
                <w:webHidden/>
              </w:rPr>
              <w:fldChar w:fldCharType="end"/>
            </w:r>
          </w:hyperlink>
        </w:p>
        <w:p w14:paraId="26C76735" w14:textId="10905A84" w:rsidR="00F1566B" w:rsidRPr="00F1566B" w:rsidRDefault="00F1566B" w:rsidP="00F1566B">
          <w:pPr>
            <w:jc w:val="center"/>
            <w:rPr>
              <w:rFonts w:cs="Arial"/>
            </w:rPr>
          </w:pPr>
          <w:r w:rsidRPr="00F1566B">
            <w:rPr>
              <w:rFonts w:cs="Arial"/>
              <w:noProof/>
            </w:rPr>
            <w:fldChar w:fldCharType="end"/>
          </w:r>
        </w:p>
      </w:sdtContent>
    </w:sdt>
    <w:p w14:paraId="2DF3D956" w14:textId="77777777" w:rsidR="00F1566B" w:rsidRDefault="00F1566B" w:rsidP="00F1566B"/>
    <w:p w14:paraId="5370A3DB" w14:textId="77777777" w:rsidR="00F1566B" w:rsidRDefault="00F1566B">
      <w:pPr>
        <w:spacing w:after="0" w:line="240" w:lineRule="auto"/>
      </w:pPr>
      <w:r>
        <w:br w:type="page"/>
      </w:r>
    </w:p>
    <w:p w14:paraId="66468E8C" w14:textId="18E3BCCC" w:rsidR="00F1566B" w:rsidRDefault="00F1566B" w:rsidP="00F1566B">
      <w:pPr>
        <w:pStyle w:val="Heading1"/>
      </w:pPr>
      <w:bookmarkStart w:id="2" w:name="_Toc134186687"/>
      <w:r>
        <w:lastRenderedPageBreak/>
        <w:t>Introduction</w:t>
      </w:r>
      <w:bookmarkEnd w:id="2"/>
    </w:p>
    <w:p w14:paraId="3BD78633" w14:textId="76900B44" w:rsidR="00F1566B" w:rsidRDefault="00F1566B" w:rsidP="00F1566B">
      <w:r>
        <w:t>Due to the expansion of many firms' operations outside of their home countries, the globalisation of financial markets has resulted in an increase in international commercial activity (Madura, 2017). In this situation, multinational businesses (MNCs) can successfully manage their financial resources across several nations with the aid of international financial management (IFM) (</w:t>
      </w:r>
      <w:proofErr w:type="spellStart"/>
      <w:r>
        <w:t>Eun</w:t>
      </w:r>
      <w:proofErr w:type="spellEnd"/>
      <w:r>
        <w:t xml:space="preserve"> &amp; Resnick, 2021). This paper examines and assesses the value of IFM for Apple Inc., a worldwide firm. The obstacles the corporation can face in various worldwide financial markets are also covered, along with how those challenges have been resolved. The essay will also assess Apple's dividend policy, the efficient market hypothesis theory in relation to its operations, and project appraisal techniques.</w:t>
      </w:r>
    </w:p>
    <w:p w14:paraId="0F0D2CD6" w14:textId="0BFA534E" w:rsidR="00F1566B" w:rsidRDefault="00F1566B" w:rsidP="00F1566B">
      <w:pPr>
        <w:pStyle w:val="Heading1"/>
      </w:pPr>
      <w:bookmarkStart w:id="3" w:name="_Toc134186688"/>
      <w:r>
        <w:t>Company Information</w:t>
      </w:r>
      <w:bookmarkEnd w:id="3"/>
    </w:p>
    <w:p w14:paraId="5644173C" w14:textId="77777777" w:rsidR="00F1566B" w:rsidRDefault="00F1566B" w:rsidP="00F1566B">
      <w:r>
        <w:t xml:space="preserve">Apple Inc. is a global American company that creates, produces, and markets consumer gadgets, software, and online services (Apple Inc., 2020). The company is well-established in </w:t>
      </w:r>
      <w:proofErr w:type="gramStart"/>
      <w:r>
        <w:t>a number of</w:t>
      </w:r>
      <w:proofErr w:type="gramEnd"/>
      <w:r>
        <w:t xml:space="preserve"> foreign markets, including those in Europe, Asia-Pacific, and the Americas. With an annual revenue of $365.7 billion in 2020, Apple will rank among the most valuable corporations in the world due to its financial performance (Apple Inc., 2020).</w:t>
      </w:r>
    </w:p>
    <w:p w14:paraId="0D3C484B" w14:textId="1D5A8DA9" w:rsidR="00F1566B" w:rsidRDefault="00F1566B" w:rsidP="00F1566B">
      <w:r>
        <w:t xml:space="preserve">IFM is important to Apple Inc. since it is essential to the company's foreign business operations. IFM for MNCs must include controlling foreign exchange risk as one of its key components. Due to its international operations, Apple is subject to changes in exchange rates. </w:t>
      </w:r>
      <w:proofErr w:type="gramStart"/>
      <w:r>
        <w:t>In order to</w:t>
      </w:r>
      <w:proofErr w:type="gramEnd"/>
      <w:r>
        <w:t xml:space="preserve"> effectively manage currency risk, the organisation must implement measures including forecasting and hedging (</w:t>
      </w:r>
      <w:proofErr w:type="spellStart"/>
      <w:r>
        <w:t>Eun</w:t>
      </w:r>
      <w:proofErr w:type="spellEnd"/>
      <w:r>
        <w:t xml:space="preserve"> &amp; Resnick, 2021).</w:t>
      </w:r>
    </w:p>
    <w:p w14:paraId="35F95A52" w14:textId="03E42D99" w:rsidR="00F1566B" w:rsidRDefault="00F1566B" w:rsidP="00F1566B">
      <w:pPr>
        <w:pStyle w:val="Heading1"/>
      </w:pPr>
      <w:bookmarkStart w:id="4" w:name="_Toc134186689"/>
      <w:r>
        <w:t>IFM at Apple Inc</w:t>
      </w:r>
      <w:bookmarkEnd w:id="4"/>
    </w:p>
    <w:p w14:paraId="5CAE2383" w14:textId="77777777" w:rsidR="00F1566B" w:rsidRDefault="00F1566B" w:rsidP="00F1566B">
      <w:r>
        <w:t xml:space="preserve">Apple places a lot of emphasis on controlling currency risk. The company addressed the potential risks it could encounter </w:t>
      </w:r>
      <w:proofErr w:type="gramStart"/>
      <w:r>
        <w:t>as a result of</w:t>
      </w:r>
      <w:proofErr w:type="gramEnd"/>
      <w:r>
        <w:t xml:space="preserve"> changes in foreign exchange rates in its 2020 annual report (Apple Inc., 2020). Forward contracts and option contracts are just two examples of the derivative financial instruments that Apple utilises to address these risks (Apple Inc., 2020). Apple can safeguard its earnings and make sure it can pay its financial obligations in many nations by efficiently managing foreign exchange risk.</w:t>
      </w:r>
    </w:p>
    <w:p w14:paraId="1F953042" w14:textId="77777777" w:rsidR="00F1566B" w:rsidRDefault="00F1566B" w:rsidP="00F1566B">
      <w:r>
        <w:t xml:space="preserve">The management of international tax issues is another component of IFM that is essential for Apple. MNCs like Apple must comply with intricate tax laws in various nations, which can negatively affect their financial performance. Apple has had to pay back taxes </w:t>
      </w:r>
      <w:proofErr w:type="spellStart"/>
      <w:r>
        <w:t>totaling</w:t>
      </w:r>
      <w:proofErr w:type="spellEnd"/>
      <w:r>
        <w:t xml:space="preserve"> billions of euros </w:t>
      </w:r>
      <w:proofErr w:type="gramStart"/>
      <w:r>
        <w:t>as a result of</w:t>
      </w:r>
      <w:proofErr w:type="gramEnd"/>
      <w:r>
        <w:t xml:space="preserve"> numerous high-profile tax disputes with the European Union (Reuters, 2021).</w:t>
      </w:r>
    </w:p>
    <w:p w14:paraId="39691B62" w14:textId="77777777" w:rsidR="00F1566B" w:rsidRDefault="00F1566B" w:rsidP="00F1566B">
      <w:r>
        <w:t xml:space="preserve">Apple uses subsidiaries in countries with low taxes, including Ireland, as part of its sophisticated tax planning strategy. </w:t>
      </w:r>
      <w:proofErr w:type="gramStart"/>
      <w:r>
        <w:t>In order to</w:t>
      </w:r>
      <w:proofErr w:type="gramEnd"/>
      <w:r>
        <w:t xml:space="preserve"> distribute revenues to various companies and lessen its overall tax bill, the corporation also uses transfer pricing </w:t>
      </w:r>
      <w:r>
        <w:lastRenderedPageBreak/>
        <w:t>(Reuters, 2021). However, Apple's tax strategies have come under fire, and the corporation has recently been the target of more regulation.</w:t>
      </w:r>
    </w:p>
    <w:p w14:paraId="79E4F16E" w14:textId="77777777" w:rsidR="00F1566B" w:rsidRDefault="00F1566B" w:rsidP="00F1566B">
      <w:pPr>
        <w:pStyle w:val="Heading1"/>
      </w:pPr>
      <w:bookmarkStart w:id="5" w:name="_Toc134186690"/>
      <w:r>
        <w:t>Dividend Distribution Policy</w:t>
      </w:r>
      <w:bookmarkEnd w:id="5"/>
    </w:p>
    <w:p w14:paraId="104C5C6A" w14:textId="5B76DC0E" w:rsidR="00F1566B" w:rsidRDefault="00F1566B" w:rsidP="00F1566B">
      <w:r>
        <w:t xml:space="preserve">A key component of Apple's overall financial management approach is the company's dividend distribution policy. The dividend policy of the corporation has changed a lot in recent years. For the first time since 1995, Apple declared in 2012 that it will start paying dividends to its stockholders. Since that time, the business has raised its dividend </w:t>
      </w:r>
      <w:proofErr w:type="spellStart"/>
      <w:r>
        <w:t>payouts</w:t>
      </w:r>
      <w:proofErr w:type="spellEnd"/>
      <w:r>
        <w:t xml:space="preserve"> and bought back billions of dollars' worth of shares (Apple Inc., 2020).</w:t>
      </w:r>
    </w:p>
    <w:p w14:paraId="5C8211DE" w14:textId="77777777" w:rsidR="00F1566B" w:rsidRDefault="00F1566B" w:rsidP="00F1566B">
      <w:r>
        <w:t>Apple's cash position, shareholder preferences, and financial performance are only a few of the variables that affect the company's dividend policy. The business has regularly produced substantial amounts of cash flow, enabling it to repurchase shares and pay dividends (Apple Inc., 2020).</w:t>
      </w:r>
    </w:p>
    <w:p w14:paraId="04F456CE" w14:textId="77777777" w:rsidR="00F1566B" w:rsidRDefault="00F1566B" w:rsidP="00F1566B">
      <w:r>
        <w:t xml:space="preserve">Apple's cash position, shareholder preferences, and financial performance are only a few of the variables that affect the company's dividend policy. Apple regularly generated substantial amounts of cash flow, which allowed it to pay dividends and engage in share repurchases, according to the company's 2020 annual report (Apple Inc., 2020). Apple showed its dedication to maximising shareholder value in 2020 by returning over $90 billion to shareholders through dividends and share repurchases (Apple Inc., 2020). Since 2012, the business has increased its dividend </w:t>
      </w:r>
      <w:proofErr w:type="spellStart"/>
      <w:r>
        <w:t>payouts</w:t>
      </w:r>
      <w:proofErr w:type="spellEnd"/>
      <w:r>
        <w:t xml:space="preserve"> every year. In April 2021, a 5% increase was announced (Apple Inc., 2021). Apple's dividend policy, nevertheless, has also come under fire, with some investors and analysts claiming that the corporation need to be more aggressive in paying out dividends to its shareholders (</w:t>
      </w:r>
      <w:proofErr w:type="spellStart"/>
      <w:r>
        <w:t>Bakshi</w:t>
      </w:r>
      <w:proofErr w:type="spellEnd"/>
      <w:r>
        <w:t>, 2021).</w:t>
      </w:r>
    </w:p>
    <w:p w14:paraId="2CB2D88E" w14:textId="1975DF39" w:rsidR="00F1566B" w:rsidRDefault="00F1566B" w:rsidP="00F1566B">
      <w:pPr>
        <w:pStyle w:val="Heading1"/>
      </w:pPr>
      <w:bookmarkStart w:id="6" w:name="_Toc134186691"/>
      <w:r>
        <w:t xml:space="preserve">Market </w:t>
      </w:r>
      <w:r>
        <w:t>E</w:t>
      </w:r>
      <w:r>
        <w:t xml:space="preserve">fficiency </w:t>
      </w:r>
      <w:r>
        <w:t>H</w:t>
      </w:r>
      <w:r>
        <w:t>ypothesis</w:t>
      </w:r>
      <w:bookmarkEnd w:id="6"/>
    </w:p>
    <w:p w14:paraId="642A9082" w14:textId="77777777" w:rsidR="00F1566B" w:rsidRDefault="00F1566B" w:rsidP="00F1566B">
      <w:r>
        <w:t>According to the Efficient Market Hypothesis (EMH), asset prices accurately reflect all available information and financial markets are efficient. For multinational corporations (MNCs) like Apple that participate in global financial markets, the EMH has important consequences.</w:t>
      </w:r>
    </w:p>
    <w:p w14:paraId="4FF6ABA9" w14:textId="77777777" w:rsidR="00F1566B" w:rsidRDefault="00F1566B" w:rsidP="00F1566B">
      <w:r>
        <w:t>According to the Efficient Market Hypothesis (EMH), asset prices accurately reflect all available information and financial markets are efficient (</w:t>
      </w:r>
      <w:proofErr w:type="spellStart"/>
      <w:r>
        <w:t>Fama</w:t>
      </w:r>
      <w:proofErr w:type="spellEnd"/>
      <w:r>
        <w:t xml:space="preserve">, 1970). The values of financial assets, including currencies, represent all information available in a market that is functioning efficiently. </w:t>
      </w:r>
      <w:proofErr w:type="gramStart"/>
      <w:r>
        <w:t>So</w:t>
      </w:r>
      <w:proofErr w:type="gramEnd"/>
      <w:r>
        <w:t xml:space="preserve"> it can be difficult for MNCs to use their financial activities, like hedging or speculative trading, to gain a competitive edge. Apple may access superior information and resources than smaller businesses due to its scale and market dominance, which could provide it a competitive edge in the financial markets (Stigler, 1961).</w:t>
      </w:r>
    </w:p>
    <w:p w14:paraId="45244378" w14:textId="77777777" w:rsidR="00F1566B" w:rsidRDefault="00F1566B" w:rsidP="00F1566B">
      <w:r>
        <w:t xml:space="preserve">The values of financial assets, including currencies, represent all information available in a market that is functioning efficiently. </w:t>
      </w:r>
      <w:proofErr w:type="gramStart"/>
      <w:r>
        <w:t>So</w:t>
      </w:r>
      <w:proofErr w:type="gramEnd"/>
      <w:r>
        <w:t xml:space="preserve"> it can be difficult for MNCs to </w:t>
      </w:r>
      <w:r>
        <w:lastRenderedPageBreak/>
        <w:t>use their financial activities, like hedging or speculative trading, to gain a competitive edge. Apple can access superior information and resources than smaller businesses due to its size and market dominance, which could provide it a competitive edge in the financial markets.</w:t>
      </w:r>
    </w:p>
    <w:p w14:paraId="1B3D1A9A" w14:textId="4E660E2C" w:rsidR="00F1566B" w:rsidRDefault="00F1566B" w:rsidP="00F1566B">
      <w:pPr>
        <w:pStyle w:val="Heading1"/>
      </w:pPr>
      <w:bookmarkStart w:id="7" w:name="_Toc134186692"/>
      <w:r>
        <w:t xml:space="preserve">Project </w:t>
      </w:r>
      <w:r>
        <w:t>Appraisal</w:t>
      </w:r>
      <w:bookmarkEnd w:id="7"/>
    </w:p>
    <w:p w14:paraId="12324EC7" w14:textId="77777777" w:rsidR="00F1566B" w:rsidRDefault="00F1566B" w:rsidP="00F1566B">
      <w:r>
        <w:t xml:space="preserve">The evaluation of projects is a crucial component of IFM since it enables MNCs like Apple to assess the advantages and disadvantages of financing various projects in international markets. Apple uses </w:t>
      </w:r>
      <w:proofErr w:type="gramStart"/>
      <w:r>
        <w:t>a number of</w:t>
      </w:r>
      <w:proofErr w:type="gramEnd"/>
      <w:r>
        <w:t xml:space="preserve"> techniques to evaluate its projects, including the internal rate of return (IRR), payback period, and net present value (NPV) method.</w:t>
      </w:r>
    </w:p>
    <w:p w14:paraId="2F04F10D" w14:textId="77777777" w:rsidR="00F1566B" w:rsidRDefault="00F1566B" w:rsidP="00F1566B">
      <w:r>
        <w:t xml:space="preserve">Project evaluation is a crucial component of IFM since it enables MNCs like Apple to assess the advantages and disadvantages of funding various projects in foreign markets (Pinto et al., 2015). Apple uses </w:t>
      </w:r>
      <w:proofErr w:type="gramStart"/>
      <w:r>
        <w:t>a number of</w:t>
      </w:r>
      <w:proofErr w:type="gramEnd"/>
      <w:r>
        <w:t xml:space="preserve"> techniques to evaluate its projects, including the internal rate of return (IRR), payback period, and net present value (NPV) method. For determining whether investment projects would be profitable, many people use the NPV technique (Titman, 1985). Apple evaluates potential projects' anticipated cash flows and discounts them back to their present value using the NPV approach. If the NPV is positive, this means the project will likely be lucrative, and Apple may decide to invest.</w:t>
      </w:r>
    </w:p>
    <w:p w14:paraId="6BA04182" w14:textId="77777777" w:rsidR="00F1566B" w:rsidRDefault="00F1566B" w:rsidP="00F1566B">
      <w:r>
        <w:t>Apple also assesses the profitability of investment projects using the IRR approach. According to Brealey et al. (2017), the IRR is the rate of return that compares the present value of the project's cash inflows to the initial investment. If the project's IRR is larger, it means it will be more profitable, and Apple may decide to invest in it. Apple employs the payback period, a simple measure, to determine how long it will take to recover the original expenditure in a project (Bierman and Smidt, 2006). Apple may think about investing in the project if the payback period is less than the anticipated project lifespan.</w:t>
      </w:r>
    </w:p>
    <w:p w14:paraId="7DFE047F" w14:textId="77777777" w:rsidR="00F1566B" w:rsidRDefault="00F1566B" w:rsidP="00F1566B">
      <w:r>
        <w:t>For determining if investment projects will be profitable, many people use the NPV approach. Apple evaluates potential projects' anticipated cash flows and discounts them back to their present value using the NPV approach. If the NPV is positive, this means the project will likely be lucrative, and Apple may decide to invest.</w:t>
      </w:r>
    </w:p>
    <w:p w14:paraId="14FF681D" w14:textId="77777777" w:rsidR="00F1566B" w:rsidRDefault="00F1566B" w:rsidP="00F1566B">
      <w:r>
        <w:t>Apple utilises a simple metric called the payback period to calculate how long it will take a project to make back its initial expenditure. Apple may think about investing in the project if the payback period is less than the anticipated project lifespan.</w:t>
      </w:r>
    </w:p>
    <w:p w14:paraId="0FCAFAB5" w14:textId="77777777" w:rsidR="00F1566B" w:rsidRDefault="00F1566B" w:rsidP="00F1566B">
      <w:pPr>
        <w:pStyle w:val="Heading1"/>
      </w:pPr>
      <w:bookmarkStart w:id="8" w:name="_Toc134186693"/>
      <w:r>
        <w:t>Challenges in International Financial Markets</w:t>
      </w:r>
      <w:bookmarkEnd w:id="8"/>
    </w:p>
    <w:p w14:paraId="2549CA46" w14:textId="43C24B2E" w:rsidR="00F1566B" w:rsidRDefault="00F1566B" w:rsidP="00F1566B">
      <w:r>
        <w:t xml:space="preserve">According to Rugman and Verbeke (2001), MNCs like Apple confront </w:t>
      </w:r>
      <w:proofErr w:type="gramStart"/>
      <w:r>
        <w:t>a number of</w:t>
      </w:r>
      <w:proofErr w:type="gramEnd"/>
      <w:r>
        <w:t xml:space="preserve"> difficulties in international financial markets. The fluctuation of exchange rates is one of the biggest obstacles. Given that Apple works in numerous nations and derives a sizable amount of its revenue from international markets, exchange rate fluctuations </w:t>
      </w:r>
      <w:r>
        <w:lastRenderedPageBreak/>
        <w:t xml:space="preserve">can have a major impact on the company's financial performance. The intricacy of international tax laws is another difficulty for Apple in the global financial markets. MNCs like Apple must manage intricate tax regulations in several nations, which can be time-consuming and costly. Increased regulation in this area could have a substantial influence on the company's financial performance because the tax practises of the corporation have come under fire (Eden and </w:t>
      </w:r>
      <w:proofErr w:type="spellStart"/>
      <w:r>
        <w:t>Wouter</w:t>
      </w:r>
      <w:proofErr w:type="spellEnd"/>
      <w:r>
        <w:t>, 2015).</w:t>
      </w:r>
    </w:p>
    <w:p w14:paraId="1AE19994" w14:textId="77777777" w:rsidR="00F1566B" w:rsidRDefault="00F1566B" w:rsidP="00F1566B">
      <w:r>
        <w:t xml:space="preserve">MNCs like Apple encounter </w:t>
      </w:r>
      <w:proofErr w:type="gramStart"/>
      <w:r>
        <w:t>a number of</w:t>
      </w:r>
      <w:proofErr w:type="gramEnd"/>
      <w:r>
        <w:t xml:space="preserve"> difficulties in the global financial markets. The fluctuation of exchange rates is one of the biggest obstacles. Given that Apple works in numerous nations and derives a sizable amount of its revenue from international markets, exchange rate fluctuations can have a major impact on the company's financial performance.</w:t>
      </w:r>
    </w:p>
    <w:p w14:paraId="5BCD7471" w14:textId="7900A0CE" w:rsidR="00F1566B" w:rsidRDefault="00F1566B" w:rsidP="00F1566B">
      <w:r>
        <w:t>The intricacy of international tax laws is another difficulty for Apple in the global financial markets. MNCs like Apple must manage intricate tax regulations in several nations, which can be time-consuming and costly. Increased regulation in this area could have a substantial influence on the company's financial performance because the tax practises of the corporation have come under fire.</w:t>
      </w:r>
    </w:p>
    <w:p w14:paraId="282601BD" w14:textId="26F48C01" w:rsidR="00F1566B" w:rsidRDefault="00F1566B" w:rsidP="00F1566B">
      <w:pPr>
        <w:pStyle w:val="Heading1"/>
      </w:pPr>
      <w:bookmarkStart w:id="9" w:name="_Toc134186694"/>
      <w:r>
        <w:t>Conclusion</w:t>
      </w:r>
      <w:bookmarkEnd w:id="9"/>
    </w:p>
    <w:p w14:paraId="73F8FD4C" w14:textId="77777777" w:rsidR="00F1566B" w:rsidRDefault="00F1566B" w:rsidP="00F1566B">
      <w:r>
        <w:t xml:space="preserve">IFM is critical to the success of large international companies like Apple, it might be said. For MNCs functioning in international financial markets, managing foreign exchange </w:t>
      </w:r>
      <w:proofErr w:type="gramStart"/>
      <w:r>
        <w:t>risk</w:t>
      </w:r>
      <w:proofErr w:type="gramEnd"/>
      <w:r>
        <w:t xml:space="preserve"> and dealing with tax matters internationally are essential components of IFM. Apple employs a comprehensive approach to financial management, which entails efficient risk management and tax planning.</w:t>
      </w:r>
    </w:p>
    <w:p w14:paraId="321A3C2E" w14:textId="77777777" w:rsidR="00F1566B" w:rsidRDefault="00F1566B" w:rsidP="00F1566B">
      <w:r>
        <w:t xml:space="preserve">Also crucial to Apple's overall financial management strategy are its dividend distribution policy, efficient market hypothesis theory, and project assessment techniques. Apple has </w:t>
      </w:r>
      <w:proofErr w:type="gramStart"/>
      <w:r>
        <w:t>a number of</w:t>
      </w:r>
      <w:proofErr w:type="gramEnd"/>
      <w:r>
        <w:t xml:space="preserve"> difficulties in the global financial markets, including fluctuating exchange rates and intricate international tax laws. Apple can sustain its financial success and remain one of the most valuable firms in the world by </w:t>
      </w:r>
      <w:proofErr w:type="spellStart"/>
      <w:r>
        <w:t>skillfully</w:t>
      </w:r>
      <w:proofErr w:type="spellEnd"/>
      <w:r>
        <w:t xml:space="preserve"> handling these difficulties.</w:t>
      </w:r>
    </w:p>
    <w:p w14:paraId="33837605" w14:textId="77777777" w:rsidR="00F1566B" w:rsidRDefault="00F1566B" w:rsidP="00F1566B"/>
    <w:p w14:paraId="54DA537F" w14:textId="56C22021" w:rsidR="00F1566B" w:rsidRDefault="00F1566B" w:rsidP="0043767A"/>
    <w:p w14:paraId="70577F88" w14:textId="6A7AAB89" w:rsidR="00F1566B" w:rsidRDefault="00F1566B" w:rsidP="0043767A"/>
    <w:p w14:paraId="7F138600" w14:textId="2B08A909" w:rsidR="00F1566B" w:rsidRDefault="00F1566B" w:rsidP="0043767A"/>
    <w:p w14:paraId="06497BA4" w14:textId="4C18ECFD" w:rsidR="00F1566B" w:rsidRDefault="00F1566B" w:rsidP="0043767A"/>
    <w:p w14:paraId="73487867" w14:textId="3E400719" w:rsidR="00F1566B" w:rsidRDefault="00F1566B" w:rsidP="0043767A"/>
    <w:p w14:paraId="395D1157" w14:textId="426F067B" w:rsidR="00F1566B" w:rsidRDefault="00F1566B" w:rsidP="0043767A"/>
    <w:p w14:paraId="709D23FC" w14:textId="77777777" w:rsidR="00F1566B" w:rsidRDefault="00F1566B" w:rsidP="0043767A"/>
    <w:p w14:paraId="769683A5" w14:textId="2DBD49B6" w:rsidR="00F1566B" w:rsidRDefault="00F1566B" w:rsidP="00F1566B">
      <w:pPr>
        <w:pStyle w:val="Heading1"/>
      </w:pPr>
      <w:bookmarkStart w:id="10" w:name="_Toc134186695"/>
      <w:r>
        <w:lastRenderedPageBreak/>
        <w:t>References</w:t>
      </w:r>
      <w:bookmarkEnd w:id="10"/>
    </w:p>
    <w:p w14:paraId="0D1C1F37" w14:textId="77777777" w:rsidR="00F1566B" w:rsidRDefault="00F1566B" w:rsidP="00F1566B">
      <w:r>
        <w:t xml:space="preserve">Madura, J. (2017). </w:t>
      </w:r>
      <w:r w:rsidRPr="00F1566B">
        <w:rPr>
          <w:i/>
          <w:iCs/>
        </w:rPr>
        <w:t>International financial management</w:t>
      </w:r>
      <w:r>
        <w:t>. Cengage Learning.</w:t>
      </w:r>
    </w:p>
    <w:p w14:paraId="0AE63DE7" w14:textId="77777777" w:rsidR="00F1566B" w:rsidRDefault="00F1566B" w:rsidP="00F1566B">
      <w:proofErr w:type="spellStart"/>
      <w:r>
        <w:t>Eun</w:t>
      </w:r>
      <w:proofErr w:type="spellEnd"/>
      <w:r>
        <w:t xml:space="preserve">, C. S., &amp; Resnick, B. G. (2021). </w:t>
      </w:r>
      <w:r w:rsidRPr="00F1566B">
        <w:rPr>
          <w:i/>
          <w:iCs/>
        </w:rPr>
        <w:t>International financial management</w:t>
      </w:r>
      <w:r>
        <w:t>. McGraw-Hill Education.</w:t>
      </w:r>
    </w:p>
    <w:p w14:paraId="3DE16DE2" w14:textId="30724BBF" w:rsidR="00F1566B" w:rsidRDefault="00F1566B" w:rsidP="00F1566B">
      <w:r>
        <w:t xml:space="preserve">Apple Inc. (2020). </w:t>
      </w:r>
      <w:r w:rsidRPr="00F1566B">
        <w:rPr>
          <w:i/>
          <w:iCs/>
        </w:rPr>
        <w:t>Form 10-K Annual Report 2020</w:t>
      </w:r>
      <w:r>
        <w:t xml:space="preserve">. </w:t>
      </w:r>
      <w:hyperlink r:id="rId7" w:history="1">
        <w:r w:rsidRPr="007360B1">
          <w:rPr>
            <w:rStyle w:val="Hyperlink"/>
          </w:rPr>
          <w:t>https://www.apple.com/investor/annual-reports/</w:t>
        </w:r>
      </w:hyperlink>
      <w:r>
        <w:t xml:space="preserve"> [Accessed: 02/05/2023].</w:t>
      </w:r>
    </w:p>
    <w:p w14:paraId="0C413BF7" w14:textId="74A91DFB" w:rsidR="00F1566B" w:rsidRDefault="00F1566B" w:rsidP="00F1566B">
      <w:r>
        <w:t xml:space="preserve">Reuters. (2021, May 12). Explainer: Why is Apple being sued for $14 billion in Irish taxes? </w:t>
      </w:r>
      <w:r w:rsidRPr="00F1566B">
        <w:rPr>
          <w:i/>
          <w:iCs/>
        </w:rPr>
        <w:t>Reuters</w:t>
      </w:r>
      <w:r>
        <w:t xml:space="preserve">. </w:t>
      </w:r>
      <w:hyperlink r:id="rId8" w:history="1">
        <w:r w:rsidRPr="007360B1">
          <w:rPr>
            <w:rStyle w:val="Hyperlink"/>
          </w:rPr>
          <w:t>https://www.reuters.com/business/explainer-why-is-apple-being-sued-14-billion-irish-taxes-2021-05-12/</w:t>
        </w:r>
      </w:hyperlink>
      <w:r>
        <w:t xml:space="preserve"> </w:t>
      </w:r>
      <w:r>
        <w:t>[Accessed: 02/05/2023].</w:t>
      </w:r>
    </w:p>
    <w:p w14:paraId="3DA6236F" w14:textId="532074AC" w:rsidR="00F1566B" w:rsidRDefault="00F1566B" w:rsidP="00F1566B">
      <w:proofErr w:type="spellStart"/>
      <w:r>
        <w:t>Bakshi</w:t>
      </w:r>
      <w:proofErr w:type="spellEnd"/>
      <w:r>
        <w:t xml:space="preserve">, J. (2021, April 30). What's next for Apple's dividend strategy? </w:t>
      </w:r>
      <w:r w:rsidRPr="00F1566B">
        <w:rPr>
          <w:i/>
          <w:iCs/>
        </w:rPr>
        <w:t>The Motley Fool</w:t>
      </w:r>
      <w:r>
        <w:t xml:space="preserve">. </w:t>
      </w:r>
      <w:hyperlink r:id="rId9" w:history="1">
        <w:r w:rsidRPr="007360B1">
          <w:rPr>
            <w:rStyle w:val="Hyperlink"/>
          </w:rPr>
          <w:t>https://www.fool.com/investing/2021/04/30/whats-next-for-apples-dividend-strategy/</w:t>
        </w:r>
      </w:hyperlink>
      <w:r>
        <w:t xml:space="preserve"> </w:t>
      </w:r>
      <w:r>
        <w:t>[Accessed: 02/05/2023].</w:t>
      </w:r>
    </w:p>
    <w:p w14:paraId="29AA35B6" w14:textId="77777777" w:rsidR="00F1566B" w:rsidRDefault="00F1566B" w:rsidP="00F1566B">
      <w:proofErr w:type="spellStart"/>
      <w:r>
        <w:t>Fama</w:t>
      </w:r>
      <w:proofErr w:type="spellEnd"/>
      <w:r>
        <w:t xml:space="preserve">, E. F. (1970). Efficient capital markets: A review of theory and empirical work. </w:t>
      </w:r>
      <w:r w:rsidRPr="00F1566B">
        <w:rPr>
          <w:i/>
          <w:iCs/>
        </w:rPr>
        <w:t>The Journal of Finance</w:t>
      </w:r>
      <w:r>
        <w:t>, 25(</w:t>
      </w:r>
      <w:r w:rsidRPr="00F1566B">
        <w:rPr>
          <w:b/>
          <w:bCs/>
        </w:rPr>
        <w:t>2</w:t>
      </w:r>
      <w:r>
        <w:t>), 383-417.</w:t>
      </w:r>
    </w:p>
    <w:p w14:paraId="01DB5F89" w14:textId="77777777" w:rsidR="00F1566B" w:rsidRDefault="00F1566B" w:rsidP="00F1566B">
      <w:r>
        <w:t xml:space="preserve">Stigler, G. J. (1961). The economics of information. </w:t>
      </w:r>
      <w:r w:rsidRPr="00F1566B">
        <w:rPr>
          <w:i/>
          <w:iCs/>
        </w:rPr>
        <w:t>The Journal of Political Economy</w:t>
      </w:r>
      <w:r>
        <w:t>, 69(</w:t>
      </w:r>
      <w:r w:rsidRPr="00F1566B">
        <w:rPr>
          <w:b/>
          <w:bCs/>
        </w:rPr>
        <w:t>3</w:t>
      </w:r>
      <w:r>
        <w:t>), 213-225.</w:t>
      </w:r>
    </w:p>
    <w:p w14:paraId="7BB15334" w14:textId="77777777" w:rsidR="00F1566B" w:rsidRDefault="00F1566B" w:rsidP="00F1566B">
      <w:r>
        <w:t xml:space="preserve">Rugman, A. M., &amp; Verbeke, A. (2001). Subsidiary-specific advantages in multinational enterprises. </w:t>
      </w:r>
      <w:r w:rsidRPr="00F1566B">
        <w:rPr>
          <w:i/>
          <w:iCs/>
        </w:rPr>
        <w:t>Strategic management journal</w:t>
      </w:r>
      <w:r>
        <w:t>, 22(</w:t>
      </w:r>
      <w:r w:rsidRPr="00F1566B">
        <w:rPr>
          <w:b/>
          <w:bCs/>
        </w:rPr>
        <w:t>3</w:t>
      </w:r>
      <w:r>
        <w:t>), 237-250.</w:t>
      </w:r>
    </w:p>
    <w:p w14:paraId="51C18629" w14:textId="5CD1F8FC" w:rsidR="00F1566B" w:rsidRDefault="00F1566B" w:rsidP="00F1566B">
      <w:r>
        <w:t xml:space="preserve">Eden, L., &amp; </w:t>
      </w:r>
      <w:proofErr w:type="spellStart"/>
      <w:r>
        <w:t>Wouter</w:t>
      </w:r>
      <w:proofErr w:type="spellEnd"/>
      <w:r>
        <w:t xml:space="preserve">, D. (2015). Multinationals and the </w:t>
      </w:r>
      <w:proofErr w:type="spellStart"/>
      <w:r>
        <w:t>constitutionalization</w:t>
      </w:r>
      <w:proofErr w:type="spellEnd"/>
      <w:r>
        <w:t xml:space="preserve"> of the world power system. </w:t>
      </w:r>
      <w:r w:rsidRPr="00F1566B">
        <w:rPr>
          <w:i/>
          <w:iCs/>
        </w:rPr>
        <w:t>Global Strategy Journal</w:t>
      </w:r>
      <w:r>
        <w:t>, 5(</w:t>
      </w:r>
      <w:r w:rsidRPr="00F1566B">
        <w:rPr>
          <w:b/>
          <w:bCs/>
        </w:rPr>
        <w:t>4</w:t>
      </w:r>
      <w:r>
        <w:t>), 343-357.</w:t>
      </w:r>
    </w:p>
    <w:sectPr w:rsidR="00F1566B" w:rsidSect="00F1566B">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E8B53" w14:textId="77777777" w:rsidR="00A83342" w:rsidRDefault="00A83342" w:rsidP="00F1566B">
      <w:pPr>
        <w:spacing w:after="0" w:line="240" w:lineRule="auto"/>
      </w:pPr>
      <w:r>
        <w:separator/>
      </w:r>
    </w:p>
  </w:endnote>
  <w:endnote w:type="continuationSeparator" w:id="0">
    <w:p w14:paraId="693548B5" w14:textId="77777777" w:rsidR="00A83342" w:rsidRDefault="00A83342" w:rsidP="00F15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1495283"/>
      <w:docPartObj>
        <w:docPartGallery w:val="Page Numbers (Bottom of Page)"/>
        <w:docPartUnique/>
      </w:docPartObj>
    </w:sdtPr>
    <w:sdtContent>
      <w:p w14:paraId="5EC8ECBE" w14:textId="73E68899" w:rsidR="00F1566B" w:rsidRDefault="00F1566B" w:rsidP="007360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62BBBB" w14:textId="77777777" w:rsidR="00F1566B" w:rsidRDefault="00F1566B" w:rsidP="00F156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204302"/>
      <w:docPartObj>
        <w:docPartGallery w:val="Page Numbers (Bottom of Page)"/>
        <w:docPartUnique/>
      </w:docPartObj>
    </w:sdtPr>
    <w:sdtContent>
      <w:p w14:paraId="67FFB8A6" w14:textId="490C43C0" w:rsidR="00F1566B" w:rsidRDefault="00F1566B" w:rsidP="007360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BD3750" w14:textId="77777777" w:rsidR="00F1566B" w:rsidRDefault="00F1566B" w:rsidP="00F156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5F6D5" w14:textId="77777777" w:rsidR="00A83342" w:rsidRDefault="00A83342" w:rsidP="00F1566B">
      <w:pPr>
        <w:spacing w:after="0" w:line="240" w:lineRule="auto"/>
      </w:pPr>
      <w:r>
        <w:separator/>
      </w:r>
    </w:p>
  </w:footnote>
  <w:footnote w:type="continuationSeparator" w:id="0">
    <w:p w14:paraId="7DC701B4" w14:textId="77777777" w:rsidR="00A83342" w:rsidRDefault="00A83342" w:rsidP="00F156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67A"/>
    <w:rsid w:val="0043767A"/>
    <w:rsid w:val="005433BA"/>
    <w:rsid w:val="007A3D60"/>
    <w:rsid w:val="009C2BF6"/>
    <w:rsid w:val="00A83342"/>
    <w:rsid w:val="00AA65CC"/>
    <w:rsid w:val="00CD426D"/>
    <w:rsid w:val="00EB0A82"/>
    <w:rsid w:val="00F1566B"/>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50733"/>
  <w15:chartTrackingRefBased/>
  <w15:docId w15:val="{80724BBC-5A81-D84E-8114-8B79E06C5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156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566B"/>
    <w:rPr>
      <w:rFonts w:eastAsiaTheme="minorEastAsia"/>
      <w:sz w:val="22"/>
      <w:szCs w:val="22"/>
      <w:lang w:val="en-US" w:eastAsia="zh-CN"/>
    </w:rPr>
  </w:style>
  <w:style w:type="character" w:customStyle="1" w:styleId="NoSpacingChar">
    <w:name w:val="No Spacing Char"/>
    <w:basedOn w:val="DefaultParagraphFont"/>
    <w:link w:val="NoSpacing"/>
    <w:uiPriority w:val="1"/>
    <w:rsid w:val="00F1566B"/>
    <w:rPr>
      <w:rFonts w:eastAsiaTheme="minorEastAsia"/>
      <w:sz w:val="22"/>
      <w:szCs w:val="22"/>
      <w:lang w:val="en-US" w:eastAsia="zh-CN"/>
    </w:rPr>
  </w:style>
  <w:style w:type="character" w:customStyle="1" w:styleId="Heading1Char">
    <w:name w:val="Heading 1 Char"/>
    <w:basedOn w:val="DefaultParagraphFont"/>
    <w:link w:val="Heading1"/>
    <w:uiPriority w:val="9"/>
    <w:rsid w:val="00F1566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F15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66B"/>
    <w:rPr>
      <w:rFonts w:ascii="Arial" w:hAnsi="Arial"/>
      <w:szCs w:val="22"/>
    </w:rPr>
  </w:style>
  <w:style w:type="character" w:styleId="PageNumber">
    <w:name w:val="page number"/>
    <w:basedOn w:val="DefaultParagraphFont"/>
    <w:uiPriority w:val="99"/>
    <w:semiHidden/>
    <w:unhideWhenUsed/>
    <w:rsid w:val="00F1566B"/>
  </w:style>
  <w:style w:type="character" w:styleId="Hyperlink">
    <w:name w:val="Hyperlink"/>
    <w:basedOn w:val="DefaultParagraphFont"/>
    <w:uiPriority w:val="99"/>
    <w:unhideWhenUsed/>
    <w:rsid w:val="00F1566B"/>
    <w:rPr>
      <w:color w:val="0563C1" w:themeColor="hyperlink"/>
      <w:u w:val="single"/>
    </w:rPr>
  </w:style>
  <w:style w:type="character" w:styleId="UnresolvedMention">
    <w:name w:val="Unresolved Mention"/>
    <w:basedOn w:val="DefaultParagraphFont"/>
    <w:uiPriority w:val="99"/>
    <w:semiHidden/>
    <w:unhideWhenUsed/>
    <w:rsid w:val="00F1566B"/>
    <w:rPr>
      <w:color w:val="605E5C"/>
      <w:shd w:val="clear" w:color="auto" w:fill="E1DFDD"/>
    </w:rPr>
  </w:style>
  <w:style w:type="paragraph" w:styleId="TOCHeading">
    <w:name w:val="TOC Heading"/>
    <w:basedOn w:val="Heading1"/>
    <w:next w:val="Normal"/>
    <w:uiPriority w:val="39"/>
    <w:unhideWhenUsed/>
    <w:qFormat/>
    <w:rsid w:val="00F1566B"/>
    <w:pPr>
      <w:spacing w:before="480"/>
      <w:outlineLvl w:val="9"/>
    </w:pPr>
    <w:rPr>
      <w:b/>
      <w:bCs/>
      <w:sz w:val="28"/>
      <w:szCs w:val="28"/>
      <w:lang w:val="en-US"/>
    </w:rPr>
  </w:style>
  <w:style w:type="paragraph" w:styleId="TOC1">
    <w:name w:val="toc 1"/>
    <w:basedOn w:val="Normal"/>
    <w:next w:val="Normal"/>
    <w:autoRedefine/>
    <w:uiPriority w:val="39"/>
    <w:unhideWhenUsed/>
    <w:rsid w:val="00F1566B"/>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F1566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F1566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1566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1566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1566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1566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1566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1566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2330">
      <w:bodyDiv w:val="1"/>
      <w:marLeft w:val="0"/>
      <w:marRight w:val="0"/>
      <w:marTop w:val="0"/>
      <w:marBottom w:val="0"/>
      <w:divBdr>
        <w:top w:val="none" w:sz="0" w:space="0" w:color="auto"/>
        <w:left w:val="none" w:sz="0" w:space="0" w:color="auto"/>
        <w:bottom w:val="none" w:sz="0" w:space="0" w:color="auto"/>
        <w:right w:val="none" w:sz="0" w:space="0" w:color="auto"/>
      </w:divBdr>
    </w:div>
    <w:div w:id="1476526600">
      <w:bodyDiv w:val="1"/>
      <w:marLeft w:val="0"/>
      <w:marRight w:val="0"/>
      <w:marTop w:val="0"/>
      <w:marBottom w:val="0"/>
      <w:divBdr>
        <w:top w:val="none" w:sz="0" w:space="0" w:color="auto"/>
        <w:left w:val="none" w:sz="0" w:space="0" w:color="auto"/>
        <w:bottom w:val="none" w:sz="0" w:space="0" w:color="auto"/>
        <w:right w:val="none" w:sz="0" w:space="0" w:color="auto"/>
      </w:divBdr>
      <w:divsChild>
        <w:div w:id="867446731">
          <w:marLeft w:val="0"/>
          <w:marRight w:val="0"/>
          <w:marTop w:val="0"/>
          <w:marBottom w:val="0"/>
          <w:divBdr>
            <w:top w:val="single" w:sz="2" w:space="0" w:color="D9D9E3"/>
            <w:left w:val="single" w:sz="2" w:space="0" w:color="D9D9E3"/>
            <w:bottom w:val="single" w:sz="2" w:space="0" w:color="D9D9E3"/>
            <w:right w:val="single" w:sz="2" w:space="0" w:color="D9D9E3"/>
          </w:divBdr>
          <w:divsChild>
            <w:div w:id="1426148318">
              <w:marLeft w:val="0"/>
              <w:marRight w:val="0"/>
              <w:marTop w:val="0"/>
              <w:marBottom w:val="0"/>
              <w:divBdr>
                <w:top w:val="single" w:sz="2" w:space="0" w:color="D9D9E3"/>
                <w:left w:val="single" w:sz="2" w:space="0" w:color="D9D9E3"/>
                <w:bottom w:val="single" w:sz="2" w:space="0" w:color="D9D9E3"/>
                <w:right w:val="single" w:sz="2" w:space="0" w:color="D9D9E3"/>
              </w:divBdr>
              <w:divsChild>
                <w:div w:id="64736590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86">
                      <w:marLeft w:val="0"/>
                      <w:marRight w:val="0"/>
                      <w:marTop w:val="0"/>
                      <w:marBottom w:val="0"/>
                      <w:divBdr>
                        <w:top w:val="single" w:sz="2" w:space="0" w:color="D9D9E3"/>
                        <w:left w:val="single" w:sz="2" w:space="0" w:color="D9D9E3"/>
                        <w:bottom w:val="single" w:sz="2" w:space="0" w:color="D9D9E3"/>
                        <w:right w:val="single" w:sz="2" w:space="0" w:color="D9D9E3"/>
                      </w:divBdr>
                      <w:divsChild>
                        <w:div w:id="1324746078">
                          <w:marLeft w:val="0"/>
                          <w:marRight w:val="0"/>
                          <w:marTop w:val="0"/>
                          <w:marBottom w:val="0"/>
                          <w:divBdr>
                            <w:top w:val="single" w:sz="2" w:space="0" w:color="auto"/>
                            <w:left w:val="single" w:sz="2" w:space="0" w:color="auto"/>
                            <w:bottom w:val="single" w:sz="6" w:space="0" w:color="auto"/>
                            <w:right w:val="single" w:sz="2" w:space="0" w:color="auto"/>
                          </w:divBdr>
                          <w:divsChild>
                            <w:div w:id="14479190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312340">
                                  <w:marLeft w:val="0"/>
                                  <w:marRight w:val="0"/>
                                  <w:marTop w:val="0"/>
                                  <w:marBottom w:val="0"/>
                                  <w:divBdr>
                                    <w:top w:val="single" w:sz="2" w:space="0" w:color="D9D9E3"/>
                                    <w:left w:val="single" w:sz="2" w:space="0" w:color="D9D9E3"/>
                                    <w:bottom w:val="single" w:sz="2" w:space="0" w:color="D9D9E3"/>
                                    <w:right w:val="single" w:sz="2" w:space="0" w:color="D9D9E3"/>
                                  </w:divBdr>
                                  <w:divsChild>
                                    <w:div w:id="179861104">
                                      <w:marLeft w:val="0"/>
                                      <w:marRight w:val="0"/>
                                      <w:marTop w:val="0"/>
                                      <w:marBottom w:val="0"/>
                                      <w:divBdr>
                                        <w:top w:val="single" w:sz="2" w:space="0" w:color="D9D9E3"/>
                                        <w:left w:val="single" w:sz="2" w:space="0" w:color="D9D9E3"/>
                                        <w:bottom w:val="single" w:sz="2" w:space="0" w:color="D9D9E3"/>
                                        <w:right w:val="single" w:sz="2" w:space="0" w:color="D9D9E3"/>
                                      </w:divBdr>
                                      <w:divsChild>
                                        <w:div w:id="2113354573">
                                          <w:marLeft w:val="0"/>
                                          <w:marRight w:val="0"/>
                                          <w:marTop w:val="0"/>
                                          <w:marBottom w:val="0"/>
                                          <w:divBdr>
                                            <w:top w:val="single" w:sz="2" w:space="0" w:color="D9D9E3"/>
                                            <w:left w:val="single" w:sz="2" w:space="0" w:color="D9D9E3"/>
                                            <w:bottom w:val="single" w:sz="2" w:space="0" w:color="D9D9E3"/>
                                            <w:right w:val="single" w:sz="2" w:space="0" w:color="D9D9E3"/>
                                          </w:divBdr>
                                          <w:divsChild>
                                            <w:div w:id="179359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06811939">
          <w:marLeft w:val="0"/>
          <w:marRight w:val="0"/>
          <w:marTop w:val="0"/>
          <w:marBottom w:val="0"/>
          <w:divBdr>
            <w:top w:val="none" w:sz="0" w:space="0" w:color="auto"/>
            <w:left w:val="none" w:sz="0" w:space="0" w:color="auto"/>
            <w:bottom w:val="none" w:sz="0" w:space="0" w:color="auto"/>
            <w:right w:val="none" w:sz="0" w:space="0" w:color="auto"/>
          </w:divBdr>
        </w:div>
      </w:divsChild>
    </w:div>
    <w:div w:id="1700398817">
      <w:bodyDiv w:val="1"/>
      <w:marLeft w:val="0"/>
      <w:marRight w:val="0"/>
      <w:marTop w:val="0"/>
      <w:marBottom w:val="0"/>
      <w:divBdr>
        <w:top w:val="none" w:sz="0" w:space="0" w:color="auto"/>
        <w:left w:val="none" w:sz="0" w:space="0" w:color="auto"/>
        <w:bottom w:val="none" w:sz="0" w:space="0" w:color="auto"/>
        <w:right w:val="none" w:sz="0" w:space="0" w:color="auto"/>
      </w:divBdr>
    </w:div>
    <w:div w:id="1757358887">
      <w:bodyDiv w:val="1"/>
      <w:marLeft w:val="0"/>
      <w:marRight w:val="0"/>
      <w:marTop w:val="0"/>
      <w:marBottom w:val="0"/>
      <w:divBdr>
        <w:top w:val="none" w:sz="0" w:space="0" w:color="auto"/>
        <w:left w:val="none" w:sz="0" w:space="0" w:color="auto"/>
        <w:bottom w:val="none" w:sz="0" w:space="0" w:color="auto"/>
        <w:right w:val="none" w:sz="0" w:space="0" w:color="auto"/>
      </w:divBdr>
      <w:divsChild>
        <w:div w:id="1445998728">
          <w:marLeft w:val="0"/>
          <w:marRight w:val="0"/>
          <w:marTop w:val="0"/>
          <w:marBottom w:val="0"/>
          <w:divBdr>
            <w:top w:val="single" w:sz="2" w:space="0" w:color="auto"/>
            <w:left w:val="single" w:sz="2" w:space="0" w:color="auto"/>
            <w:bottom w:val="single" w:sz="6" w:space="0" w:color="auto"/>
            <w:right w:val="single" w:sz="2" w:space="0" w:color="auto"/>
          </w:divBdr>
          <w:divsChild>
            <w:div w:id="481698881">
              <w:marLeft w:val="0"/>
              <w:marRight w:val="0"/>
              <w:marTop w:val="100"/>
              <w:marBottom w:val="100"/>
              <w:divBdr>
                <w:top w:val="single" w:sz="2" w:space="0" w:color="D9D9E3"/>
                <w:left w:val="single" w:sz="2" w:space="0" w:color="D9D9E3"/>
                <w:bottom w:val="single" w:sz="2" w:space="0" w:color="D9D9E3"/>
                <w:right w:val="single" w:sz="2" w:space="0" w:color="D9D9E3"/>
              </w:divBdr>
              <w:divsChild>
                <w:div w:id="1808431293">
                  <w:marLeft w:val="0"/>
                  <w:marRight w:val="0"/>
                  <w:marTop w:val="0"/>
                  <w:marBottom w:val="0"/>
                  <w:divBdr>
                    <w:top w:val="single" w:sz="2" w:space="0" w:color="D9D9E3"/>
                    <w:left w:val="single" w:sz="2" w:space="0" w:color="D9D9E3"/>
                    <w:bottom w:val="single" w:sz="2" w:space="0" w:color="D9D9E3"/>
                    <w:right w:val="single" w:sz="2" w:space="0" w:color="D9D9E3"/>
                  </w:divBdr>
                  <w:divsChild>
                    <w:div w:id="181867317">
                      <w:marLeft w:val="0"/>
                      <w:marRight w:val="0"/>
                      <w:marTop w:val="0"/>
                      <w:marBottom w:val="0"/>
                      <w:divBdr>
                        <w:top w:val="single" w:sz="2" w:space="0" w:color="D9D9E3"/>
                        <w:left w:val="single" w:sz="2" w:space="0" w:color="D9D9E3"/>
                        <w:bottom w:val="single" w:sz="2" w:space="0" w:color="D9D9E3"/>
                        <w:right w:val="single" w:sz="2" w:space="0" w:color="D9D9E3"/>
                      </w:divBdr>
                      <w:divsChild>
                        <w:div w:id="1309093121">
                          <w:marLeft w:val="0"/>
                          <w:marRight w:val="0"/>
                          <w:marTop w:val="0"/>
                          <w:marBottom w:val="0"/>
                          <w:divBdr>
                            <w:top w:val="single" w:sz="2" w:space="0" w:color="D9D9E3"/>
                            <w:left w:val="single" w:sz="2" w:space="0" w:color="D9D9E3"/>
                            <w:bottom w:val="single" w:sz="2" w:space="0" w:color="D9D9E3"/>
                            <w:right w:val="single" w:sz="2" w:space="0" w:color="D9D9E3"/>
                          </w:divBdr>
                          <w:divsChild>
                            <w:div w:id="156043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6765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business/explainer-why-is-apple-being-sued-14-billion-irish-taxes-2021-05-1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pple.com/investor/annual-repor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ol.com/investing/2021/04/30/whats-next-for-apples-dividend-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A3632-070C-F049-9CB7-7EAB87807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1799</Words>
  <Characters>10398</Characters>
  <Application>Microsoft Office Word</Application>
  <DocSecurity>0</DocSecurity>
  <Lines>188</Lines>
  <Paragraphs>50</Paragraphs>
  <ScaleCrop>false</ScaleCrop>
  <HeadingPairs>
    <vt:vector size="2" baseType="variant">
      <vt:variant>
        <vt:lpstr>Title</vt:lpstr>
      </vt:variant>
      <vt:variant>
        <vt:i4>1</vt:i4>
      </vt:variant>
    </vt:vector>
  </HeadingPairs>
  <TitlesOfParts>
    <vt:vector size="1" baseType="lpstr">
      <vt:lpstr/>
    </vt:vector>
  </TitlesOfParts>
  <Manager/>
  <Company>STUDENT NAME:</Company>
  <LinksUpToDate>false</LinksUpToDate>
  <CharactersWithSpaces>12147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LCBB6002 international financial management a1</dc:title>
  <dc:subject>Module Leader: Dr Konstantina Mari, Dr Rexon Nting, Zainab Atta</dc:subject>
  <dc:creator>STUDENT ID: 1916906</dc:creator>
  <cp:keywords/>
  <dc:description/>
  <cp:lastModifiedBy>Anna Kuseva</cp:lastModifiedBy>
  <cp:revision>3</cp:revision>
  <dcterms:created xsi:type="dcterms:W3CDTF">2023-05-05T12:24:00Z</dcterms:created>
  <dcterms:modified xsi:type="dcterms:W3CDTF">2023-05-05T12:45:00Z</dcterms:modified>
  <cp:category/>
</cp:coreProperties>
</file>