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36DC9" w14:textId="77777777" w:rsidR="007C7F25" w:rsidRPr="007C7F25" w:rsidRDefault="007C7F25">
      <w:pPr>
        <w:spacing w:after="240" w:line="360" w:lineRule="auto"/>
        <w:jc w:val="center"/>
        <w:rPr>
          <w:rFonts w:eastAsia="Times New Roman"/>
          <w:sz w:val="40"/>
          <w:szCs w:val="40"/>
        </w:rPr>
      </w:pPr>
    </w:p>
    <w:p w14:paraId="0277A9FD" w14:textId="77777777" w:rsidR="007C7F25" w:rsidRPr="007C7F25" w:rsidRDefault="007C7F25">
      <w:pPr>
        <w:spacing w:after="240" w:line="360" w:lineRule="auto"/>
        <w:jc w:val="center"/>
        <w:rPr>
          <w:rFonts w:eastAsia="Times New Roman"/>
          <w:sz w:val="40"/>
          <w:szCs w:val="40"/>
        </w:rPr>
      </w:pPr>
    </w:p>
    <w:p w14:paraId="00000001" w14:textId="5DD64309" w:rsidR="0053719E" w:rsidRPr="007C7F25" w:rsidRDefault="00643452">
      <w:pPr>
        <w:spacing w:after="240" w:line="360" w:lineRule="auto"/>
        <w:jc w:val="center"/>
        <w:rPr>
          <w:rFonts w:eastAsia="Times New Roman"/>
          <w:sz w:val="40"/>
          <w:szCs w:val="40"/>
        </w:rPr>
      </w:pPr>
      <w:r w:rsidRPr="007C7F25">
        <w:rPr>
          <w:rFonts w:eastAsia="Times New Roman"/>
          <w:sz w:val="40"/>
          <w:szCs w:val="40"/>
        </w:rPr>
        <w:t>Student Name</w:t>
      </w:r>
      <w:r w:rsidR="00F70EF2">
        <w:rPr>
          <w:rFonts w:eastAsia="Times New Roman"/>
          <w:sz w:val="40"/>
          <w:szCs w:val="40"/>
        </w:rPr>
        <w:t>: Amirul Islam</w:t>
      </w:r>
    </w:p>
    <w:p w14:paraId="00000002" w14:textId="4AEE0341" w:rsidR="0053719E" w:rsidRPr="007C7F25" w:rsidRDefault="00643452">
      <w:pPr>
        <w:spacing w:after="240" w:line="360" w:lineRule="auto"/>
        <w:jc w:val="center"/>
        <w:rPr>
          <w:rFonts w:eastAsia="Times New Roman"/>
          <w:sz w:val="40"/>
          <w:szCs w:val="40"/>
        </w:rPr>
      </w:pPr>
      <w:r w:rsidRPr="007C7F25">
        <w:rPr>
          <w:rFonts w:eastAsia="Times New Roman"/>
          <w:sz w:val="40"/>
          <w:szCs w:val="40"/>
        </w:rPr>
        <w:t>Student Number</w:t>
      </w:r>
      <w:r w:rsidR="00F70EF2">
        <w:rPr>
          <w:rFonts w:eastAsia="Times New Roman"/>
          <w:sz w:val="40"/>
          <w:szCs w:val="40"/>
        </w:rPr>
        <w:t>: 2234363</w:t>
      </w:r>
    </w:p>
    <w:p w14:paraId="00000003" w14:textId="77777777" w:rsidR="0053719E" w:rsidRPr="007C7F25" w:rsidRDefault="00643452">
      <w:pPr>
        <w:spacing w:after="240" w:line="360" w:lineRule="auto"/>
        <w:jc w:val="center"/>
        <w:rPr>
          <w:rFonts w:eastAsia="Times New Roman"/>
          <w:sz w:val="40"/>
          <w:szCs w:val="40"/>
        </w:rPr>
      </w:pPr>
      <w:r w:rsidRPr="007C7F25">
        <w:rPr>
          <w:rFonts w:eastAsia="Times New Roman"/>
          <w:sz w:val="40"/>
          <w:szCs w:val="40"/>
        </w:rPr>
        <w:t>BMIH5006: Sustainability for Hospitality Industry</w:t>
      </w:r>
    </w:p>
    <w:p w14:paraId="00000004" w14:textId="77777777" w:rsidR="0053719E" w:rsidRPr="007C7F25" w:rsidRDefault="00643452">
      <w:pPr>
        <w:spacing w:after="240" w:line="360" w:lineRule="auto"/>
        <w:jc w:val="center"/>
        <w:rPr>
          <w:rFonts w:eastAsia="Times New Roman"/>
          <w:sz w:val="40"/>
          <w:szCs w:val="40"/>
        </w:rPr>
      </w:pPr>
      <w:r w:rsidRPr="007C7F25">
        <w:rPr>
          <w:rFonts w:eastAsia="Times New Roman"/>
          <w:sz w:val="40"/>
          <w:szCs w:val="40"/>
        </w:rPr>
        <w:t>Essay</w:t>
      </w:r>
    </w:p>
    <w:p w14:paraId="00000005" w14:textId="77777777" w:rsidR="0053719E" w:rsidRPr="007C7F25" w:rsidRDefault="00643452">
      <w:pPr>
        <w:spacing w:after="240" w:line="360" w:lineRule="auto"/>
        <w:jc w:val="center"/>
        <w:rPr>
          <w:rFonts w:eastAsia="Times New Roman"/>
          <w:sz w:val="40"/>
          <w:szCs w:val="40"/>
        </w:rPr>
      </w:pPr>
      <w:r w:rsidRPr="007C7F25">
        <w:rPr>
          <w:rFonts w:eastAsia="Times New Roman"/>
          <w:sz w:val="40"/>
          <w:szCs w:val="40"/>
        </w:rPr>
        <w:t>Lecturer’s Name: Kathryn Roberts</w:t>
      </w:r>
    </w:p>
    <w:p w14:paraId="00000006" w14:textId="77777777" w:rsidR="0053719E" w:rsidRPr="007C7F25" w:rsidRDefault="00643452">
      <w:pPr>
        <w:spacing w:after="240" w:line="360" w:lineRule="auto"/>
        <w:jc w:val="both"/>
        <w:rPr>
          <w:rFonts w:eastAsia="Times New Roman"/>
          <w:sz w:val="24"/>
          <w:szCs w:val="24"/>
        </w:rPr>
      </w:pPr>
      <w:r w:rsidRPr="007C7F25">
        <w:br w:type="page"/>
      </w:r>
    </w:p>
    <w:p w14:paraId="00000007" w14:textId="77777777" w:rsidR="0053719E" w:rsidRPr="007C7F25" w:rsidRDefault="00643452">
      <w:pPr>
        <w:spacing w:after="240" w:line="360" w:lineRule="auto"/>
        <w:jc w:val="both"/>
        <w:rPr>
          <w:rFonts w:eastAsia="Times New Roman"/>
          <w:sz w:val="28"/>
          <w:szCs w:val="28"/>
        </w:rPr>
      </w:pPr>
      <w:r w:rsidRPr="007C7F25">
        <w:rPr>
          <w:rFonts w:eastAsia="Times New Roman"/>
          <w:sz w:val="28"/>
          <w:szCs w:val="28"/>
        </w:rPr>
        <w:lastRenderedPageBreak/>
        <w:t>AI Acknowledgement</w:t>
      </w:r>
    </w:p>
    <w:p w14:paraId="00000008"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I would like to state that I did not use any artificial intelligence tools while preparing this essay. All the work on research, analysis, and writing was done by me. I used different pieces of literature and data to look into the topic of sustainability in hospitality. By writing this work, I show how I view and explain the topic, making sure it is both valid and original. I believe it is necessary to act in a responsible way while recognising the significance of human judgement and ideas in dealing with tough challenges in tourism.</w:t>
      </w:r>
      <w:r w:rsidRPr="007C7F25">
        <w:br w:type="page"/>
      </w:r>
    </w:p>
    <w:p w14:paraId="00000009"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lastRenderedPageBreak/>
        <w:t>Integration of environmental, social and economic perspectives into hospitality operations and management is called sustainable hospitality (Sloan, Legrand and Chen, 2022). This concept is based on green practices, including energy efficiency, waste management, water conservation and ethical materials sourcing. Due to the pressure for adopting and embedding these practices in the luxury hotel sector to meet the global sustainability goals, reduce operational costs, and satisfy the environmentally conscious customers, there is scope for them. Whilst there are improvements, they are not yet implementing sustainable processes in full.</w:t>
      </w:r>
    </w:p>
    <w:p w14:paraId="0000000A"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For example, the Ritz London is a five-star hotel situated in the very heart of the capital, which provides a rich case for analysis (The Ritz London, 2024). The Ritz, known for its opulence and longstanding heritage, has taken measures to adopt the guidelines of sustainability of energy-efficient lighting and water-saving fixtures. Moreover, the hotel has taken part in the EarthCheck program, and selective initiatives in ethical sourcing are also performed within the hotel’s culinary services. But these actions usually don’t address the real issue of transforming an operation holistically. There is an area of huge shortfall in the area of food waste management.</w:t>
      </w:r>
    </w:p>
    <w:p w14:paraId="0000000B" w14:textId="77777777" w:rsidR="0053719E" w:rsidRPr="007C7F25" w:rsidRDefault="00643452">
      <w:pPr>
        <w:spacing w:after="240" w:line="360" w:lineRule="auto"/>
        <w:jc w:val="both"/>
        <w:rPr>
          <w:rFonts w:eastAsia="Times New Roman"/>
          <w:i/>
          <w:sz w:val="24"/>
          <w:szCs w:val="24"/>
        </w:rPr>
      </w:pPr>
      <w:r w:rsidRPr="007C7F25">
        <w:rPr>
          <w:rFonts w:eastAsia="Times New Roman"/>
          <w:sz w:val="24"/>
          <w:szCs w:val="24"/>
        </w:rPr>
        <w:t>The Ritz is an opportunity for The Ritz to improve their sustainability framework because The Ritz does not have a visible, consistent or integrated food waste reduction strategy (The Ritz, 2025). If a hotel were to adopt a solid circular waste model, it would reduce its food wastage through composting, provision of surplus food to local shelters, as well as through partnerships with entities handling food redistribution. Reducing the impact on the environment along with motivating the social responsibility within communities helps reinforce the hotel’s stand in being socially responsible with such initiatives (Camilleri, 2021). By doing so, The Ritz would not only increase its market reputation as the pioneer of sustainable luxury hospitality but also show the other establishments within the sector how it’s done, in terms of green innovation, operational excellence, and so on. All of this could help change the way we think of luxury: from stewardship to sustainability.</w:t>
      </w:r>
    </w:p>
    <w:p w14:paraId="0000000C"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 xml:space="preserve">Hotels and other businesses in the hospitality sector require a lot of resources, as they produce a lot of waste and use a lot of energy and water. Food waste continues to be a </w:t>
      </w:r>
      <w:r w:rsidRPr="007C7F25">
        <w:rPr>
          <w:rFonts w:eastAsia="Times New Roman"/>
          <w:sz w:val="24"/>
          <w:szCs w:val="24"/>
        </w:rPr>
        <w:lastRenderedPageBreak/>
        <w:t>major issue among all the challenges involved. Hall (2020) claims that roughly 920,000 tonnes of food waste are generated by the UK’s hospitality and food service sector every year. Because they have many food service options like fancy restaurants, room delivery, banquets, and events, hotels such as The Ritz are part of this statistic. That said, the company does not describe taking any actions on food waste, composting, or sending meals to those in need, as far as its sustainability information makes clear (Waste 360, 2021). Being left out makes this subject open to suitable intervention. If hotels can address food waste well, it would make them more sustainable and pleased customers who are concerned about the environment. Engaging in partnerships with food banks locally, creating dishes using food that would otherwise go to waste, and offering staff training about waste management would all prove a dedication to reducing waste. Also, by openly reporting on areas such as waste reduction, the company could influence the whole hospitality sector to start following their approach (Filimonau, 2020). Following these actions, The Ritz was able to impact the environment less and let others aim to achieve the same level of sustainability.</w:t>
      </w:r>
    </w:p>
    <w:p w14:paraId="0000000D" w14:textId="362ACBA9" w:rsidR="0053719E" w:rsidRPr="007C7F25" w:rsidRDefault="00643452">
      <w:pPr>
        <w:spacing w:after="240" w:line="360" w:lineRule="auto"/>
        <w:jc w:val="both"/>
        <w:rPr>
          <w:rFonts w:eastAsia="Times New Roman"/>
          <w:sz w:val="24"/>
          <w:szCs w:val="24"/>
        </w:rPr>
      </w:pPr>
      <w:r w:rsidRPr="007C7F25">
        <w:rPr>
          <w:rFonts w:eastAsia="Times New Roman"/>
          <w:sz w:val="24"/>
          <w:szCs w:val="24"/>
        </w:rPr>
        <w:t>A green practice, introduced in this study, is the integration of in-house composting and the redistribution of surplus food through partnership with social enterprises in the form of Too Good To Go solo (UNEP, 2021). Installation of an odour-controlled commercial scale composter that can handle kitchen waste was proposed, where composting will be involved. Therefore, this waste may be transformed into nutrient-rich compost that can be given to local urban gardens or community agriculture projects (Jauhari, 2021). The aspect covering the surplus food redistribution would involve working with platforms that link excess consumable foods to individuals and organisations that are in need, while ensuring environmental and social aspects of organic growth.</w:t>
      </w:r>
    </w:p>
    <w:p w14:paraId="0000000E"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 xml:space="preserve">This initiative is good because the practice has proven to work in other leading hospitality brands. The Accor Group, for example, has managed to implement food waste reduction systems in a number of European hotels, such as in the UK (Cambon, 2023). In these hotels, the company Winnow has partnered with Winnoto, which uses a smart meter system that tracks and analyses food waste so as to advice better purchases and preparation. To promote an environmentally friendly solution, Marriott Hotels, another </w:t>
      </w:r>
      <w:r w:rsidRPr="007C7F25">
        <w:rPr>
          <w:rFonts w:eastAsia="Times New Roman"/>
          <w:sz w:val="24"/>
          <w:szCs w:val="24"/>
        </w:rPr>
        <w:lastRenderedPageBreak/>
        <w:t>global luxury brand, has in fact formed a strategic alliance with Too Good To Go, which in turn facilitates the on-demand availability of unsold food items from its buffets and bakeries at discounted rates. The gap in such approaches is a clear distinction from Ritz’s framework in its capacity to be sustainable.</w:t>
      </w:r>
    </w:p>
    <w:p w14:paraId="0000000F"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Fortunately, this could be accomplished by introducing an integrated food waste management system, which will give many benefits to The Ritz. Composting from an environmental perspective decreases the quantity of waste consumed by landfills, and therefore, the methane gas emissions, a very potent greenhouse gas. According to the UNEP (2022), an estimated 8 – 10% of greenhouse gas emissions are caused by food waste, which means that waste management belongs to every hotel’s responsibility towards the environment. The composting also allows for a closed-loop system because organic materials are reintegrated into the natural ecosystem to support urban biodiversity and soil health (Costa and Costa, 2022). The Ritz can also improve its brand image as a local and community-centred venue by donating compost to the local green spaces.</w:t>
      </w:r>
    </w:p>
    <w:p w14:paraId="00000010" w14:textId="2C1A7975" w:rsidR="0053719E" w:rsidRPr="007C7F25" w:rsidRDefault="00643452">
      <w:pPr>
        <w:spacing w:after="240" w:line="360" w:lineRule="auto"/>
        <w:jc w:val="both"/>
        <w:rPr>
          <w:rFonts w:eastAsia="Times New Roman"/>
          <w:sz w:val="24"/>
          <w:szCs w:val="24"/>
        </w:rPr>
      </w:pPr>
      <w:r w:rsidRPr="007C7F25">
        <w:rPr>
          <w:rFonts w:eastAsia="Times New Roman"/>
          <w:sz w:val="24"/>
          <w:szCs w:val="24"/>
        </w:rPr>
        <w:t xml:space="preserve">On a social front, food redistribution partnerships help overcome food insecurity, and this is still an issue even as we live in a city like London (Papargyropoulou </w:t>
      </w:r>
      <w:r w:rsidRPr="007C7F25">
        <w:rPr>
          <w:rFonts w:eastAsia="Times New Roman"/>
          <w:i/>
          <w:sz w:val="24"/>
          <w:szCs w:val="24"/>
        </w:rPr>
        <w:t>et al</w:t>
      </w:r>
      <w:r w:rsidRPr="007C7F25">
        <w:rPr>
          <w:rFonts w:eastAsia="Times New Roman"/>
          <w:sz w:val="24"/>
          <w:szCs w:val="24"/>
        </w:rPr>
        <w:t>., 2022). However, having platforms such as OLIO and Too Good to Go that are accessible to all and are built into the hotel system makes this process a lot easier. Joining these networks allows The Ritz to give its surplus food to people</w:t>
      </w:r>
      <w:r w:rsidR="0089281D" w:rsidRPr="007C7F25">
        <w:rPr>
          <w:rFonts w:eastAsia="Times New Roman"/>
          <w:sz w:val="24"/>
          <w:szCs w:val="24"/>
        </w:rPr>
        <w:t xml:space="preserve">, </w:t>
      </w:r>
      <w:r w:rsidRPr="007C7F25">
        <w:rPr>
          <w:rFonts w:eastAsia="Times New Roman"/>
          <w:sz w:val="24"/>
          <w:szCs w:val="24"/>
        </w:rPr>
        <w:t>at the same time that it can reduce food waste and fulfil Corporate Social Responsibility (CSR) objectives. Partnerships of this nature would be highly visible to guests as a key audience, including younger and ethically driven travellers who seek brands that they would like to represent their values (Korstanje, George, and Nedelea, 2020).</w:t>
      </w:r>
    </w:p>
    <w:p w14:paraId="00000011"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 xml:space="preserve">This initiative could increase kitchen efficiency and operational cost management. Accor Hotels uses a smart waste tracking system which tracks real-time data on how much food is being used and wasted, thus allowing chefs and procurement managers to take well-informed decisions on portion size, menu planning and inventory. Since this can become quite costly over time, it is well worth investing a few hours. In fact, according to a study by Villano (2020), hotels can expect to save $7 in operational costs for every $1 spent on </w:t>
      </w:r>
      <w:r w:rsidRPr="007C7F25">
        <w:rPr>
          <w:rFonts w:eastAsia="Times New Roman"/>
          <w:sz w:val="24"/>
          <w:szCs w:val="24"/>
        </w:rPr>
        <w:lastRenderedPageBreak/>
        <w:t>reducing food waste. Although expensive to buy the initial composting equipment or digital infrastructure might seem costly, this is compensated by lower costs in the long run and enhanced brand.</w:t>
      </w:r>
    </w:p>
    <w:p w14:paraId="00000012" w14:textId="77777777" w:rsidR="0053719E" w:rsidRPr="007C7F25" w:rsidRDefault="00643452">
      <w:pPr>
        <w:spacing w:after="240" w:line="360" w:lineRule="auto"/>
        <w:jc w:val="both"/>
        <w:rPr>
          <w:rFonts w:eastAsia="Times New Roman"/>
          <w:b/>
          <w:sz w:val="24"/>
          <w:szCs w:val="24"/>
        </w:rPr>
      </w:pPr>
      <w:r w:rsidRPr="007C7F25">
        <w:rPr>
          <w:rFonts w:eastAsia="Times New Roman"/>
          <w:sz w:val="24"/>
          <w:szCs w:val="24"/>
        </w:rPr>
        <w:t xml:space="preserve">There are, however, challenges to the implementation of this initiative. Secondly, in order to install and maintain an in-house composting system, one needs space, staff training and an ongoing operational oversight (Gouge </w:t>
      </w:r>
      <w:r w:rsidRPr="007C7F25">
        <w:rPr>
          <w:rFonts w:eastAsia="Times New Roman"/>
          <w:i/>
          <w:sz w:val="24"/>
          <w:szCs w:val="24"/>
        </w:rPr>
        <w:t>et al</w:t>
      </w:r>
      <w:r w:rsidRPr="007C7F25">
        <w:rPr>
          <w:rFonts w:eastAsia="Times New Roman"/>
          <w:sz w:val="24"/>
          <w:szCs w:val="24"/>
        </w:rPr>
        <w:t>., 2023). However, like most heritage buildings, spatial limitations and architectural constraints may make the physical integration of such systems complex. Additionally, staff might not embrace the change in the workflow or see the new added processes as a benefit without adequate training and the accompanying incentives (Edgell, 2020). However, The Ritz should incorporate sustainability workshops and employee engagement programs to develop an eco-friendly culture.</w:t>
      </w:r>
    </w:p>
    <w:p w14:paraId="00000013"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There is another challenge of food safety compliance in redistribution. Under UK law, we are obliged to donate surplus food to societies that operate in accordance with a stringent health and safety regime (Lohnes, 2020). In order to traverse this, The Ritz would require setting up standardised protocols which involve real-time labelling and tracking of edible leftovers, cooling techniques, as well as precise shelf life indications. The hotel can easily embrace this process with the already existing training and compliance guidelines by partner organisations such as Too Good To Go and OLIO, which also offer legal protection to the hotel.</w:t>
      </w:r>
    </w:p>
    <w:p w14:paraId="00000014"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On the other hand, there is reputational risk should redistribution be ill-managed or there are sanitary problems associated with composting. Consequently, the management could first pilot the initiative within a controlled setting, for instance by using the hotel staff cafeteria or one restaurant, and, once the procedures have been refined, then proceed with full scale. The phased approach in this manner has the advantage of reducing the risk while generating internal data to be used for evaluating and promoting the program’s success (Almeaibed</w:t>
      </w:r>
      <w:r w:rsidRPr="007C7F25">
        <w:rPr>
          <w:rFonts w:eastAsia="Times New Roman"/>
          <w:i/>
          <w:sz w:val="24"/>
          <w:szCs w:val="24"/>
        </w:rPr>
        <w:t xml:space="preserve"> et al</w:t>
      </w:r>
      <w:r w:rsidRPr="007C7F25">
        <w:rPr>
          <w:rFonts w:eastAsia="Times New Roman"/>
          <w:sz w:val="24"/>
          <w:szCs w:val="24"/>
        </w:rPr>
        <w:t>., 2021).</w:t>
      </w:r>
    </w:p>
    <w:p w14:paraId="00000015"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 xml:space="preserve">Taking into account the perspective of marketing and branding, the initiative will help The Ritz take up the position of a leader in luxury sustainable hospitality. More expensive hotel </w:t>
      </w:r>
      <w:r w:rsidRPr="007C7F25">
        <w:rPr>
          <w:rFonts w:eastAsia="Times New Roman"/>
          <w:sz w:val="24"/>
          <w:szCs w:val="24"/>
        </w:rPr>
        <w:lastRenderedPageBreak/>
        <w:t>chains like luxury hotels, which were always focused on comfort and opulence rather than efficiency, lag in sustainability (Dimitriou, 2025). On the contrary, deploying an innovative food waste solution would distinguish The Ritz from others in the market and attract segments of high value that expect corporate responsibility towards the environment. Furthermore, this could position the hotel on equal international sustainability benchmark, with the United Nations Sustainable Development Goals (SDGs), including SDG 12 (Responsible Consumption and Production) and SDG 13 (Climate Action).</w:t>
      </w:r>
    </w:p>
    <w:p w14:paraId="00000016" w14:textId="60D95486" w:rsidR="0053719E" w:rsidRPr="007C7F25" w:rsidRDefault="00643452">
      <w:pPr>
        <w:spacing w:after="240" w:line="360" w:lineRule="auto"/>
        <w:jc w:val="both"/>
        <w:rPr>
          <w:rFonts w:eastAsia="Times New Roman"/>
          <w:sz w:val="24"/>
          <w:szCs w:val="24"/>
        </w:rPr>
      </w:pPr>
      <w:r w:rsidRPr="007C7F25">
        <w:rPr>
          <w:rFonts w:eastAsia="Times New Roman"/>
          <w:sz w:val="24"/>
          <w:szCs w:val="24"/>
        </w:rPr>
        <w:t>Food waste reduction is of strategic value to hospitality. According to Ioannidis</w:t>
      </w:r>
      <w:r w:rsidRPr="007C7F25">
        <w:rPr>
          <w:rFonts w:eastAsia="Times New Roman"/>
          <w:i/>
          <w:sz w:val="24"/>
          <w:szCs w:val="24"/>
        </w:rPr>
        <w:t xml:space="preserve"> et al.</w:t>
      </w:r>
      <w:r w:rsidRPr="007C7F25">
        <w:rPr>
          <w:rFonts w:eastAsia="Times New Roman"/>
          <w:sz w:val="24"/>
          <w:szCs w:val="24"/>
        </w:rPr>
        <w:t xml:space="preserve"> (2021), the adoption of circular economy principles for achieving long-term resilience, including recycling of waste besides other environmental standards, has given rise in the hospitality sector. As noted by Coghlan, Becken and Warren (2022), it is possible elite hotels greatly neglect the audits of</w:t>
      </w:r>
      <w:r w:rsidR="0089281D" w:rsidRPr="007C7F25">
        <w:rPr>
          <w:rFonts w:eastAsia="Times New Roman"/>
          <w:sz w:val="24"/>
          <w:szCs w:val="24"/>
        </w:rPr>
        <w:t xml:space="preserve"> back</w:t>
      </w:r>
      <w:r w:rsidRPr="007C7F25">
        <w:rPr>
          <w:rFonts w:eastAsia="Times New Roman"/>
          <w:sz w:val="24"/>
          <w:szCs w:val="24"/>
        </w:rPr>
        <w:t>-of-</w:t>
      </w:r>
      <w:r w:rsidR="0089281D" w:rsidRPr="007C7F25">
        <w:rPr>
          <w:rFonts w:eastAsia="Times New Roman"/>
          <w:sz w:val="24"/>
          <w:szCs w:val="24"/>
        </w:rPr>
        <w:t>house</w:t>
      </w:r>
      <w:r w:rsidRPr="007C7F25">
        <w:rPr>
          <w:rFonts w:eastAsia="Times New Roman"/>
          <w:sz w:val="24"/>
          <w:szCs w:val="24"/>
        </w:rPr>
        <w:t xml:space="preserve"> operations in relation to their sustainability audits,  thereby missing this critical aspect of sustainability in hotels, an issue this proposed initiative targets directly.</w:t>
      </w:r>
    </w:p>
    <w:p w14:paraId="00000017"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t>On top of this, the Ritz could publish annual sustainability reports which include quantitative measures of their success in reducing goods wasted, compost made and meals redistributed. By far, this transparency satisfies stakeholder expectations but can also be utilised as leverage when applying for green accreditations, for example, Green Tourism or EarthCheck Platinum status (EarthCheck, 2024). This way, the initiative involves both environmental and social value as well as value for reputation and credibility of institutions.</w:t>
      </w:r>
    </w:p>
    <w:p w14:paraId="00000018" w14:textId="77777777" w:rsidR="0053719E" w:rsidRPr="007C7F25" w:rsidRDefault="00643452">
      <w:pPr>
        <w:spacing w:after="240" w:line="360" w:lineRule="auto"/>
        <w:jc w:val="both"/>
        <w:rPr>
          <w:rFonts w:eastAsia="Times New Roman"/>
          <w:i/>
          <w:sz w:val="24"/>
          <w:szCs w:val="24"/>
        </w:rPr>
      </w:pPr>
      <w:r w:rsidRPr="007C7F25">
        <w:rPr>
          <w:rFonts w:eastAsia="Times New Roman"/>
          <w:sz w:val="24"/>
          <w:szCs w:val="24"/>
        </w:rPr>
        <w:t>In conclusion, this green initiative does not exist in isolation but intersects with several dimensions of sustainable development—economic efficiency, social responsibility, and environmental stewardship. While challenges such as cost, compliance, and cultural change are inevitable, they are manageable through phased implementation, strategic partnerships, and effective communication. The long-term payoff includes operational cost savings, enhanced brand value, and a measurable contribution to combating climate change.</w:t>
      </w:r>
    </w:p>
    <w:p w14:paraId="00000019" w14:textId="77777777" w:rsidR="0053719E" w:rsidRPr="007C7F25" w:rsidRDefault="00643452">
      <w:pPr>
        <w:spacing w:after="240" w:line="360" w:lineRule="auto"/>
        <w:jc w:val="both"/>
        <w:rPr>
          <w:rFonts w:eastAsia="Times New Roman"/>
          <w:sz w:val="24"/>
          <w:szCs w:val="24"/>
        </w:rPr>
      </w:pPr>
      <w:r w:rsidRPr="007C7F25">
        <w:rPr>
          <w:rFonts w:eastAsia="Times New Roman"/>
          <w:sz w:val="24"/>
          <w:szCs w:val="24"/>
        </w:rPr>
        <w:lastRenderedPageBreak/>
        <w:t>This essay evaluated the possibility for The Ritz London to start a food waste management scheme in order to utilise the opportunity which exists as a gap in its current approach to sustainability. Ironically, the hotel is engaged with selected environmental initiatives. However, it still lacks a clear means of handling food surplus and organic waste that can be easily put to use. A credible, scalable, and socially responsible answer to resolving this challenge is proposed, i.e., a hybrid solution involving the composting of spoiled food and the redistribution of food that is still edible. Such practices, if adopted by The Rit, would bring the firm into conformity with global sustainability standards, improve the firm's brand reputation, operational efficiency and would be able to make meaningful contributions to environmental preservation and social welfare. The initiative proves an advanced understanding of sustainable hospitality, while the management of waste is not limited to minimising disposal but creating an opportunity for waste materials to be used in positive ways. If this strategy is employed, then aside from meeting the expectations of contemporary travellers, this would turn The Ritz into a leader in the luxury sector and at the forefront of sustainable accommodation.</w:t>
      </w:r>
      <w:r w:rsidRPr="007C7F25">
        <w:br w:type="page"/>
      </w:r>
    </w:p>
    <w:p w14:paraId="0000001A" w14:textId="77777777" w:rsidR="0053719E" w:rsidRPr="007C7F25" w:rsidRDefault="00643452">
      <w:pPr>
        <w:spacing w:after="240" w:line="360" w:lineRule="auto"/>
        <w:jc w:val="both"/>
        <w:rPr>
          <w:rFonts w:eastAsia="Times New Roman"/>
          <w:sz w:val="28"/>
          <w:szCs w:val="28"/>
        </w:rPr>
      </w:pPr>
      <w:r w:rsidRPr="007C7F25">
        <w:rPr>
          <w:rFonts w:eastAsia="Times New Roman"/>
          <w:sz w:val="28"/>
          <w:szCs w:val="28"/>
        </w:rPr>
        <w:lastRenderedPageBreak/>
        <w:t>Reference</w:t>
      </w:r>
    </w:p>
    <w:p w14:paraId="40ED7A0E"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Almeaibed, S., Al-Rubaye, S., Tsourdos, A. and Avdelidis, N.P. (2021). Digital Twin Analysis to Promote Safety and Security in Autonomous Vehicles. </w:t>
      </w:r>
      <w:r w:rsidRPr="007C7F25">
        <w:rPr>
          <w:rFonts w:eastAsia="Times New Roman"/>
          <w:i/>
          <w:sz w:val="24"/>
          <w:szCs w:val="24"/>
        </w:rPr>
        <w:t>IEEE Communications Standards Magazine</w:t>
      </w:r>
      <w:r w:rsidRPr="007C7F25">
        <w:rPr>
          <w:rFonts w:eastAsia="Times New Roman"/>
          <w:sz w:val="24"/>
          <w:szCs w:val="24"/>
        </w:rPr>
        <w:t xml:space="preserve">, 5(1), pp.40–46. Available at: </w:t>
      </w:r>
      <w:hyperlink r:id="rId6">
        <w:r w:rsidRPr="007C7F25">
          <w:rPr>
            <w:rFonts w:eastAsia="Times New Roman"/>
            <w:color w:val="1155CC"/>
            <w:sz w:val="24"/>
            <w:szCs w:val="24"/>
            <w:u w:val="single"/>
          </w:rPr>
          <w:t>https://doi.org/10.1109/mcomstd.011.2100004</w:t>
        </w:r>
      </w:hyperlink>
      <w:r w:rsidRPr="007C7F25">
        <w:rPr>
          <w:rFonts w:eastAsia="Times New Roman"/>
          <w:sz w:val="24"/>
          <w:szCs w:val="24"/>
        </w:rPr>
        <w:t>. [Accessed 10 June 2025].</w:t>
      </w:r>
    </w:p>
    <w:p w14:paraId="71703A35"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Cambon, A. (2023). </w:t>
      </w:r>
      <w:r w:rsidRPr="007C7F25">
        <w:rPr>
          <w:rFonts w:eastAsia="Times New Roman"/>
          <w:i/>
          <w:sz w:val="24"/>
          <w:szCs w:val="24"/>
        </w:rPr>
        <w:t>Food waste: AI supporting Accor hotels</w:t>
      </w:r>
      <w:r w:rsidRPr="007C7F25">
        <w:rPr>
          <w:rFonts w:eastAsia="Times New Roman"/>
          <w:sz w:val="24"/>
          <w:szCs w:val="24"/>
        </w:rPr>
        <w:t xml:space="preserve">. Accor – Newsroom. Available at: </w:t>
      </w:r>
      <w:hyperlink r:id="rId7">
        <w:r w:rsidRPr="007C7F25">
          <w:rPr>
            <w:rFonts w:eastAsia="Times New Roman"/>
            <w:color w:val="1155CC"/>
            <w:sz w:val="24"/>
            <w:szCs w:val="24"/>
            <w:u w:val="single"/>
          </w:rPr>
          <w:t>https://press.accor.com/food-waste-ai-supporting-accor-hotels/?lang=en</w:t>
        </w:r>
      </w:hyperlink>
      <w:r w:rsidRPr="007C7F25">
        <w:rPr>
          <w:rFonts w:eastAsia="Times New Roman"/>
          <w:sz w:val="24"/>
          <w:szCs w:val="24"/>
        </w:rPr>
        <w:t xml:space="preserve"> [Accessed 10 June 2025].</w:t>
      </w:r>
    </w:p>
    <w:p w14:paraId="7975FC43"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Camilleri, M.A. (2021). Strategic attributions of corporate social responsibility and environmental management: The business case for doing well by doing good! </w:t>
      </w:r>
      <w:r w:rsidRPr="007C7F25">
        <w:rPr>
          <w:rFonts w:eastAsia="Times New Roman"/>
          <w:i/>
          <w:sz w:val="24"/>
          <w:szCs w:val="24"/>
        </w:rPr>
        <w:t>Sustainable Development</w:t>
      </w:r>
      <w:r w:rsidRPr="007C7F25">
        <w:rPr>
          <w:rFonts w:eastAsia="Times New Roman"/>
          <w:sz w:val="24"/>
          <w:szCs w:val="24"/>
        </w:rPr>
        <w:t>, 30(3), pp.409–422.</w:t>
      </w:r>
    </w:p>
    <w:p w14:paraId="3E5B7DAB"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Coghlan, A., Becken, S. and Warren, C. (2022). Modelling a smart tech user journey to decarbonise tourist accommodation. </w:t>
      </w:r>
      <w:r w:rsidRPr="007C7F25">
        <w:rPr>
          <w:rFonts w:eastAsia="Times New Roman"/>
          <w:i/>
          <w:sz w:val="24"/>
          <w:szCs w:val="24"/>
        </w:rPr>
        <w:t>Journal of Sustainable Tourism</w:t>
      </w:r>
      <w:r w:rsidRPr="007C7F25">
        <w:rPr>
          <w:rFonts w:eastAsia="Times New Roman"/>
          <w:sz w:val="24"/>
          <w:szCs w:val="24"/>
        </w:rPr>
        <w:t xml:space="preserve">, pp.1–19. Available at: </w:t>
      </w:r>
      <w:hyperlink r:id="rId8">
        <w:r w:rsidRPr="007C7F25">
          <w:rPr>
            <w:rFonts w:eastAsia="Times New Roman"/>
            <w:color w:val="1155CC"/>
            <w:sz w:val="24"/>
            <w:szCs w:val="24"/>
            <w:u w:val="single"/>
          </w:rPr>
          <w:t>https://doi.org/10.1080/09669582.2022.2030344</w:t>
        </w:r>
      </w:hyperlink>
      <w:r w:rsidRPr="007C7F25">
        <w:rPr>
          <w:rFonts w:eastAsia="Times New Roman"/>
          <w:sz w:val="24"/>
          <w:szCs w:val="24"/>
        </w:rPr>
        <w:t>. [Accessed 10 June 2025].</w:t>
      </w:r>
    </w:p>
    <w:p w14:paraId="56F0CF2E"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Costa, and Costa, C. (2022). Sustainability and competitiveness in the hospitality industry. Business Science Reference.</w:t>
      </w:r>
    </w:p>
    <w:p w14:paraId="6F48EB2E"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Dimitriou, S. (2025). Human Resource practices of luxury hotels in Greece. </w:t>
      </w:r>
      <w:r w:rsidRPr="007C7F25">
        <w:rPr>
          <w:rFonts w:eastAsia="Times New Roman"/>
          <w:i/>
          <w:sz w:val="24"/>
          <w:szCs w:val="24"/>
        </w:rPr>
        <w:t>Theseus.fi</w:t>
      </w:r>
      <w:r w:rsidRPr="007C7F25">
        <w:rPr>
          <w:rFonts w:eastAsia="Times New Roman"/>
          <w:sz w:val="24"/>
          <w:szCs w:val="24"/>
        </w:rPr>
        <w:t xml:space="preserve">. Available at: </w:t>
      </w:r>
      <w:hyperlink r:id="rId9">
        <w:r w:rsidRPr="007C7F25">
          <w:rPr>
            <w:rFonts w:eastAsia="Times New Roman"/>
            <w:color w:val="1155CC"/>
            <w:sz w:val="24"/>
            <w:szCs w:val="24"/>
            <w:u w:val="single"/>
          </w:rPr>
          <w:t>http://www.theseus.fi/handle/10024/882808</w:t>
        </w:r>
      </w:hyperlink>
      <w:r w:rsidRPr="007C7F25">
        <w:rPr>
          <w:rFonts w:eastAsia="Times New Roman"/>
          <w:sz w:val="24"/>
          <w:szCs w:val="24"/>
        </w:rPr>
        <w:t>. [Accessed 10 June 2025].</w:t>
      </w:r>
    </w:p>
    <w:p w14:paraId="5B732AE3"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EarthCheck (2024). </w:t>
      </w:r>
      <w:r w:rsidRPr="007C7F25">
        <w:rPr>
          <w:rFonts w:eastAsia="Times New Roman"/>
          <w:i/>
          <w:sz w:val="24"/>
          <w:szCs w:val="24"/>
        </w:rPr>
        <w:t>EarthCheck Certified</w:t>
      </w:r>
      <w:r w:rsidRPr="007C7F25">
        <w:rPr>
          <w:rFonts w:eastAsia="Times New Roman"/>
          <w:sz w:val="24"/>
          <w:szCs w:val="24"/>
        </w:rPr>
        <w:t xml:space="preserve">. EarthCheck. Available at: </w:t>
      </w:r>
      <w:hyperlink r:id="rId10">
        <w:r w:rsidRPr="007C7F25">
          <w:rPr>
            <w:rFonts w:eastAsia="Times New Roman"/>
            <w:color w:val="1155CC"/>
            <w:sz w:val="24"/>
            <w:szCs w:val="24"/>
            <w:u w:val="single"/>
          </w:rPr>
          <w:t>https://earthcheck.org/what-we-do/certification/earthcheck-certified/</w:t>
        </w:r>
      </w:hyperlink>
      <w:r w:rsidRPr="007C7F25">
        <w:rPr>
          <w:rFonts w:eastAsia="Times New Roman"/>
          <w:sz w:val="24"/>
          <w:szCs w:val="24"/>
        </w:rPr>
        <w:t xml:space="preserve"> [Accessed 10 June 2025].</w:t>
      </w:r>
    </w:p>
    <w:p w14:paraId="6C4124F2"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Edgell. (2020). Managing sustainable tourism : a legacy for the future (Third edition). Routledge.</w:t>
      </w:r>
    </w:p>
    <w:p w14:paraId="1A3359FE"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Filimonau, V. (2020). The Prospects of Waste Management in the Hospitality Sector Post COVID-19. </w:t>
      </w:r>
      <w:r w:rsidRPr="007C7F25">
        <w:rPr>
          <w:rFonts w:eastAsia="Times New Roman"/>
          <w:i/>
          <w:sz w:val="24"/>
          <w:szCs w:val="24"/>
        </w:rPr>
        <w:t>Resources, Conservation and Recycling</w:t>
      </w:r>
      <w:r w:rsidRPr="007C7F25">
        <w:rPr>
          <w:rFonts w:eastAsia="Times New Roman"/>
          <w:sz w:val="24"/>
          <w:szCs w:val="24"/>
        </w:rPr>
        <w:t>, 168, p.105272.</w:t>
      </w:r>
    </w:p>
    <w:p w14:paraId="3F102556"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lastRenderedPageBreak/>
        <w:t xml:space="preserve">Gouge, D.H., Lame, M.L., Stock, T., Rose, L., Hurley, J.A., Lerman, D.L., Nair, S., Nelson, M.A., Gangloff-Kaufmann, J., McSherry, L., Connett, J.F., Graham, L.S. and Green, T.A. (2023). Improving Environmental Health in Schools. </w:t>
      </w:r>
      <w:r w:rsidRPr="007C7F25">
        <w:rPr>
          <w:rFonts w:eastAsia="Times New Roman"/>
          <w:i/>
          <w:sz w:val="24"/>
          <w:szCs w:val="24"/>
        </w:rPr>
        <w:t>Current Problems in Pediatric and Adolescent Health Care</w:t>
      </w:r>
      <w:r w:rsidRPr="007C7F25">
        <w:rPr>
          <w:rFonts w:eastAsia="Times New Roman"/>
          <w:sz w:val="24"/>
          <w:szCs w:val="24"/>
        </w:rPr>
        <w:t xml:space="preserve">, 53(4), pp.101407–101407. Available at: </w:t>
      </w:r>
      <w:hyperlink r:id="rId11">
        <w:r w:rsidRPr="007C7F25">
          <w:rPr>
            <w:rFonts w:eastAsia="Times New Roman"/>
            <w:color w:val="1155CC"/>
            <w:sz w:val="24"/>
            <w:szCs w:val="24"/>
            <w:u w:val="single"/>
          </w:rPr>
          <w:t>https://doi.org/10.1016/j.cppeds.2023.101407</w:t>
        </w:r>
      </w:hyperlink>
      <w:r w:rsidRPr="007C7F25">
        <w:rPr>
          <w:rFonts w:eastAsia="Times New Roman"/>
          <w:sz w:val="24"/>
          <w:szCs w:val="24"/>
        </w:rPr>
        <w:t>. [Accessed 10 June 2025].</w:t>
      </w:r>
    </w:p>
    <w:p w14:paraId="697539B1"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Hall, M. (2020). </w:t>
      </w:r>
      <w:r w:rsidRPr="007C7F25">
        <w:rPr>
          <w:rFonts w:eastAsia="Times New Roman"/>
          <w:i/>
          <w:sz w:val="24"/>
          <w:szCs w:val="24"/>
        </w:rPr>
        <w:t>Britain’s Hospitality Sector Generates 920K Tonnes of Food Waste Annually</w:t>
      </w:r>
      <w:r w:rsidRPr="007C7F25">
        <w:rPr>
          <w:rFonts w:eastAsia="Times New Roman"/>
          <w:sz w:val="24"/>
          <w:szCs w:val="24"/>
        </w:rPr>
        <w:t xml:space="preserve">. Business Waste. Available at: </w:t>
      </w:r>
      <w:hyperlink r:id="rId12">
        <w:r w:rsidRPr="007C7F25">
          <w:rPr>
            <w:rFonts w:eastAsia="Times New Roman"/>
            <w:color w:val="1155CC"/>
            <w:sz w:val="24"/>
            <w:szCs w:val="24"/>
            <w:u w:val="single"/>
          </w:rPr>
          <w:t>https://www.businesswaste.co.uk/news/britains-hospitality-sector-generates-920k-tonnes-of-food-waste-annually/</w:t>
        </w:r>
      </w:hyperlink>
      <w:r w:rsidRPr="007C7F25">
        <w:rPr>
          <w:rFonts w:eastAsia="Times New Roman"/>
          <w:sz w:val="24"/>
          <w:szCs w:val="24"/>
        </w:rPr>
        <w:t xml:space="preserve"> [Accessed 10 June 2025].</w:t>
      </w:r>
    </w:p>
    <w:p w14:paraId="51333941"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Ioannidis, A., Chalvatzis, K.J., Leonidou, L.C. and Feng, Z. (2021). Applying the reduce, reuse, and recycle principle in the hospitality sector: Its antecedents and performance implications. </w:t>
      </w:r>
      <w:r w:rsidRPr="007C7F25">
        <w:rPr>
          <w:rFonts w:eastAsia="Times New Roman"/>
          <w:i/>
          <w:sz w:val="24"/>
          <w:szCs w:val="24"/>
        </w:rPr>
        <w:t>Business Strategy and the Environment</w:t>
      </w:r>
      <w:r w:rsidRPr="007C7F25">
        <w:rPr>
          <w:rFonts w:eastAsia="Times New Roman"/>
          <w:sz w:val="24"/>
          <w:szCs w:val="24"/>
        </w:rPr>
        <w:t xml:space="preserve">, 30(7). Available at: </w:t>
      </w:r>
      <w:hyperlink r:id="rId13">
        <w:r w:rsidRPr="007C7F25">
          <w:rPr>
            <w:rFonts w:eastAsia="Times New Roman"/>
            <w:color w:val="1155CC"/>
            <w:sz w:val="24"/>
            <w:szCs w:val="24"/>
            <w:u w:val="single"/>
          </w:rPr>
          <w:t>https://doi.org/10.1002/bse.2809</w:t>
        </w:r>
      </w:hyperlink>
      <w:r w:rsidRPr="007C7F25">
        <w:rPr>
          <w:rFonts w:eastAsia="Times New Roman"/>
          <w:sz w:val="24"/>
          <w:szCs w:val="24"/>
        </w:rPr>
        <w:t>. [Accessed 10 June 2025].</w:t>
      </w:r>
    </w:p>
    <w:p w14:paraId="3528596A"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Jauhari, V. (2021). Managing Sustainability in the Hospitality and Tourism Industry: Paradigms and Directions for the Future’ 9th edn.Oakville: Apple Academic Press. Inc.</w:t>
      </w:r>
    </w:p>
    <w:p w14:paraId="67FB1970"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Korstanje, George, B., and Nedelea, A. (2020). Strategies for promoting sustainable hospitality and tourism services. IGI Global.</w:t>
      </w:r>
    </w:p>
    <w:p w14:paraId="270BC70A"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Lohnes, J.D. (2020). Regulating surplus: Charity and the Legal Geographies of Food Waste Enclosure. </w:t>
      </w:r>
      <w:r w:rsidRPr="007C7F25">
        <w:rPr>
          <w:rFonts w:eastAsia="Times New Roman"/>
          <w:i/>
          <w:sz w:val="24"/>
          <w:szCs w:val="24"/>
        </w:rPr>
        <w:t>Agriculture and Human Values</w:t>
      </w:r>
      <w:r w:rsidRPr="007C7F25">
        <w:rPr>
          <w:rFonts w:eastAsia="Times New Roman"/>
          <w:sz w:val="24"/>
          <w:szCs w:val="24"/>
        </w:rPr>
        <w:t xml:space="preserve">, 38. Available at: </w:t>
      </w:r>
      <w:hyperlink r:id="rId14">
        <w:r w:rsidRPr="007C7F25">
          <w:rPr>
            <w:rFonts w:eastAsia="Times New Roman"/>
            <w:color w:val="1155CC"/>
            <w:sz w:val="24"/>
            <w:szCs w:val="24"/>
            <w:u w:val="single"/>
          </w:rPr>
          <w:t>https://doi.org/10.1007/s10460-020-10150-5</w:t>
        </w:r>
      </w:hyperlink>
      <w:r w:rsidRPr="007C7F25">
        <w:rPr>
          <w:rFonts w:eastAsia="Times New Roman"/>
          <w:sz w:val="24"/>
          <w:szCs w:val="24"/>
        </w:rPr>
        <w:t>. [Accessed 10 June 2025].</w:t>
      </w:r>
    </w:p>
    <w:p w14:paraId="09DF8CF3"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Papargyropoulou, E., Fearnyough, K., Spring, C. and Antal, L. (2022). The future of surplus food redistribution in the UK: Reimagining a ‘win-win’ scenario. </w:t>
      </w:r>
      <w:r w:rsidRPr="007C7F25">
        <w:rPr>
          <w:rFonts w:eastAsia="Times New Roman"/>
          <w:i/>
          <w:sz w:val="24"/>
          <w:szCs w:val="24"/>
        </w:rPr>
        <w:t>Food Policy</w:t>
      </w:r>
      <w:r w:rsidRPr="007C7F25">
        <w:rPr>
          <w:rFonts w:eastAsia="Times New Roman"/>
          <w:sz w:val="24"/>
          <w:szCs w:val="24"/>
        </w:rPr>
        <w:t xml:space="preserve">, 108(1), p.102230. Available at: </w:t>
      </w:r>
      <w:hyperlink r:id="rId15">
        <w:r w:rsidRPr="007C7F25">
          <w:rPr>
            <w:rFonts w:eastAsia="Times New Roman"/>
            <w:color w:val="1155CC"/>
            <w:sz w:val="24"/>
            <w:szCs w:val="24"/>
            <w:u w:val="single"/>
          </w:rPr>
          <w:t>https://doi.org/10.1016/j.foodpol.2022.102230</w:t>
        </w:r>
      </w:hyperlink>
      <w:r w:rsidRPr="007C7F25">
        <w:rPr>
          <w:rFonts w:eastAsia="Times New Roman"/>
          <w:sz w:val="24"/>
          <w:szCs w:val="24"/>
        </w:rPr>
        <w:t>. [Accessed 10 June 2025].</w:t>
      </w:r>
    </w:p>
    <w:p w14:paraId="602EF03C"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Sloan, P., Legrand, W. and Chen, J.S. (2022). Sustainability in the Hospitality Industry. </w:t>
      </w:r>
      <w:r w:rsidRPr="007C7F25">
        <w:rPr>
          <w:rFonts w:eastAsia="Times New Roman"/>
          <w:i/>
          <w:sz w:val="24"/>
          <w:szCs w:val="24"/>
        </w:rPr>
        <w:t>Sustainability in the Hospitality Industry</w:t>
      </w:r>
      <w:r w:rsidRPr="007C7F25">
        <w:rPr>
          <w:rFonts w:eastAsia="Times New Roman"/>
          <w:sz w:val="24"/>
          <w:szCs w:val="24"/>
        </w:rPr>
        <w:t xml:space="preserve">. Available at: </w:t>
      </w:r>
      <w:hyperlink r:id="rId16">
        <w:r w:rsidRPr="007C7F25">
          <w:rPr>
            <w:rFonts w:eastAsia="Times New Roman"/>
            <w:color w:val="1155CC"/>
            <w:sz w:val="24"/>
            <w:szCs w:val="24"/>
            <w:u w:val="single"/>
          </w:rPr>
          <w:t>https://doi.org/10.4324/9781003081128</w:t>
        </w:r>
      </w:hyperlink>
      <w:r w:rsidRPr="007C7F25">
        <w:rPr>
          <w:rFonts w:eastAsia="Times New Roman"/>
          <w:sz w:val="24"/>
          <w:szCs w:val="24"/>
        </w:rPr>
        <w:t>. [Accessed 10 June 2025].</w:t>
      </w:r>
    </w:p>
    <w:p w14:paraId="03C32337"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lastRenderedPageBreak/>
        <w:t xml:space="preserve">The Ritz (2025). </w:t>
      </w:r>
      <w:r w:rsidRPr="007C7F25">
        <w:rPr>
          <w:rFonts w:eastAsia="Times New Roman"/>
          <w:i/>
          <w:sz w:val="24"/>
          <w:szCs w:val="24"/>
        </w:rPr>
        <w:t>Green Policy | The Ritz London Hotel</w:t>
      </w:r>
      <w:r w:rsidRPr="007C7F25">
        <w:rPr>
          <w:rFonts w:eastAsia="Times New Roman"/>
          <w:sz w:val="24"/>
          <w:szCs w:val="24"/>
        </w:rPr>
        <w:t xml:space="preserve">. The Ritz Hotel London. Available at: </w:t>
      </w:r>
      <w:hyperlink r:id="rId17">
        <w:r w:rsidRPr="007C7F25">
          <w:rPr>
            <w:rFonts w:eastAsia="Times New Roman"/>
            <w:color w:val="1155CC"/>
            <w:sz w:val="24"/>
            <w:szCs w:val="24"/>
            <w:u w:val="single"/>
          </w:rPr>
          <w:t>https://www.theritzlondon.com/about-the-ritz/green-policy/</w:t>
        </w:r>
      </w:hyperlink>
      <w:r w:rsidRPr="007C7F25">
        <w:rPr>
          <w:rFonts w:eastAsia="Times New Roman"/>
          <w:sz w:val="24"/>
          <w:szCs w:val="24"/>
        </w:rPr>
        <w:t xml:space="preserve"> [Accessed 10 June 2025].</w:t>
      </w:r>
    </w:p>
    <w:p w14:paraId="702A9A4B"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The Ritz London (2024). </w:t>
      </w:r>
      <w:r w:rsidRPr="007C7F25">
        <w:rPr>
          <w:rFonts w:eastAsia="Times New Roman"/>
          <w:i/>
          <w:sz w:val="24"/>
          <w:szCs w:val="24"/>
        </w:rPr>
        <w:t>The Ritz London | The best 5 Star Luxury Hotel in Mayfair</w:t>
      </w:r>
      <w:r w:rsidRPr="007C7F25">
        <w:rPr>
          <w:rFonts w:eastAsia="Times New Roman"/>
          <w:sz w:val="24"/>
          <w:szCs w:val="24"/>
        </w:rPr>
        <w:t xml:space="preserve">. The Ritz Hotel London. Available at: </w:t>
      </w:r>
      <w:hyperlink r:id="rId18">
        <w:r w:rsidRPr="007C7F25">
          <w:rPr>
            <w:rFonts w:eastAsia="Times New Roman"/>
            <w:color w:val="1155CC"/>
            <w:sz w:val="24"/>
            <w:szCs w:val="24"/>
            <w:u w:val="single"/>
          </w:rPr>
          <w:t>https://www.theritzlondon.com/</w:t>
        </w:r>
      </w:hyperlink>
      <w:r w:rsidRPr="007C7F25">
        <w:rPr>
          <w:rFonts w:eastAsia="Times New Roman"/>
          <w:sz w:val="24"/>
          <w:szCs w:val="24"/>
        </w:rPr>
        <w:t xml:space="preserve"> [Accessed 10 June 2025].</w:t>
      </w:r>
    </w:p>
    <w:p w14:paraId="2D6E1A9F"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UNEP (2021). </w:t>
      </w:r>
      <w:r w:rsidRPr="007C7F25">
        <w:rPr>
          <w:rFonts w:eastAsia="Times New Roman"/>
          <w:i/>
          <w:sz w:val="24"/>
          <w:szCs w:val="24"/>
        </w:rPr>
        <w:t>REDUCING CONSUMER FOOD WASTE USING GREEN AND DIGITAL TECHNOLOGIES</w:t>
      </w:r>
      <w:r w:rsidRPr="007C7F25">
        <w:rPr>
          <w:rFonts w:eastAsia="Times New Roman"/>
          <w:sz w:val="24"/>
          <w:szCs w:val="24"/>
        </w:rPr>
        <w:t xml:space="preserve">. Available at: </w:t>
      </w:r>
      <w:hyperlink r:id="rId19">
        <w:r w:rsidRPr="007C7F25">
          <w:rPr>
            <w:rFonts w:eastAsia="Times New Roman"/>
            <w:color w:val="1155CC"/>
            <w:sz w:val="24"/>
            <w:szCs w:val="24"/>
            <w:u w:val="single"/>
          </w:rPr>
          <w:t>https://unepccc.org/wp-content/uploads/2021/11/reducing-consumer-food-waste-using-green-and-digital-technologies.pdf</w:t>
        </w:r>
      </w:hyperlink>
      <w:r w:rsidRPr="007C7F25">
        <w:rPr>
          <w:rFonts w:eastAsia="Times New Roman"/>
          <w:sz w:val="24"/>
          <w:szCs w:val="24"/>
        </w:rPr>
        <w:t xml:space="preserve"> [Accessed 10 June 2025].</w:t>
      </w:r>
    </w:p>
    <w:p w14:paraId="74000479"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UNEP (2022). </w:t>
      </w:r>
      <w:r w:rsidRPr="007C7F25">
        <w:rPr>
          <w:rFonts w:eastAsia="Times New Roman"/>
          <w:i/>
          <w:sz w:val="24"/>
          <w:szCs w:val="24"/>
        </w:rPr>
        <w:t>Why the global fight to tackle food waste has only just begun</w:t>
      </w:r>
      <w:r w:rsidRPr="007C7F25">
        <w:rPr>
          <w:rFonts w:eastAsia="Times New Roman"/>
          <w:sz w:val="24"/>
          <w:szCs w:val="24"/>
        </w:rPr>
        <w:t xml:space="preserve">. UNEP. Available at: </w:t>
      </w:r>
      <w:hyperlink r:id="rId20">
        <w:r w:rsidRPr="007C7F25">
          <w:rPr>
            <w:rFonts w:eastAsia="Times New Roman"/>
            <w:color w:val="1155CC"/>
            <w:sz w:val="24"/>
            <w:szCs w:val="24"/>
            <w:u w:val="single"/>
          </w:rPr>
          <w:t>https://www.unep.org/news-and-stories/story/why-global-fight-tackle-food-waste-has-only-just-begun</w:t>
        </w:r>
      </w:hyperlink>
      <w:r w:rsidRPr="007C7F25">
        <w:rPr>
          <w:rFonts w:eastAsia="Times New Roman"/>
          <w:sz w:val="24"/>
          <w:szCs w:val="24"/>
        </w:rPr>
        <w:t xml:space="preserve"> [Accessed 10 June 2025].</w:t>
      </w:r>
    </w:p>
    <w:p w14:paraId="3FB8976F"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Villano, M. (2020). </w:t>
      </w:r>
      <w:r w:rsidRPr="007C7F25">
        <w:rPr>
          <w:rFonts w:eastAsia="Times New Roman"/>
          <w:i/>
          <w:sz w:val="24"/>
          <w:szCs w:val="24"/>
        </w:rPr>
        <w:t>How you can get hotels to use less plastic</w:t>
      </w:r>
      <w:r w:rsidRPr="007C7F25">
        <w:rPr>
          <w:rFonts w:eastAsia="Times New Roman"/>
          <w:sz w:val="24"/>
          <w:szCs w:val="24"/>
        </w:rPr>
        <w:t xml:space="preserve">. CNN. Available at: </w:t>
      </w:r>
      <w:hyperlink r:id="rId21">
        <w:r w:rsidRPr="007C7F25">
          <w:rPr>
            <w:rFonts w:eastAsia="Times New Roman"/>
            <w:color w:val="1155CC"/>
            <w:sz w:val="24"/>
            <w:szCs w:val="24"/>
            <w:u w:val="single"/>
          </w:rPr>
          <w:t>https://www.cnn.com/travel/article/hotels-using-less-plastic</w:t>
        </w:r>
      </w:hyperlink>
      <w:r w:rsidRPr="007C7F25">
        <w:rPr>
          <w:rFonts w:eastAsia="Times New Roman"/>
          <w:sz w:val="24"/>
          <w:szCs w:val="24"/>
        </w:rPr>
        <w:t xml:space="preserve"> [Accessed 10 June 2025].</w:t>
      </w:r>
    </w:p>
    <w:p w14:paraId="2796525F" w14:textId="77777777" w:rsidR="00586735" w:rsidRPr="007C7F25" w:rsidRDefault="00586735">
      <w:pPr>
        <w:spacing w:after="240" w:line="360" w:lineRule="auto"/>
        <w:jc w:val="both"/>
        <w:rPr>
          <w:rFonts w:eastAsia="Times New Roman"/>
          <w:sz w:val="24"/>
          <w:szCs w:val="24"/>
        </w:rPr>
      </w:pPr>
      <w:r w:rsidRPr="007C7F25">
        <w:rPr>
          <w:rFonts w:eastAsia="Times New Roman"/>
          <w:sz w:val="24"/>
          <w:szCs w:val="24"/>
        </w:rPr>
        <w:t xml:space="preserve">Waste 360 (2021). </w:t>
      </w:r>
      <w:r w:rsidRPr="007C7F25">
        <w:rPr>
          <w:rFonts w:eastAsia="Times New Roman"/>
          <w:i/>
          <w:sz w:val="24"/>
          <w:szCs w:val="24"/>
        </w:rPr>
        <w:t>The Ritz-Carlton to Develop a 100% Circular Solution for Food Waste</w:t>
      </w:r>
      <w:r w:rsidRPr="007C7F25">
        <w:rPr>
          <w:rFonts w:eastAsia="Times New Roman"/>
          <w:sz w:val="24"/>
          <w:szCs w:val="24"/>
        </w:rPr>
        <w:t xml:space="preserve">. www.waste360.com. Available at: </w:t>
      </w:r>
      <w:hyperlink r:id="rId22">
        <w:r w:rsidRPr="007C7F25">
          <w:rPr>
            <w:rFonts w:eastAsia="Times New Roman"/>
            <w:color w:val="1155CC"/>
            <w:sz w:val="24"/>
            <w:szCs w:val="24"/>
            <w:u w:val="single"/>
          </w:rPr>
          <w:t>https://www.waste360.com/food-waste/the-ritz-carlton-collaborates-with-biogreen360-and-garick-to-develop-a-100-circular-solution-for-food-waste</w:t>
        </w:r>
      </w:hyperlink>
      <w:r w:rsidRPr="007C7F25">
        <w:rPr>
          <w:rFonts w:eastAsia="Times New Roman"/>
          <w:sz w:val="24"/>
          <w:szCs w:val="24"/>
        </w:rPr>
        <w:t xml:space="preserve"> [Accessed 10 June 2025].</w:t>
      </w:r>
    </w:p>
    <w:p w14:paraId="00000032" w14:textId="77777777" w:rsidR="0053719E" w:rsidRPr="007C7F25" w:rsidRDefault="0053719E"/>
    <w:sectPr w:rsidR="0053719E" w:rsidRPr="007C7F25" w:rsidSect="00ED7337">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46A80" w14:textId="77777777" w:rsidR="00763DBB" w:rsidRPr="0089281D" w:rsidRDefault="00763DBB" w:rsidP="00ED7337">
      <w:pPr>
        <w:spacing w:line="240" w:lineRule="auto"/>
      </w:pPr>
      <w:r w:rsidRPr="0089281D">
        <w:separator/>
      </w:r>
    </w:p>
  </w:endnote>
  <w:endnote w:type="continuationSeparator" w:id="0">
    <w:p w14:paraId="39D809C0" w14:textId="77777777" w:rsidR="00763DBB" w:rsidRPr="0089281D" w:rsidRDefault="00763DBB" w:rsidP="00ED7337">
      <w:pPr>
        <w:spacing w:line="240" w:lineRule="auto"/>
      </w:pPr>
      <w:r w:rsidRPr="008928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331175"/>
      <w:docPartObj>
        <w:docPartGallery w:val="Page Numbers (Bottom of Page)"/>
        <w:docPartUnique/>
      </w:docPartObj>
    </w:sdtPr>
    <w:sdtContent>
      <w:p w14:paraId="0071C4DB" w14:textId="4D3A3884" w:rsidR="00ED7337" w:rsidRPr="0089281D" w:rsidRDefault="00ED7337">
        <w:pPr>
          <w:pStyle w:val="Footer"/>
          <w:jc w:val="center"/>
        </w:pPr>
        <w:r w:rsidRPr="0089281D">
          <w:fldChar w:fldCharType="begin"/>
        </w:r>
        <w:r w:rsidRPr="0089281D">
          <w:instrText xml:space="preserve"> PAGE   \* MERGEFORMAT </w:instrText>
        </w:r>
        <w:r w:rsidRPr="0089281D">
          <w:fldChar w:fldCharType="separate"/>
        </w:r>
        <w:r w:rsidR="007C7F25">
          <w:rPr>
            <w:noProof/>
          </w:rPr>
          <w:t>2</w:t>
        </w:r>
        <w:r w:rsidRPr="0089281D">
          <w:fldChar w:fldCharType="end"/>
        </w:r>
      </w:p>
    </w:sdtContent>
  </w:sdt>
  <w:p w14:paraId="56F78131" w14:textId="77777777" w:rsidR="00ED7337" w:rsidRPr="0089281D" w:rsidRDefault="00ED7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86B95" w14:textId="77777777" w:rsidR="00763DBB" w:rsidRPr="0089281D" w:rsidRDefault="00763DBB" w:rsidP="00ED7337">
      <w:pPr>
        <w:spacing w:line="240" w:lineRule="auto"/>
      </w:pPr>
      <w:r w:rsidRPr="0089281D">
        <w:separator/>
      </w:r>
    </w:p>
  </w:footnote>
  <w:footnote w:type="continuationSeparator" w:id="0">
    <w:p w14:paraId="47AE57F4" w14:textId="77777777" w:rsidR="00763DBB" w:rsidRPr="0089281D" w:rsidRDefault="00763DBB" w:rsidP="00ED7337">
      <w:pPr>
        <w:spacing w:line="240" w:lineRule="auto"/>
      </w:pPr>
      <w:r w:rsidRPr="0089281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19E"/>
    <w:rsid w:val="00104179"/>
    <w:rsid w:val="001C6AB9"/>
    <w:rsid w:val="0053719E"/>
    <w:rsid w:val="00586735"/>
    <w:rsid w:val="00643452"/>
    <w:rsid w:val="00763DBB"/>
    <w:rsid w:val="007C7F25"/>
    <w:rsid w:val="0089281D"/>
    <w:rsid w:val="00C12879"/>
    <w:rsid w:val="00ED7337"/>
    <w:rsid w:val="00F70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902DAE"/>
  <w15:docId w15:val="{3F6FD89D-9243-47BA-9C90-B98AB8749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D7337"/>
    <w:pPr>
      <w:tabs>
        <w:tab w:val="center" w:pos="4513"/>
        <w:tab w:val="right" w:pos="9026"/>
      </w:tabs>
      <w:spacing w:line="240" w:lineRule="auto"/>
    </w:pPr>
  </w:style>
  <w:style w:type="character" w:customStyle="1" w:styleId="HeaderChar">
    <w:name w:val="Header Char"/>
    <w:basedOn w:val="DefaultParagraphFont"/>
    <w:link w:val="Header"/>
    <w:uiPriority w:val="99"/>
    <w:rsid w:val="00ED7337"/>
  </w:style>
  <w:style w:type="paragraph" w:styleId="Footer">
    <w:name w:val="footer"/>
    <w:basedOn w:val="Normal"/>
    <w:link w:val="FooterChar"/>
    <w:uiPriority w:val="99"/>
    <w:unhideWhenUsed/>
    <w:rsid w:val="00ED7337"/>
    <w:pPr>
      <w:tabs>
        <w:tab w:val="center" w:pos="4513"/>
        <w:tab w:val="right" w:pos="9026"/>
      </w:tabs>
      <w:spacing w:line="240" w:lineRule="auto"/>
    </w:pPr>
  </w:style>
  <w:style w:type="character" w:customStyle="1" w:styleId="FooterChar">
    <w:name w:val="Footer Char"/>
    <w:basedOn w:val="DefaultParagraphFont"/>
    <w:link w:val="Footer"/>
    <w:uiPriority w:val="99"/>
    <w:rsid w:val="00ED7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80/09669582.2022.2030344" TargetMode="External"/><Relationship Id="rId13" Type="http://schemas.openxmlformats.org/officeDocument/2006/relationships/hyperlink" Target="https://doi.org/10.1002/bse.2809" TargetMode="External"/><Relationship Id="rId18" Type="http://schemas.openxmlformats.org/officeDocument/2006/relationships/hyperlink" Target="https://www.theritzlondon.com/" TargetMode="External"/><Relationship Id="rId3" Type="http://schemas.openxmlformats.org/officeDocument/2006/relationships/webSettings" Target="webSettings.xml"/><Relationship Id="rId21" Type="http://schemas.openxmlformats.org/officeDocument/2006/relationships/hyperlink" Target="https://www.cnn.com/travel/article/hotels-using-less-plastic" TargetMode="External"/><Relationship Id="rId7" Type="http://schemas.openxmlformats.org/officeDocument/2006/relationships/hyperlink" Target="https://press.accor.com/food-waste-ai-supporting-accor-hotels/?lang=en" TargetMode="External"/><Relationship Id="rId12" Type="http://schemas.openxmlformats.org/officeDocument/2006/relationships/hyperlink" Target="https://www.businesswaste.co.uk/news/britains-hospitality-sector-generates-920k-tonnes-of-food-waste-annually/" TargetMode="External"/><Relationship Id="rId17" Type="http://schemas.openxmlformats.org/officeDocument/2006/relationships/hyperlink" Target="https://www.theritzlondon.com/about-the-ritz/green-polic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4324/9781003081128" TargetMode="External"/><Relationship Id="rId20" Type="http://schemas.openxmlformats.org/officeDocument/2006/relationships/hyperlink" Target="https://www.unep.org/news-and-stories/story/why-global-fight-tackle-food-waste-has-only-just-begun" TargetMode="External"/><Relationship Id="rId1" Type="http://schemas.openxmlformats.org/officeDocument/2006/relationships/styles" Target="styles.xml"/><Relationship Id="rId6" Type="http://schemas.openxmlformats.org/officeDocument/2006/relationships/hyperlink" Target="https://doi.org/10.1109/mcomstd.011.2100004" TargetMode="External"/><Relationship Id="rId11" Type="http://schemas.openxmlformats.org/officeDocument/2006/relationships/hyperlink" Target="https://doi.org/10.1016/j.cppeds.2023.101407"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16/j.foodpol.2022.102230" TargetMode="External"/><Relationship Id="rId23" Type="http://schemas.openxmlformats.org/officeDocument/2006/relationships/footer" Target="footer1.xml"/><Relationship Id="rId10" Type="http://schemas.openxmlformats.org/officeDocument/2006/relationships/hyperlink" Target="https://earthcheck.org/what-we-do/certification/earthcheck-certified/" TargetMode="External"/><Relationship Id="rId19" Type="http://schemas.openxmlformats.org/officeDocument/2006/relationships/hyperlink" Target="https://unepccc.org/wp-content/uploads/2021/11/reducing-consumer-food-waste-using-green-and-digital-technologies.pdf" TargetMode="External"/><Relationship Id="rId4" Type="http://schemas.openxmlformats.org/officeDocument/2006/relationships/footnotes" Target="footnotes.xml"/><Relationship Id="rId9" Type="http://schemas.openxmlformats.org/officeDocument/2006/relationships/hyperlink" Target="http://www.theseus.fi/handle/10024/882808" TargetMode="External"/><Relationship Id="rId14" Type="http://schemas.openxmlformats.org/officeDocument/2006/relationships/hyperlink" Target="https://doi.org/10.1007/s10460-020-10150-5" TargetMode="External"/><Relationship Id="rId22" Type="http://schemas.openxmlformats.org/officeDocument/2006/relationships/hyperlink" Target="https://www.waste360.com/food-waste/the-ritz-carlton-collaborates-with-biogreen360-and-garick-to-develop-a-100-circular-solution-for-food-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3022</Words>
  <Characters>17230</Characters>
  <Application>Microsoft Office Word</Application>
  <DocSecurity>0</DocSecurity>
  <Lines>143</Lines>
  <Paragraphs>40</Paragraphs>
  <ScaleCrop>false</ScaleCrop>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2025-06-10T16:02:00Z</dcterms:created>
  <dcterms:modified xsi:type="dcterms:W3CDTF">2025-06-11T09:42:00Z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6233e519-7ef9-42a7-9be5-0d0999829e03</vt:lpwstr>
  </property>
</Properties>
</file>