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12B96" w:rsidRDefault="00F12B96" w:rsidP="00F12B96">
      <w:pPr>
        <w:pStyle w:val="NoSpacing"/>
      </w:pPr>
      <w:r>
        <w:rPr>
          <w:noProof/>
        </w:rPr>
        <w:drawing>
          <wp:inline distT="0" distB="0" distL="0" distR="0" wp14:anchorId="7C9F623A" wp14:editId="09883420">
            <wp:extent cx="1907540" cy="635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bwMode="auto">
                    <a:xfrm>
                      <a:off x="0" y="0"/>
                      <a:ext cx="1907540" cy="635635"/>
                    </a:xfrm>
                    <a:prstGeom prst="rect">
                      <a:avLst/>
                    </a:prstGeom>
                    <a:noFill/>
                  </pic:spPr>
                </pic:pic>
              </a:graphicData>
            </a:graphic>
          </wp:inline>
        </w:drawing>
      </w:r>
    </w:p>
    <w:p w:rsidR="00F12B96" w:rsidRDefault="00F12B96" w:rsidP="00F12B96">
      <w:pPr>
        <w:pStyle w:val="NoSpacing"/>
      </w:pPr>
    </w:p>
    <w:p w:rsidR="00F12B96" w:rsidRDefault="00F12B96" w:rsidP="00F12B96">
      <w:pPr>
        <w:pStyle w:val="NoSpacing"/>
      </w:pPr>
    </w:p>
    <w:p w:rsidR="00F12B96" w:rsidRDefault="00F12B96" w:rsidP="00F12B96">
      <w:pPr>
        <w:pStyle w:val="NoSpacing"/>
      </w:pPr>
      <w:r>
        <w:rPr>
          <w:rFonts w:ascii="Arial" w:hAnsi="Arial"/>
          <w:b/>
          <w:sz w:val="28"/>
          <w:szCs w:val="28"/>
        </w:rPr>
        <w:t xml:space="preserve">Postgraduate/Distance Learning </w:t>
      </w:r>
    </w:p>
    <w:p w:rsidR="00F12B96" w:rsidRDefault="00F12B96" w:rsidP="00F12B96">
      <w:pPr>
        <w:pStyle w:val="NoSpacing"/>
        <w:rPr>
          <w:rFonts w:ascii="Arial" w:hAnsi="Arial"/>
          <w:b/>
          <w:sz w:val="28"/>
          <w:szCs w:val="28"/>
        </w:rPr>
      </w:pPr>
      <w:r>
        <w:rPr>
          <w:rFonts w:ascii="Arial" w:hAnsi="Arial"/>
          <w:b/>
          <w:sz w:val="28"/>
          <w:szCs w:val="28"/>
        </w:rPr>
        <w:t>Assignment coversheet &amp; feedback form</w:t>
      </w:r>
    </w:p>
    <w:p w:rsidR="00F12B96" w:rsidRDefault="00F12B96" w:rsidP="00F12B96">
      <w:pPr>
        <w:pStyle w:val="NoSpacing"/>
        <w:rPr>
          <w:rFonts w:ascii="Arial" w:hAnsi="Arial"/>
          <w:sz w:val="28"/>
          <w:szCs w:val="28"/>
        </w:rPr>
      </w:pPr>
    </w:p>
    <w:p w:rsidR="00F12B96" w:rsidRDefault="00F12B96" w:rsidP="00F12B96">
      <w:pPr>
        <w:pStyle w:val="NoSpacing"/>
      </w:pPr>
      <w:r>
        <w:t xml:space="preserve">THIS SHEET MUST BE THE FIRST PAGE OF THE ASSIGNMENT YOU ARE </w:t>
      </w:r>
      <w:proofErr w:type="gramStart"/>
      <w:r>
        <w:t>SUBMITTING  (</w:t>
      </w:r>
      <w:proofErr w:type="gramEnd"/>
      <w:r>
        <w:t>DO NOT SEND AS A SEPARATE FILE)</w:t>
      </w:r>
    </w:p>
    <w:p w:rsidR="00F12B96" w:rsidRDefault="00F12B96" w:rsidP="00F12B96">
      <w:pPr>
        <w:pStyle w:val="NoSpacing"/>
        <w:rPr>
          <w:rFonts w:ascii="Trebuchet MS" w:hAnsi="Trebuchet MS"/>
        </w:rPr>
      </w:pPr>
    </w:p>
    <w:tbl>
      <w:tblPr>
        <w:tblW w:w="9072" w:type="dxa"/>
        <w:tblLook w:val="04A0" w:firstRow="1" w:lastRow="0" w:firstColumn="1" w:lastColumn="0" w:noHBand="0" w:noVBand="1"/>
      </w:tblPr>
      <w:tblGrid>
        <w:gridCol w:w="3544"/>
        <w:gridCol w:w="2266"/>
        <w:gridCol w:w="3262"/>
      </w:tblGrid>
      <w:tr w:rsidR="00F12B96" w:rsidTr="00F12B96">
        <w:trPr>
          <w:trHeight w:val="614"/>
        </w:trPr>
        <w:tc>
          <w:tcPr>
            <w:tcW w:w="9072" w:type="dxa"/>
            <w:gridSpan w:val="3"/>
          </w:tcPr>
          <w:p w:rsidR="00F12B96" w:rsidRDefault="00F12B96" w:rsidP="00F12B96">
            <w:pPr>
              <w:pStyle w:val="NoSpacing"/>
            </w:pPr>
            <w:r>
              <w:rPr>
                <w:rFonts w:ascii="Arial" w:hAnsi="Arial"/>
                <w:b/>
              </w:rPr>
              <w:t>For completion by the student</w:t>
            </w:r>
            <w:r>
              <w:rPr>
                <w:rFonts w:ascii="Arial" w:hAnsi="Arial"/>
              </w:rPr>
              <w:t>:</w:t>
            </w:r>
          </w:p>
        </w:tc>
      </w:tr>
      <w:tr w:rsidR="00F12B96" w:rsidTr="00F12B96">
        <w:trPr>
          <w:trHeight w:val="718"/>
        </w:trPr>
        <w:tc>
          <w:tcPr>
            <w:tcW w:w="9072" w:type="dxa"/>
            <w:gridSpan w:val="3"/>
          </w:tcPr>
          <w:p w:rsidR="00F12B96" w:rsidRDefault="00F12B96" w:rsidP="00F12B96">
            <w:pPr>
              <w:pStyle w:val="NoSpacing"/>
              <w:rPr>
                <w:rFonts w:ascii="Arial" w:hAnsi="Arial"/>
              </w:rPr>
            </w:pPr>
            <w:r>
              <w:rPr>
                <w:rFonts w:ascii="Arial" w:hAnsi="Arial"/>
              </w:rPr>
              <w:t>Student Name: JONATHAN WEEKES</w:t>
            </w:r>
          </w:p>
          <w:p w:rsidR="00F12B96" w:rsidRDefault="00F12B96" w:rsidP="00F12B96">
            <w:pPr>
              <w:pStyle w:val="NoSpacing"/>
              <w:rPr>
                <w:rFonts w:ascii="Arial" w:hAnsi="Arial"/>
              </w:rPr>
            </w:pPr>
          </w:p>
          <w:p w:rsidR="00F12B96" w:rsidRDefault="00F12B96" w:rsidP="00F12B96">
            <w:pPr>
              <w:pStyle w:val="NoSpacing"/>
            </w:pPr>
            <w:r>
              <w:rPr>
                <w:rFonts w:ascii="Arial" w:hAnsi="Arial"/>
              </w:rPr>
              <w:t xml:space="preserve">Student </w:t>
            </w:r>
            <w:r>
              <w:rPr>
                <w:rFonts w:ascii="Arial" w:hAnsi="Arial"/>
                <w:b/>
                <w:u w:val="single"/>
              </w:rPr>
              <w:t>University</w:t>
            </w:r>
            <w:r>
              <w:rPr>
                <w:rFonts w:ascii="Arial" w:hAnsi="Arial"/>
                <w:u w:val="single"/>
              </w:rPr>
              <w:t xml:space="preserve"> </w:t>
            </w:r>
            <w:r>
              <w:rPr>
                <w:rFonts w:ascii="Arial" w:hAnsi="Arial"/>
              </w:rPr>
              <w:t xml:space="preserve">Email: </w:t>
            </w:r>
            <w:r w:rsidRPr="008660AF">
              <w:rPr>
                <w:rFonts w:ascii="Arial" w:hAnsi="Arial" w:cs="Arial"/>
              </w:rPr>
              <w:t>2234148@student.uwtsd.ac.uk</w:t>
            </w:r>
          </w:p>
        </w:tc>
      </w:tr>
      <w:tr w:rsidR="00F12B96" w:rsidTr="00F12B96">
        <w:trPr>
          <w:trHeight w:val="849"/>
        </w:trPr>
        <w:tc>
          <w:tcPr>
            <w:tcW w:w="3544" w:type="dxa"/>
          </w:tcPr>
          <w:p w:rsidR="008660AF" w:rsidRDefault="008660AF" w:rsidP="00F12B96">
            <w:pPr>
              <w:pStyle w:val="NoSpacing"/>
              <w:rPr>
                <w:rFonts w:ascii="Arial" w:hAnsi="Arial"/>
              </w:rPr>
            </w:pPr>
          </w:p>
          <w:p w:rsidR="00F12B96" w:rsidRDefault="00F12B96" w:rsidP="00F12B96">
            <w:pPr>
              <w:pStyle w:val="NoSpacing"/>
              <w:rPr>
                <w:rFonts w:ascii="Arial" w:hAnsi="Arial"/>
              </w:rPr>
            </w:pPr>
            <w:r>
              <w:rPr>
                <w:rFonts w:ascii="Arial" w:hAnsi="Arial"/>
              </w:rPr>
              <w:t>Module code: HPCA7028</w:t>
            </w:r>
          </w:p>
          <w:p w:rsidR="00F12B96" w:rsidRDefault="00F12B96" w:rsidP="00F12B96">
            <w:pPr>
              <w:pStyle w:val="NoSpacing"/>
              <w:rPr>
                <w:rFonts w:ascii="Arial" w:hAnsi="Arial"/>
              </w:rPr>
            </w:pPr>
            <w:r>
              <w:rPr>
                <w:rFonts w:ascii="Arial" w:hAnsi="Arial"/>
              </w:rPr>
              <w:t>Module title: SACRED SKIES</w:t>
            </w:r>
          </w:p>
          <w:p w:rsidR="00F12B96" w:rsidRDefault="00F12B96" w:rsidP="00F12B96">
            <w:pPr>
              <w:pStyle w:val="NoSpacing"/>
              <w:rPr>
                <w:rFonts w:ascii="Arial" w:hAnsi="Arial"/>
              </w:rPr>
            </w:pPr>
          </w:p>
          <w:p w:rsidR="00F12B96" w:rsidRDefault="00F12B96" w:rsidP="00F12B96">
            <w:pPr>
              <w:pStyle w:val="NoSpacing"/>
            </w:pPr>
          </w:p>
        </w:tc>
        <w:tc>
          <w:tcPr>
            <w:tcW w:w="2266" w:type="dxa"/>
          </w:tcPr>
          <w:p w:rsidR="008660AF" w:rsidRDefault="008660AF" w:rsidP="00F12B96">
            <w:pPr>
              <w:pStyle w:val="NoSpacing"/>
              <w:rPr>
                <w:rFonts w:ascii="Arial" w:hAnsi="Arial"/>
              </w:rPr>
            </w:pPr>
          </w:p>
          <w:p w:rsidR="00F12B96" w:rsidRDefault="00F12B96" w:rsidP="00F12B96">
            <w:pPr>
              <w:pStyle w:val="NoSpacing"/>
            </w:pPr>
            <w:r>
              <w:rPr>
                <w:rFonts w:ascii="Arial" w:hAnsi="Arial"/>
              </w:rPr>
              <w:t>Student ID number: 2234148</w:t>
            </w:r>
          </w:p>
        </w:tc>
        <w:tc>
          <w:tcPr>
            <w:tcW w:w="3262" w:type="dxa"/>
          </w:tcPr>
          <w:p w:rsidR="008660AF" w:rsidRDefault="008660AF" w:rsidP="00F12B96">
            <w:pPr>
              <w:pStyle w:val="NoSpacing"/>
              <w:rPr>
                <w:rFonts w:ascii="Arial" w:hAnsi="Arial"/>
              </w:rPr>
            </w:pPr>
          </w:p>
          <w:p w:rsidR="00F12B96" w:rsidRDefault="00F12B96" w:rsidP="00F12B96">
            <w:pPr>
              <w:pStyle w:val="NoSpacing"/>
            </w:pPr>
            <w:r>
              <w:rPr>
                <w:rFonts w:ascii="Arial" w:hAnsi="Arial"/>
              </w:rPr>
              <w:t>Educational support needs:</w:t>
            </w:r>
          </w:p>
          <w:p w:rsidR="00F12B96" w:rsidRDefault="00F12B96" w:rsidP="00F12B96">
            <w:pPr>
              <w:pStyle w:val="NoSpacing"/>
            </w:pPr>
            <w:r>
              <w:rPr>
                <w:rFonts w:ascii="Arial" w:hAnsi="Arial"/>
              </w:rPr>
              <w:t>Yes</w:t>
            </w:r>
          </w:p>
        </w:tc>
      </w:tr>
      <w:tr w:rsidR="00F12B96" w:rsidTr="00F12B96">
        <w:trPr>
          <w:trHeight w:val="1139"/>
        </w:trPr>
        <w:tc>
          <w:tcPr>
            <w:tcW w:w="9072" w:type="dxa"/>
            <w:gridSpan w:val="3"/>
          </w:tcPr>
          <w:p w:rsidR="00F12B96" w:rsidRDefault="00F12B96" w:rsidP="00F12B96">
            <w:r>
              <w:rPr>
                <w:rFonts w:ascii="Arial" w:hAnsi="Arial"/>
              </w:rPr>
              <w:t xml:space="preserve">Assignment title: </w:t>
            </w:r>
            <w:r w:rsidRPr="008660AF">
              <w:rPr>
                <w:rFonts w:ascii="Arial" w:hAnsi="Arial" w:cs="Arial"/>
              </w:rPr>
              <w:t>EXPLORE THE CULTURAL SIGNIFICANCE OF A LUNAR MYTH</w:t>
            </w:r>
          </w:p>
          <w:p w:rsidR="00F12B96" w:rsidRDefault="00F12B96" w:rsidP="00F12B96">
            <w:pPr>
              <w:pStyle w:val="NoSpacing"/>
              <w:rPr>
                <w:rFonts w:ascii="Arial" w:hAnsi="Arial"/>
              </w:rPr>
            </w:pPr>
          </w:p>
          <w:p w:rsidR="00F12B96" w:rsidRDefault="00F12B96" w:rsidP="00F12B96">
            <w:pPr>
              <w:pStyle w:val="NoSpacing"/>
              <w:rPr>
                <w:rFonts w:ascii="Arial" w:hAnsi="Arial"/>
              </w:rPr>
            </w:pPr>
          </w:p>
          <w:p w:rsidR="00F12B96" w:rsidRDefault="00F12B96" w:rsidP="00F12B96">
            <w:pPr>
              <w:pStyle w:val="NoSpacing"/>
            </w:pPr>
            <w:r>
              <w:rPr>
                <w:rFonts w:ascii="Arial" w:hAnsi="Arial"/>
              </w:rPr>
              <w:t>Assignment due date:</w:t>
            </w:r>
          </w:p>
        </w:tc>
      </w:tr>
      <w:tr w:rsidR="00F12B96" w:rsidTr="00F12B96">
        <w:trPr>
          <w:trHeight w:val="978"/>
        </w:trPr>
        <w:tc>
          <w:tcPr>
            <w:tcW w:w="9072" w:type="dxa"/>
            <w:gridSpan w:val="3"/>
            <w:tcBorders>
              <w:bottom w:val="single" w:sz="4" w:space="0" w:color="000000"/>
            </w:tcBorders>
          </w:tcPr>
          <w:p w:rsidR="00F12B96" w:rsidRDefault="00F12B96" w:rsidP="00F12B96">
            <w:pPr>
              <w:pStyle w:val="NoSpacing"/>
            </w:pPr>
            <w:r>
              <w:rPr>
                <w:rFonts w:ascii="Arial" w:hAnsi="Arial"/>
              </w:rPr>
              <w:t>This assignment is for the       1</w:t>
            </w:r>
            <w:r>
              <w:rPr>
                <w:rFonts w:ascii="Arial" w:hAnsi="Arial"/>
                <w:vertAlign w:val="superscript"/>
              </w:rPr>
              <w:t xml:space="preserve">st </w:t>
            </w:r>
            <w:r>
              <w:rPr>
                <w:rFonts w:ascii="Arial" w:hAnsi="Arial"/>
              </w:rPr>
              <w:t xml:space="preserve">    module of the degree</w:t>
            </w:r>
          </w:p>
        </w:tc>
      </w:tr>
      <w:tr w:rsidR="00F12B96" w:rsidTr="00F12B96">
        <w:trPr>
          <w:trHeight w:val="978"/>
        </w:trPr>
        <w:tc>
          <w:tcPr>
            <w:tcW w:w="9072" w:type="dxa"/>
            <w:gridSpan w:val="3"/>
            <w:shd w:val="clear" w:color="auto" w:fill="D9D9D9"/>
          </w:tcPr>
          <w:p w:rsidR="00F12B96" w:rsidRDefault="00F12B96" w:rsidP="00F12B96">
            <w:pPr>
              <w:pStyle w:val="NoSpacing"/>
            </w:pPr>
            <w:r>
              <w:rPr>
                <w:rFonts w:ascii="Arial" w:hAnsi="Arial"/>
              </w:rPr>
              <w:t>I confirm that this is my original work and that I have adhered to the University policy on plagiarism.</w:t>
            </w:r>
          </w:p>
          <w:p w:rsidR="00F12B96" w:rsidRDefault="00F12B96" w:rsidP="00F12B96">
            <w:pPr>
              <w:pStyle w:val="NoSpacing"/>
              <w:rPr>
                <w:rFonts w:ascii="Arial" w:hAnsi="Arial"/>
              </w:rPr>
            </w:pPr>
            <w:r>
              <w:rPr>
                <w:rFonts w:ascii="Arial" w:hAnsi="Arial"/>
              </w:rPr>
              <w:t>Signed ……………JONATHAN WEEKES………………………………………………</w:t>
            </w:r>
          </w:p>
          <w:p w:rsidR="00F12B96" w:rsidRDefault="00F12B96" w:rsidP="00F12B96">
            <w:pPr>
              <w:pStyle w:val="NoSpacing"/>
              <w:rPr>
                <w:rFonts w:ascii="Calibri" w:hAnsi="Calibri"/>
                <w:b/>
                <w:sz w:val="44"/>
                <w:szCs w:val="44"/>
              </w:rPr>
            </w:pPr>
            <w:r>
              <w:rPr>
                <w:rFonts w:ascii="Calibri" w:hAnsi="Calibri"/>
                <w:b/>
                <w:sz w:val="24"/>
                <w:szCs w:val="24"/>
              </w:rPr>
              <w:t xml:space="preserve">Email </w:t>
            </w:r>
            <w:proofErr w:type="spellStart"/>
            <w:proofErr w:type="gramStart"/>
            <w:r>
              <w:rPr>
                <w:rFonts w:ascii="Calibri" w:hAnsi="Calibri"/>
                <w:b/>
                <w:sz w:val="24"/>
                <w:szCs w:val="24"/>
              </w:rPr>
              <w:t>submission:if</w:t>
            </w:r>
            <w:proofErr w:type="spellEnd"/>
            <w:proofErr w:type="gramEnd"/>
            <w:r>
              <w:rPr>
                <w:rFonts w:ascii="Calibri" w:hAnsi="Calibri"/>
                <w:b/>
                <w:sz w:val="24"/>
                <w:szCs w:val="24"/>
              </w:rPr>
              <w:t xml:space="preserve"> you are submitting this form via email, please tick this box </w:t>
            </w:r>
            <w:r>
              <w:rPr>
                <w:rFonts w:ascii="Calibri" w:hAnsi="Calibri"/>
                <w:b/>
                <w:sz w:val="44"/>
                <w:szCs w:val="44"/>
              </w:rPr>
              <w:sym w:font="Wingdings" w:char="F0FE"/>
            </w:r>
          </w:p>
          <w:p w:rsidR="00F12B96" w:rsidRDefault="00F12B96" w:rsidP="00F12B96">
            <w:pPr>
              <w:pStyle w:val="NoSpacing"/>
            </w:pPr>
            <w:r>
              <w:rPr>
                <w:rFonts w:ascii="Calibri" w:hAnsi="Calibri"/>
                <w:b/>
                <w:sz w:val="24"/>
                <w:szCs w:val="24"/>
              </w:rPr>
              <w:t>(</w:t>
            </w:r>
            <w:proofErr w:type="gramStart"/>
            <w:r>
              <w:rPr>
                <w:rFonts w:ascii="Calibri" w:hAnsi="Calibri"/>
                <w:b/>
                <w:sz w:val="24"/>
                <w:szCs w:val="24"/>
              </w:rPr>
              <w:t>as</w:t>
            </w:r>
            <w:proofErr w:type="gramEnd"/>
            <w:r>
              <w:rPr>
                <w:rFonts w:ascii="Calibri" w:hAnsi="Calibri"/>
                <w:b/>
                <w:sz w:val="24"/>
                <w:szCs w:val="24"/>
              </w:rPr>
              <w:t xml:space="preserve"> a substitute for your signature) to confirm that you agree to the above declaration.</w:t>
            </w:r>
          </w:p>
        </w:tc>
      </w:tr>
    </w:tbl>
    <w:p w:rsidR="00F12B96" w:rsidRDefault="00F12B96">
      <w:r>
        <w:br w:type="page"/>
      </w:r>
    </w:p>
    <w:tbl>
      <w:tblPr>
        <w:tblW w:w="9743" w:type="dxa"/>
        <w:tblLook w:val="04A0" w:firstRow="1" w:lastRow="0" w:firstColumn="1" w:lastColumn="0" w:noHBand="0" w:noVBand="1"/>
      </w:tblPr>
      <w:tblGrid>
        <w:gridCol w:w="6096"/>
        <w:gridCol w:w="2088"/>
        <w:gridCol w:w="672"/>
        <w:gridCol w:w="887"/>
      </w:tblGrid>
      <w:tr w:rsidR="00F12B96" w:rsidTr="00644300">
        <w:trPr>
          <w:gridAfter w:val="1"/>
          <w:wAfter w:w="887" w:type="dxa"/>
          <w:trHeight w:val="3972"/>
        </w:trPr>
        <w:tc>
          <w:tcPr>
            <w:tcW w:w="8856" w:type="dxa"/>
            <w:gridSpan w:val="3"/>
          </w:tcPr>
          <w:p w:rsidR="00F12B96" w:rsidRDefault="00F12B96" w:rsidP="00F12B96">
            <w:pPr>
              <w:pStyle w:val="NoSpacing"/>
              <w:rPr>
                <w:rFonts w:ascii="Arial" w:hAnsi="Arial"/>
                <w:b/>
              </w:rPr>
            </w:pPr>
          </w:p>
          <w:p w:rsidR="00F12B96" w:rsidRDefault="00F12B96" w:rsidP="00F12B96">
            <w:pPr>
              <w:pStyle w:val="NoSpacing"/>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F12B96" w:rsidTr="008550A0">
              <w:tc>
                <w:tcPr>
                  <w:tcW w:w="6970" w:type="dxa"/>
                </w:tcPr>
                <w:p w:rsidR="00F12B96" w:rsidRDefault="00F12B96" w:rsidP="00F12B96">
                  <w:pPr>
                    <w:pStyle w:val="NoSpacing"/>
                    <w:rPr>
                      <w:rFonts w:ascii="Arial" w:hAnsi="Arial"/>
                      <w:sz w:val="20"/>
                      <w:szCs w:val="20"/>
                    </w:rPr>
                  </w:pPr>
                </w:p>
                <w:p w:rsidR="00F12B96" w:rsidRDefault="00F12B96" w:rsidP="00F12B96">
                  <w:pPr>
                    <w:pStyle w:val="NoSpacing"/>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rsidR="00F12B96" w:rsidRDefault="00F12B96" w:rsidP="00F12B96">
                  <w:pPr>
                    <w:pStyle w:val="NoSpacing"/>
                    <w:rPr>
                      <w:rFonts w:ascii="Arial" w:hAnsi="Arial"/>
                      <w:sz w:val="20"/>
                      <w:szCs w:val="20"/>
                    </w:rPr>
                  </w:pPr>
                </w:p>
              </w:tc>
            </w:tr>
            <w:tr w:rsidR="00F12B96" w:rsidTr="008550A0">
              <w:tc>
                <w:tcPr>
                  <w:tcW w:w="6970" w:type="dxa"/>
                </w:tcPr>
                <w:p w:rsidR="00F12B96" w:rsidRDefault="00F12B96" w:rsidP="00F12B96">
                  <w:pPr>
                    <w:pStyle w:val="NoSpacing"/>
                    <w:rPr>
                      <w:rFonts w:ascii="Arial" w:hAnsi="Arial"/>
                      <w:sz w:val="20"/>
                      <w:szCs w:val="20"/>
                    </w:rPr>
                  </w:pPr>
                </w:p>
                <w:p w:rsidR="00F12B96" w:rsidRDefault="00F12B96" w:rsidP="00F12B96">
                  <w:pPr>
                    <w:pStyle w:val="NoSpacing"/>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rsidR="00F12B96" w:rsidRDefault="00F12B96" w:rsidP="00F12B96">
                  <w:pPr>
                    <w:pStyle w:val="NoSpacing"/>
                    <w:rPr>
                      <w:rFonts w:ascii="Arial" w:hAnsi="Arial"/>
                      <w:sz w:val="20"/>
                      <w:szCs w:val="20"/>
                    </w:rPr>
                  </w:pPr>
                </w:p>
              </w:tc>
            </w:tr>
            <w:tr w:rsidR="00F12B96" w:rsidTr="008550A0">
              <w:tc>
                <w:tcPr>
                  <w:tcW w:w="6970" w:type="dxa"/>
                </w:tcPr>
                <w:p w:rsidR="00F12B96" w:rsidRDefault="00F12B96" w:rsidP="00F12B96">
                  <w:pPr>
                    <w:pStyle w:val="NoSpacing"/>
                    <w:rPr>
                      <w:rFonts w:ascii="Arial" w:hAnsi="Arial"/>
                      <w:sz w:val="20"/>
                      <w:szCs w:val="20"/>
                    </w:rPr>
                  </w:pPr>
                </w:p>
                <w:p w:rsidR="00F12B96" w:rsidRDefault="00F12B96" w:rsidP="00F12B96">
                  <w:pPr>
                    <w:pStyle w:val="NoSpacing"/>
                    <w:rPr>
                      <w:rFonts w:ascii="Arial" w:hAnsi="Arial"/>
                      <w:sz w:val="20"/>
                      <w:szCs w:val="20"/>
                    </w:rPr>
                  </w:pPr>
                  <w:r>
                    <w:rPr>
                      <w:rFonts w:ascii="Arial" w:hAnsi="Arial"/>
                      <w:sz w:val="20"/>
                      <w:szCs w:val="20"/>
                    </w:rPr>
                    <w:t>External Examiner’s mark (if relevant)</w:t>
                  </w:r>
                </w:p>
              </w:tc>
              <w:tc>
                <w:tcPr>
                  <w:tcW w:w="1660" w:type="dxa"/>
                </w:tcPr>
                <w:p w:rsidR="00F12B96" w:rsidRDefault="00F12B96" w:rsidP="00F12B96">
                  <w:pPr>
                    <w:pStyle w:val="NoSpacing"/>
                    <w:rPr>
                      <w:rFonts w:ascii="Arial" w:hAnsi="Arial"/>
                      <w:sz w:val="20"/>
                      <w:szCs w:val="20"/>
                    </w:rPr>
                  </w:pPr>
                </w:p>
              </w:tc>
            </w:tr>
            <w:tr w:rsidR="00F12B96" w:rsidTr="008550A0">
              <w:tc>
                <w:tcPr>
                  <w:tcW w:w="6970" w:type="dxa"/>
                </w:tcPr>
                <w:p w:rsidR="00F12B96" w:rsidRDefault="00F12B96" w:rsidP="00F12B96">
                  <w:pPr>
                    <w:pStyle w:val="NoSpacing"/>
                    <w:rPr>
                      <w:rFonts w:ascii="Arial" w:hAnsi="Arial"/>
                      <w:sz w:val="20"/>
                      <w:szCs w:val="20"/>
                    </w:rPr>
                  </w:pPr>
                </w:p>
                <w:p w:rsidR="00F12B96" w:rsidRDefault="00F12B96" w:rsidP="00F12B96">
                  <w:pPr>
                    <w:pStyle w:val="NoSpacing"/>
                  </w:pPr>
                  <w:r>
                    <w:rPr>
                      <w:rFonts w:ascii="Arial" w:hAnsi="Arial"/>
                      <w:b/>
                      <w:sz w:val="20"/>
                      <w:szCs w:val="20"/>
                    </w:rPr>
                    <w:t>Final Mark</w:t>
                  </w:r>
                </w:p>
                <w:p w:rsidR="00F12B96" w:rsidRDefault="00F12B96" w:rsidP="00F12B96">
                  <w:pPr>
                    <w:pStyle w:val="NoSpacing"/>
                    <w:rPr>
                      <w:rFonts w:ascii="Arial" w:hAnsi="Arial"/>
                      <w:sz w:val="20"/>
                      <w:szCs w:val="20"/>
                    </w:rPr>
                  </w:pPr>
                </w:p>
              </w:tc>
              <w:tc>
                <w:tcPr>
                  <w:tcW w:w="1660" w:type="dxa"/>
                </w:tcPr>
                <w:p w:rsidR="00F12B96" w:rsidRDefault="00F12B96" w:rsidP="00F12B96">
                  <w:pPr>
                    <w:pStyle w:val="NoSpacing"/>
                    <w:rPr>
                      <w:rFonts w:ascii="Arial" w:hAnsi="Arial"/>
                      <w:sz w:val="20"/>
                      <w:szCs w:val="20"/>
                    </w:rPr>
                  </w:pPr>
                </w:p>
              </w:tc>
            </w:tr>
          </w:tbl>
          <w:p w:rsidR="00F12B96" w:rsidRDefault="00F12B96" w:rsidP="00F12B96">
            <w:pPr>
              <w:pStyle w:val="NoSpacing"/>
              <w:rPr>
                <w:rFonts w:ascii="Arial" w:hAnsi="Arial"/>
                <w:b/>
              </w:rPr>
            </w:pPr>
          </w:p>
          <w:p w:rsidR="00F12B96" w:rsidRDefault="00F12B96" w:rsidP="00F12B96">
            <w:pPr>
              <w:pStyle w:val="NoSpacing"/>
              <w:rPr>
                <w:rFonts w:ascii="Arial" w:hAnsi="Arial"/>
              </w:rPr>
            </w:pPr>
            <w:r>
              <w:rPr>
                <w:rFonts w:ascii="Arial" w:hAnsi="Arial"/>
                <w:b/>
              </w:rPr>
              <w:t>NB.</w:t>
            </w:r>
            <w:r>
              <w:rPr>
                <w:rFonts w:ascii="Arial" w:hAnsi="Arial"/>
              </w:rPr>
              <w:t xml:space="preserve">  All marks are provisional until confirmed by the Final Examination Board.</w:t>
            </w:r>
          </w:p>
          <w:p w:rsidR="00F12B96" w:rsidRDefault="00F12B96" w:rsidP="00F12B96">
            <w:pPr>
              <w:pStyle w:val="NoSpacing"/>
              <w:rPr>
                <w:rFonts w:ascii="Arial" w:hAnsi="Arial"/>
                <w:b/>
              </w:rPr>
            </w:pPr>
          </w:p>
          <w:p w:rsidR="00F12B96" w:rsidRDefault="00F12B96" w:rsidP="00F12B96">
            <w:pPr>
              <w:pStyle w:val="NoSpacing"/>
              <w:rPr>
                <w:rFonts w:ascii="Arial" w:hAnsi="Arial"/>
                <w:b/>
              </w:rPr>
            </w:pPr>
          </w:p>
          <w:p w:rsidR="00F12B96" w:rsidRDefault="00F12B96" w:rsidP="00F12B96">
            <w:pPr>
              <w:pStyle w:val="NoSpacing"/>
              <w:rPr>
                <w:rFonts w:ascii="Arial" w:hAnsi="Arial"/>
                <w:b/>
              </w:rPr>
            </w:pPr>
            <w:r>
              <w:rPr>
                <w:rFonts w:ascii="Arial"/>
                <w:b/>
              </w:rPr>
              <w:t xml:space="preserve">            ALL COMMENTS </w:t>
            </w:r>
            <w:proofErr w:type="gramStart"/>
            <w:r>
              <w:rPr>
                <w:rFonts w:ascii="Arial"/>
                <w:b/>
              </w:rPr>
              <w:t>ARE  ON</w:t>
            </w:r>
            <w:proofErr w:type="gramEnd"/>
            <w:r>
              <w:rPr>
                <w:rFonts w:ascii="Arial"/>
                <w:b/>
              </w:rPr>
              <w:t xml:space="preserve"> THE PDF OF YOUR PAPER IN TURNITIN </w:t>
            </w:r>
          </w:p>
          <w:p w:rsidR="00F12B96" w:rsidRDefault="00F12B96" w:rsidP="00F12B96">
            <w:pPr>
              <w:pStyle w:val="NoSpacing"/>
              <w:rPr>
                <w:rFonts w:ascii="Arial" w:hAnsi="Arial"/>
                <w:b/>
              </w:rPr>
            </w:pPr>
          </w:p>
          <w:p w:rsidR="00F12B96" w:rsidRDefault="00F12B96" w:rsidP="00F12B96">
            <w:pPr>
              <w:pStyle w:val="NoSpacing"/>
              <w:rPr>
                <w:rFonts w:ascii="Arial" w:hAnsi="Arial"/>
                <w:b/>
              </w:rPr>
            </w:pPr>
          </w:p>
          <w:p w:rsidR="00F12B96" w:rsidRDefault="00F12B96" w:rsidP="00F12B96">
            <w:pPr>
              <w:pStyle w:val="NoSpacing"/>
            </w:pPr>
            <w:r>
              <w:rPr>
                <w:rFonts w:ascii="Arial" w:hAnsi="Arial"/>
                <w:b/>
              </w:rPr>
              <w:t xml:space="preserve">For completion by Marker </w:t>
            </w:r>
            <w:proofErr w:type="gramStart"/>
            <w:r>
              <w:rPr>
                <w:rFonts w:ascii="Arial" w:hAnsi="Arial"/>
                <w:b/>
              </w:rPr>
              <w:t>1 :</w:t>
            </w:r>
            <w:proofErr w:type="gramEnd"/>
          </w:p>
          <w:p w:rsidR="00F12B96" w:rsidRDefault="00F12B96" w:rsidP="00F12B96">
            <w:pPr>
              <w:pStyle w:val="NoSpacing"/>
              <w:rPr>
                <w:rFonts w:ascii="Arial" w:hAnsi="Arial"/>
              </w:rPr>
            </w:pPr>
            <w:r>
              <w:rPr>
                <w:rFonts w:ascii="Arial" w:hAnsi="Arial"/>
              </w:rPr>
              <w:t>Comments:</w:t>
            </w:r>
          </w:p>
          <w:p w:rsidR="00F12B96" w:rsidRDefault="00F12B96" w:rsidP="00F12B96">
            <w:pPr>
              <w:pStyle w:val="NoSpacing"/>
            </w:pPr>
          </w:p>
          <w:p w:rsidR="00644300" w:rsidRDefault="00644300" w:rsidP="00F12B96">
            <w:pPr>
              <w:pStyle w:val="NoSpacing"/>
            </w:pPr>
          </w:p>
        </w:tc>
      </w:tr>
      <w:tr w:rsidR="00F12B96" w:rsidTr="00644300">
        <w:trPr>
          <w:gridAfter w:val="2"/>
          <w:wAfter w:w="1559" w:type="dxa"/>
          <w:trHeight w:val="492"/>
        </w:trPr>
        <w:tc>
          <w:tcPr>
            <w:tcW w:w="6096" w:type="dxa"/>
          </w:tcPr>
          <w:p w:rsidR="00F12B96" w:rsidRDefault="00F12B96" w:rsidP="00F12B96">
            <w:pPr>
              <w:pStyle w:val="NoSpacing"/>
            </w:pPr>
            <w:r>
              <w:rPr>
                <w:rFonts w:ascii="Arial" w:hAnsi="Arial"/>
              </w:rPr>
              <w:t>Marker’s signature:</w:t>
            </w:r>
          </w:p>
        </w:tc>
        <w:tc>
          <w:tcPr>
            <w:tcW w:w="2088" w:type="dxa"/>
          </w:tcPr>
          <w:p w:rsidR="00F12B96" w:rsidRDefault="00F12B96" w:rsidP="00F12B96">
            <w:pPr>
              <w:pStyle w:val="NoSpacing"/>
            </w:pPr>
            <w:r>
              <w:rPr>
                <w:rFonts w:ascii="Arial" w:hAnsi="Arial"/>
              </w:rPr>
              <w:t>Date:</w:t>
            </w:r>
          </w:p>
        </w:tc>
      </w:tr>
      <w:tr w:rsidR="00F12B96" w:rsidTr="00644300">
        <w:tc>
          <w:tcPr>
            <w:tcW w:w="9743" w:type="dxa"/>
            <w:gridSpan w:val="4"/>
          </w:tcPr>
          <w:p w:rsidR="00F12B96" w:rsidRDefault="00F12B96" w:rsidP="00F12B96">
            <w:pPr>
              <w:pStyle w:val="NoSpacing"/>
              <w:rPr>
                <w:rFonts w:ascii="Arial" w:hAnsi="Arial"/>
                <w:i/>
              </w:rPr>
            </w:pPr>
          </w:p>
          <w:p w:rsidR="00F12B96" w:rsidRDefault="00F12B96" w:rsidP="00F12B96">
            <w:pPr>
              <w:pStyle w:val="NoSpacing"/>
            </w:pPr>
            <w:r>
              <w:rPr>
                <w:rFonts w:ascii="Arial" w:hAnsi="Arial"/>
                <w:b/>
              </w:rPr>
              <w:t>For completion by Marker 2/Moderator:</w:t>
            </w:r>
          </w:p>
          <w:p w:rsidR="00F12B96" w:rsidRDefault="00F12B96" w:rsidP="00F12B96">
            <w:pPr>
              <w:pStyle w:val="NoSpacing"/>
              <w:rPr>
                <w:rFonts w:ascii="Arial" w:hAnsi="Arial"/>
                <w:b/>
              </w:rPr>
            </w:pPr>
          </w:p>
          <w:p w:rsidR="00F12B96" w:rsidRDefault="00F12B96" w:rsidP="00F12B96">
            <w:pPr>
              <w:pStyle w:val="NoSpacing"/>
            </w:pPr>
            <w:r>
              <w:rPr>
                <w:rFonts w:ascii="Arial" w:hAnsi="Arial"/>
              </w:rPr>
              <w:t>Comments:</w:t>
            </w:r>
          </w:p>
          <w:p w:rsidR="00F12B96" w:rsidRDefault="00F12B96" w:rsidP="00F12B96">
            <w:pPr>
              <w:pStyle w:val="NoSpacing"/>
              <w:rPr>
                <w:rFonts w:ascii="Arial" w:hAnsi="Arial"/>
              </w:rPr>
            </w:pPr>
          </w:p>
          <w:p w:rsidR="00F12B96" w:rsidRDefault="00F12B96" w:rsidP="00F12B96">
            <w:pPr>
              <w:pStyle w:val="NoSpacing"/>
              <w:rPr>
                <w:rFonts w:ascii="Arial" w:hAnsi="Arial"/>
              </w:rPr>
            </w:pPr>
          </w:p>
        </w:tc>
      </w:tr>
      <w:tr w:rsidR="00F12B96" w:rsidTr="00644300">
        <w:trPr>
          <w:trHeight w:val="720"/>
        </w:trPr>
        <w:tc>
          <w:tcPr>
            <w:tcW w:w="6096" w:type="dxa"/>
          </w:tcPr>
          <w:p w:rsidR="00F12B96" w:rsidRDefault="00F12B96" w:rsidP="00F12B96">
            <w:pPr>
              <w:pStyle w:val="NoSpacing"/>
            </w:pPr>
            <w:r>
              <w:rPr>
                <w:rFonts w:ascii="Arial" w:hAnsi="Arial"/>
              </w:rPr>
              <w:t>Marker’s Signature:</w:t>
            </w:r>
          </w:p>
        </w:tc>
        <w:tc>
          <w:tcPr>
            <w:tcW w:w="3647" w:type="dxa"/>
            <w:gridSpan w:val="3"/>
          </w:tcPr>
          <w:p w:rsidR="00F12B96" w:rsidRDefault="00F12B96" w:rsidP="00F12B96">
            <w:pPr>
              <w:pStyle w:val="NoSpacing"/>
            </w:pPr>
            <w:r>
              <w:rPr>
                <w:rFonts w:ascii="Arial" w:hAnsi="Arial"/>
              </w:rPr>
              <w:t>Date:</w:t>
            </w:r>
          </w:p>
        </w:tc>
      </w:tr>
      <w:tr w:rsidR="00F12B96" w:rsidTr="00644300">
        <w:trPr>
          <w:trHeight w:val="720"/>
        </w:trPr>
        <w:tc>
          <w:tcPr>
            <w:tcW w:w="9743" w:type="dxa"/>
            <w:gridSpan w:val="4"/>
          </w:tcPr>
          <w:p w:rsidR="00F12B96" w:rsidRDefault="00F12B96" w:rsidP="00F12B96">
            <w:pPr>
              <w:pStyle w:val="NoSpacing"/>
            </w:pPr>
            <w:r>
              <w:rPr>
                <w:rFonts w:ascii="Arial" w:hAnsi="Arial"/>
                <w:b/>
              </w:rPr>
              <w:t>External Examiner’s comments (if relevant)</w:t>
            </w:r>
          </w:p>
          <w:p w:rsidR="00F12B96" w:rsidRDefault="00F12B96" w:rsidP="00F12B96">
            <w:pPr>
              <w:pStyle w:val="NoSpacing"/>
              <w:rPr>
                <w:rFonts w:ascii="Arial" w:hAnsi="Arial"/>
              </w:rPr>
            </w:pPr>
          </w:p>
        </w:tc>
      </w:tr>
      <w:tr w:rsidR="00F12B96" w:rsidTr="00644300">
        <w:trPr>
          <w:trHeight w:val="720"/>
        </w:trPr>
        <w:tc>
          <w:tcPr>
            <w:tcW w:w="6096" w:type="dxa"/>
          </w:tcPr>
          <w:p w:rsidR="00F12B96" w:rsidRDefault="00F12B96" w:rsidP="00F12B96">
            <w:pPr>
              <w:pStyle w:val="NoSpacing"/>
            </w:pPr>
            <w:r>
              <w:rPr>
                <w:rFonts w:ascii="Arial" w:hAnsi="Arial"/>
              </w:rPr>
              <w:t>External Examiner’s Signature:</w:t>
            </w:r>
          </w:p>
        </w:tc>
        <w:tc>
          <w:tcPr>
            <w:tcW w:w="3647" w:type="dxa"/>
            <w:gridSpan w:val="3"/>
          </w:tcPr>
          <w:p w:rsidR="00F12B96" w:rsidRDefault="00F12B96" w:rsidP="00F12B96">
            <w:pPr>
              <w:pStyle w:val="NoSpacing"/>
            </w:pPr>
            <w:r>
              <w:rPr>
                <w:rFonts w:ascii="Arial" w:hAnsi="Arial"/>
              </w:rPr>
              <w:t>Date:</w:t>
            </w:r>
          </w:p>
        </w:tc>
      </w:tr>
    </w:tbl>
    <w:p w:rsidR="00F12B96" w:rsidRDefault="00F12B96" w:rsidP="00F12B96">
      <w:pPr>
        <w:pStyle w:val="NormalWeb"/>
        <w:ind w:right="-334"/>
        <w:rPr>
          <w:rFonts w:ascii="Trebuchet MS" w:hAnsi="Trebuchet MS"/>
        </w:rPr>
      </w:pPr>
    </w:p>
    <w:p w:rsidR="00F12B96" w:rsidRDefault="00F12B96">
      <w:r>
        <w:br w:type="page"/>
      </w:r>
    </w:p>
    <w:p w:rsidR="003372C0" w:rsidRPr="00B30A22" w:rsidRDefault="00B30A22" w:rsidP="00B30A22">
      <w:pPr>
        <w:jc w:val="center"/>
        <w:rPr>
          <w:b/>
          <w:bCs/>
        </w:rPr>
      </w:pPr>
      <w:r w:rsidRPr="00B30A22">
        <w:rPr>
          <w:b/>
          <w:bCs/>
        </w:rPr>
        <w:lastRenderedPageBreak/>
        <w:t>EXPLORE THE CULTURAL SIGNIFICANCE OF A LUNAR MYTH</w:t>
      </w:r>
    </w:p>
    <w:p w:rsidR="003249AB" w:rsidRDefault="003249AB" w:rsidP="003249AB"/>
    <w:p w:rsidR="00D0218B" w:rsidRDefault="00D0218B" w:rsidP="00D0218B">
      <w:pPr>
        <w:ind w:firstLine="720"/>
      </w:pPr>
      <w:r>
        <w:t xml:space="preserve">Nursery rhymes </w:t>
      </w:r>
      <w:r>
        <w:t>have long been told to children and are commonly seen as meaningless</w:t>
      </w:r>
      <w:r>
        <w:rPr>
          <w:rStyle w:val="FootnoteReference"/>
        </w:rPr>
        <w:footnoteReference w:id="1"/>
      </w:r>
      <w:r>
        <w:t xml:space="preserve">, but on deeper </w:t>
      </w:r>
      <w:r>
        <w:t>investigation can</w:t>
      </w:r>
      <w:r>
        <w:t xml:space="preserve"> have roots in folk beliefs and practices, and </w:t>
      </w:r>
      <w:r>
        <w:t xml:space="preserve">with a </w:t>
      </w:r>
      <w:r>
        <w:t>deeper look</w:t>
      </w:r>
      <w:r>
        <w:t>,</w:t>
      </w:r>
      <w:r>
        <w:t xml:space="preserve"> these lead </w:t>
      </w:r>
      <w:r>
        <w:t>us</w:t>
      </w:r>
      <w:r>
        <w:t xml:space="preserve"> to</w:t>
      </w:r>
      <w:r>
        <w:t xml:space="preserve"> commonly held</w:t>
      </w:r>
      <w:r>
        <w:t xml:space="preserve"> superstitions and myths. </w:t>
      </w:r>
    </w:p>
    <w:p w:rsidR="00F80D17" w:rsidRDefault="00B30A22" w:rsidP="008F5591">
      <w:pPr>
        <w:ind w:firstLine="720"/>
      </w:pPr>
      <w:r>
        <w:t xml:space="preserve">This essay will the explore </w:t>
      </w:r>
      <w:r w:rsidR="00E35F7E">
        <w:t xml:space="preserve">an example of this, with </w:t>
      </w:r>
      <w:r w:rsidR="00E35F7E">
        <w:t>the nursery rhyme “I see the moon”</w:t>
      </w:r>
      <w:r w:rsidR="00E35F7E">
        <w:t xml:space="preserve">, and will discuss </w:t>
      </w:r>
      <w:r>
        <w:t xml:space="preserve">the cultural significance of </w:t>
      </w:r>
      <w:r w:rsidR="008F5591">
        <w:t xml:space="preserve">it as a </w:t>
      </w:r>
      <w:r>
        <w:t>lunar myth</w:t>
      </w:r>
      <w:r w:rsidR="008F5591">
        <w:t>. Showing</w:t>
      </w:r>
      <w:r w:rsidR="00D0218B">
        <w:t xml:space="preserve"> the folk beliefs and practices, namely ‘</w:t>
      </w:r>
      <w:r w:rsidR="00D0218B">
        <w:rPr>
          <w:shd w:val="clear" w:color="auto" w:fill="FFFFFF"/>
        </w:rPr>
        <w:t>practices of individuals, families, and communities as they are expressed and enacted in situations outside of the control of formal religious or political authorities</w:t>
      </w:r>
      <w:r w:rsidR="00D0218B">
        <w:t>’</w:t>
      </w:r>
      <w:r w:rsidR="00D0218B">
        <w:rPr>
          <w:rStyle w:val="FootnoteReference"/>
        </w:rPr>
        <w:footnoteReference w:id="2"/>
      </w:r>
      <w:r w:rsidR="00D75093">
        <w:t xml:space="preserve"> that are connected with this nursey rhyme and the beliefs about the moon</w:t>
      </w:r>
      <w:r w:rsidR="008F5591">
        <w:t xml:space="preserve">, this essay </w:t>
      </w:r>
      <w:r w:rsidR="00D75093">
        <w:t>will discuss these practices as superstitions, looking at the applicability of definitions and categorisations of these, including irrational belief</w:t>
      </w:r>
      <w:r w:rsidR="00D75093">
        <w:rPr>
          <w:rStyle w:val="FootnoteReference"/>
        </w:rPr>
        <w:footnoteReference w:id="3"/>
      </w:r>
      <w:r w:rsidR="00D75093">
        <w:t xml:space="preserve"> and means to control good or bad luck</w:t>
      </w:r>
      <w:r w:rsidR="00D75093">
        <w:rPr>
          <w:rStyle w:val="FootnoteReference"/>
        </w:rPr>
        <w:footnoteReference w:id="4"/>
      </w:r>
      <w:r w:rsidR="00D75093">
        <w:t xml:space="preserve">. This essay will then go on to explore these folk beliefs and practices in the context of myth, and </w:t>
      </w:r>
      <w:r w:rsidR="008F5591">
        <w:t>look at its</w:t>
      </w:r>
      <w:r w:rsidR="00D75093">
        <w:t xml:space="preserve"> cultural significance.</w:t>
      </w:r>
    </w:p>
    <w:p w:rsidR="00D75093" w:rsidRDefault="00D75093" w:rsidP="00D75093">
      <w:pPr>
        <w:pStyle w:val="NoSpacing"/>
      </w:pPr>
    </w:p>
    <w:p w:rsidR="003249AB" w:rsidRPr="005A490B" w:rsidRDefault="005A490B" w:rsidP="005A490B">
      <w:pPr>
        <w:rPr>
          <w:b/>
          <w:bCs/>
        </w:rPr>
      </w:pPr>
      <w:r w:rsidRPr="005A490B">
        <w:rPr>
          <w:b/>
          <w:bCs/>
        </w:rPr>
        <w:t xml:space="preserve">As </w:t>
      </w:r>
      <w:r w:rsidR="003249AB" w:rsidRPr="005A490B">
        <w:rPr>
          <w:b/>
          <w:bCs/>
        </w:rPr>
        <w:t>nursery rhyme</w:t>
      </w:r>
    </w:p>
    <w:p w:rsidR="003249AB" w:rsidRDefault="00215C23" w:rsidP="00F65880">
      <w:pPr>
        <w:ind w:firstLine="720"/>
      </w:pPr>
      <w:r>
        <w:t xml:space="preserve">The nursery rhyme, “I see the moon”, was first </w:t>
      </w:r>
      <w:r w:rsidR="009B2626">
        <w:t>recorded</w:t>
      </w:r>
      <w:r>
        <w:t xml:space="preserve"> in </w:t>
      </w:r>
      <w:r w:rsidR="00690B6C">
        <w:t xml:space="preserve">the Nursery Parnassus, a collection of nursery rhymes </w:t>
      </w:r>
      <w:r w:rsidR="009B2626">
        <w:t>commissioned</w:t>
      </w:r>
      <w:r w:rsidR="00690B6C">
        <w:t xml:space="preserve"> in the late eighteenth century</w:t>
      </w:r>
      <w:r w:rsidR="00EE4222">
        <w:t xml:space="preserve"> and, in full, reads as follows</w:t>
      </w:r>
    </w:p>
    <w:p w:rsidR="00EE4222" w:rsidRDefault="00EE4222" w:rsidP="00690B6C">
      <w:r>
        <w:tab/>
      </w:r>
      <w:r w:rsidRPr="005A490B">
        <w:rPr>
          <w:i/>
          <w:iCs/>
        </w:rPr>
        <w:t xml:space="preserve">‘I see the moon, and the moon sees me, </w:t>
      </w:r>
      <w:r w:rsidRPr="005A490B">
        <w:rPr>
          <w:i/>
          <w:iCs/>
        </w:rPr>
        <w:br/>
      </w:r>
      <w:r w:rsidRPr="005A490B">
        <w:rPr>
          <w:i/>
          <w:iCs/>
        </w:rPr>
        <w:tab/>
        <w:t>God bless the moon, and God bless me!</w:t>
      </w:r>
      <w:r>
        <w:t>’</w:t>
      </w:r>
      <w:r w:rsidR="009B2626">
        <w:rPr>
          <w:rStyle w:val="FootnoteReference"/>
        </w:rPr>
        <w:footnoteReference w:id="5"/>
      </w:r>
    </w:p>
    <w:p w:rsidR="00F65880" w:rsidRDefault="00EE4222" w:rsidP="00F65880">
      <w:pPr>
        <w:ind w:firstLine="720"/>
      </w:pPr>
      <w:r>
        <w:t xml:space="preserve">This nursery rhyme collection contained many otherwise unpublished rhymes of the era that, to the authors, held no apparent meaning or obvious moral message, in contrast to other children’s works </w:t>
      </w:r>
      <w:r w:rsidR="005A490B">
        <w:t>of</w:t>
      </w:r>
      <w:r>
        <w:t xml:space="preserve"> the time</w:t>
      </w:r>
      <w:r w:rsidR="009B2626">
        <w:rPr>
          <w:rStyle w:val="FootnoteReference"/>
        </w:rPr>
        <w:footnoteReference w:id="6"/>
      </w:r>
      <w:r>
        <w:t xml:space="preserve">. </w:t>
      </w:r>
    </w:p>
    <w:p w:rsidR="00F65880" w:rsidRDefault="009B2626" w:rsidP="00F65880">
      <w:pPr>
        <w:ind w:firstLine="720"/>
      </w:pPr>
      <w:r>
        <w:t>However</w:t>
      </w:r>
      <w:r w:rsidR="00B07910">
        <w:t xml:space="preserve">, this </w:t>
      </w:r>
      <w:r w:rsidR="00B11A36">
        <w:t>short verse</w:t>
      </w:r>
      <w:r w:rsidR="00B07910">
        <w:t xml:space="preserve"> </w:t>
      </w:r>
      <w:r>
        <w:t xml:space="preserve">seems to have had greater significance within folk cultures of </w:t>
      </w:r>
      <w:r w:rsidR="001462F5">
        <w:t>Britain and Ireland</w:t>
      </w:r>
      <w:r>
        <w:t xml:space="preserve">, </w:t>
      </w:r>
      <w:r w:rsidR="00514603">
        <w:t>where</w:t>
      </w:r>
      <w:r>
        <w:t xml:space="preserve"> it </w:t>
      </w:r>
      <w:r w:rsidR="00B07910">
        <w:t xml:space="preserve">is </w:t>
      </w:r>
      <w:r>
        <w:t xml:space="preserve">also </w:t>
      </w:r>
      <w:r w:rsidR="00B07910">
        <w:t>recorded many times in historical records of superstitions and folk beliefs</w:t>
      </w:r>
      <w:r w:rsidR="00EE4222">
        <w:t xml:space="preserve">, associated </w:t>
      </w:r>
      <w:r w:rsidR="00514603">
        <w:t xml:space="preserve">always </w:t>
      </w:r>
      <w:r w:rsidR="00EE4222">
        <w:t>with new moon rituals</w:t>
      </w:r>
      <w:r w:rsidR="00B07910">
        <w:t>.</w:t>
      </w:r>
      <w:r>
        <w:t xml:space="preserve"> These references include numerous mentions the</w:t>
      </w:r>
      <w:r w:rsidR="00B07910">
        <w:t xml:space="preserve"> Irish National Folklore Collection</w:t>
      </w:r>
      <w:r>
        <w:t xml:space="preserve"> and the Oxford Dictionary of Superstitions</w:t>
      </w:r>
      <w:r w:rsidR="00B07910">
        <w:t xml:space="preserve">, </w:t>
      </w:r>
      <w:r>
        <w:t xml:space="preserve">where </w:t>
      </w:r>
      <w:r w:rsidR="00B07910">
        <w:t>we gain extra information about the context in which this rhyme was spoken in common folk practice</w:t>
      </w:r>
      <w:r>
        <w:t xml:space="preserve"> and the </w:t>
      </w:r>
      <w:r w:rsidR="00514603">
        <w:t xml:space="preserve">associated </w:t>
      </w:r>
      <w:r>
        <w:t>lunar beliefs.</w:t>
      </w:r>
    </w:p>
    <w:p w:rsidR="00E55538" w:rsidRDefault="00926CB0" w:rsidP="00B30A22">
      <w:pPr>
        <w:ind w:firstLine="720"/>
      </w:pPr>
      <w:r>
        <w:lastRenderedPageBreak/>
        <w:t xml:space="preserve">The National Folklore Collection of Ireland contains several hundred thousand pages of manuscripts that form the Schools’ Collection, compiled in the 1930s by more than fifty thousand primary school students, interviewing parents, grandparents and neighbours and recording local folklore and traditions. </w:t>
      </w:r>
      <w:r w:rsidR="001462F5">
        <w:t xml:space="preserve">Within </w:t>
      </w:r>
      <w:r w:rsidR="00B30A22">
        <w:t>this</w:t>
      </w:r>
      <w:r w:rsidR="001462F5">
        <w:t xml:space="preserve"> collection</w:t>
      </w:r>
      <w:r w:rsidR="001462F5" w:rsidRPr="00233E1E">
        <w:t xml:space="preserve">, </w:t>
      </w:r>
      <w:r w:rsidR="00233E1E">
        <w:t>this rhyme is</w:t>
      </w:r>
      <w:r w:rsidR="0068150C" w:rsidRPr="00233E1E">
        <w:t xml:space="preserve"> included among prayers and superstitions,</w:t>
      </w:r>
      <w:r w:rsidR="001462F5" w:rsidRPr="00233E1E">
        <w:t xml:space="preserve"> with added detail such as ‘When you see the new moon you say [the rhyme]</w:t>
      </w:r>
      <w:r w:rsidR="0068150C" w:rsidRPr="00233E1E">
        <w:rPr>
          <w:vertAlign w:val="superscript"/>
        </w:rPr>
        <w:footnoteReference w:id="7"/>
      </w:r>
      <w:r w:rsidR="001462F5" w:rsidRPr="00233E1E">
        <w:t xml:space="preserve">’, and </w:t>
      </w:r>
      <w:r w:rsidR="0068150C" w:rsidRPr="00233E1E">
        <w:t>‘</w:t>
      </w:r>
      <w:r w:rsidR="00514603">
        <w:t>W</w:t>
      </w:r>
      <w:r w:rsidR="0068150C" w:rsidRPr="00233E1E">
        <w:t xml:space="preserve">hen the old people would see a new </w:t>
      </w:r>
      <w:proofErr w:type="gramStart"/>
      <w:r w:rsidR="0068150C" w:rsidRPr="00233E1E">
        <w:t>moon</w:t>
      </w:r>
      <w:proofErr w:type="gramEnd"/>
      <w:r w:rsidR="0068150C" w:rsidRPr="00233E1E">
        <w:t xml:space="preserve"> they would kneel on the door step and bless themselves and say [the rhyme]</w:t>
      </w:r>
      <w:r w:rsidR="00233E1E">
        <w:rPr>
          <w:rStyle w:val="FootnoteReference"/>
        </w:rPr>
        <w:footnoteReference w:id="8"/>
      </w:r>
      <w:r w:rsidR="0068150C" w:rsidRPr="00233E1E">
        <w:t>’</w:t>
      </w:r>
      <w:r w:rsidR="003D0787">
        <w:t xml:space="preserve">. The importance and significance of this prayer or blessing is further emphasised in </w:t>
      </w:r>
      <w:r w:rsidR="00233E1E">
        <w:t xml:space="preserve">other </w:t>
      </w:r>
      <w:r w:rsidR="003D0787">
        <w:t>records</w:t>
      </w:r>
      <w:r w:rsidR="00233E1E">
        <w:t xml:space="preserve"> saying the rhyme must be repeated three times</w:t>
      </w:r>
      <w:r w:rsidR="00514603">
        <w:rPr>
          <w:rStyle w:val="FootnoteReference"/>
        </w:rPr>
        <w:footnoteReference w:id="9"/>
      </w:r>
      <w:r w:rsidR="003D0787">
        <w:t xml:space="preserve"> </w:t>
      </w:r>
      <w:r w:rsidR="00F65880">
        <w:t>that you must not tell anyone else that you have seen the new moon without having first recounted the rhyme</w:t>
      </w:r>
      <w:r w:rsidR="00F65880">
        <w:rPr>
          <w:rStyle w:val="FootnoteReference"/>
        </w:rPr>
        <w:footnoteReference w:id="10"/>
      </w:r>
      <w:r w:rsidR="00233E1E">
        <w:t>.</w:t>
      </w:r>
      <w:r w:rsidR="009B4762">
        <w:t xml:space="preserve"> </w:t>
      </w:r>
    </w:p>
    <w:p w:rsidR="00FA7F15" w:rsidRDefault="001462F5" w:rsidP="00FA7F15">
      <w:pPr>
        <w:ind w:firstLine="720"/>
      </w:pPr>
      <w:r w:rsidRPr="001462F5">
        <w:t xml:space="preserve">There are also </w:t>
      </w:r>
      <w:r w:rsidR="009B4762">
        <w:t>records of</w:t>
      </w:r>
      <w:r w:rsidR="003D0787">
        <w:t xml:space="preserve"> Irish</w:t>
      </w:r>
      <w:r w:rsidR="009B4762">
        <w:t xml:space="preserve"> folk </w:t>
      </w:r>
      <w:r w:rsidRPr="001462F5">
        <w:t>beliefs</w:t>
      </w:r>
      <w:r w:rsidR="009B4762">
        <w:t>, some referencing this rhyme</w:t>
      </w:r>
      <w:r w:rsidR="001E4C90">
        <w:t>,</w:t>
      </w:r>
      <w:r w:rsidR="009B4762">
        <w:t xml:space="preserve"> that connect the </w:t>
      </w:r>
      <w:r w:rsidRPr="001462F5">
        <w:t>new moon</w:t>
      </w:r>
      <w:r w:rsidR="009B4762">
        <w:t xml:space="preserve"> to luck, money an</w:t>
      </w:r>
      <w:r w:rsidR="003D0787">
        <w:t xml:space="preserve">d </w:t>
      </w:r>
      <w:r w:rsidR="002A691A">
        <w:t xml:space="preserve">also </w:t>
      </w:r>
      <w:r w:rsidR="003D0787">
        <w:t>farming</w:t>
      </w:r>
      <w:r w:rsidR="005A490B">
        <w:t xml:space="preserve"> lore</w:t>
      </w:r>
      <w:r w:rsidR="009B4762">
        <w:t xml:space="preserve">. </w:t>
      </w:r>
      <w:r w:rsidR="002A691A">
        <w:t>The Collection includes</w:t>
      </w:r>
      <w:r w:rsidR="009B4762">
        <w:t xml:space="preserve"> regular variations of</w:t>
      </w:r>
      <w:r w:rsidRPr="001462F5">
        <w:t xml:space="preserve"> </w:t>
      </w:r>
      <w:r>
        <w:t>‘</w:t>
      </w:r>
      <w:r w:rsidRPr="001462F5">
        <w:t xml:space="preserve">If you have silver in your pocket, when you </w:t>
      </w:r>
      <w:r w:rsidRPr="00F65880">
        <w:t>see a new moon you will have plenty of money for twelve months</w:t>
      </w:r>
      <w:r w:rsidR="0068150C" w:rsidRPr="00F65880">
        <w:rPr>
          <w:vertAlign w:val="superscript"/>
        </w:rPr>
        <w:footnoteReference w:id="11"/>
      </w:r>
      <w:r w:rsidRPr="00F65880">
        <w:t>’</w:t>
      </w:r>
      <w:r w:rsidR="00514603" w:rsidRPr="00F65880">
        <w:t xml:space="preserve"> and references to ‘Whatever you have in your hand when you see the new moon first; you will have plenty of that before the next new moon comes.</w:t>
      </w:r>
      <w:r w:rsidR="00514603" w:rsidRPr="00F65880">
        <w:rPr>
          <w:vertAlign w:val="superscript"/>
        </w:rPr>
        <w:footnoteReference w:id="12"/>
      </w:r>
      <w:r w:rsidR="00514603" w:rsidRPr="00F65880">
        <w:t>’</w:t>
      </w:r>
      <w:r w:rsidR="00F65880">
        <w:t xml:space="preserve"> </w:t>
      </w:r>
      <w:r w:rsidR="0061204C">
        <w:t xml:space="preserve">The new moon is recorded as having power to grant wishes: </w:t>
      </w:r>
      <w:r w:rsidR="009B4762">
        <w:t>‘</w:t>
      </w:r>
      <w:r w:rsidR="009B4762">
        <w:rPr>
          <w:shd w:val="clear" w:color="auto" w:fill="FFFFFF"/>
        </w:rPr>
        <w:t xml:space="preserve">When you see the new moon for the first time you should bless yourself and say "Go </w:t>
      </w:r>
      <w:proofErr w:type="spellStart"/>
      <w:r w:rsidR="009B4762">
        <w:rPr>
          <w:shd w:val="clear" w:color="auto" w:fill="FFFFFF"/>
        </w:rPr>
        <w:t>mbei</w:t>
      </w:r>
      <w:proofErr w:type="spellEnd"/>
      <w:r w:rsidR="009B4762">
        <w:rPr>
          <w:shd w:val="clear" w:color="auto" w:fill="FFFFFF"/>
        </w:rPr>
        <w:t xml:space="preserve"> mis </w:t>
      </w:r>
      <w:proofErr w:type="spellStart"/>
      <w:r w:rsidR="009B4762">
        <w:rPr>
          <w:shd w:val="clear" w:color="auto" w:fill="FFFFFF"/>
        </w:rPr>
        <w:t>seo</w:t>
      </w:r>
      <w:proofErr w:type="spellEnd"/>
      <w:r w:rsidR="009B4762">
        <w:rPr>
          <w:shd w:val="clear" w:color="auto" w:fill="FFFFFF"/>
        </w:rPr>
        <w:t xml:space="preserve"> and tam </w:t>
      </w:r>
      <w:proofErr w:type="spellStart"/>
      <w:r w:rsidR="009B4762">
        <w:rPr>
          <w:shd w:val="clear" w:color="auto" w:fill="FFFFFF"/>
        </w:rPr>
        <w:t>seo</w:t>
      </w:r>
      <w:proofErr w:type="spellEnd"/>
      <w:r w:rsidR="009B4762">
        <w:rPr>
          <w:shd w:val="clear" w:color="auto" w:fill="FFFFFF"/>
        </w:rPr>
        <w:t xml:space="preserve"> </w:t>
      </w:r>
      <w:proofErr w:type="spellStart"/>
      <w:r w:rsidR="009B4762">
        <w:rPr>
          <w:shd w:val="clear" w:color="auto" w:fill="FFFFFF"/>
        </w:rPr>
        <w:t>aris</w:t>
      </w:r>
      <w:proofErr w:type="spellEnd"/>
      <w:r w:rsidR="009B4762">
        <w:rPr>
          <w:shd w:val="clear" w:color="auto" w:fill="FFFFFF"/>
        </w:rPr>
        <w:t>"</w:t>
      </w:r>
      <w:r w:rsidR="00E55538">
        <w:rPr>
          <w:shd w:val="clear" w:color="auto" w:fill="FFFFFF"/>
        </w:rPr>
        <w:t xml:space="preserve"> [trans. “May I be here </w:t>
      </w:r>
      <w:r w:rsidR="001E4C90">
        <w:rPr>
          <w:shd w:val="clear" w:color="auto" w:fill="FFFFFF"/>
        </w:rPr>
        <w:t>this time</w:t>
      </w:r>
      <w:r w:rsidR="00E55538">
        <w:rPr>
          <w:shd w:val="clear" w:color="auto" w:fill="FFFFFF"/>
        </w:rPr>
        <w:t xml:space="preserve"> again”]</w:t>
      </w:r>
      <w:r w:rsidR="009B4762">
        <w:rPr>
          <w:shd w:val="clear" w:color="auto" w:fill="FFFFFF"/>
        </w:rPr>
        <w:t xml:space="preserve"> and wish for something and it would come true</w:t>
      </w:r>
      <w:r w:rsidR="0061204C">
        <w:rPr>
          <w:shd w:val="clear" w:color="auto" w:fill="FFFFFF"/>
        </w:rPr>
        <w:t>,</w:t>
      </w:r>
      <w:r w:rsidR="00B11A36">
        <w:rPr>
          <w:rStyle w:val="FootnoteReference"/>
          <w:rFonts w:ascii="Segoe UI" w:hAnsi="Segoe UI" w:cs="Segoe UI"/>
          <w:color w:val="333333"/>
          <w:shd w:val="clear" w:color="auto" w:fill="FFFFFF"/>
        </w:rPr>
        <w:footnoteReference w:id="13"/>
      </w:r>
      <w:r w:rsidR="009B4762">
        <w:rPr>
          <w:shd w:val="clear" w:color="auto" w:fill="FFFFFF"/>
        </w:rPr>
        <w:t>’</w:t>
      </w:r>
      <w:r w:rsidR="0061204C">
        <w:rPr>
          <w:shd w:val="clear" w:color="auto" w:fill="FFFFFF"/>
        </w:rPr>
        <w:t xml:space="preserve"> </w:t>
      </w:r>
      <w:r w:rsidR="002A691A">
        <w:rPr>
          <w:shd w:val="clear" w:color="auto" w:fill="FFFFFF"/>
        </w:rPr>
        <w:t xml:space="preserve">and </w:t>
      </w:r>
      <w:r w:rsidR="0061204C">
        <w:rPr>
          <w:shd w:val="clear" w:color="auto" w:fill="FFFFFF"/>
        </w:rPr>
        <w:t>can be bad luck if viewed through glass</w:t>
      </w:r>
      <w:r w:rsidR="005A490B">
        <w:rPr>
          <w:shd w:val="clear" w:color="auto" w:fill="FFFFFF"/>
        </w:rPr>
        <w:t xml:space="preserve"> or trees</w:t>
      </w:r>
      <w:r w:rsidR="0061204C">
        <w:rPr>
          <w:rStyle w:val="FootnoteReference"/>
          <w:shd w:val="clear" w:color="auto" w:fill="FFFFFF"/>
        </w:rPr>
        <w:footnoteReference w:id="14"/>
      </w:r>
      <w:r w:rsidR="00E55538">
        <w:rPr>
          <w:shd w:val="clear" w:color="auto" w:fill="FFFFFF"/>
        </w:rPr>
        <w:t>.</w:t>
      </w:r>
      <w:r w:rsidR="001E4C90">
        <w:rPr>
          <w:shd w:val="clear" w:color="auto" w:fill="FFFFFF"/>
        </w:rPr>
        <w:t xml:space="preserve"> </w:t>
      </w:r>
      <w:r w:rsidR="003D0787">
        <w:rPr>
          <w:shd w:val="clear" w:color="auto" w:fill="FFFFFF"/>
        </w:rPr>
        <w:t>Other frequently reported lore around the new moon</w:t>
      </w:r>
      <w:r w:rsidR="001E4C90">
        <w:rPr>
          <w:shd w:val="clear" w:color="auto" w:fill="FFFFFF"/>
        </w:rPr>
        <w:t xml:space="preserve">, </w:t>
      </w:r>
      <w:r w:rsidR="003D0787">
        <w:rPr>
          <w:shd w:val="clear" w:color="auto" w:fill="FFFFFF"/>
        </w:rPr>
        <w:t>include that it is</w:t>
      </w:r>
      <w:r w:rsidR="009B4762">
        <w:t xml:space="preserve"> the beneficial time for </w:t>
      </w:r>
      <w:r w:rsidR="00F65880">
        <w:t>planting</w:t>
      </w:r>
      <w:r w:rsidR="002A691A">
        <w:t xml:space="preserve"> crops, namely</w:t>
      </w:r>
      <w:r w:rsidR="00F65880">
        <w:t xml:space="preserve"> potatoes</w:t>
      </w:r>
      <w:r w:rsidR="00B11A36">
        <w:rPr>
          <w:rStyle w:val="FootnoteReference"/>
        </w:rPr>
        <w:footnoteReference w:id="15"/>
      </w:r>
      <w:r w:rsidR="00F65880">
        <w:t xml:space="preserve"> </w:t>
      </w:r>
      <w:r w:rsidR="009B4762">
        <w:t>and corn</w:t>
      </w:r>
      <w:r w:rsidR="00B11A36">
        <w:rPr>
          <w:rStyle w:val="FootnoteReference"/>
        </w:rPr>
        <w:footnoteReference w:id="16"/>
      </w:r>
      <w:r w:rsidR="002A691A">
        <w:t>. It is apparent that the new moon was considered an important or even auspicious time</w:t>
      </w:r>
      <w:r w:rsidR="005A490B">
        <w:t xml:space="preserve"> </w:t>
      </w:r>
      <w:r w:rsidR="00B34762">
        <w:t xml:space="preserve">within the lunar cycle </w:t>
      </w:r>
      <w:r w:rsidR="005A490B">
        <w:t>for many aspects of life</w:t>
      </w:r>
      <w:r w:rsidR="002A691A">
        <w:t>.</w:t>
      </w:r>
    </w:p>
    <w:p w:rsidR="00FA7F15" w:rsidRDefault="00FA7F15" w:rsidP="00FA7F15">
      <w:pPr>
        <w:ind w:firstLine="720"/>
      </w:pPr>
      <w:r>
        <w:rPr>
          <w:shd w:val="clear" w:color="auto" w:fill="FFFFFF"/>
        </w:rPr>
        <w:t>These folk beliefs and practices connected with the new moon were prevalent across Ireland, but we also find comparable records for them in Britain</w:t>
      </w:r>
      <w:r>
        <w:rPr>
          <w:rStyle w:val="FootnoteReference"/>
          <w:shd w:val="clear" w:color="auto" w:fill="FFFFFF"/>
        </w:rPr>
        <w:footnoteReference w:id="17"/>
      </w:r>
      <w:r>
        <w:rPr>
          <w:shd w:val="clear" w:color="auto" w:fill="FFFFFF"/>
        </w:rPr>
        <w:t>, including the practice of bowing, curtseying or kneeling when seeing the new moon (Shropshire and Dumfries), it being considered bad luck to view the new moon through glass (Shropshire and Highlands) or through the boughs of trees (Kent/Sussex), and references to having silver in one’s pocket (Gloucestershire) or turning money in one’s pocket (Hampshire and Newcastle) at the new moon in order for it to increase. These show that these beliefs and practices concerning the new moon were also pervasive</w:t>
      </w:r>
      <w:r w:rsidR="005A490B">
        <w:rPr>
          <w:shd w:val="clear" w:color="auto" w:fill="FFFFFF"/>
        </w:rPr>
        <w:t xml:space="preserve"> beyond Ireland</w:t>
      </w:r>
      <w:r>
        <w:rPr>
          <w:shd w:val="clear" w:color="auto" w:fill="FFFFFF"/>
        </w:rPr>
        <w:t xml:space="preserve">.  </w:t>
      </w:r>
    </w:p>
    <w:p w:rsidR="00CA302A" w:rsidRDefault="00E70746" w:rsidP="00FA7F15">
      <w:pPr>
        <w:ind w:firstLine="720"/>
      </w:pPr>
      <w:r>
        <w:t>Some recorded beliefs about the new moon in o</w:t>
      </w:r>
      <w:r w:rsidR="002A691A">
        <w:t>ther sources</w:t>
      </w:r>
      <w:r w:rsidR="00FA7F15">
        <w:t xml:space="preserve"> not only </w:t>
      </w:r>
      <w:r w:rsidR="002A691A">
        <w:t xml:space="preserve">corroborate </w:t>
      </w:r>
      <w:r>
        <w:t>those found in the Schools’ Collection, but</w:t>
      </w:r>
      <w:r w:rsidR="002A691A">
        <w:t xml:space="preserve"> give further detail </w:t>
      </w:r>
      <w:r>
        <w:t xml:space="preserve">that suggest a </w:t>
      </w:r>
      <w:r w:rsidR="00FA7F15">
        <w:t>deeper significance</w:t>
      </w:r>
      <w:r w:rsidR="002A691A" w:rsidRPr="002A691A">
        <w:t xml:space="preserve">. </w:t>
      </w:r>
      <w:r w:rsidR="00686F23">
        <w:t>For example,</w:t>
      </w:r>
      <w:r w:rsidR="002A691A" w:rsidRPr="002A691A">
        <w:t xml:space="preserve"> the Schools’ Collection</w:t>
      </w:r>
      <w:r w:rsidR="00686F23">
        <w:t xml:space="preserve"> records </w:t>
      </w:r>
      <w:r w:rsidR="002A691A" w:rsidRPr="002A691A">
        <w:t>that</w:t>
      </w:r>
      <w:r w:rsidR="003D0787" w:rsidRPr="002A691A">
        <w:t xml:space="preserve"> a prayer at the new moon can cure toothache</w:t>
      </w:r>
      <w:r w:rsidR="003D0787" w:rsidRPr="002A691A">
        <w:rPr>
          <w:vertAlign w:val="superscript"/>
        </w:rPr>
        <w:footnoteReference w:id="18"/>
      </w:r>
      <w:r w:rsidR="00FA7F15">
        <w:t>; t</w:t>
      </w:r>
      <w:r w:rsidR="002A691A" w:rsidRPr="002A691A">
        <w:t>his same folk belief is elaborated in Ancient Legends, Mystic Charms &amp; Superstitions of Ireland</w:t>
      </w:r>
      <w:r w:rsidR="00686F23">
        <w:t>,</w:t>
      </w:r>
      <w:r w:rsidR="002A691A" w:rsidRPr="002A691A">
        <w:t xml:space="preserve"> </w:t>
      </w:r>
      <w:r w:rsidR="002A691A">
        <w:t>st</w:t>
      </w:r>
      <w:r w:rsidR="002A691A" w:rsidRPr="002A691A">
        <w:t>ating that</w:t>
      </w:r>
      <w:r w:rsidR="00686F23">
        <w:t xml:space="preserve">, for toothache, </w:t>
      </w:r>
      <w:r w:rsidR="002A691A" w:rsidRPr="002A691A">
        <w:t>‘</w:t>
      </w:r>
      <w:r w:rsidR="002A691A" w:rsidRPr="002A691A">
        <w:rPr>
          <w:color w:val="000000"/>
        </w:rPr>
        <w:t xml:space="preserve">The patient must vow a vow to God, the Virgin, and the new moon, never to comb his hair on a Friday, in remembrance of relief should he be cured; and whenever or wherever </w:t>
      </w:r>
      <w:r w:rsidR="002A691A" w:rsidRPr="002A691A">
        <w:rPr>
          <w:color w:val="000000"/>
        </w:rPr>
        <w:lastRenderedPageBreak/>
        <w:t>he first sees the moon he must fall on his knees and say five prayers in gratitude for the cure, even if crossing a river at the time.</w:t>
      </w:r>
      <w:r w:rsidR="00686F23">
        <w:rPr>
          <w:rStyle w:val="FootnoteReference"/>
          <w:color w:val="000000"/>
        </w:rPr>
        <w:footnoteReference w:id="19"/>
      </w:r>
      <w:r w:rsidR="002A691A">
        <w:t>’</w:t>
      </w:r>
      <w:r>
        <w:t xml:space="preserve"> </w:t>
      </w:r>
      <w:r w:rsidR="00FA7F15">
        <w:t xml:space="preserve">It stands out, in this example, that the new moon is contained within the same triplet as God and the Virgin, </w:t>
      </w:r>
      <w:r w:rsidR="00B34762">
        <w:t>which might even suggest it was of similar importance within folk beliefs</w:t>
      </w:r>
      <w:r w:rsidR="00CA302A">
        <w:t>, and other</w:t>
      </w:r>
      <w:r w:rsidR="004A3A28">
        <w:t xml:space="preserve"> writer</w:t>
      </w:r>
      <w:r w:rsidR="00CA302A">
        <w:t xml:space="preserve">s in earlier </w:t>
      </w:r>
      <w:r w:rsidR="004A3A28">
        <w:t>publications</w:t>
      </w:r>
      <w:r w:rsidR="00CA302A">
        <w:t xml:space="preserve"> </w:t>
      </w:r>
      <w:r w:rsidR="00B34762">
        <w:t xml:space="preserve">have also </w:t>
      </w:r>
      <w:r w:rsidR="00CA302A">
        <w:t xml:space="preserve">questioned whether the moon </w:t>
      </w:r>
      <w:r w:rsidR="004A3A28">
        <w:t>might have been</w:t>
      </w:r>
      <w:r w:rsidR="00CA302A">
        <w:t xml:space="preserve"> worshipped in Ireland</w:t>
      </w:r>
      <w:r w:rsidR="00CA302A">
        <w:rPr>
          <w:rStyle w:val="FootnoteReference"/>
        </w:rPr>
        <w:footnoteReference w:id="20"/>
      </w:r>
      <w:r w:rsidR="00CA302A">
        <w:t xml:space="preserve">, </w:t>
      </w:r>
      <w:r w:rsidR="00B34762">
        <w:t>with</w:t>
      </w:r>
      <w:r w:rsidR="00CA302A">
        <w:t xml:space="preserve"> others commenting on </w:t>
      </w:r>
      <w:r w:rsidR="00B34762">
        <w:t>popular</w:t>
      </w:r>
      <w:r w:rsidR="00CA302A">
        <w:t xml:space="preserve"> adoration of the new moon</w:t>
      </w:r>
      <w:r w:rsidR="00CA302A">
        <w:rPr>
          <w:rStyle w:val="FootnoteReference"/>
        </w:rPr>
        <w:footnoteReference w:id="21"/>
      </w:r>
      <w:r w:rsidR="00CA302A">
        <w:t xml:space="preserve">. </w:t>
      </w:r>
    </w:p>
    <w:p w:rsidR="003249AB" w:rsidRPr="005A490B" w:rsidRDefault="003249AB" w:rsidP="005A490B">
      <w:pPr>
        <w:rPr>
          <w:b/>
          <w:bCs/>
        </w:rPr>
      </w:pPr>
      <w:r w:rsidRPr="005A490B">
        <w:rPr>
          <w:b/>
          <w:bCs/>
        </w:rPr>
        <w:t>As Superstition</w:t>
      </w:r>
    </w:p>
    <w:p w:rsidR="00B508F6" w:rsidRDefault="005A490B" w:rsidP="00B508F6">
      <w:pPr>
        <w:ind w:firstLine="720"/>
      </w:pPr>
      <w:r>
        <w:t>More than just a nursery rhyme, this prayer</w:t>
      </w:r>
      <w:r w:rsidR="00215C23">
        <w:t xml:space="preserve"> or charm</w:t>
      </w:r>
      <w:r w:rsidR="00B07910">
        <w:t>, and its associated rituals and observances,</w:t>
      </w:r>
      <w:r w:rsidR="00215C23">
        <w:t xml:space="preserve"> </w:t>
      </w:r>
      <w:r w:rsidR="00B34762">
        <w:t>are</w:t>
      </w:r>
      <w:r w:rsidR="00215C23">
        <w:t xml:space="preserve"> frequently </w:t>
      </w:r>
      <w:r w:rsidR="00514603">
        <w:t>categorised</w:t>
      </w:r>
      <w:r w:rsidR="00215C23">
        <w:t xml:space="preserve"> in the literature </w:t>
      </w:r>
      <w:r>
        <w:t xml:space="preserve">and records </w:t>
      </w:r>
      <w:r w:rsidR="00215C23">
        <w:t xml:space="preserve">as </w:t>
      </w:r>
      <w:r w:rsidR="003249AB">
        <w:t>superstition</w:t>
      </w:r>
      <w:r w:rsidR="00B07910">
        <w:t xml:space="preserve">, and, </w:t>
      </w:r>
      <w:r>
        <w:t>it is there</w:t>
      </w:r>
      <w:r w:rsidR="005D101F">
        <w:t>fore</w:t>
      </w:r>
      <w:r w:rsidR="00B07910">
        <w:t xml:space="preserve"> important to consider its </w:t>
      </w:r>
      <w:r>
        <w:t>r</w:t>
      </w:r>
      <w:r w:rsidR="00B07910">
        <w:t xml:space="preserve">ole and function as a superstition when examining its cultural significance. </w:t>
      </w:r>
    </w:p>
    <w:p w:rsidR="004A3A28" w:rsidRDefault="00B508F6" w:rsidP="00B508F6">
      <w:pPr>
        <w:ind w:firstLine="720"/>
      </w:pPr>
      <w:r>
        <w:t>Cameron describes superstition as ‘attempts to discern the unknown through divination, and to control it, or at least protect against it, through simple use of charms.</w:t>
      </w:r>
      <w:r>
        <w:rPr>
          <w:rStyle w:val="FootnoteReference"/>
        </w:rPr>
        <w:footnoteReference w:id="22"/>
      </w:r>
      <w:r>
        <w:t>’ In this instance, the use of the rhyme “I see the moon” can be described in some cases as an attempt to have control over the unknown, particularly in reference to examples where a person is asking the new moon to grant a wish or cure a toothache. In itself however, it doesn’t explain the very common and pervasive practice of honouring the new moon, whether that be through charm or prayer or bow or curtsey</w:t>
      </w:r>
      <w:r w:rsidR="00D778EB">
        <w:t xml:space="preserve">, where there does not seem to be any </w:t>
      </w:r>
      <w:r w:rsidR="009703E9">
        <w:t xml:space="preserve">specific </w:t>
      </w:r>
      <w:r w:rsidR="00D778EB">
        <w:t xml:space="preserve">request of the </w:t>
      </w:r>
      <w:r w:rsidR="009703E9">
        <w:t>moon</w:t>
      </w:r>
      <w:r w:rsidR="00B34762">
        <w:t xml:space="preserve"> or seeking to control its nature</w:t>
      </w:r>
      <w:r>
        <w:t xml:space="preserve">. </w:t>
      </w:r>
    </w:p>
    <w:p w:rsidR="009703E9" w:rsidRDefault="009703E9" w:rsidP="00B508F6">
      <w:pPr>
        <w:ind w:firstLine="720"/>
      </w:pPr>
      <w:r>
        <w:t>Jahoda</w:t>
      </w:r>
      <w:r>
        <w:rPr>
          <w:rStyle w:val="FootnoteReference"/>
        </w:rPr>
        <w:footnoteReference w:id="23"/>
      </w:r>
      <w:r>
        <w:t xml:space="preserve"> suggests a conceptual framework, dividing superstitions into four categories: (1) Superstitions that form part of a cosmology or coherent worldview, (2) socially shared superstitions, (3) occult experiences of individuals and (4) personal superstitions, beliefs and rituals. Given the number of examples of folk practices and beliefs connected with the new moon in Ireland and Britain, </w:t>
      </w:r>
      <w:r w:rsidR="00C0154B">
        <w:t xml:space="preserve">we can understand these to be </w:t>
      </w:r>
      <w:r w:rsidR="00B74569">
        <w:t xml:space="preserve">clearly </w:t>
      </w:r>
      <w:r w:rsidR="00C0154B">
        <w:t>socially shared superstitions</w:t>
      </w:r>
      <w:r w:rsidR="00B74569">
        <w:t xml:space="preserve"> which, at least at the time in which they were being recorded, their connection to a broader cosmology was not mentioned</w:t>
      </w:r>
      <w:r w:rsidR="00C0154B">
        <w:t>.</w:t>
      </w:r>
      <w:r w:rsidR="00B74569">
        <w:t xml:space="preserve"> Jahoda describes the superstitions in this category as being concerned with good and bad luck, which is applicable to some of the practices connected with the superstitions. </w:t>
      </w:r>
      <w:r w:rsidR="00C0154B">
        <w:t xml:space="preserve"> </w:t>
      </w:r>
    </w:p>
    <w:p w:rsidR="004B16EA" w:rsidRDefault="00B74569" w:rsidP="008B2524">
      <w:pPr>
        <w:ind w:firstLine="720"/>
      </w:pPr>
      <w:r>
        <w:t xml:space="preserve">Beyond categorising, efforts at explaining </w:t>
      </w:r>
      <w:r w:rsidR="004B16EA">
        <w:t xml:space="preserve">superstitious beliefs </w:t>
      </w:r>
      <w:r>
        <w:t xml:space="preserve">proposed </w:t>
      </w:r>
      <w:r w:rsidR="004B16EA">
        <w:t xml:space="preserve">that they </w:t>
      </w:r>
      <w:r>
        <w:t>are</w:t>
      </w:r>
      <w:r w:rsidR="004B16EA">
        <w:t xml:space="preserve"> purely irrational</w:t>
      </w:r>
      <w:r w:rsidR="004B16EA">
        <w:rPr>
          <w:rStyle w:val="FootnoteReference"/>
        </w:rPr>
        <w:footnoteReference w:id="24"/>
      </w:r>
      <w:r w:rsidR="004B16EA">
        <w:t>, arising from irrational association of ideas or irrational fear</w:t>
      </w:r>
      <w:r w:rsidR="00B508F6">
        <w:t xml:space="preserve">, rooted in </w:t>
      </w:r>
      <w:r w:rsidR="001D2A3F">
        <w:t xml:space="preserve">old </w:t>
      </w:r>
      <w:r w:rsidR="00B508F6">
        <w:t>tradition</w:t>
      </w:r>
      <w:r w:rsidR="001D2A3F">
        <w:t>s</w:t>
      </w:r>
      <w:r w:rsidR="00B508F6">
        <w:t xml:space="preserve"> and yet to benefit from post-Enlightenment reasoning</w:t>
      </w:r>
      <w:r w:rsidR="004B16EA">
        <w:t xml:space="preserve">. This has been a common interpretation of superstitions over time, </w:t>
      </w:r>
      <w:r>
        <w:t>along with the claim</w:t>
      </w:r>
      <w:r w:rsidR="004B16EA">
        <w:t xml:space="preserve"> that they have fallen out of use due to the advances of modern science and rationality</w:t>
      </w:r>
      <w:r w:rsidR="004B16EA">
        <w:rPr>
          <w:rStyle w:val="FootnoteReference"/>
        </w:rPr>
        <w:footnoteReference w:id="25"/>
      </w:r>
      <w:r w:rsidR="00B51AFE">
        <w:t xml:space="preserve">. In regards this </w:t>
      </w:r>
      <w:r w:rsidR="00B508F6">
        <w:t>essay’s example</w:t>
      </w:r>
      <w:r w:rsidR="00B51AFE">
        <w:t>, while some of the beliefs referenced “bad luck”</w:t>
      </w:r>
      <w:r w:rsidR="005D101F">
        <w:t xml:space="preserve"> when the new moon is viewed through a window</w:t>
      </w:r>
      <w:r w:rsidR="00B51AFE">
        <w:t>, it does</w:t>
      </w:r>
      <w:r w:rsidR="005D101F">
        <w:t xml:space="preserve"> not</w:t>
      </w:r>
      <w:r w:rsidR="00B51AFE">
        <w:t xml:space="preserve"> seem that most of these practices </w:t>
      </w:r>
      <w:r w:rsidR="00B34762">
        <w:t>are associated with or have arisen out of</w:t>
      </w:r>
      <w:r w:rsidR="00B51AFE">
        <w:t xml:space="preserve"> fear. It could be</w:t>
      </w:r>
      <w:r w:rsidR="005D101F">
        <w:t xml:space="preserve"> argued</w:t>
      </w:r>
      <w:r w:rsidR="00B51AFE">
        <w:t xml:space="preserve">, however, that the causal </w:t>
      </w:r>
      <w:r>
        <w:t>associations</w:t>
      </w:r>
      <w:r w:rsidR="00B51AFE">
        <w:t xml:space="preserve"> between the rhyme, and turning coins in one’s pocket, and having more money by the following new moon, may fall into this category. </w:t>
      </w:r>
    </w:p>
    <w:p w:rsidR="008B2524" w:rsidRDefault="005D101F" w:rsidP="008B2524">
      <w:pPr>
        <w:ind w:firstLine="720"/>
      </w:pPr>
      <w:r>
        <w:lastRenderedPageBreak/>
        <w:t>This</w:t>
      </w:r>
      <w:r w:rsidR="008B2524">
        <w:t xml:space="preserve"> explanation</w:t>
      </w:r>
      <w:r w:rsidR="002475FB">
        <w:t xml:space="preserve"> of superstition</w:t>
      </w:r>
      <w:r>
        <w:t>, however, has been shown to be</w:t>
      </w:r>
      <w:r w:rsidR="008B2524">
        <w:t xml:space="preserve"> too simplistic, and </w:t>
      </w:r>
      <w:r>
        <w:t>the idea of</w:t>
      </w:r>
      <w:r w:rsidR="008B2524">
        <w:t xml:space="preserve"> </w:t>
      </w:r>
      <w:r w:rsidR="002475FB">
        <w:t xml:space="preserve">a linear advancement from pre-rational and superstitious to </w:t>
      </w:r>
      <w:r>
        <w:t xml:space="preserve">a form of </w:t>
      </w:r>
      <w:r w:rsidR="002475FB">
        <w:t>modern rationality ignores the historic evidence that there are recurring ‘cycles of desacralisation and re-sacralisation, disenchantment and re-enchantment</w:t>
      </w:r>
      <w:r w:rsidR="002475FB">
        <w:rPr>
          <w:rStyle w:val="FootnoteReference"/>
        </w:rPr>
        <w:footnoteReference w:id="26"/>
      </w:r>
      <w:r w:rsidR="002475FB">
        <w:t>’ and that</w:t>
      </w:r>
      <w:r w:rsidR="00B34762">
        <w:t>,</w:t>
      </w:r>
      <w:r w:rsidR="002475FB">
        <w:t xml:space="preserve"> </w:t>
      </w:r>
      <w:r>
        <w:t>more often</w:t>
      </w:r>
      <w:r w:rsidR="00B34762">
        <w:t xml:space="preserve"> in history, it is </w:t>
      </w:r>
      <w:r w:rsidR="002475FB">
        <w:t xml:space="preserve">the condemnation of superstitions and folk beliefs that leads to their eradication, and not improved reasoning. </w:t>
      </w:r>
      <w:r w:rsidR="00B508F6">
        <w:t xml:space="preserve">Superstitious beliefs persist despite </w:t>
      </w:r>
      <w:r w:rsidR="00C11DD6">
        <w:t>education, urbanisation, science and technology</w:t>
      </w:r>
      <w:r w:rsidR="00C11DD6">
        <w:rPr>
          <w:rStyle w:val="FootnoteReference"/>
        </w:rPr>
        <w:footnoteReference w:id="27"/>
      </w:r>
      <w:r w:rsidR="00B508F6">
        <w:t>, and therefore</w:t>
      </w:r>
      <w:r w:rsidR="00B74569">
        <w:t xml:space="preserve"> rather than dismiss them as irrational</w:t>
      </w:r>
      <w:r w:rsidR="00B508F6">
        <w:t xml:space="preserve"> </w:t>
      </w:r>
      <w:r w:rsidR="001A1CD6">
        <w:t>it is important to understand their instrumental functions.</w:t>
      </w:r>
      <w:r w:rsidR="00B508F6">
        <w:t xml:space="preserve"> </w:t>
      </w:r>
    </w:p>
    <w:p w:rsidR="009D541F" w:rsidRDefault="00B508F6" w:rsidP="004A3A28">
      <w:pPr>
        <w:ind w:firstLine="720"/>
      </w:pPr>
      <w:r>
        <w:t>Malinowski</w:t>
      </w:r>
      <w:r w:rsidR="001A1CD6">
        <w:t>, in discussing the role of magic, proposed the</w:t>
      </w:r>
      <w:r w:rsidR="00957C3D">
        <w:t xml:space="preserve"> psychological functions in the</w:t>
      </w:r>
      <w:r w:rsidR="001A1CD6">
        <w:t xml:space="preserve"> Anxiety-Ritual Theory</w:t>
      </w:r>
      <w:r w:rsidR="001A1CD6">
        <w:rPr>
          <w:rStyle w:val="FootnoteReference"/>
        </w:rPr>
        <w:footnoteReference w:id="28"/>
      </w:r>
      <w:r w:rsidR="001A1CD6">
        <w:t xml:space="preserve">.  This suggests that practices like recounting rhymes and prayers on first seeing the new moon, or turning coins in one’s pocket, serve a psychological function in allaying anxiety.  </w:t>
      </w:r>
      <w:r w:rsidR="001D2A3F">
        <w:t>Siegel elaborates on this further that ‘magic arises as a symbolic means […] for dealing with the anxiety, frustration or threat which may result when people are confronted with important environmental forces which they cannot master.</w:t>
      </w:r>
      <w:r w:rsidR="00896CA7">
        <w:t>’</w:t>
      </w:r>
      <w:r w:rsidR="001D2A3F">
        <w:rPr>
          <w:rStyle w:val="FootnoteReference"/>
        </w:rPr>
        <w:footnoteReference w:id="29"/>
      </w:r>
      <w:r w:rsidR="00896CA7">
        <w:t xml:space="preserve"> </w:t>
      </w:r>
    </w:p>
    <w:p w:rsidR="00B508F6" w:rsidRDefault="00896CA7" w:rsidP="004A3A28">
      <w:pPr>
        <w:ind w:firstLine="720"/>
      </w:pPr>
      <w:r>
        <w:t xml:space="preserve">If we consider the environmental forces in rural Ireland, during the time that we have records of this rhyme and associated new moon rituals, the harshness of the lifestyle and environment, </w:t>
      </w:r>
      <w:r w:rsidR="008F5591">
        <w:t>the ongoing occupation by</w:t>
      </w:r>
      <w:r>
        <w:t xml:space="preserve"> British military forces</w:t>
      </w:r>
      <w:r w:rsidR="00B34762">
        <w:t xml:space="preserve">, and the </w:t>
      </w:r>
      <w:r w:rsidR="008F5591">
        <w:t xml:space="preserve">recent cultural memory of the </w:t>
      </w:r>
      <w:r w:rsidR="00B34762">
        <w:t>Famine</w:t>
      </w:r>
      <w:r w:rsidR="00A134B3">
        <w:t xml:space="preserve"> of 1845</w:t>
      </w:r>
      <w:r>
        <w:t>,</w:t>
      </w:r>
      <w:r w:rsidR="00B74569">
        <w:t xml:space="preserve"> </w:t>
      </w:r>
      <w:r>
        <w:t xml:space="preserve">could support the basis of this explanation, and offer a function to these superstitions that would go to explain their significance and prevalence within Ireland. </w:t>
      </w:r>
      <w:r w:rsidR="009D541F">
        <w:t>Certainly, s</w:t>
      </w:r>
      <w:r>
        <w:t xml:space="preserve">imilar environmental dangers and uncertainties may have been shared </w:t>
      </w:r>
      <w:r w:rsidR="009D541F">
        <w:t>with some living</w:t>
      </w:r>
      <w:r>
        <w:t xml:space="preserve"> in rural Britain, accounting also for the co-occurrence of these superstitions</w:t>
      </w:r>
      <w:r w:rsidR="009D541F">
        <w:t>, however</w:t>
      </w:r>
      <w:r w:rsidR="00B34762">
        <w:t xml:space="preserve"> the degree of threat does not compare with Ireland, during this time, and so</w:t>
      </w:r>
      <w:r w:rsidR="009D541F">
        <w:t xml:space="preserve"> does not go so far as to explain their consistency across many parts of the British Isles despite distinctly different degrees of environmental threat and </w:t>
      </w:r>
      <w:r w:rsidR="00957C3D">
        <w:t>uncertainty</w:t>
      </w:r>
      <w:r>
        <w:t>.</w:t>
      </w:r>
    </w:p>
    <w:p w:rsidR="00947580" w:rsidRDefault="00947580" w:rsidP="004A3A28">
      <w:pPr>
        <w:ind w:firstLine="720"/>
      </w:pPr>
      <w:r>
        <w:t>Mullen, on researching contemporary folk beliefs among Texas Coastal Fisherman explains that ‘Anxiety is reduced when a magical practice is followed, the person acts with more confidence in his task, and physical steadiness enables him to perform the task successfully.’</w:t>
      </w:r>
      <w:r>
        <w:rPr>
          <w:rStyle w:val="FootnoteReference"/>
        </w:rPr>
        <w:footnoteReference w:id="30"/>
      </w:r>
      <w:r>
        <w:t xml:space="preserve"> </w:t>
      </w:r>
      <w:r w:rsidR="00957C3D">
        <w:t xml:space="preserve">It could simply be the case here, that observing the new moon, recounting the rhyme and turning coins in one’s pocket </w:t>
      </w:r>
      <w:r w:rsidR="00C94F3B">
        <w:t xml:space="preserve">gave people </w:t>
      </w:r>
      <w:r w:rsidR="00957C3D">
        <w:t>greater confidence</w:t>
      </w:r>
      <w:r w:rsidR="00C94F3B">
        <w:t xml:space="preserve"> and optimism</w:t>
      </w:r>
      <w:r w:rsidR="00957C3D">
        <w:t xml:space="preserve">, </w:t>
      </w:r>
      <w:r w:rsidR="00C94F3B">
        <w:t>and gave them</w:t>
      </w:r>
      <w:r w:rsidR="00957C3D">
        <w:t xml:space="preserve"> greater success in that month, leading to them having more money by the time the next new moon arrives, but the reward of the relieved anxiety is less clear in the examples where people are simply honouring the new moon with the rhyme, or the bow or kneeling. </w:t>
      </w:r>
    </w:p>
    <w:p w:rsidR="00957C3D" w:rsidRDefault="00957C3D" w:rsidP="007A2F29">
      <w:pPr>
        <w:ind w:firstLine="720"/>
      </w:pPr>
      <w:r>
        <w:t>These psychological functions of the folk beliefs</w:t>
      </w:r>
      <w:r w:rsidR="00947580">
        <w:t xml:space="preserve"> go some way to explain </w:t>
      </w:r>
      <w:r w:rsidR="007A2F29">
        <w:t xml:space="preserve">or help us understand the cultural significance of some instances of the superstitions surrounding this nursery rhyme and the new moon, but do not sufficiently explain them all. </w:t>
      </w:r>
    </w:p>
    <w:p w:rsidR="00947580" w:rsidRDefault="007A2F29" w:rsidP="007A2F29">
      <w:pPr>
        <w:ind w:firstLine="720"/>
      </w:pPr>
      <w:r>
        <w:t>Returning to Jahoda’s categories</w:t>
      </w:r>
      <w:r w:rsidR="004302C0">
        <w:rPr>
          <w:rStyle w:val="FootnoteReference"/>
        </w:rPr>
        <w:footnoteReference w:id="31"/>
      </w:r>
      <w:r>
        <w:t xml:space="preserve">, given how numerous and widespread these related new moon superstitions are, it is important to also explore whether there may be a wider cosmology or </w:t>
      </w:r>
      <w:r>
        <w:lastRenderedPageBreak/>
        <w:t xml:space="preserve">coherent worldview </w:t>
      </w:r>
      <w:r w:rsidR="004302C0">
        <w:t xml:space="preserve">(as per Category 1) </w:t>
      </w:r>
      <w:r>
        <w:t>that all of these superstitions are rooted in, and therefore consider the functions of this cosmology in understanding the cultural significance of these beliefs.</w:t>
      </w:r>
    </w:p>
    <w:p w:rsidR="003249AB" w:rsidRPr="005A00EF" w:rsidRDefault="003249AB" w:rsidP="005A00EF">
      <w:pPr>
        <w:rPr>
          <w:b/>
          <w:bCs/>
        </w:rPr>
      </w:pPr>
      <w:r w:rsidRPr="005A00EF">
        <w:rPr>
          <w:b/>
          <w:bCs/>
        </w:rPr>
        <w:t>As Myth</w:t>
      </w:r>
    </w:p>
    <w:p w:rsidR="00C94F3B" w:rsidRDefault="00947580" w:rsidP="00673648">
      <w:pPr>
        <w:ind w:firstLine="720"/>
      </w:pPr>
      <w:r>
        <w:t xml:space="preserve">Bidney </w:t>
      </w:r>
      <w:r w:rsidR="005A00EF">
        <w:t>highlights</w:t>
      </w:r>
      <w:r>
        <w:t xml:space="preserve"> relationship between</w:t>
      </w:r>
      <w:r w:rsidR="00C94F3B">
        <w:t xml:space="preserve"> superstition and myth</w:t>
      </w:r>
      <w:r w:rsidR="005A00EF">
        <w:t xml:space="preserve">, stating that </w:t>
      </w:r>
      <w:r w:rsidR="007A2F29">
        <w:t>‘Myths may give rise to superstitions, and the latter may stimulate the invention of myths.</w:t>
      </w:r>
      <w:r w:rsidR="007A2F29">
        <w:rPr>
          <w:rStyle w:val="FootnoteReference"/>
        </w:rPr>
        <w:footnoteReference w:id="32"/>
      </w:r>
      <w:r w:rsidR="007A2F29">
        <w:t xml:space="preserve">’ </w:t>
      </w:r>
      <w:r w:rsidR="00673648">
        <w:t xml:space="preserve">It may </w:t>
      </w:r>
      <w:r w:rsidR="00C94F3B">
        <w:t>follow</w:t>
      </w:r>
      <w:r w:rsidR="00673648">
        <w:t xml:space="preserve">, in this case, that existing myths around the new moon had given rise to numerous superstitions and folk practices, even if the myths themselves are not apparent. By looking at the nature of the socially shared superstitions that we have voluminous evidence of, we can get some glimpses into what the wider cosmology may have been, and by understanding the functions of this as myth, we can get a further sense of their cultural significance. </w:t>
      </w:r>
    </w:p>
    <w:p w:rsidR="00C94F3B" w:rsidRDefault="00C94F3B" w:rsidP="00C94F3B">
      <w:pPr>
        <w:ind w:firstLine="720"/>
      </w:pPr>
      <w:r>
        <w:t>These folk beliefs, on their own, do not tell us a narrative myth about the moon, but there are some consistent elements that re-occur, namely that the new moon</w:t>
      </w:r>
      <w:r w:rsidR="004302C0">
        <w:t>, given its frequency of reference within superstitious</w:t>
      </w:r>
      <w:r>
        <w:t xml:space="preserve"> </w:t>
      </w:r>
      <w:r w:rsidR="004302C0">
        <w:t xml:space="preserve">practices, </w:t>
      </w:r>
      <w:r>
        <w:t xml:space="preserve">appears to be widely recognised as an auspicious time of the lunar cycle, often with the power to heal, grant wishes or wealth, and help the crops grow, and deserving of respect and observance, whether through prayer, rhyme or bowing. </w:t>
      </w:r>
    </w:p>
    <w:p w:rsidR="004302C0" w:rsidRDefault="00673648" w:rsidP="004302C0">
      <w:pPr>
        <w:ind w:firstLine="720"/>
      </w:pPr>
      <w:r>
        <w:t>Joseph Campbell</w:t>
      </w:r>
      <w:r w:rsidR="004862AB">
        <w:rPr>
          <w:rStyle w:val="FootnoteReference"/>
        </w:rPr>
        <w:footnoteReference w:id="33"/>
      </w:r>
      <w:r>
        <w:t xml:space="preserve"> outlines four functions of myth: (1) </w:t>
      </w:r>
      <w:r w:rsidR="004302C0">
        <w:t xml:space="preserve">The Mystical Function, </w:t>
      </w:r>
      <w:r>
        <w:t xml:space="preserve">to reconcile waking consciousness with an awe of the universe, (2) </w:t>
      </w:r>
      <w:r w:rsidR="004302C0">
        <w:t xml:space="preserve">The Cosmological Function, </w:t>
      </w:r>
      <w:r>
        <w:t>to render an interpretive image of the universe, (3)</w:t>
      </w:r>
      <w:r w:rsidR="004302C0">
        <w:t xml:space="preserve"> The Sociological Function,</w:t>
      </w:r>
      <w:r>
        <w:t xml:space="preserve"> to enforce moral order and (4) </w:t>
      </w:r>
      <w:r w:rsidR="004302C0">
        <w:t xml:space="preserve">The Pedagogical Function, </w:t>
      </w:r>
      <w:r>
        <w:t xml:space="preserve">to foster the unfolding of the individual. </w:t>
      </w:r>
    </w:p>
    <w:p w:rsidR="004B0F90" w:rsidRDefault="004B0F90" w:rsidP="004302C0">
      <w:pPr>
        <w:ind w:firstLine="720"/>
      </w:pPr>
      <w:r>
        <w:t xml:space="preserve">While the latter do not appear to be applicable in relation to these folk beliefs, in that they are not validating a certain social order nor giving an example of how to live a human life, it is helpful to consider their mystical and cosmological function in exploring their cultural significance. </w:t>
      </w:r>
    </w:p>
    <w:p w:rsidR="00063602" w:rsidRDefault="00AA645B" w:rsidP="004302C0">
      <w:pPr>
        <w:ind w:firstLine="720"/>
      </w:pPr>
      <w:r>
        <w:t xml:space="preserve">When these folk beliefs developed, people will have been very familiar with the connection of the new moon and major tidal </w:t>
      </w:r>
      <w:r w:rsidR="005A7F68">
        <w:t>swells</w:t>
      </w:r>
      <w:r w:rsidR="00006FE3">
        <w:rPr>
          <w:rStyle w:val="FootnoteReference"/>
        </w:rPr>
        <w:footnoteReference w:id="34"/>
      </w:r>
      <w:r>
        <w:t xml:space="preserve">. </w:t>
      </w:r>
      <w:r w:rsidR="005A7F68">
        <w:t>To</w:t>
      </w:r>
      <w:r w:rsidR="00063602">
        <w:t xml:space="preserve"> reconcile this unexplained occurrence, the myth(s) that gave rise to the folk practices may have been born out of awe of this phenomena, and expanded into beliefs that the new moon could also cause pockets of money to swell, and crops to grow better in the fields. </w:t>
      </w:r>
      <w:r w:rsidR="00B70F74">
        <w:t>Awe of the power of the new moon may also serve to explain the other folk practices, of bowing to, praying to, or recounting a rhyme to the new moon.</w:t>
      </w:r>
    </w:p>
    <w:p w:rsidR="00137AD8" w:rsidRDefault="0028729A" w:rsidP="00B70F74">
      <w:pPr>
        <w:ind w:firstLine="720"/>
      </w:pPr>
      <w:r>
        <w:t xml:space="preserve">We </w:t>
      </w:r>
      <w:r w:rsidR="00B70F74">
        <w:t xml:space="preserve">do </w:t>
      </w:r>
      <w:r>
        <w:t xml:space="preserve">find reference to these lunar tides in </w:t>
      </w:r>
      <w:r w:rsidR="00B30A22">
        <w:t xml:space="preserve">older mythologies, recorded in </w:t>
      </w:r>
      <w:r>
        <w:t xml:space="preserve">the Irish language medieval poem of the Lament of the Hag of </w:t>
      </w:r>
      <w:proofErr w:type="spellStart"/>
      <w:r>
        <w:t>B</w:t>
      </w:r>
      <w:r w:rsidR="00B70F74">
        <w:t>h</w:t>
      </w:r>
      <w:r>
        <w:t>eara</w:t>
      </w:r>
      <w:proofErr w:type="spellEnd"/>
      <w:r w:rsidR="00A134B3">
        <w:t xml:space="preserve"> (12</w:t>
      </w:r>
      <w:r w:rsidR="00A134B3" w:rsidRPr="00A134B3">
        <w:rPr>
          <w:vertAlign w:val="superscript"/>
        </w:rPr>
        <w:t>th</w:t>
      </w:r>
      <w:r w:rsidR="00A134B3">
        <w:t xml:space="preserve"> Century)</w:t>
      </w:r>
      <w:r>
        <w:t xml:space="preserve">, an old </w:t>
      </w:r>
      <w:r w:rsidRPr="00B70F74">
        <w:t>goddess in Irish Mythology with particular connection to the moon</w:t>
      </w:r>
      <w:r w:rsidRPr="00B70F74">
        <w:rPr>
          <w:vertAlign w:val="superscript"/>
        </w:rPr>
        <w:footnoteReference w:id="35"/>
      </w:r>
      <w:r w:rsidRPr="00B70F74">
        <w:t>. Eleanor Hull describes this poem as "a beautiful example of the wide-spread idea that human life is ruled by the flow and ebb of the sea-tide"</w:t>
      </w:r>
      <w:r w:rsidRPr="00B70F74">
        <w:rPr>
          <w:vertAlign w:val="superscript"/>
        </w:rPr>
        <w:footnoteReference w:id="36"/>
      </w:r>
      <w:r w:rsidR="00306A60">
        <w:t xml:space="preserve"> </w:t>
      </w:r>
      <w:r w:rsidR="00B70F74">
        <w:t xml:space="preserve">While it would be beyond this essay to explore the links between the new moon folk practices and the medieval beliefs and mythology surrounding the Hag of </w:t>
      </w:r>
      <w:proofErr w:type="spellStart"/>
      <w:r w:rsidR="00B70F74">
        <w:t>Bheara</w:t>
      </w:r>
      <w:proofErr w:type="spellEnd"/>
      <w:r w:rsidR="00B70F74">
        <w:t xml:space="preserve">, it is suggestive of </w:t>
      </w:r>
      <w:r w:rsidR="00B70F74">
        <w:lastRenderedPageBreak/>
        <w:t>a</w:t>
      </w:r>
      <w:r w:rsidR="00B30A22">
        <w:t xml:space="preserve">n older </w:t>
      </w:r>
      <w:r w:rsidR="006859B6">
        <w:t>common</w:t>
      </w:r>
      <w:r w:rsidR="00B70F74">
        <w:t xml:space="preserve"> cosmology that</w:t>
      </w:r>
      <w:r w:rsidR="006859B6">
        <w:t>, though dying out by the twentieth century</w:t>
      </w:r>
      <w:r w:rsidR="006859B6">
        <w:rPr>
          <w:rStyle w:val="FootnoteReference"/>
        </w:rPr>
        <w:footnoteReference w:id="37"/>
      </w:r>
      <w:r w:rsidR="00B70F74">
        <w:t xml:space="preserve"> might have given rise to the sorts of socially shared superstitions </w:t>
      </w:r>
      <w:r w:rsidR="006859B6">
        <w:t>recorded in the National Folklore Collection.</w:t>
      </w:r>
    </w:p>
    <w:p w:rsidR="003249AB" w:rsidRPr="000352C9" w:rsidRDefault="003249AB" w:rsidP="000352C9">
      <w:pPr>
        <w:rPr>
          <w:b/>
          <w:bCs/>
        </w:rPr>
      </w:pPr>
      <w:r w:rsidRPr="000352C9">
        <w:rPr>
          <w:b/>
          <w:bCs/>
        </w:rPr>
        <w:t>Conclusion</w:t>
      </w:r>
    </w:p>
    <w:p w:rsidR="00FC2C0D" w:rsidRDefault="007A0640" w:rsidP="008F5591">
      <w:pPr>
        <w:ind w:firstLine="360"/>
      </w:pPr>
      <w:r>
        <w:t xml:space="preserve">This essay has explored the cultural significance of a lunar myth in relation to the nursery rhyme, “I see the moon”, in terms of its functions as superstition and myth. In exploring categorisations and functions of </w:t>
      </w:r>
      <w:r w:rsidR="00F80D17">
        <w:t>superstitions</w:t>
      </w:r>
      <w:r>
        <w:t xml:space="preserve">, this essay finds </w:t>
      </w:r>
      <w:r w:rsidR="00F80D17">
        <w:t>that no single theory is applicable to all instances and variations of this folk belief and practice</w:t>
      </w:r>
      <w:r w:rsidR="008F5591">
        <w:t xml:space="preserve">: Jahoda helps us categorise these superstitions as “socially shared”, some practices are explained by Cameron’s explanation of </w:t>
      </w:r>
      <w:r w:rsidR="008F5591">
        <w:t xml:space="preserve">“control over unknown through simple charms” </w:t>
      </w:r>
      <w:r w:rsidR="008F5591">
        <w:t xml:space="preserve">and Malinowski’s Anxiety Ritual Theory helps identify that unknown as the environmental forces and threats. In considering these practices in terms of myth, Campbell’s functions of myth help us to contextualise the beliefs that underly many of the superstitions and practices as serving a mystical and cosmological function, and examples </w:t>
      </w:r>
      <w:r w:rsidR="00FC2C0D">
        <w:t xml:space="preserve">of older mythologies, connected to the goddess, the Hag of </w:t>
      </w:r>
      <w:proofErr w:type="spellStart"/>
      <w:r w:rsidR="00FC2C0D">
        <w:t>Bheara</w:t>
      </w:r>
      <w:proofErr w:type="spellEnd"/>
      <w:r w:rsidR="00FC2C0D">
        <w:t xml:space="preserve">, the moon, and the ebb and flow, may provide roots of the coherent cosmology that gave rise to the </w:t>
      </w:r>
      <w:r w:rsidR="008F5591">
        <w:t>superstitions</w:t>
      </w:r>
    </w:p>
    <w:p w:rsidR="00690B6C" w:rsidRDefault="00690B6C" w:rsidP="00F80D17">
      <w:pPr>
        <w:pStyle w:val="ListParagraph"/>
        <w:numPr>
          <w:ilvl w:val="0"/>
          <w:numId w:val="3"/>
        </w:numPr>
      </w:pPr>
      <w:r>
        <w:br w:type="page"/>
      </w:r>
    </w:p>
    <w:p w:rsidR="00690B6C" w:rsidRPr="000352C9" w:rsidRDefault="00690B6C" w:rsidP="00690B6C">
      <w:pPr>
        <w:rPr>
          <w:b/>
          <w:bCs/>
        </w:rPr>
      </w:pPr>
      <w:r w:rsidRPr="000352C9">
        <w:rPr>
          <w:b/>
          <w:bCs/>
        </w:rPr>
        <w:lastRenderedPageBreak/>
        <w:t>References</w:t>
      </w:r>
    </w:p>
    <w:p w:rsidR="0007533A" w:rsidRDefault="0007533A" w:rsidP="0031493E">
      <w:pPr>
        <w:pStyle w:val="NoSpacing"/>
        <w:ind w:left="567" w:hanging="567"/>
        <w:rPr>
          <w:rFonts w:ascii="Times" w:hAnsi="Times" w:cs="Times"/>
          <w:color w:val="343332"/>
          <w:spacing w:val="-4"/>
          <w:sz w:val="36"/>
          <w:szCs w:val="36"/>
        </w:rPr>
      </w:pPr>
      <w:r>
        <w:t xml:space="preserve">Bailey, </w:t>
      </w:r>
      <w:r w:rsidRPr="00447F2C">
        <w:t xml:space="preserve">Michael D., </w:t>
      </w:r>
      <w:r w:rsidRPr="00686F23">
        <w:rPr>
          <w:i/>
          <w:iCs/>
        </w:rPr>
        <w:t>Fearful Spirits, Reasoned Follies: The Boundaries of Superstition in Late Medieval Europe</w:t>
      </w:r>
      <w:r w:rsidRPr="00447F2C">
        <w:t>. (Cornell University Press, 2013).</w:t>
      </w:r>
    </w:p>
    <w:p w:rsidR="0007533A" w:rsidRPr="0031493E" w:rsidRDefault="0007533A" w:rsidP="0031493E">
      <w:pPr>
        <w:pStyle w:val="NoSpacing"/>
        <w:ind w:left="567" w:hanging="567"/>
      </w:pPr>
      <w:r w:rsidRPr="0031493E">
        <w:t xml:space="preserve">Bidney, David, ‘The Concept of Myth and the Problem of Psychocultural Evolution’, </w:t>
      </w:r>
      <w:r w:rsidRPr="00686F23">
        <w:rPr>
          <w:i/>
          <w:iCs/>
        </w:rPr>
        <w:t>American Anthropologist</w:t>
      </w:r>
      <w:r w:rsidRPr="0031493E">
        <w:t xml:space="preserve">, </w:t>
      </w:r>
      <w:hyperlink r:id="rId9" w:history="1">
        <w:r w:rsidRPr="0031493E">
          <w:rPr>
            <w:rStyle w:val="Hyperlink"/>
            <w:color w:val="auto"/>
            <w:u w:val="none"/>
          </w:rPr>
          <w:t>Vol. 52, No. 1 (1950)</w:t>
        </w:r>
      </w:hyperlink>
      <w:r w:rsidRPr="0031493E">
        <w:t>, pp. 16-26</w:t>
      </w:r>
      <w:r>
        <w:t>.</w:t>
      </w:r>
    </w:p>
    <w:p w:rsidR="0007533A" w:rsidRDefault="0007533A" w:rsidP="00CA302A">
      <w:pPr>
        <w:pStyle w:val="NoSpacing"/>
        <w:ind w:left="567" w:hanging="567"/>
      </w:pPr>
      <w:r w:rsidRPr="00CA302A">
        <w:t>Camden, W. </w:t>
      </w:r>
      <w:r w:rsidRPr="00CA302A">
        <w:rPr>
          <w:i/>
          <w:iCs/>
        </w:rPr>
        <w:t>Britannia</w:t>
      </w:r>
      <w:r w:rsidRPr="00CA302A">
        <w:t>. (</w:t>
      </w:r>
      <w:proofErr w:type="gramStart"/>
      <w:r w:rsidRPr="00CA302A">
        <w:t>London :</w:t>
      </w:r>
      <w:proofErr w:type="gramEnd"/>
      <w:r w:rsidRPr="00CA302A">
        <w:t xml:space="preserve"> printed for John Stockdale by J Nichols, 1586).</w:t>
      </w:r>
    </w:p>
    <w:p w:rsidR="0007533A" w:rsidRDefault="0007533A" w:rsidP="00E74822">
      <w:pPr>
        <w:pStyle w:val="NoSpacing"/>
        <w:ind w:left="567" w:hanging="567"/>
      </w:pPr>
      <w:r>
        <w:t xml:space="preserve">Cameron, Euan, </w:t>
      </w:r>
      <w:r w:rsidRPr="00E74822">
        <w:rPr>
          <w:i/>
          <w:iCs/>
        </w:rPr>
        <w:t>Enchanted Europe: Superstition, Reason and Religion 1250-1750</w:t>
      </w:r>
      <w:r>
        <w:t>. (</w:t>
      </w:r>
      <w:r w:rsidRPr="00E74822">
        <w:t>Oxford: Oxford University Press, 2010)</w:t>
      </w:r>
      <w:r>
        <w:t>, pp. 1-28.</w:t>
      </w:r>
    </w:p>
    <w:p w:rsidR="0007533A" w:rsidRPr="0007533A" w:rsidRDefault="0007533A" w:rsidP="0007533A">
      <w:pPr>
        <w:pStyle w:val="NoSpacing"/>
        <w:ind w:left="709" w:hanging="709"/>
      </w:pPr>
      <w:r w:rsidRPr="0007533A">
        <w:t xml:space="preserve">Campbell, Joseph. </w:t>
      </w:r>
      <w:r w:rsidRPr="0007533A">
        <w:rPr>
          <w:i/>
          <w:iCs/>
        </w:rPr>
        <w:t>Occidental mythology.</w:t>
      </w:r>
      <w:r w:rsidRPr="0007533A">
        <w:t xml:space="preserve"> (Harmondsworth: Penguin Book, 1991), pp. 4-6.</w:t>
      </w:r>
    </w:p>
    <w:p w:rsidR="0007533A" w:rsidRDefault="0007533A" w:rsidP="00C0271C">
      <w:pPr>
        <w:pStyle w:val="NoSpacing"/>
        <w:ind w:left="567" w:hanging="567"/>
      </w:pPr>
      <w:r>
        <w:t xml:space="preserve">Hull, </w:t>
      </w:r>
      <w:r w:rsidRPr="00C0271C">
        <w:t xml:space="preserve">Eleanor, ‘Legends and Traditions of the Cailleach </w:t>
      </w:r>
      <w:proofErr w:type="spellStart"/>
      <w:r w:rsidRPr="00C0271C">
        <w:t>Bheara</w:t>
      </w:r>
      <w:proofErr w:type="spellEnd"/>
      <w:r w:rsidRPr="00C0271C">
        <w:t xml:space="preserve"> or Old Woman (Hag) of Beare’, </w:t>
      </w:r>
      <w:r w:rsidRPr="00C0271C">
        <w:rPr>
          <w:i/>
          <w:iCs/>
        </w:rPr>
        <w:t>Folklore</w:t>
      </w:r>
      <w:r>
        <w:t xml:space="preserve">, </w:t>
      </w:r>
      <w:hyperlink r:id="rId10" w:history="1">
        <w:r w:rsidRPr="00C0271C">
          <w:t>Vol. 38, No. 3 (1927)</w:t>
        </w:r>
      </w:hyperlink>
      <w:r w:rsidRPr="00C0271C">
        <w:t>, pp. 225-254.</w:t>
      </w:r>
    </w:p>
    <w:p w:rsidR="0007533A" w:rsidRPr="00CA302A" w:rsidRDefault="0007533A" w:rsidP="00CA302A">
      <w:pPr>
        <w:pStyle w:val="NoSpacing"/>
        <w:ind w:left="567" w:hanging="567"/>
      </w:pPr>
      <w:r>
        <w:t xml:space="preserve">Malinowski, Bronislaw, “The Role of Magic and Religion,” </w:t>
      </w:r>
      <w:r>
        <w:rPr>
          <w:i/>
          <w:iCs/>
        </w:rPr>
        <w:t>Reader in Comparative Religion: An Anthropological Approach, ed William A. Lesa and Evon z Vogt</w:t>
      </w:r>
      <w:r>
        <w:t xml:space="preserve"> (New York, 1965), pp.77-86.</w:t>
      </w:r>
    </w:p>
    <w:p w:rsidR="0007533A" w:rsidRDefault="0007533A" w:rsidP="00E74822">
      <w:pPr>
        <w:pStyle w:val="NoSpacing"/>
        <w:ind w:left="567" w:hanging="567"/>
      </w:pPr>
      <w:r>
        <w:t xml:space="preserve">Mullen, Patrick B., ‘The Function of Magic Folk Belief among Texas Coastal Fishermen’, </w:t>
      </w:r>
      <w:r w:rsidRPr="0031493E">
        <w:rPr>
          <w:i/>
          <w:iCs/>
        </w:rPr>
        <w:t>The Journal of American Folklore</w:t>
      </w:r>
      <w:r>
        <w:t>, Vol. 82, No. 325 (1969), pp. 214-225</w:t>
      </w:r>
    </w:p>
    <w:p w:rsidR="0007533A" w:rsidRPr="00CA302A" w:rsidRDefault="0007533A" w:rsidP="00CA302A">
      <w:pPr>
        <w:pStyle w:val="NoSpacing"/>
        <w:ind w:left="567" w:hanging="567"/>
      </w:pPr>
      <w:r w:rsidRPr="00410FC5">
        <w:t>Opie, I</w:t>
      </w:r>
      <w:r>
        <w:t>ona</w:t>
      </w:r>
      <w:r w:rsidRPr="00410FC5">
        <w:t xml:space="preserve"> and Tatem, M</w:t>
      </w:r>
      <w:r>
        <w:t>oira</w:t>
      </w:r>
      <w:r w:rsidRPr="00410FC5">
        <w:t xml:space="preserve">. </w:t>
      </w:r>
      <w:r w:rsidRPr="00410FC5">
        <w:rPr>
          <w:i/>
          <w:iCs/>
        </w:rPr>
        <w:t>A dictionary of superstitions</w:t>
      </w:r>
      <w:r w:rsidRPr="00410FC5">
        <w:t xml:space="preserve">. </w:t>
      </w:r>
      <w:r>
        <w:t>(</w:t>
      </w:r>
      <w:r w:rsidRPr="00410FC5">
        <w:t>Oxford England</w:t>
      </w:r>
      <w:r>
        <w:t xml:space="preserve">: </w:t>
      </w:r>
      <w:r w:rsidRPr="00410FC5">
        <w:t>Oxford University Press</w:t>
      </w:r>
      <w:r>
        <w:t xml:space="preserve">, </w:t>
      </w:r>
      <w:r w:rsidRPr="00CA302A">
        <w:t>1992).</w:t>
      </w:r>
    </w:p>
    <w:p w:rsidR="0007533A" w:rsidRDefault="0007533A" w:rsidP="00E74822">
      <w:pPr>
        <w:pStyle w:val="NoSpacing"/>
        <w:ind w:left="567" w:hanging="567"/>
      </w:pPr>
      <w:hyperlink r:id="rId11" w:history="1">
        <w:r w:rsidRPr="00690B6C">
          <w:rPr>
            <w:rStyle w:val="Hyperlink"/>
            <w:color w:val="auto"/>
            <w:u w:val="none"/>
          </w:rPr>
          <w:t>Ritson, J</w:t>
        </w:r>
        <w:r>
          <w:rPr>
            <w:rStyle w:val="Hyperlink"/>
            <w:color w:val="auto"/>
            <w:u w:val="none"/>
          </w:rPr>
          <w:t>oseph</w:t>
        </w:r>
        <w:r w:rsidRPr="00690B6C">
          <w:rPr>
            <w:rStyle w:val="Hyperlink"/>
            <w:color w:val="auto"/>
            <w:u w:val="none"/>
          </w:rPr>
          <w:t>,</w:t>
        </w:r>
      </w:hyperlink>
      <w:r w:rsidRPr="00690B6C">
        <w:t xml:space="preserve"> </w:t>
      </w:r>
      <w:proofErr w:type="spellStart"/>
      <w:r w:rsidRPr="008122EB">
        <w:rPr>
          <w:i/>
          <w:iCs/>
        </w:rPr>
        <w:t>Gammer</w:t>
      </w:r>
      <w:proofErr w:type="spellEnd"/>
      <w:r w:rsidRPr="008122EB">
        <w:rPr>
          <w:i/>
          <w:iCs/>
        </w:rPr>
        <w:t xml:space="preserve"> </w:t>
      </w:r>
      <w:proofErr w:type="spellStart"/>
      <w:r w:rsidRPr="008122EB">
        <w:rPr>
          <w:i/>
          <w:iCs/>
        </w:rPr>
        <w:t>Gurton's</w:t>
      </w:r>
      <w:proofErr w:type="spellEnd"/>
      <w:r w:rsidRPr="008122EB">
        <w:rPr>
          <w:i/>
          <w:iCs/>
        </w:rPr>
        <w:t xml:space="preserve"> Garland, or, The Nursery Parnassus : a choice collection of pretty songs and verses for the amusement of all little good children who can neither read nor run.</w:t>
      </w:r>
      <w:r>
        <w:t xml:space="preserve"> (Stockton, UK: R. Christopher, 1784), pp. 29. </w:t>
      </w:r>
    </w:p>
    <w:p w:rsidR="0007533A" w:rsidRDefault="0007533A" w:rsidP="0031493E">
      <w:pPr>
        <w:pStyle w:val="NoSpacing"/>
        <w:ind w:left="567" w:hanging="567"/>
      </w:pPr>
      <w:proofErr w:type="spellStart"/>
      <w:r w:rsidRPr="0031493E">
        <w:t>Rudski</w:t>
      </w:r>
      <w:proofErr w:type="spellEnd"/>
      <w:r w:rsidRPr="0031493E">
        <w:t xml:space="preserve">, Jeffrey, </w:t>
      </w:r>
      <w:r>
        <w:t>‘</w:t>
      </w:r>
      <w:r w:rsidRPr="0031493E">
        <w:t>What Does a "Superstitious" Person Believe? Impressions of Participants</w:t>
      </w:r>
      <w:r>
        <w:t>’</w:t>
      </w:r>
      <w:r w:rsidRPr="0031493E">
        <w:t xml:space="preserve">, </w:t>
      </w:r>
      <w:hyperlink r:id="rId12" w:tooltip="Click to search for more items from this journal" w:history="1">
        <w:r w:rsidRPr="0031493E">
          <w:rPr>
            <w:rStyle w:val="Strong"/>
            <w:b w:val="0"/>
            <w:bCs w:val="0"/>
            <w:i/>
            <w:iCs/>
          </w:rPr>
          <w:t>The Journal of General Psychology</w:t>
        </w:r>
      </w:hyperlink>
      <w:r w:rsidRPr="0031493E">
        <w:rPr>
          <w:rStyle w:val="Strong"/>
          <w:b w:val="0"/>
          <w:bCs w:val="0"/>
        </w:rPr>
        <w:t xml:space="preserve">, </w:t>
      </w:r>
      <w:hyperlink r:id="rId13" w:tooltip="Click to search for more items from this issue" w:history="1">
        <w:r w:rsidRPr="0031493E">
          <w:rPr>
            <w:rStyle w:val="Hyperlink"/>
            <w:color w:val="auto"/>
            <w:u w:val="none"/>
          </w:rPr>
          <w:t> Vol. 130, </w:t>
        </w:r>
        <w:proofErr w:type="spellStart"/>
        <w:r w:rsidRPr="0031493E">
          <w:rPr>
            <w:rStyle w:val="Hyperlink"/>
            <w:color w:val="auto"/>
            <w:u w:val="none"/>
          </w:rPr>
          <w:t>Iss</w:t>
        </w:r>
        <w:proofErr w:type="spellEnd"/>
        <w:r w:rsidRPr="0031493E">
          <w:rPr>
            <w:rStyle w:val="Hyperlink"/>
            <w:color w:val="auto"/>
            <w:u w:val="none"/>
          </w:rPr>
          <w:t>. 4, </w:t>
        </w:r>
      </w:hyperlink>
      <w:r w:rsidRPr="0031493E">
        <w:t> (2003)</w:t>
      </w:r>
      <w:r>
        <w:t>, pp.</w:t>
      </w:r>
      <w:r w:rsidRPr="0031493E">
        <w:t xml:space="preserve"> 431-45.</w:t>
      </w:r>
    </w:p>
    <w:p w:rsidR="0007533A" w:rsidRDefault="0007533A" w:rsidP="00CA302A">
      <w:pPr>
        <w:pStyle w:val="NoSpacing"/>
        <w:ind w:left="567" w:hanging="567"/>
      </w:pPr>
      <w:r>
        <w:t xml:space="preserve">Siegel, Bernard J., “Magic and Witchcraft: An Interpretation from Dissonance Theory,” </w:t>
      </w:r>
      <w:r>
        <w:rPr>
          <w:i/>
          <w:iCs/>
        </w:rPr>
        <w:t xml:space="preserve">Southwestern Journal of Anthropology, </w:t>
      </w:r>
      <w:r>
        <w:t>15 (1959), pp. 143-167.</w:t>
      </w:r>
    </w:p>
    <w:p w:rsidR="0007533A" w:rsidRDefault="0007533A" w:rsidP="0007533A">
      <w:pPr>
        <w:pStyle w:val="NoSpacing"/>
        <w:ind w:left="567" w:hanging="567"/>
      </w:pPr>
      <w:r w:rsidRPr="0061204C">
        <w:t xml:space="preserve">The Schools’ Manuscript Collection (NFCS) 95C:17_021; </w:t>
      </w:r>
      <w:hyperlink r:id="rId14" w:history="1">
        <w:r w:rsidRPr="0061204C">
          <w:rPr>
            <w:rStyle w:val="Hyperlink"/>
            <w:color w:val="auto"/>
            <w:u w:val="none"/>
          </w:rPr>
          <w:t>Mrs Kearns</w:t>
        </w:r>
      </w:hyperlink>
      <w:r w:rsidRPr="0061204C">
        <w:t xml:space="preserve"> (40) </w:t>
      </w:r>
      <w:hyperlink r:id="rId15" w:history="1">
        <w:proofErr w:type="spellStart"/>
        <w:r w:rsidRPr="0061204C">
          <w:rPr>
            <w:rStyle w:val="Hyperlink"/>
            <w:color w:val="auto"/>
            <w:u w:val="none"/>
          </w:rPr>
          <w:t>Manulla</w:t>
        </w:r>
        <w:proofErr w:type="spellEnd"/>
        <w:r w:rsidRPr="0061204C">
          <w:rPr>
            <w:rStyle w:val="Hyperlink"/>
            <w:color w:val="auto"/>
            <w:u w:val="none"/>
          </w:rPr>
          <w:t>, Co. Mayo</w:t>
        </w:r>
      </w:hyperlink>
      <w:r w:rsidRPr="0061204C">
        <w:t xml:space="preserve">. Collector: </w:t>
      </w:r>
      <w:hyperlink r:id="rId16" w:history="1">
        <w:r w:rsidRPr="0061204C">
          <w:rPr>
            <w:rStyle w:val="Hyperlink"/>
            <w:color w:val="auto"/>
            <w:u w:val="none"/>
          </w:rPr>
          <w:t>Margaret Kearns</w:t>
        </w:r>
      </w:hyperlink>
      <w:r w:rsidRPr="0061204C">
        <w:t>, Gleann an Dúin, 1936. Teacher</w:t>
      </w:r>
      <w:r w:rsidRPr="00514603">
        <w:t xml:space="preserve">: </w:t>
      </w:r>
      <w:r w:rsidRPr="00514603">
        <w:rPr>
          <w:rStyle w:val="html-attribute-value"/>
        </w:rPr>
        <w:t xml:space="preserve">Máire A. </w:t>
      </w:r>
      <w:proofErr w:type="spellStart"/>
      <w:r w:rsidRPr="00514603">
        <w:rPr>
          <w:rStyle w:val="html-attribute-value"/>
        </w:rPr>
        <w:t>Ní</w:t>
      </w:r>
      <w:proofErr w:type="spellEnd"/>
      <w:r w:rsidRPr="00514603">
        <w:rPr>
          <w:rStyle w:val="html-attribute"/>
        </w:rPr>
        <w:t xml:space="preserve"> </w:t>
      </w:r>
      <w:proofErr w:type="spellStart"/>
      <w:r w:rsidRPr="00514603">
        <w:rPr>
          <w:rStyle w:val="html-attribute-value"/>
        </w:rPr>
        <w:t>Dhocartaigh</w:t>
      </w:r>
      <w:proofErr w:type="spellEnd"/>
      <w:r>
        <w:rPr>
          <w:rStyle w:val="html-attribute-value"/>
        </w:rPr>
        <w:t xml:space="preserve">, </w:t>
      </w:r>
      <w:hyperlink r:id="rId17" w:history="1">
        <w:proofErr w:type="spellStart"/>
        <w:r w:rsidRPr="0061204C">
          <w:rPr>
            <w:rStyle w:val="Hyperlink"/>
            <w:color w:val="auto"/>
            <w:u w:val="none"/>
          </w:rPr>
          <w:t>Manulla</w:t>
        </w:r>
        <w:proofErr w:type="spellEnd"/>
        <w:r w:rsidRPr="0061204C">
          <w:rPr>
            <w:rStyle w:val="Hyperlink"/>
            <w:color w:val="auto"/>
            <w:u w:val="none"/>
          </w:rPr>
          <w:t>, Co. Mayo</w:t>
        </w:r>
      </w:hyperlink>
    </w:p>
    <w:p w:rsidR="0007533A" w:rsidRDefault="0007533A" w:rsidP="00B11A36">
      <w:pPr>
        <w:pStyle w:val="NoSpacing"/>
        <w:ind w:left="567" w:hanging="567"/>
      </w:pPr>
      <w:r w:rsidRPr="0061204C">
        <w:t xml:space="preserve">The Schools’ Manuscript Collection (NFCS) 125:429; 1936.Teacher: Pádraig </w:t>
      </w:r>
      <w:proofErr w:type="spellStart"/>
      <w:r w:rsidRPr="0061204C">
        <w:t>Ó’Héaráin</w:t>
      </w:r>
      <w:proofErr w:type="spellEnd"/>
      <w:r w:rsidRPr="0061204C">
        <w:t xml:space="preserve">, </w:t>
      </w:r>
      <w:proofErr w:type="spellStart"/>
      <w:r w:rsidRPr="0061204C">
        <w:t>Clún</w:t>
      </w:r>
      <w:proofErr w:type="spellEnd"/>
      <w:r w:rsidRPr="0061204C">
        <w:t xml:space="preserve"> </w:t>
      </w:r>
      <w:proofErr w:type="spellStart"/>
      <w:r w:rsidRPr="0061204C">
        <w:t>na</w:t>
      </w:r>
      <w:proofErr w:type="spellEnd"/>
      <w:r w:rsidRPr="0061204C">
        <w:t xml:space="preserve"> </w:t>
      </w:r>
      <w:proofErr w:type="spellStart"/>
      <w:r w:rsidRPr="0061204C">
        <w:t>Gaoithe</w:t>
      </w:r>
      <w:proofErr w:type="spellEnd"/>
      <w:r>
        <w:t xml:space="preserve">, </w:t>
      </w:r>
      <w:proofErr w:type="spellStart"/>
      <w:r>
        <w:t>Clongee</w:t>
      </w:r>
      <w:proofErr w:type="spellEnd"/>
      <w:r>
        <w:t>, Co. Mayo.</w:t>
      </w:r>
    </w:p>
    <w:p w:rsidR="0007533A" w:rsidRPr="0061204C" w:rsidRDefault="0007533A" w:rsidP="00E74822">
      <w:pPr>
        <w:pStyle w:val="NoSpacing"/>
        <w:ind w:left="567" w:hanging="567"/>
      </w:pPr>
      <w:r w:rsidRPr="0061204C">
        <w:t xml:space="preserve">The Schools’ Manuscript Collection (NFCS) 199:103; </w:t>
      </w:r>
      <w:hyperlink r:id="rId18" w:history="1">
        <w:r w:rsidRPr="0061204C">
          <w:t>Mrs Hugh Mc Sharry</w:t>
        </w:r>
      </w:hyperlink>
      <w:r w:rsidRPr="0061204C">
        <w:t xml:space="preserve"> (48), </w:t>
      </w:r>
      <w:hyperlink r:id="rId19" w:history="1">
        <w:proofErr w:type="spellStart"/>
        <w:r w:rsidRPr="0061204C">
          <w:t>Mullagh</w:t>
        </w:r>
        <w:proofErr w:type="spellEnd"/>
        <w:r w:rsidRPr="0061204C">
          <w:t>, Co. Leitrim</w:t>
        </w:r>
      </w:hyperlink>
      <w:r w:rsidRPr="0061204C">
        <w:t xml:space="preserve">. Collector: </w:t>
      </w:r>
      <w:hyperlink r:id="rId20" w:history="1">
        <w:r w:rsidRPr="0061204C">
          <w:t>Maureen Mc Sharry</w:t>
        </w:r>
      </w:hyperlink>
      <w:r w:rsidRPr="0061204C">
        <w:t xml:space="preserve">, </w:t>
      </w:r>
      <w:proofErr w:type="spellStart"/>
      <w:r w:rsidRPr="0061204C">
        <w:t>Muine</w:t>
      </w:r>
      <w:proofErr w:type="spellEnd"/>
      <w:r w:rsidRPr="0061204C">
        <w:t xml:space="preserve"> Dubh, County Leitrim, 1936. Teacher: </w:t>
      </w:r>
      <w:proofErr w:type="spellStart"/>
      <w:r w:rsidRPr="0061204C">
        <w:t>Pádhraic</w:t>
      </w:r>
      <w:proofErr w:type="spellEnd"/>
      <w:r w:rsidRPr="0061204C">
        <w:t xml:space="preserve"> </w:t>
      </w:r>
      <w:proofErr w:type="spellStart"/>
      <w:r w:rsidRPr="0061204C">
        <w:t>Ó’Heádhra</w:t>
      </w:r>
      <w:proofErr w:type="spellEnd"/>
      <w:r w:rsidRPr="0061204C">
        <w:t xml:space="preserve">, </w:t>
      </w:r>
      <w:proofErr w:type="spellStart"/>
      <w:r w:rsidRPr="0061204C">
        <w:t>Muine</w:t>
      </w:r>
      <w:proofErr w:type="spellEnd"/>
      <w:r w:rsidRPr="0061204C">
        <w:t xml:space="preserve"> Dubh, Co</w:t>
      </w:r>
      <w:r>
        <w:t>.</w:t>
      </w:r>
      <w:r w:rsidRPr="0061204C">
        <w:t xml:space="preserve"> Leitrim</w:t>
      </w:r>
      <w:r>
        <w:t>.</w:t>
      </w:r>
    </w:p>
    <w:p w:rsidR="0007533A" w:rsidRPr="0061204C" w:rsidRDefault="0007533A" w:rsidP="00B11A36">
      <w:pPr>
        <w:pStyle w:val="NoSpacing"/>
        <w:ind w:left="567" w:hanging="567"/>
      </w:pPr>
      <w:r w:rsidRPr="0061204C">
        <w:t xml:space="preserve">The Schools’ Manuscript Collection (NFCS) 207:83; 1936. Teacher: Margaret Flynn, </w:t>
      </w:r>
      <w:proofErr w:type="spellStart"/>
      <w:r w:rsidRPr="0061204C">
        <w:t>Drumshambo</w:t>
      </w:r>
      <w:proofErr w:type="spellEnd"/>
      <w:r w:rsidRPr="0061204C">
        <w:t>, Co. Leitrim.</w:t>
      </w:r>
    </w:p>
    <w:p w:rsidR="0007533A" w:rsidRPr="0061204C" w:rsidRDefault="0007533A" w:rsidP="00B11A36">
      <w:pPr>
        <w:pStyle w:val="NoSpacing"/>
        <w:ind w:left="567" w:hanging="567"/>
      </w:pPr>
      <w:r w:rsidRPr="0061204C">
        <w:t xml:space="preserve">The Schools’ Manuscript Collection (NFCS) </w:t>
      </w:r>
      <w:r>
        <w:t xml:space="preserve">207:84; 1936. Teacher Margaret Flynn, </w:t>
      </w:r>
      <w:proofErr w:type="spellStart"/>
      <w:r>
        <w:t>Drumshambo</w:t>
      </w:r>
      <w:proofErr w:type="spellEnd"/>
      <w:r>
        <w:t>, Co. Leitrim.</w:t>
      </w:r>
    </w:p>
    <w:p w:rsidR="0007533A" w:rsidRPr="0061204C" w:rsidRDefault="0007533A" w:rsidP="00B11A36">
      <w:pPr>
        <w:pStyle w:val="NoSpacing"/>
        <w:ind w:left="567" w:hanging="567"/>
        <w:rPr>
          <w:rFonts w:ascii="Courier New" w:hAnsi="Courier New" w:cs="Courier New"/>
          <w:color w:val="F29766"/>
        </w:rPr>
      </w:pPr>
      <w:r w:rsidRPr="0061204C">
        <w:t xml:space="preserve">The Schools’ Manuscript Collection (NFCS) 500:628; Collector: </w:t>
      </w:r>
      <w:hyperlink r:id="rId21" w:history="1">
        <w:r w:rsidRPr="0061204C">
          <w:t xml:space="preserve">Seán Ó </w:t>
        </w:r>
        <w:proofErr w:type="spellStart"/>
        <w:r w:rsidRPr="0061204C">
          <w:t>Coistealbha</w:t>
        </w:r>
        <w:proofErr w:type="spellEnd"/>
      </w:hyperlink>
      <w:r w:rsidRPr="0061204C">
        <w:t xml:space="preserve">, </w:t>
      </w:r>
      <w:hyperlink r:id="rId22" w:history="1">
        <w:proofErr w:type="spellStart"/>
        <w:r w:rsidRPr="0061204C">
          <w:t>Kilcolman</w:t>
        </w:r>
        <w:proofErr w:type="spellEnd"/>
        <w:r w:rsidRPr="0061204C">
          <w:t xml:space="preserve"> East</w:t>
        </w:r>
      </w:hyperlink>
      <w:r w:rsidRPr="0061204C">
        <w:t xml:space="preserve">, Co. Limerick, 1936. Teacher: Agnes O'Grady, </w:t>
      </w:r>
      <w:proofErr w:type="spellStart"/>
      <w:r w:rsidRPr="0061204C">
        <w:t>Duxtown</w:t>
      </w:r>
      <w:proofErr w:type="spellEnd"/>
      <w:r w:rsidRPr="0061204C">
        <w:t>, Rathkeale, Co. Leitrim.</w:t>
      </w:r>
      <w:r w:rsidRPr="0061204C">
        <w:rPr>
          <w:rFonts w:ascii="Courier New" w:hAnsi="Courier New" w:cs="Courier New"/>
          <w:color w:val="F29766"/>
        </w:rPr>
        <w:t xml:space="preserve"> </w:t>
      </w:r>
    </w:p>
    <w:p w:rsidR="0007533A" w:rsidRPr="0061204C" w:rsidRDefault="0007533A" w:rsidP="00B11A36">
      <w:pPr>
        <w:pStyle w:val="NoSpacing"/>
        <w:ind w:left="567" w:hanging="567"/>
      </w:pPr>
      <w:r w:rsidRPr="0061204C">
        <w:t xml:space="preserve">The Schools’ Manuscript Collection (NFCS) 500:629; Collector: </w:t>
      </w:r>
      <w:hyperlink r:id="rId23" w:history="1">
        <w:proofErr w:type="spellStart"/>
        <w:r w:rsidRPr="0061204C">
          <w:t>Cáith</w:t>
        </w:r>
        <w:proofErr w:type="spellEnd"/>
        <w:r w:rsidRPr="0061204C">
          <w:t xml:space="preserve"> </w:t>
        </w:r>
        <w:proofErr w:type="spellStart"/>
        <w:r w:rsidRPr="0061204C">
          <w:t>Ní</w:t>
        </w:r>
        <w:proofErr w:type="spellEnd"/>
        <w:r w:rsidRPr="0061204C">
          <w:t xml:space="preserve"> Cathasaigh</w:t>
        </w:r>
      </w:hyperlink>
      <w:r w:rsidRPr="0061204C">
        <w:t xml:space="preserve">, </w:t>
      </w:r>
      <w:hyperlink r:id="rId24" w:history="1">
        <w:proofErr w:type="spellStart"/>
        <w:r w:rsidRPr="0061204C">
          <w:t>Ballyea</w:t>
        </w:r>
        <w:proofErr w:type="spellEnd"/>
        <w:r w:rsidRPr="0061204C">
          <w:t>, Co. Limerick</w:t>
        </w:r>
      </w:hyperlink>
      <w:r w:rsidRPr="0061204C">
        <w:t xml:space="preserve">, 1936. Teacher: Agnes O'Grady, </w:t>
      </w:r>
      <w:proofErr w:type="spellStart"/>
      <w:r w:rsidRPr="0061204C">
        <w:t>Duxtown</w:t>
      </w:r>
      <w:proofErr w:type="spellEnd"/>
      <w:r w:rsidRPr="0061204C">
        <w:t>, Rathkeale, Co. Leitrim.</w:t>
      </w:r>
    </w:p>
    <w:p w:rsidR="0007533A" w:rsidRPr="00514603" w:rsidRDefault="0007533A" w:rsidP="000B6D2A">
      <w:pPr>
        <w:pStyle w:val="NoSpacing"/>
        <w:ind w:left="567" w:hanging="567"/>
        <w:rPr>
          <w:rStyle w:val="html-attribute-value"/>
        </w:rPr>
      </w:pPr>
      <w:r w:rsidRPr="0061204C">
        <w:t xml:space="preserve">The Schools’ Manuscript Collection (NFCS) 910:24; 1936. </w:t>
      </w:r>
      <w:hyperlink r:id="rId25" w:history="1">
        <w:r w:rsidRPr="0061204C">
          <w:rPr>
            <w:rStyle w:val="Hyperlink"/>
            <w:color w:val="auto"/>
            <w:u w:val="none"/>
          </w:rPr>
          <w:t>Prayers Collected by Children from Old People in Locality</w:t>
        </w:r>
      </w:hyperlink>
      <w:r w:rsidRPr="0061204C">
        <w:t xml:space="preserve">, </w:t>
      </w:r>
      <w:proofErr w:type="spellStart"/>
      <w:r w:rsidRPr="0061204C">
        <w:t>Tobinstow</w:t>
      </w:r>
      <w:proofErr w:type="spellEnd"/>
      <w:r w:rsidRPr="0061204C">
        <w:t>, Tullow</w:t>
      </w:r>
      <w:r>
        <w:t>, Co. Carlow</w:t>
      </w:r>
      <w:r w:rsidRPr="0061204C">
        <w:t>.</w:t>
      </w:r>
    </w:p>
    <w:p w:rsidR="0007533A" w:rsidRPr="0061204C" w:rsidRDefault="0007533A" w:rsidP="0007533A">
      <w:pPr>
        <w:pStyle w:val="NoSpacing"/>
        <w:ind w:left="567" w:hanging="567"/>
      </w:pPr>
      <w:r w:rsidRPr="0061204C">
        <w:t xml:space="preserve">The Schools’ Manuscript Collection (NFCS) 1083:214; William O’Donnell (28), </w:t>
      </w:r>
      <w:proofErr w:type="spellStart"/>
      <w:r w:rsidRPr="0061204C">
        <w:t>Cabra</w:t>
      </w:r>
      <w:proofErr w:type="spellEnd"/>
      <w:r w:rsidRPr="0061204C">
        <w:t xml:space="preserve"> Glebe, Co. Donegal. Collector: Sarah Craig, </w:t>
      </w:r>
      <w:proofErr w:type="spellStart"/>
      <w:r w:rsidRPr="0061204C">
        <w:t>Stackarnagh</w:t>
      </w:r>
      <w:proofErr w:type="spellEnd"/>
      <w:r w:rsidRPr="0061204C">
        <w:t xml:space="preserve">, Donegal, 1936. Teacher: Seán C. </w:t>
      </w:r>
      <w:proofErr w:type="spellStart"/>
      <w:r w:rsidRPr="0061204C">
        <w:t>Ó’Dómhnaill</w:t>
      </w:r>
      <w:proofErr w:type="spellEnd"/>
      <w:r w:rsidRPr="0061204C">
        <w:t xml:space="preserve">, </w:t>
      </w:r>
      <w:proofErr w:type="spellStart"/>
      <w:r w:rsidRPr="0061204C">
        <w:t>Teampull</w:t>
      </w:r>
      <w:proofErr w:type="spellEnd"/>
      <w:r w:rsidRPr="0061204C">
        <w:t xml:space="preserve"> </w:t>
      </w:r>
      <w:proofErr w:type="spellStart"/>
      <w:r w:rsidRPr="0061204C">
        <w:t>Dubhglaise</w:t>
      </w:r>
      <w:proofErr w:type="spellEnd"/>
      <w:r>
        <w:t>, Donegal.</w:t>
      </w:r>
    </w:p>
    <w:p w:rsidR="0007533A" w:rsidRDefault="0007533A" w:rsidP="00CA302A">
      <w:pPr>
        <w:pStyle w:val="NoSpacing"/>
        <w:ind w:left="567" w:hanging="567"/>
      </w:pPr>
      <w:r w:rsidRPr="00B11A36">
        <w:t>Walsham, Alexandra, ‘The Reformation</w:t>
      </w:r>
      <w:r>
        <w:t xml:space="preserve"> and </w:t>
      </w:r>
      <w:proofErr w:type="spellStart"/>
      <w:r>
        <w:t>‘the</w:t>
      </w:r>
      <w:proofErr w:type="spellEnd"/>
      <w:r>
        <w:t xml:space="preserve"> Disenchantment of the World’ Reassessed’, </w:t>
      </w:r>
      <w:r>
        <w:rPr>
          <w:i/>
          <w:iCs/>
        </w:rPr>
        <w:t>Historical Journal</w:t>
      </w:r>
      <w:r>
        <w:t>, 51 (2008), pp. 497-528.</w:t>
      </w:r>
    </w:p>
    <w:p w:rsidR="0007533A" w:rsidRPr="00410FC5" w:rsidRDefault="0007533A" w:rsidP="00CA302A">
      <w:pPr>
        <w:pStyle w:val="NoSpacing"/>
        <w:ind w:left="567" w:hanging="567"/>
      </w:pPr>
      <w:r>
        <w:t xml:space="preserve">Wilde, L., </w:t>
      </w:r>
      <w:r w:rsidRPr="00686F23">
        <w:rPr>
          <w:i/>
          <w:iCs/>
        </w:rPr>
        <w:t>Ancient legends, mystic charms &amp; superstitions of Ireland</w:t>
      </w:r>
      <w:r>
        <w:t xml:space="preserve">. (London: </w:t>
      </w:r>
      <w:r w:rsidRPr="00686F23">
        <w:t>Chatto &amp; Windu</w:t>
      </w:r>
      <w:r>
        <w:t xml:space="preserve">s, </w:t>
      </w:r>
      <w:r w:rsidRPr="00410FC5">
        <w:t>1902)</w:t>
      </w:r>
    </w:p>
    <w:p w:rsidR="0007533A" w:rsidRPr="0007533A" w:rsidRDefault="0007533A" w:rsidP="00CA302A">
      <w:pPr>
        <w:pStyle w:val="NoSpacing"/>
        <w:ind w:left="567" w:hanging="567"/>
      </w:pPr>
      <w:r w:rsidRPr="00EE4222">
        <w:t xml:space="preserve">www.bl.uk. (n.d.). British </w:t>
      </w:r>
      <w:r w:rsidRPr="0007533A">
        <w:t>Library. [online] Available at: https://www.bl.uk/collection-items/gammer-gs-garland [Accessed 12 Mar. 2023].</w:t>
      </w:r>
    </w:p>
    <w:p w:rsidR="0007533A" w:rsidRPr="00D0218B" w:rsidRDefault="0007533A" w:rsidP="0031493E">
      <w:pPr>
        <w:pStyle w:val="NoSpacing"/>
        <w:ind w:left="567" w:hanging="567"/>
      </w:pPr>
      <w:r w:rsidRPr="00D0218B">
        <w:lastRenderedPageBreak/>
        <w:t>www.encyclopedia.com. (n.d.). Folk Beliefs and Rituals | Encyclopedia.com. [online] Available at: https://www.encyclopedia.com/social-sciences/encyclopedias-almanacs-transcripts-and-maps/folk-beliefs-and-rituals [Accessed 12 Mar. 2023].</w:t>
      </w:r>
    </w:p>
    <w:p w:rsidR="0007533A" w:rsidRPr="00B9184F" w:rsidRDefault="0007533A" w:rsidP="00CA302A">
      <w:pPr>
        <w:pStyle w:val="NoSpacing"/>
        <w:ind w:left="567" w:hanging="567"/>
      </w:pPr>
    </w:p>
    <w:sectPr w:rsidR="0007533A" w:rsidRPr="00B918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A77A4" w:rsidRDefault="007A77A4" w:rsidP="009B2626">
      <w:pPr>
        <w:spacing w:after="0" w:line="240" w:lineRule="auto"/>
      </w:pPr>
      <w:r>
        <w:separator/>
      </w:r>
    </w:p>
  </w:endnote>
  <w:endnote w:type="continuationSeparator" w:id="0">
    <w:p w:rsidR="007A77A4" w:rsidRDefault="007A77A4" w:rsidP="009B2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A77A4" w:rsidRDefault="007A77A4" w:rsidP="009B2626">
      <w:pPr>
        <w:spacing w:after="0" w:line="240" w:lineRule="auto"/>
      </w:pPr>
      <w:r>
        <w:separator/>
      </w:r>
    </w:p>
  </w:footnote>
  <w:footnote w:type="continuationSeparator" w:id="0">
    <w:p w:rsidR="007A77A4" w:rsidRDefault="007A77A4" w:rsidP="009B2626">
      <w:pPr>
        <w:spacing w:after="0" w:line="240" w:lineRule="auto"/>
      </w:pPr>
      <w:r>
        <w:continuationSeparator/>
      </w:r>
    </w:p>
  </w:footnote>
  <w:footnote w:id="1">
    <w:p w:rsidR="00D0218B" w:rsidRPr="00D0218B" w:rsidRDefault="00D0218B" w:rsidP="00D0218B">
      <w:pPr>
        <w:pStyle w:val="FootnoteText"/>
        <w:ind w:left="567" w:hanging="567"/>
      </w:pPr>
      <w:r>
        <w:rPr>
          <w:rStyle w:val="FootnoteReference"/>
        </w:rPr>
        <w:footnoteRef/>
      </w:r>
      <w:r>
        <w:t xml:space="preserve"> </w:t>
      </w:r>
      <w:r w:rsidRPr="00D0218B">
        <w:t>www.bl.uk. (n.d.). British Library. [online] Available at: https://www.bl.uk/collection-items/gammer-gs-garland [Accessed 12 Mar. 2023].</w:t>
      </w:r>
    </w:p>
  </w:footnote>
  <w:footnote w:id="2">
    <w:p w:rsidR="00D0218B" w:rsidRPr="00D0218B" w:rsidRDefault="00D0218B" w:rsidP="00D75093">
      <w:pPr>
        <w:pStyle w:val="NoSpacing"/>
        <w:ind w:left="567" w:hanging="567"/>
        <w:rPr>
          <w:sz w:val="20"/>
          <w:szCs w:val="20"/>
        </w:rPr>
      </w:pPr>
      <w:r w:rsidRPr="00D0218B">
        <w:rPr>
          <w:rStyle w:val="FootnoteReference"/>
          <w:sz w:val="20"/>
          <w:szCs w:val="20"/>
        </w:rPr>
        <w:footnoteRef/>
      </w:r>
      <w:r w:rsidRPr="00D0218B">
        <w:rPr>
          <w:sz w:val="20"/>
          <w:szCs w:val="20"/>
        </w:rPr>
        <w:t xml:space="preserve"> www.encyclopedia.com. (n.d.). Folk Beliefs and Rituals | Encyclopedia.com. [online] Available at: https://www.encyclopedia.com/social-sciences/encyclopedias-almanacs-transcripts-and-maps/folk-beliefs-and-rituals [Accessed </w:t>
      </w:r>
      <w:r>
        <w:rPr>
          <w:sz w:val="20"/>
          <w:szCs w:val="20"/>
        </w:rPr>
        <w:t>12</w:t>
      </w:r>
      <w:r w:rsidRPr="00D0218B">
        <w:rPr>
          <w:sz w:val="20"/>
          <w:szCs w:val="20"/>
        </w:rPr>
        <w:t xml:space="preserve"> Mar. 2023].</w:t>
      </w:r>
    </w:p>
  </w:footnote>
  <w:footnote w:id="3">
    <w:p w:rsidR="00D75093" w:rsidRDefault="00D75093" w:rsidP="00D75093">
      <w:pPr>
        <w:pStyle w:val="FootnoteText"/>
        <w:ind w:left="567" w:hanging="567"/>
      </w:pPr>
      <w:r>
        <w:rPr>
          <w:rStyle w:val="FootnoteReference"/>
        </w:rPr>
        <w:footnoteRef/>
      </w:r>
      <w:r>
        <w:t xml:space="preserve"> </w:t>
      </w:r>
      <w:r w:rsidRPr="009703E9">
        <w:t xml:space="preserve">Bidney, David, ‘The Concept of Myth and the Problem of Psychocultural Evolution’, </w:t>
      </w:r>
      <w:r w:rsidRPr="00AC49BD">
        <w:rPr>
          <w:i/>
          <w:iCs/>
        </w:rPr>
        <w:t>American Anthropologist</w:t>
      </w:r>
      <w:r w:rsidRPr="009703E9">
        <w:t xml:space="preserve">, </w:t>
      </w:r>
      <w:hyperlink r:id="rId1" w:history="1">
        <w:r w:rsidRPr="009703E9">
          <w:rPr>
            <w:rStyle w:val="Hyperlink"/>
            <w:color w:val="auto"/>
            <w:u w:val="none"/>
          </w:rPr>
          <w:t>Vol. 52, No. 1 (1950)</w:t>
        </w:r>
      </w:hyperlink>
      <w:r w:rsidRPr="009703E9">
        <w:t>, pp. 23</w:t>
      </w:r>
    </w:p>
  </w:footnote>
  <w:footnote w:id="4">
    <w:p w:rsidR="00D75093" w:rsidRPr="00D75093" w:rsidRDefault="00D75093" w:rsidP="00D75093">
      <w:pPr>
        <w:pStyle w:val="NoSpacing"/>
        <w:ind w:left="709" w:hanging="709"/>
        <w:rPr>
          <w:sz w:val="20"/>
          <w:szCs w:val="20"/>
        </w:rPr>
      </w:pPr>
      <w:r>
        <w:rPr>
          <w:rStyle w:val="FootnoteReference"/>
        </w:rPr>
        <w:footnoteRef/>
      </w:r>
      <w:r>
        <w:t xml:space="preserve"> </w:t>
      </w:r>
      <w:r w:rsidRPr="009703E9">
        <w:rPr>
          <w:sz w:val="20"/>
          <w:szCs w:val="20"/>
        </w:rPr>
        <w:t xml:space="preserve">Cameron, Euan, </w:t>
      </w:r>
      <w:r w:rsidRPr="00AC49BD">
        <w:rPr>
          <w:i/>
          <w:iCs/>
          <w:sz w:val="20"/>
          <w:szCs w:val="20"/>
        </w:rPr>
        <w:t>Enchanted Europe: Superstition, Reason and Religion</w:t>
      </w:r>
      <w:r w:rsidRPr="009703E9">
        <w:rPr>
          <w:sz w:val="20"/>
          <w:szCs w:val="20"/>
        </w:rPr>
        <w:t xml:space="preserve"> 1250-1750. (Oxford: Oxford University Press, 2010), pp. 5.</w:t>
      </w:r>
    </w:p>
  </w:footnote>
  <w:footnote w:id="5">
    <w:p w:rsidR="009B2626" w:rsidRPr="0061204C" w:rsidRDefault="009B2626" w:rsidP="00D75093">
      <w:pPr>
        <w:pStyle w:val="NoSpacing"/>
        <w:ind w:left="567" w:hanging="567"/>
        <w:rPr>
          <w:sz w:val="20"/>
          <w:szCs w:val="20"/>
        </w:rPr>
      </w:pPr>
      <w:r>
        <w:rPr>
          <w:rStyle w:val="FootnoteReference"/>
        </w:rPr>
        <w:footnoteRef/>
      </w:r>
      <w:r>
        <w:t xml:space="preserve"> </w:t>
      </w:r>
      <w:hyperlink r:id="rId2" w:history="1">
        <w:r w:rsidRPr="0061204C">
          <w:rPr>
            <w:rStyle w:val="Hyperlink"/>
            <w:color w:val="auto"/>
            <w:sz w:val="20"/>
            <w:szCs w:val="20"/>
            <w:u w:val="none"/>
          </w:rPr>
          <w:t>Ritson, Joseph,</w:t>
        </w:r>
      </w:hyperlink>
      <w:r w:rsidRPr="0061204C">
        <w:rPr>
          <w:sz w:val="20"/>
          <w:szCs w:val="20"/>
        </w:rPr>
        <w:t xml:space="preserve"> </w:t>
      </w:r>
      <w:proofErr w:type="spellStart"/>
      <w:r w:rsidRPr="0061204C">
        <w:rPr>
          <w:i/>
          <w:iCs/>
          <w:sz w:val="20"/>
          <w:szCs w:val="20"/>
        </w:rPr>
        <w:t>Gammer</w:t>
      </w:r>
      <w:proofErr w:type="spellEnd"/>
      <w:r w:rsidRPr="0061204C">
        <w:rPr>
          <w:i/>
          <w:iCs/>
          <w:sz w:val="20"/>
          <w:szCs w:val="20"/>
        </w:rPr>
        <w:t xml:space="preserve"> </w:t>
      </w:r>
      <w:proofErr w:type="spellStart"/>
      <w:r w:rsidRPr="0061204C">
        <w:rPr>
          <w:i/>
          <w:iCs/>
          <w:sz w:val="20"/>
          <w:szCs w:val="20"/>
        </w:rPr>
        <w:t>Gurton's</w:t>
      </w:r>
      <w:proofErr w:type="spellEnd"/>
      <w:r w:rsidRPr="0061204C">
        <w:rPr>
          <w:i/>
          <w:iCs/>
          <w:sz w:val="20"/>
          <w:szCs w:val="20"/>
        </w:rPr>
        <w:t xml:space="preserve"> Garland, or, The Nursery </w:t>
      </w:r>
      <w:proofErr w:type="gramStart"/>
      <w:r w:rsidRPr="0061204C">
        <w:rPr>
          <w:i/>
          <w:iCs/>
          <w:sz w:val="20"/>
          <w:szCs w:val="20"/>
        </w:rPr>
        <w:t>Parnassus :</w:t>
      </w:r>
      <w:proofErr w:type="gramEnd"/>
      <w:r w:rsidRPr="0061204C">
        <w:rPr>
          <w:i/>
          <w:iCs/>
          <w:sz w:val="20"/>
          <w:szCs w:val="20"/>
        </w:rPr>
        <w:t xml:space="preserve"> a choice collection of pretty songs and verses for the amusement of all little good children who can neither read nor run.</w:t>
      </w:r>
      <w:r w:rsidRPr="0061204C">
        <w:rPr>
          <w:sz w:val="20"/>
          <w:szCs w:val="20"/>
        </w:rPr>
        <w:t xml:space="preserve"> (Stockton, UK: R. Christopher, 1784), pp. 29. </w:t>
      </w:r>
    </w:p>
  </w:footnote>
  <w:footnote w:id="6">
    <w:p w:rsidR="009B2626" w:rsidRPr="0061204C" w:rsidRDefault="009B2626" w:rsidP="009B2626">
      <w:pPr>
        <w:pStyle w:val="NoSpacing"/>
        <w:ind w:left="567" w:hanging="567"/>
        <w:rPr>
          <w:sz w:val="20"/>
          <w:szCs w:val="20"/>
        </w:rPr>
      </w:pPr>
      <w:r w:rsidRPr="0061204C">
        <w:rPr>
          <w:rStyle w:val="FootnoteReference"/>
          <w:sz w:val="20"/>
          <w:szCs w:val="20"/>
        </w:rPr>
        <w:footnoteRef/>
      </w:r>
      <w:r w:rsidRPr="0061204C">
        <w:rPr>
          <w:sz w:val="20"/>
          <w:szCs w:val="20"/>
        </w:rPr>
        <w:t xml:space="preserve"> www.bl.uk. (n.d.). British Library. [online] Available at: https://www.bl.uk/collection-items/gammer-gs-garland [Accessed 12 Mar. 2023].</w:t>
      </w:r>
    </w:p>
  </w:footnote>
  <w:footnote w:id="7">
    <w:p w:rsidR="0068150C" w:rsidRPr="0061204C" w:rsidRDefault="0068150C" w:rsidP="0068150C">
      <w:pPr>
        <w:pStyle w:val="NoSpacing"/>
        <w:ind w:left="567" w:hanging="567"/>
        <w:rPr>
          <w:sz w:val="20"/>
          <w:szCs w:val="20"/>
        </w:rPr>
      </w:pPr>
      <w:r w:rsidRPr="0061204C">
        <w:rPr>
          <w:rStyle w:val="FootnoteReference"/>
          <w:sz w:val="20"/>
          <w:szCs w:val="20"/>
        </w:rPr>
        <w:footnoteRef/>
      </w:r>
      <w:r w:rsidRPr="0061204C">
        <w:rPr>
          <w:sz w:val="20"/>
          <w:szCs w:val="20"/>
        </w:rPr>
        <w:t xml:space="preserve"> The Schools’ Manuscript Collection (Henceforth NFCS) 199:103; </w:t>
      </w:r>
      <w:hyperlink r:id="rId3" w:history="1">
        <w:r w:rsidRPr="0061204C">
          <w:rPr>
            <w:sz w:val="20"/>
            <w:szCs w:val="20"/>
          </w:rPr>
          <w:t>Mrs Hugh Mc Sharry</w:t>
        </w:r>
      </w:hyperlink>
      <w:r w:rsidRPr="0061204C">
        <w:rPr>
          <w:sz w:val="20"/>
          <w:szCs w:val="20"/>
        </w:rPr>
        <w:t xml:space="preserve"> (48), </w:t>
      </w:r>
      <w:hyperlink r:id="rId4" w:history="1">
        <w:proofErr w:type="spellStart"/>
        <w:r w:rsidRPr="0061204C">
          <w:rPr>
            <w:sz w:val="20"/>
            <w:szCs w:val="20"/>
          </w:rPr>
          <w:t>Mullagh</w:t>
        </w:r>
        <w:proofErr w:type="spellEnd"/>
        <w:r w:rsidRPr="0061204C">
          <w:rPr>
            <w:sz w:val="20"/>
            <w:szCs w:val="20"/>
          </w:rPr>
          <w:t>, Co. Leitrim</w:t>
        </w:r>
      </w:hyperlink>
      <w:r w:rsidRPr="0061204C">
        <w:rPr>
          <w:sz w:val="20"/>
          <w:szCs w:val="20"/>
        </w:rPr>
        <w:t xml:space="preserve">. </w:t>
      </w:r>
    </w:p>
  </w:footnote>
  <w:footnote w:id="8">
    <w:p w:rsidR="00233E1E" w:rsidRDefault="00233E1E" w:rsidP="00233E1E">
      <w:pPr>
        <w:pStyle w:val="NoSpacing"/>
        <w:ind w:left="709" w:hanging="709"/>
      </w:pPr>
      <w:r w:rsidRPr="0061204C">
        <w:rPr>
          <w:rStyle w:val="FootnoteReference"/>
          <w:sz w:val="20"/>
          <w:szCs w:val="20"/>
        </w:rPr>
        <w:footnoteRef/>
      </w:r>
      <w:r w:rsidRPr="0061204C">
        <w:rPr>
          <w:sz w:val="20"/>
          <w:szCs w:val="20"/>
        </w:rPr>
        <w:t xml:space="preserve"> NFCS 95C:17_021; </w:t>
      </w:r>
      <w:hyperlink r:id="rId5" w:history="1">
        <w:r w:rsidRPr="0061204C">
          <w:rPr>
            <w:rStyle w:val="Hyperlink"/>
            <w:color w:val="auto"/>
            <w:sz w:val="20"/>
            <w:szCs w:val="20"/>
            <w:u w:val="none"/>
          </w:rPr>
          <w:t>Mrs Kearns</w:t>
        </w:r>
      </w:hyperlink>
      <w:r w:rsidRPr="0061204C">
        <w:rPr>
          <w:sz w:val="20"/>
          <w:szCs w:val="20"/>
        </w:rPr>
        <w:t xml:space="preserve"> (40) </w:t>
      </w:r>
      <w:hyperlink r:id="rId6" w:history="1">
        <w:proofErr w:type="spellStart"/>
        <w:r w:rsidRPr="0061204C">
          <w:rPr>
            <w:rStyle w:val="Hyperlink"/>
            <w:color w:val="auto"/>
            <w:sz w:val="20"/>
            <w:szCs w:val="20"/>
            <w:u w:val="none"/>
          </w:rPr>
          <w:t>Manulla</w:t>
        </w:r>
        <w:proofErr w:type="spellEnd"/>
        <w:r w:rsidRPr="0061204C">
          <w:rPr>
            <w:rStyle w:val="Hyperlink"/>
            <w:color w:val="auto"/>
            <w:sz w:val="20"/>
            <w:szCs w:val="20"/>
            <w:u w:val="none"/>
          </w:rPr>
          <w:t>, Co. Mayo</w:t>
        </w:r>
      </w:hyperlink>
      <w:r w:rsidRPr="0061204C">
        <w:rPr>
          <w:sz w:val="20"/>
          <w:szCs w:val="20"/>
        </w:rPr>
        <w:t xml:space="preserve">. </w:t>
      </w:r>
    </w:p>
  </w:footnote>
  <w:footnote w:id="9">
    <w:p w:rsidR="00514603" w:rsidRPr="009B4762" w:rsidRDefault="00514603" w:rsidP="00F65880">
      <w:pPr>
        <w:pStyle w:val="NoSpacing"/>
        <w:rPr>
          <w:sz w:val="20"/>
          <w:szCs w:val="20"/>
        </w:rPr>
      </w:pPr>
      <w:r>
        <w:rPr>
          <w:rStyle w:val="FootnoteReference"/>
        </w:rPr>
        <w:footnoteRef/>
      </w:r>
      <w:r>
        <w:t xml:space="preserve"> </w:t>
      </w:r>
      <w:r w:rsidRPr="009B4762">
        <w:rPr>
          <w:sz w:val="20"/>
          <w:szCs w:val="20"/>
        </w:rPr>
        <w:t xml:space="preserve">NFCS 910:24; </w:t>
      </w:r>
      <w:hyperlink r:id="rId7" w:history="1">
        <w:r w:rsidRPr="009B4762">
          <w:rPr>
            <w:rStyle w:val="Hyperlink"/>
            <w:color w:val="auto"/>
            <w:sz w:val="20"/>
            <w:szCs w:val="20"/>
            <w:u w:val="none"/>
          </w:rPr>
          <w:t>Prayers Collected by Children from Old People in Locality</w:t>
        </w:r>
      </w:hyperlink>
      <w:r w:rsidRPr="009B4762">
        <w:rPr>
          <w:sz w:val="20"/>
          <w:szCs w:val="20"/>
        </w:rPr>
        <w:t xml:space="preserve">, </w:t>
      </w:r>
      <w:proofErr w:type="spellStart"/>
      <w:r w:rsidRPr="009B4762">
        <w:rPr>
          <w:sz w:val="20"/>
          <w:szCs w:val="20"/>
        </w:rPr>
        <w:t>Tobinstow</w:t>
      </w:r>
      <w:proofErr w:type="spellEnd"/>
      <w:r w:rsidRPr="009B4762">
        <w:rPr>
          <w:sz w:val="20"/>
          <w:szCs w:val="20"/>
        </w:rPr>
        <w:t>, Tullow.</w:t>
      </w:r>
    </w:p>
  </w:footnote>
  <w:footnote w:id="10">
    <w:p w:rsidR="00F65880" w:rsidRPr="009B4762" w:rsidRDefault="00F65880">
      <w:pPr>
        <w:pStyle w:val="FootnoteText"/>
      </w:pPr>
      <w:r w:rsidRPr="009B4762">
        <w:rPr>
          <w:rStyle w:val="FootnoteReference"/>
        </w:rPr>
        <w:footnoteRef/>
      </w:r>
      <w:r w:rsidRPr="009B4762">
        <w:t xml:space="preserve"> NFCS 207:83; Teacher: Margaret Flynn, </w:t>
      </w:r>
      <w:proofErr w:type="spellStart"/>
      <w:r w:rsidRPr="009B4762">
        <w:t>Drumshambo</w:t>
      </w:r>
      <w:proofErr w:type="spellEnd"/>
      <w:r w:rsidRPr="009B4762">
        <w:t xml:space="preserve">. </w:t>
      </w:r>
    </w:p>
  </w:footnote>
  <w:footnote w:id="11">
    <w:p w:rsidR="0068150C" w:rsidRPr="009B4762" w:rsidRDefault="0068150C" w:rsidP="00F65880">
      <w:pPr>
        <w:pStyle w:val="NoSpacing"/>
        <w:rPr>
          <w:sz w:val="20"/>
          <w:szCs w:val="20"/>
        </w:rPr>
      </w:pPr>
      <w:r w:rsidRPr="009B4762">
        <w:rPr>
          <w:rStyle w:val="FootnoteReference"/>
          <w:sz w:val="20"/>
          <w:szCs w:val="20"/>
        </w:rPr>
        <w:footnoteRef/>
      </w:r>
      <w:r w:rsidRPr="009B4762">
        <w:rPr>
          <w:sz w:val="20"/>
          <w:szCs w:val="20"/>
        </w:rPr>
        <w:t xml:space="preserve"> NFCS 199:103; </w:t>
      </w:r>
      <w:hyperlink r:id="rId8" w:history="1">
        <w:r w:rsidRPr="009B4762">
          <w:rPr>
            <w:sz w:val="20"/>
            <w:szCs w:val="20"/>
          </w:rPr>
          <w:t>Mrs Hugh Mc Sharry</w:t>
        </w:r>
      </w:hyperlink>
      <w:r w:rsidRPr="009B4762">
        <w:rPr>
          <w:sz w:val="20"/>
          <w:szCs w:val="20"/>
        </w:rPr>
        <w:t xml:space="preserve"> (48), </w:t>
      </w:r>
      <w:hyperlink r:id="rId9" w:history="1">
        <w:proofErr w:type="spellStart"/>
        <w:r w:rsidRPr="009B4762">
          <w:rPr>
            <w:sz w:val="20"/>
            <w:szCs w:val="20"/>
          </w:rPr>
          <w:t>Mullagh</w:t>
        </w:r>
        <w:proofErr w:type="spellEnd"/>
        <w:r w:rsidRPr="009B4762">
          <w:rPr>
            <w:sz w:val="20"/>
            <w:szCs w:val="20"/>
          </w:rPr>
          <w:t>, Co. Leitrim</w:t>
        </w:r>
      </w:hyperlink>
      <w:r w:rsidRPr="009B4762">
        <w:rPr>
          <w:sz w:val="20"/>
          <w:szCs w:val="20"/>
        </w:rPr>
        <w:t xml:space="preserve">. </w:t>
      </w:r>
      <w:r w:rsidR="00410FC5">
        <w:rPr>
          <w:sz w:val="20"/>
          <w:szCs w:val="20"/>
        </w:rPr>
        <w:t>06</w:t>
      </w:r>
    </w:p>
  </w:footnote>
  <w:footnote w:id="12">
    <w:p w:rsidR="00514603" w:rsidRPr="009B4762" w:rsidRDefault="00514603" w:rsidP="00F65880">
      <w:pPr>
        <w:pStyle w:val="NoSpacing"/>
        <w:rPr>
          <w:sz w:val="20"/>
          <w:szCs w:val="20"/>
        </w:rPr>
      </w:pPr>
      <w:r w:rsidRPr="009B4762">
        <w:rPr>
          <w:rStyle w:val="FootnoteReference"/>
          <w:sz w:val="20"/>
          <w:szCs w:val="20"/>
        </w:rPr>
        <w:footnoteRef/>
      </w:r>
      <w:r w:rsidRPr="009B4762">
        <w:rPr>
          <w:sz w:val="20"/>
          <w:szCs w:val="20"/>
        </w:rPr>
        <w:t xml:space="preserve"> NFCS 1083:214; William O’Donnell (28), </w:t>
      </w:r>
      <w:proofErr w:type="spellStart"/>
      <w:r w:rsidRPr="009B4762">
        <w:rPr>
          <w:sz w:val="20"/>
          <w:szCs w:val="20"/>
        </w:rPr>
        <w:t>Cabra</w:t>
      </w:r>
      <w:proofErr w:type="spellEnd"/>
      <w:r w:rsidRPr="009B4762">
        <w:rPr>
          <w:sz w:val="20"/>
          <w:szCs w:val="20"/>
        </w:rPr>
        <w:t xml:space="preserve"> Glebe, Co. Donegal, </w:t>
      </w:r>
    </w:p>
  </w:footnote>
  <w:footnote w:id="13">
    <w:p w:rsidR="00B11A36" w:rsidRDefault="00B11A36" w:rsidP="0061204C">
      <w:pPr>
        <w:pStyle w:val="NoSpacing"/>
      </w:pPr>
      <w:r>
        <w:rPr>
          <w:rStyle w:val="FootnoteReference"/>
        </w:rPr>
        <w:footnoteRef/>
      </w:r>
      <w:r>
        <w:t xml:space="preserve"> </w:t>
      </w:r>
      <w:r w:rsidRPr="0061204C">
        <w:rPr>
          <w:sz w:val="20"/>
          <w:szCs w:val="20"/>
        </w:rPr>
        <w:t xml:space="preserve">NFCS 125:429; </w:t>
      </w:r>
      <w:r w:rsidR="0061204C" w:rsidRPr="0061204C">
        <w:rPr>
          <w:sz w:val="20"/>
          <w:szCs w:val="20"/>
        </w:rPr>
        <w:t xml:space="preserve">Teacher: Pádraig </w:t>
      </w:r>
      <w:proofErr w:type="spellStart"/>
      <w:r w:rsidR="0061204C" w:rsidRPr="0061204C">
        <w:rPr>
          <w:sz w:val="20"/>
          <w:szCs w:val="20"/>
        </w:rPr>
        <w:t>Ó’Héaráin</w:t>
      </w:r>
      <w:proofErr w:type="spellEnd"/>
      <w:r w:rsidR="0061204C" w:rsidRPr="0061204C">
        <w:rPr>
          <w:sz w:val="20"/>
          <w:szCs w:val="20"/>
        </w:rPr>
        <w:t xml:space="preserve">, </w:t>
      </w:r>
      <w:proofErr w:type="spellStart"/>
      <w:r w:rsidR="0061204C" w:rsidRPr="0061204C">
        <w:rPr>
          <w:sz w:val="20"/>
          <w:szCs w:val="20"/>
        </w:rPr>
        <w:t>Clún</w:t>
      </w:r>
      <w:proofErr w:type="spellEnd"/>
      <w:r w:rsidR="0061204C" w:rsidRPr="0061204C">
        <w:rPr>
          <w:sz w:val="20"/>
          <w:szCs w:val="20"/>
        </w:rPr>
        <w:t xml:space="preserve"> </w:t>
      </w:r>
      <w:proofErr w:type="spellStart"/>
      <w:r w:rsidR="0061204C" w:rsidRPr="0061204C">
        <w:rPr>
          <w:sz w:val="20"/>
          <w:szCs w:val="20"/>
        </w:rPr>
        <w:t>na</w:t>
      </w:r>
      <w:proofErr w:type="spellEnd"/>
      <w:r w:rsidR="0061204C" w:rsidRPr="0061204C">
        <w:rPr>
          <w:sz w:val="20"/>
          <w:szCs w:val="20"/>
        </w:rPr>
        <w:t xml:space="preserve"> </w:t>
      </w:r>
      <w:proofErr w:type="spellStart"/>
      <w:r w:rsidR="0061204C" w:rsidRPr="0061204C">
        <w:rPr>
          <w:sz w:val="20"/>
          <w:szCs w:val="20"/>
        </w:rPr>
        <w:t>Gaoithe</w:t>
      </w:r>
      <w:proofErr w:type="spellEnd"/>
    </w:p>
  </w:footnote>
  <w:footnote w:id="14">
    <w:p w:rsidR="0061204C" w:rsidRDefault="0061204C">
      <w:pPr>
        <w:pStyle w:val="FootnoteText"/>
      </w:pPr>
      <w:r>
        <w:rPr>
          <w:rStyle w:val="FootnoteReference"/>
        </w:rPr>
        <w:footnoteRef/>
      </w:r>
      <w:r>
        <w:t xml:space="preserve"> ibid</w:t>
      </w:r>
    </w:p>
  </w:footnote>
  <w:footnote w:id="15">
    <w:p w:rsidR="00B11A36" w:rsidRPr="00CA302A" w:rsidRDefault="00B11A36" w:rsidP="00B11A36">
      <w:pPr>
        <w:pStyle w:val="NoSpacing"/>
        <w:rPr>
          <w:sz w:val="20"/>
          <w:szCs w:val="20"/>
        </w:rPr>
      </w:pPr>
      <w:r w:rsidRPr="00852F38">
        <w:rPr>
          <w:rStyle w:val="FootnoteReference"/>
          <w:sz w:val="20"/>
          <w:szCs w:val="20"/>
        </w:rPr>
        <w:footnoteRef/>
      </w:r>
      <w:r w:rsidRPr="00852F38">
        <w:rPr>
          <w:sz w:val="20"/>
          <w:szCs w:val="20"/>
        </w:rPr>
        <w:t xml:space="preserve"> NFCS </w:t>
      </w:r>
      <w:r w:rsidRPr="00CA302A">
        <w:rPr>
          <w:sz w:val="20"/>
          <w:szCs w:val="20"/>
        </w:rPr>
        <w:t xml:space="preserve">500:629; Collector: </w:t>
      </w:r>
      <w:hyperlink r:id="rId10" w:history="1">
        <w:proofErr w:type="spellStart"/>
        <w:r w:rsidRPr="00CA302A">
          <w:rPr>
            <w:sz w:val="20"/>
            <w:szCs w:val="20"/>
          </w:rPr>
          <w:t>Cáith</w:t>
        </w:r>
        <w:proofErr w:type="spellEnd"/>
        <w:r w:rsidRPr="00CA302A">
          <w:rPr>
            <w:sz w:val="20"/>
            <w:szCs w:val="20"/>
          </w:rPr>
          <w:t xml:space="preserve"> </w:t>
        </w:r>
        <w:proofErr w:type="spellStart"/>
        <w:r w:rsidRPr="00CA302A">
          <w:rPr>
            <w:sz w:val="20"/>
            <w:szCs w:val="20"/>
          </w:rPr>
          <w:t>Ní</w:t>
        </w:r>
        <w:proofErr w:type="spellEnd"/>
        <w:r w:rsidRPr="00CA302A">
          <w:rPr>
            <w:sz w:val="20"/>
            <w:szCs w:val="20"/>
          </w:rPr>
          <w:t xml:space="preserve"> Cathasaigh</w:t>
        </w:r>
      </w:hyperlink>
      <w:r w:rsidRPr="00CA302A">
        <w:rPr>
          <w:sz w:val="20"/>
          <w:szCs w:val="20"/>
        </w:rPr>
        <w:t xml:space="preserve">, </w:t>
      </w:r>
      <w:hyperlink r:id="rId11" w:history="1">
        <w:proofErr w:type="spellStart"/>
        <w:r w:rsidRPr="00CA302A">
          <w:rPr>
            <w:sz w:val="20"/>
            <w:szCs w:val="20"/>
          </w:rPr>
          <w:t>Ballyea</w:t>
        </w:r>
        <w:proofErr w:type="spellEnd"/>
        <w:r w:rsidRPr="00CA302A">
          <w:rPr>
            <w:sz w:val="20"/>
            <w:szCs w:val="20"/>
          </w:rPr>
          <w:t>, Co. Limerick</w:t>
        </w:r>
      </w:hyperlink>
    </w:p>
  </w:footnote>
  <w:footnote w:id="16">
    <w:p w:rsidR="00B11A36" w:rsidRPr="00CA302A" w:rsidRDefault="00B11A36">
      <w:pPr>
        <w:pStyle w:val="FootnoteText"/>
      </w:pPr>
      <w:r w:rsidRPr="00CA302A">
        <w:rPr>
          <w:rStyle w:val="FootnoteReference"/>
        </w:rPr>
        <w:footnoteRef/>
      </w:r>
      <w:r w:rsidRPr="00CA302A">
        <w:t xml:space="preserve"> NFCS 500:628; Collector: </w:t>
      </w:r>
      <w:hyperlink r:id="rId12" w:history="1">
        <w:r w:rsidRPr="00CA302A">
          <w:t xml:space="preserve">Seán Ó </w:t>
        </w:r>
        <w:proofErr w:type="spellStart"/>
        <w:r w:rsidRPr="00CA302A">
          <w:t>Coistealbha</w:t>
        </w:r>
        <w:proofErr w:type="spellEnd"/>
      </w:hyperlink>
      <w:r w:rsidRPr="00CA302A">
        <w:t xml:space="preserve">, </w:t>
      </w:r>
      <w:hyperlink r:id="rId13" w:history="1">
        <w:proofErr w:type="spellStart"/>
        <w:r w:rsidRPr="00CA302A">
          <w:t>Kilcolman</w:t>
        </w:r>
        <w:proofErr w:type="spellEnd"/>
        <w:r w:rsidRPr="00CA302A">
          <w:t xml:space="preserve"> East</w:t>
        </w:r>
      </w:hyperlink>
    </w:p>
  </w:footnote>
  <w:footnote w:id="17">
    <w:p w:rsidR="00FA7F15" w:rsidRPr="00CA302A" w:rsidRDefault="00FA7F15" w:rsidP="00FA7F15">
      <w:pPr>
        <w:pStyle w:val="NoSpacing"/>
        <w:ind w:left="567" w:hanging="567"/>
        <w:rPr>
          <w:sz w:val="20"/>
          <w:szCs w:val="20"/>
        </w:rPr>
      </w:pPr>
      <w:r w:rsidRPr="00CA302A">
        <w:rPr>
          <w:rStyle w:val="FootnoteReference"/>
          <w:sz w:val="20"/>
          <w:szCs w:val="20"/>
        </w:rPr>
        <w:footnoteRef/>
      </w:r>
      <w:r w:rsidRPr="00CA302A">
        <w:rPr>
          <w:sz w:val="20"/>
          <w:szCs w:val="20"/>
        </w:rPr>
        <w:t xml:space="preserve"> Opie, Iona and Tatem, Moira. </w:t>
      </w:r>
      <w:r w:rsidRPr="00CA302A">
        <w:rPr>
          <w:i/>
          <w:iCs/>
          <w:sz w:val="20"/>
          <w:szCs w:val="20"/>
        </w:rPr>
        <w:t>A dictionary of superstitions</w:t>
      </w:r>
      <w:r w:rsidRPr="00CA302A">
        <w:rPr>
          <w:sz w:val="20"/>
          <w:szCs w:val="20"/>
        </w:rPr>
        <w:t>. (Oxford England: Oxford University Press, 1992).</w:t>
      </w:r>
    </w:p>
  </w:footnote>
  <w:footnote w:id="18">
    <w:p w:rsidR="003D0787" w:rsidRPr="00CA302A" w:rsidRDefault="003D0787" w:rsidP="003D0787">
      <w:pPr>
        <w:pStyle w:val="FootnoteText"/>
      </w:pPr>
      <w:r w:rsidRPr="00CA302A">
        <w:rPr>
          <w:rStyle w:val="FootnoteReference"/>
        </w:rPr>
        <w:footnoteRef/>
      </w:r>
      <w:r w:rsidRPr="00CA302A">
        <w:t xml:space="preserve"> NFCS 207:84; 1936. Teacher Margaret Flynn, </w:t>
      </w:r>
      <w:proofErr w:type="spellStart"/>
      <w:r w:rsidRPr="00CA302A">
        <w:t>Drumshambo</w:t>
      </w:r>
      <w:proofErr w:type="spellEnd"/>
      <w:r w:rsidRPr="00CA302A">
        <w:t xml:space="preserve">, Co. Leitrim. </w:t>
      </w:r>
    </w:p>
  </w:footnote>
  <w:footnote w:id="19">
    <w:p w:rsidR="00686F23" w:rsidRPr="004862AB" w:rsidRDefault="00686F23" w:rsidP="004862AB">
      <w:pPr>
        <w:pStyle w:val="NoSpacing"/>
        <w:ind w:left="709" w:hanging="709"/>
        <w:rPr>
          <w:sz w:val="20"/>
          <w:szCs w:val="20"/>
        </w:rPr>
      </w:pPr>
      <w:r w:rsidRPr="00CA302A">
        <w:rPr>
          <w:rStyle w:val="FootnoteReference"/>
          <w:sz w:val="20"/>
          <w:szCs w:val="20"/>
        </w:rPr>
        <w:footnoteRef/>
      </w:r>
      <w:r w:rsidRPr="00CA302A">
        <w:rPr>
          <w:sz w:val="20"/>
          <w:szCs w:val="20"/>
        </w:rPr>
        <w:t xml:space="preserve"> </w:t>
      </w:r>
      <w:r w:rsidRPr="004862AB">
        <w:rPr>
          <w:sz w:val="20"/>
          <w:szCs w:val="20"/>
        </w:rPr>
        <w:t>Wilde, L</w:t>
      </w:r>
      <w:r w:rsidR="00E70746" w:rsidRPr="004862AB">
        <w:rPr>
          <w:sz w:val="20"/>
          <w:szCs w:val="20"/>
        </w:rPr>
        <w:t>ady</w:t>
      </w:r>
      <w:r w:rsidRPr="004862AB">
        <w:rPr>
          <w:sz w:val="20"/>
          <w:szCs w:val="20"/>
        </w:rPr>
        <w:t xml:space="preserve">, </w:t>
      </w:r>
      <w:r w:rsidRPr="004862AB">
        <w:rPr>
          <w:i/>
          <w:iCs/>
          <w:sz w:val="20"/>
          <w:szCs w:val="20"/>
        </w:rPr>
        <w:t>Ancient legends, mystic charms &amp; superstitions of Ireland</w:t>
      </w:r>
      <w:r w:rsidRPr="004862AB">
        <w:rPr>
          <w:sz w:val="20"/>
          <w:szCs w:val="20"/>
        </w:rPr>
        <w:t xml:space="preserve">. </w:t>
      </w:r>
      <w:r w:rsidR="00852F38" w:rsidRPr="004862AB">
        <w:rPr>
          <w:sz w:val="20"/>
          <w:szCs w:val="20"/>
        </w:rPr>
        <w:t>(London: Chatto &amp; Windus, 1902) pp.196</w:t>
      </w:r>
    </w:p>
  </w:footnote>
  <w:footnote w:id="20">
    <w:p w:rsidR="00CA302A" w:rsidRPr="004862AB" w:rsidRDefault="00CA302A" w:rsidP="00CA302A">
      <w:pPr>
        <w:pStyle w:val="NoSpacing"/>
        <w:rPr>
          <w:sz w:val="20"/>
          <w:szCs w:val="20"/>
        </w:rPr>
      </w:pPr>
      <w:r w:rsidRPr="004862AB">
        <w:rPr>
          <w:rStyle w:val="FootnoteReference"/>
          <w:sz w:val="20"/>
          <w:szCs w:val="20"/>
        </w:rPr>
        <w:footnoteRef/>
      </w:r>
      <w:r w:rsidRPr="004862AB">
        <w:rPr>
          <w:sz w:val="20"/>
          <w:szCs w:val="20"/>
          <w:vertAlign w:val="superscript"/>
        </w:rPr>
        <w:t xml:space="preserve"> </w:t>
      </w:r>
      <w:r w:rsidRPr="004862AB">
        <w:rPr>
          <w:sz w:val="20"/>
          <w:szCs w:val="20"/>
        </w:rPr>
        <w:t>Camden, W. </w:t>
      </w:r>
      <w:r w:rsidRPr="004862AB">
        <w:rPr>
          <w:i/>
          <w:iCs/>
          <w:sz w:val="20"/>
          <w:szCs w:val="20"/>
        </w:rPr>
        <w:t>Britannia</w:t>
      </w:r>
      <w:r w:rsidRPr="004862AB">
        <w:rPr>
          <w:sz w:val="20"/>
          <w:szCs w:val="20"/>
        </w:rPr>
        <w:t>. (</w:t>
      </w:r>
      <w:proofErr w:type="gramStart"/>
      <w:r w:rsidRPr="004862AB">
        <w:rPr>
          <w:sz w:val="20"/>
          <w:szCs w:val="20"/>
        </w:rPr>
        <w:t>London :</w:t>
      </w:r>
      <w:proofErr w:type="gramEnd"/>
      <w:r w:rsidRPr="004862AB">
        <w:rPr>
          <w:sz w:val="20"/>
          <w:szCs w:val="20"/>
        </w:rPr>
        <w:t xml:space="preserve"> printed for John Stockdale by J Nichols, 1586) pp.380.</w:t>
      </w:r>
    </w:p>
  </w:footnote>
  <w:footnote w:id="21">
    <w:p w:rsidR="00CA302A" w:rsidRPr="004862AB" w:rsidRDefault="00CA302A" w:rsidP="00CA302A">
      <w:pPr>
        <w:pStyle w:val="NoSpacing"/>
        <w:rPr>
          <w:sz w:val="20"/>
          <w:szCs w:val="20"/>
        </w:rPr>
      </w:pPr>
      <w:r w:rsidRPr="004862AB">
        <w:rPr>
          <w:rStyle w:val="FootnoteReference"/>
          <w:sz w:val="20"/>
          <w:szCs w:val="20"/>
        </w:rPr>
        <w:footnoteRef/>
      </w:r>
      <w:r w:rsidRPr="004862AB">
        <w:rPr>
          <w:sz w:val="20"/>
          <w:szCs w:val="20"/>
        </w:rPr>
        <w:t xml:space="preserve"> </w:t>
      </w:r>
      <w:proofErr w:type="spellStart"/>
      <w:r w:rsidRPr="004862AB">
        <w:rPr>
          <w:sz w:val="20"/>
          <w:szCs w:val="20"/>
        </w:rPr>
        <w:t>Vallency</w:t>
      </w:r>
      <w:proofErr w:type="spellEnd"/>
      <w:r w:rsidRPr="004862AB">
        <w:rPr>
          <w:sz w:val="20"/>
          <w:szCs w:val="20"/>
        </w:rPr>
        <w:t xml:space="preserve">, C. </w:t>
      </w:r>
      <w:r w:rsidRPr="004862AB">
        <w:rPr>
          <w:i/>
          <w:iCs/>
          <w:sz w:val="20"/>
          <w:szCs w:val="20"/>
        </w:rPr>
        <w:t xml:space="preserve">Collectanea de rebus </w:t>
      </w:r>
      <w:proofErr w:type="spellStart"/>
      <w:r w:rsidRPr="004862AB">
        <w:rPr>
          <w:i/>
          <w:iCs/>
          <w:sz w:val="20"/>
          <w:szCs w:val="20"/>
        </w:rPr>
        <w:t>hibernicus</w:t>
      </w:r>
      <w:proofErr w:type="spellEnd"/>
      <w:r w:rsidRPr="004862AB">
        <w:rPr>
          <w:sz w:val="20"/>
          <w:szCs w:val="20"/>
        </w:rPr>
        <w:t>. (Dublin: L White, 1770) p91.</w:t>
      </w:r>
    </w:p>
  </w:footnote>
  <w:footnote w:id="22">
    <w:p w:rsidR="00B508F6" w:rsidRPr="004862AB" w:rsidRDefault="00B508F6" w:rsidP="009703E9">
      <w:pPr>
        <w:pStyle w:val="NoSpacing"/>
        <w:ind w:left="709" w:hanging="709"/>
        <w:rPr>
          <w:sz w:val="20"/>
          <w:szCs w:val="20"/>
        </w:rPr>
      </w:pPr>
      <w:r w:rsidRPr="004862AB">
        <w:rPr>
          <w:rStyle w:val="FootnoteReference"/>
          <w:sz w:val="20"/>
          <w:szCs w:val="20"/>
        </w:rPr>
        <w:footnoteRef/>
      </w:r>
      <w:r w:rsidRPr="004862AB">
        <w:rPr>
          <w:sz w:val="20"/>
          <w:szCs w:val="20"/>
        </w:rPr>
        <w:t xml:space="preserve"> Cameron, </w:t>
      </w:r>
      <w:r w:rsidRPr="00AC49BD">
        <w:rPr>
          <w:i/>
          <w:iCs/>
          <w:sz w:val="20"/>
          <w:szCs w:val="20"/>
        </w:rPr>
        <w:t>Enchanted Europe: Superstition, Reason and Religion 1250-1750</w:t>
      </w:r>
      <w:r w:rsidR="00AC49BD">
        <w:rPr>
          <w:sz w:val="20"/>
          <w:szCs w:val="20"/>
        </w:rPr>
        <w:t xml:space="preserve">, </w:t>
      </w:r>
      <w:r w:rsidRPr="004862AB">
        <w:rPr>
          <w:sz w:val="20"/>
          <w:szCs w:val="20"/>
        </w:rPr>
        <w:t>pp. 5.</w:t>
      </w:r>
    </w:p>
  </w:footnote>
  <w:footnote w:id="23">
    <w:p w:rsidR="009703E9" w:rsidRPr="004862AB" w:rsidRDefault="009703E9" w:rsidP="009703E9">
      <w:pPr>
        <w:pStyle w:val="NoSpacing"/>
        <w:ind w:left="709" w:hanging="709"/>
        <w:rPr>
          <w:sz w:val="20"/>
          <w:szCs w:val="20"/>
        </w:rPr>
      </w:pPr>
      <w:r w:rsidRPr="004862AB">
        <w:rPr>
          <w:rStyle w:val="FootnoteReference"/>
          <w:sz w:val="20"/>
          <w:szCs w:val="20"/>
        </w:rPr>
        <w:footnoteRef/>
      </w:r>
      <w:r w:rsidRPr="004862AB">
        <w:rPr>
          <w:sz w:val="20"/>
          <w:szCs w:val="20"/>
        </w:rPr>
        <w:t xml:space="preserve"> Jahoda, G. </w:t>
      </w:r>
      <w:r w:rsidRPr="004862AB">
        <w:rPr>
          <w:i/>
          <w:iCs/>
          <w:sz w:val="20"/>
          <w:szCs w:val="20"/>
        </w:rPr>
        <w:t>The psychology of Superstition</w:t>
      </w:r>
      <w:r w:rsidRPr="004862AB">
        <w:rPr>
          <w:sz w:val="20"/>
          <w:szCs w:val="20"/>
        </w:rPr>
        <w:t xml:space="preserve">. (Harmondsworth: Penguin Books, 1971) </w:t>
      </w:r>
    </w:p>
  </w:footnote>
  <w:footnote w:id="24">
    <w:p w:rsidR="004B16EA" w:rsidRPr="004862AB" w:rsidRDefault="004B16EA" w:rsidP="009703E9">
      <w:pPr>
        <w:pStyle w:val="NoSpacing"/>
        <w:ind w:left="709" w:hanging="709"/>
        <w:rPr>
          <w:sz w:val="20"/>
          <w:szCs w:val="20"/>
        </w:rPr>
      </w:pPr>
      <w:r w:rsidRPr="004862AB">
        <w:rPr>
          <w:rStyle w:val="FootnoteReference"/>
          <w:sz w:val="20"/>
          <w:szCs w:val="20"/>
        </w:rPr>
        <w:footnoteRef/>
      </w:r>
      <w:r w:rsidRPr="004862AB">
        <w:rPr>
          <w:sz w:val="20"/>
          <w:szCs w:val="20"/>
        </w:rPr>
        <w:t xml:space="preserve"> Bidney, </w:t>
      </w:r>
      <w:r w:rsidR="00AC49BD" w:rsidRPr="009703E9">
        <w:rPr>
          <w:sz w:val="20"/>
          <w:szCs w:val="20"/>
        </w:rPr>
        <w:t>‘The Concept of Myth and the Problem of Psychocultural Evolution’</w:t>
      </w:r>
      <w:r w:rsidR="00AC49BD">
        <w:rPr>
          <w:sz w:val="20"/>
          <w:szCs w:val="20"/>
        </w:rPr>
        <w:t xml:space="preserve">, </w:t>
      </w:r>
      <w:r w:rsidRPr="004862AB">
        <w:rPr>
          <w:sz w:val="20"/>
          <w:szCs w:val="20"/>
        </w:rPr>
        <w:t>pp. 23.</w:t>
      </w:r>
    </w:p>
  </w:footnote>
  <w:footnote w:id="25">
    <w:p w:rsidR="004B16EA" w:rsidRPr="002475FB" w:rsidRDefault="004B16EA" w:rsidP="009703E9">
      <w:pPr>
        <w:pStyle w:val="NoSpacing"/>
        <w:tabs>
          <w:tab w:val="left" w:pos="709"/>
        </w:tabs>
        <w:ind w:left="709" w:hanging="709"/>
        <w:rPr>
          <w:rFonts w:ascii="Times" w:hAnsi="Times" w:cs="Times"/>
          <w:color w:val="343332"/>
          <w:spacing w:val="-4"/>
          <w:sz w:val="32"/>
          <w:szCs w:val="32"/>
        </w:rPr>
      </w:pPr>
      <w:r w:rsidRPr="004862AB">
        <w:rPr>
          <w:rStyle w:val="FootnoteReference"/>
          <w:sz w:val="20"/>
          <w:szCs w:val="20"/>
        </w:rPr>
        <w:footnoteRef/>
      </w:r>
      <w:r w:rsidRPr="004862AB">
        <w:rPr>
          <w:sz w:val="20"/>
          <w:szCs w:val="20"/>
        </w:rPr>
        <w:t xml:space="preserve"> Bailey, Michael D., </w:t>
      </w:r>
      <w:r w:rsidRPr="004862AB">
        <w:rPr>
          <w:i/>
          <w:iCs/>
          <w:sz w:val="20"/>
          <w:szCs w:val="20"/>
        </w:rPr>
        <w:t>Fearful Spirits, Reasoned Follies: The Boundaries of Superstition in Late Medieval Europe</w:t>
      </w:r>
      <w:r w:rsidRPr="004862AB">
        <w:rPr>
          <w:sz w:val="20"/>
          <w:szCs w:val="20"/>
        </w:rPr>
        <w:t>. (Cornell University Press, 2013), pp.</w:t>
      </w:r>
      <w:r w:rsidR="00B51AFE" w:rsidRPr="004862AB">
        <w:rPr>
          <w:sz w:val="20"/>
          <w:szCs w:val="20"/>
        </w:rPr>
        <w:t>12</w:t>
      </w:r>
      <w:r w:rsidRPr="004B16EA">
        <w:rPr>
          <w:sz w:val="20"/>
          <w:szCs w:val="20"/>
        </w:rPr>
        <w:t>.</w:t>
      </w:r>
    </w:p>
  </w:footnote>
  <w:footnote w:id="26">
    <w:p w:rsidR="002475FB" w:rsidRDefault="002475FB" w:rsidP="00C11DD6">
      <w:pPr>
        <w:pStyle w:val="NoSpacing"/>
        <w:tabs>
          <w:tab w:val="left" w:pos="709"/>
        </w:tabs>
        <w:ind w:left="567" w:hanging="567"/>
      </w:pPr>
      <w:r w:rsidRPr="002475FB">
        <w:rPr>
          <w:rStyle w:val="FootnoteReference"/>
          <w:sz w:val="20"/>
          <w:szCs w:val="20"/>
        </w:rPr>
        <w:footnoteRef/>
      </w:r>
      <w:r w:rsidRPr="002475FB">
        <w:rPr>
          <w:sz w:val="20"/>
          <w:szCs w:val="20"/>
        </w:rPr>
        <w:t xml:space="preserve"> Walsham, Alexandra, ‘The Reformation and </w:t>
      </w:r>
      <w:proofErr w:type="spellStart"/>
      <w:r w:rsidRPr="002475FB">
        <w:rPr>
          <w:sz w:val="20"/>
          <w:szCs w:val="20"/>
        </w:rPr>
        <w:t>‘the</w:t>
      </w:r>
      <w:proofErr w:type="spellEnd"/>
      <w:r w:rsidRPr="002475FB">
        <w:rPr>
          <w:sz w:val="20"/>
          <w:szCs w:val="20"/>
        </w:rPr>
        <w:t xml:space="preserve"> Disenchantment of the World’ Reassessed’, </w:t>
      </w:r>
      <w:r w:rsidRPr="002475FB">
        <w:rPr>
          <w:i/>
          <w:iCs/>
          <w:sz w:val="20"/>
          <w:szCs w:val="20"/>
        </w:rPr>
        <w:t>Historical Journal</w:t>
      </w:r>
      <w:r w:rsidRPr="002475FB">
        <w:rPr>
          <w:sz w:val="20"/>
          <w:szCs w:val="20"/>
        </w:rPr>
        <w:t xml:space="preserve">, 51 (2008), pp. </w:t>
      </w:r>
      <w:r>
        <w:rPr>
          <w:sz w:val="20"/>
          <w:szCs w:val="20"/>
        </w:rPr>
        <w:t>527</w:t>
      </w:r>
      <w:r w:rsidRPr="002475FB">
        <w:rPr>
          <w:sz w:val="20"/>
          <w:szCs w:val="20"/>
        </w:rPr>
        <w:t>.</w:t>
      </w:r>
    </w:p>
  </w:footnote>
  <w:footnote w:id="27">
    <w:p w:rsidR="00C11DD6" w:rsidRDefault="00C11DD6" w:rsidP="00C11DD6">
      <w:pPr>
        <w:pStyle w:val="FootnoteText"/>
        <w:ind w:left="567" w:hanging="567"/>
      </w:pPr>
      <w:r>
        <w:rPr>
          <w:rStyle w:val="FootnoteReference"/>
        </w:rPr>
        <w:footnoteRef/>
      </w:r>
      <w:r>
        <w:t xml:space="preserve"> </w:t>
      </w:r>
      <w:r w:rsidRPr="00947580">
        <w:t xml:space="preserve">Mullen, Patrick B., ‘The Function of Magic Folk Belief among Texas Coastal Fishermen’, </w:t>
      </w:r>
      <w:r w:rsidRPr="00947580">
        <w:rPr>
          <w:i/>
          <w:iCs/>
        </w:rPr>
        <w:t>The Journal of American Folklore</w:t>
      </w:r>
      <w:r w:rsidRPr="00947580">
        <w:t>, Vol. 82, No. 325 (1969), pp. 2</w:t>
      </w:r>
      <w:r>
        <w:t>24</w:t>
      </w:r>
    </w:p>
  </w:footnote>
  <w:footnote w:id="28">
    <w:p w:rsidR="001A1CD6" w:rsidRPr="001A1CD6" w:rsidRDefault="001A1CD6" w:rsidP="00C11DD6">
      <w:pPr>
        <w:pStyle w:val="FootnoteText"/>
        <w:tabs>
          <w:tab w:val="left" w:pos="709"/>
        </w:tabs>
        <w:ind w:left="567" w:hanging="567"/>
      </w:pPr>
      <w:r>
        <w:rPr>
          <w:rStyle w:val="FootnoteReference"/>
        </w:rPr>
        <w:footnoteRef/>
      </w:r>
      <w:r>
        <w:t xml:space="preserve"> Malinowski, Bronislaw, “The Role of Magic and Religion,” </w:t>
      </w:r>
      <w:r>
        <w:rPr>
          <w:i/>
          <w:iCs/>
        </w:rPr>
        <w:t xml:space="preserve">Reader in Comparative Religion: An Anthropological </w:t>
      </w:r>
      <w:r w:rsidR="001D2A3F">
        <w:rPr>
          <w:i/>
          <w:iCs/>
        </w:rPr>
        <w:t>Approach</w:t>
      </w:r>
      <w:r>
        <w:rPr>
          <w:i/>
          <w:iCs/>
        </w:rPr>
        <w:t>, ed William A. Lesa and Evon z Vogt</w:t>
      </w:r>
      <w:r>
        <w:t xml:space="preserve"> (New York, 1965), pp.105.</w:t>
      </w:r>
    </w:p>
  </w:footnote>
  <w:footnote w:id="29">
    <w:p w:rsidR="001D2A3F" w:rsidRPr="001D2A3F" w:rsidRDefault="001D2A3F" w:rsidP="004862AB">
      <w:pPr>
        <w:pStyle w:val="FootnoteText"/>
        <w:ind w:left="567" w:hanging="567"/>
      </w:pPr>
      <w:r>
        <w:rPr>
          <w:rStyle w:val="FootnoteReference"/>
        </w:rPr>
        <w:footnoteRef/>
      </w:r>
      <w:r>
        <w:t xml:space="preserve"> Siegel, Bernard J., “Magic and Witchcraft: An Interpretation from Dissonance Theory,” </w:t>
      </w:r>
      <w:r>
        <w:rPr>
          <w:i/>
          <w:iCs/>
        </w:rPr>
        <w:t xml:space="preserve">Southwestern Journal of Anthropology, </w:t>
      </w:r>
      <w:r>
        <w:t>15 (1959), pp. 144.</w:t>
      </w:r>
    </w:p>
  </w:footnote>
  <w:footnote w:id="30">
    <w:p w:rsidR="00947580" w:rsidRPr="007A2F29" w:rsidRDefault="00947580" w:rsidP="00947580">
      <w:pPr>
        <w:pStyle w:val="NoSpacing"/>
        <w:ind w:left="567" w:hanging="567"/>
        <w:rPr>
          <w:sz w:val="20"/>
          <w:szCs w:val="20"/>
        </w:rPr>
      </w:pPr>
      <w:r w:rsidRPr="00947580">
        <w:rPr>
          <w:rStyle w:val="FootnoteReference"/>
          <w:sz w:val="20"/>
          <w:szCs w:val="20"/>
        </w:rPr>
        <w:footnoteRef/>
      </w:r>
      <w:r w:rsidRPr="00947580">
        <w:rPr>
          <w:sz w:val="20"/>
          <w:szCs w:val="20"/>
        </w:rPr>
        <w:t xml:space="preserve"> Mullen, ‘The Function of Magic Folk Belief among Texas Coastal Fishermen’</w:t>
      </w:r>
      <w:r w:rsidR="00AC49BD">
        <w:rPr>
          <w:sz w:val="20"/>
          <w:szCs w:val="20"/>
        </w:rPr>
        <w:t xml:space="preserve">, </w:t>
      </w:r>
      <w:r w:rsidRPr="00947580">
        <w:rPr>
          <w:sz w:val="20"/>
          <w:szCs w:val="20"/>
        </w:rPr>
        <w:t>pp. 2</w:t>
      </w:r>
      <w:r w:rsidRPr="007A2F29">
        <w:rPr>
          <w:sz w:val="20"/>
          <w:szCs w:val="20"/>
        </w:rPr>
        <w:t>17</w:t>
      </w:r>
    </w:p>
  </w:footnote>
  <w:footnote w:id="31">
    <w:p w:rsidR="004302C0" w:rsidRPr="004862AB" w:rsidRDefault="004302C0">
      <w:pPr>
        <w:pStyle w:val="FootnoteText"/>
      </w:pPr>
      <w:r>
        <w:rPr>
          <w:rStyle w:val="FootnoteReference"/>
        </w:rPr>
        <w:footnoteRef/>
      </w:r>
      <w:r>
        <w:t xml:space="preserve"> </w:t>
      </w:r>
      <w:r w:rsidRPr="004862AB">
        <w:t xml:space="preserve">Jahoda, G. </w:t>
      </w:r>
      <w:r w:rsidRPr="004862AB">
        <w:rPr>
          <w:i/>
          <w:iCs/>
        </w:rPr>
        <w:t>The psychology of Superstition</w:t>
      </w:r>
      <w:r w:rsidRPr="004862AB">
        <w:t>.</w:t>
      </w:r>
    </w:p>
  </w:footnote>
  <w:footnote w:id="32">
    <w:p w:rsidR="007A2F29" w:rsidRPr="004862AB" w:rsidRDefault="007A2F29" w:rsidP="004862AB">
      <w:pPr>
        <w:pStyle w:val="NoSpacing"/>
        <w:ind w:left="709" w:hanging="709"/>
        <w:rPr>
          <w:sz w:val="20"/>
          <w:szCs w:val="20"/>
        </w:rPr>
      </w:pPr>
      <w:r w:rsidRPr="004862AB">
        <w:rPr>
          <w:rStyle w:val="FootnoteReference"/>
          <w:sz w:val="20"/>
          <w:szCs w:val="20"/>
        </w:rPr>
        <w:footnoteRef/>
      </w:r>
      <w:r w:rsidRPr="004862AB">
        <w:rPr>
          <w:sz w:val="20"/>
          <w:szCs w:val="20"/>
        </w:rPr>
        <w:t xml:space="preserve"> Bidney, ‘The Concept of Myth and the Problem of Psychocultural Evolution’, pp. 23</w:t>
      </w:r>
    </w:p>
  </w:footnote>
  <w:footnote w:id="33">
    <w:p w:rsidR="004862AB" w:rsidRPr="004862AB" w:rsidRDefault="004862AB" w:rsidP="004862AB">
      <w:pPr>
        <w:pStyle w:val="NoSpacing"/>
        <w:ind w:left="709" w:hanging="709"/>
        <w:rPr>
          <w:sz w:val="20"/>
          <w:szCs w:val="20"/>
        </w:rPr>
      </w:pPr>
      <w:r w:rsidRPr="004862AB">
        <w:rPr>
          <w:rStyle w:val="FootnoteReference"/>
          <w:sz w:val="20"/>
          <w:szCs w:val="20"/>
        </w:rPr>
        <w:footnoteRef/>
      </w:r>
      <w:r w:rsidRPr="004862AB">
        <w:rPr>
          <w:sz w:val="20"/>
          <w:szCs w:val="20"/>
        </w:rPr>
        <w:t xml:space="preserve"> </w:t>
      </w:r>
      <w:r w:rsidRPr="004862AB">
        <w:rPr>
          <w:sz w:val="20"/>
          <w:szCs w:val="20"/>
        </w:rPr>
        <w:t>Campbell, J</w:t>
      </w:r>
      <w:r w:rsidRPr="004862AB">
        <w:rPr>
          <w:sz w:val="20"/>
          <w:szCs w:val="20"/>
        </w:rPr>
        <w:t>oseph.</w:t>
      </w:r>
      <w:r w:rsidRPr="004862AB">
        <w:rPr>
          <w:sz w:val="20"/>
          <w:szCs w:val="20"/>
        </w:rPr>
        <w:t xml:space="preserve"> </w:t>
      </w:r>
      <w:r w:rsidRPr="004862AB">
        <w:rPr>
          <w:i/>
          <w:iCs/>
          <w:sz w:val="20"/>
          <w:szCs w:val="20"/>
        </w:rPr>
        <w:t>Occidental mythology.</w:t>
      </w:r>
      <w:r w:rsidRPr="004862AB">
        <w:rPr>
          <w:sz w:val="20"/>
          <w:szCs w:val="20"/>
        </w:rPr>
        <w:t xml:space="preserve"> </w:t>
      </w:r>
      <w:r w:rsidRPr="004862AB">
        <w:rPr>
          <w:sz w:val="20"/>
          <w:szCs w:val="20"/>
        </w:rPr>
        <w:t>(</w:t>
      </w:r>
      <w:r w:rsidRPr="004862AB">
        <w:rPr>
          <w:sz w:val="20"/>
          <w:szCs w:val="20"/>
        </w:rPr>
        <w:t>Harmondsworth: Penguin Book</w:t>
      </w:r>
      <w:r w:rsidRPr="004862AB">
        <w:rPr>
          <w:sz w:val="20"/>
          <w:szCs w:val="20"/>
        </w:rPr>
        <w:t>, 1991)</w:t>
      </w:r>
      <w:r>
        <w:rPr>
          <w:sz w:val="20"/>
          <w:szCs w:val="20"/>
        </w:rPr>
        <w:t>, pp. 4-6.</w:t>
      </w:r>
    </w:p>
  </w:footnote>
  <w:footnote w:id="34">
    <w:p w:rsidR="00006FE3" w:rsidRPr="004862AB" w:rsidRDefault="00006FE3" w:rsidP="004862AB">
      <w:pPr>
        <w:pStyle w:val="NoSpacing"/>
        <w:ind w:left="709" w:hanging="709"/>
        <w:rPr>
          <w:sz w:val="20"/>
          <w:szCs w:val="20"/>
        </w:rPr>
      </w:pPr>
      <w:r w:rsidRPr="004862AB">
        <w:rPr>
          <w:rStyle w:val="FootnoteReference"/>
          <w:sz w:val="20"/>
          <w:szCs w:val="20"/>
        </w:rPr>
        <w:footnoteRef/>
      </w:r>
      <w:r w:rsidRPr="004862AB">
        <w:rPr>
          <w:sz w:val="20"/>
          <w:szCs w:val="20"/>
        </w:rPr>
        <w:t xml:space="preserve"> US Department of Commerce, N.O. and A.A. (n.d.). Tides and Water Levels, Tidal Variations - The Influence of Position and Distance, NOS Education Offering. [online] oceanservice.noaa.gov. Available at: https://oceanservice.noaa.gov/education/tutorial_tides/tides06_variations.html.</w:t>
      </w:r>
    </w:p>
  </w:footnote>
  <w:footnote w:id="35">
    <w:p w:rsidR="0028729A" w:rsidRPr="00B70F74" w:rsidRDefault="0028729A" w:rsidP="0028729A">
      <w:pPr>
        <w:pStyle w:val="NoSpacing"/>
        <w:ind w:left="567" w:hanging="567"/>
        <w:rPr>
          <w:sz w:val="20"/>
          <w:szCs w:val="20"/>
        </w:rPr>
      </w:pPr>
      <w:r w:rsidRPr="00B70F74">
        <w:rPr>
          <w:rStyle w:val="FootnoteReference"/>
          <w:sz w:val="20"/>
          <w:szCs w:val="20"/>
        </w:rPr>
        <w:footnoteRef/>
      </w:r>
      <w:r w:rsidRPr="00B70F74">
        <w:rPr>
          <w:sz w:val="20"/>
          <w:szCs w:val="20"/>
        </w:rPr>
        <w:t xml:space="preserve"> Hull, Eleanor, Legends and Traditions of the Cailleach </w:t>
      </w:r>
      <w:proofErr w:type="spellStart"/>
      <w:r w:rsidRPr="00B70F74">
        <w:rPr>
          <w:sz w:val="20"/>
          <w:szCs w:val="20"/>
        </w:rPr>
        <w:t>Bheara</w:t>
      </w:r>
      <w:proofErr w:type="spellEnd"/>
      <w:r w:rsidRPr="00B70F74">
        <w:rPr>
          <w:sz w:val="20"/>
          <w:szCs w:val="20"/>
        </w:rPr>
        <w:t xml:space="preserve"> or Old Woman (Hag) of Beare, </w:t>
      </w:r>
      <w:r w:rsidRPr="00B70F74">
        <w:rPr>
          <w:i/>
          <w:iCs/>
          <w:sz w:val="20"/>
          <w:szCs w:val="20"/>
        </w:rPr>
        <w:t>Folklore</w:t>
      </w:r>
      <w:r w:rsidRPr="00B70F74">
        <w:rPr>
          <w:sz w:val="20"/>
          <w:szCs w:val="20"/>
        </w:rPr>
        <w:t>, Vol. 38, No. 3 (1927), pp. 244</w:t>
      </w:r>
    </w:p>
  </w:footnote>
  <w:footnote w:id="36">
    <w:p w:rsidR="0028729A" w:rsidRPr="00B70F74" w:rsidRDefault="0028729A">
      <w:pPr>
        <w:pStyle w:val="FootnoteText"/>
      </w:pPr>
      <w:r w:rsidRPr="00B70F74">
        <w:rPr>
          <w:rStyle w:val="FootnoteReference"/>
        </w:rPr>
        <w:footnoteRef/>
      </w:r>
      <w:r w:rsidRPr="00B70F74">
        <w:t xml:space="preserve"> Ibid, pp.227</w:t>
      </w:r>
    </w:p>
  </w:footnote>
  <w:footnote w:id="37">
    <w:p w:rsidR="006859B6" w:rsidRDefault="006859B6">
      <w:pPr>
        <w:pStyle w:val="FootnoteText"/>
      </w:pPr>
      <w:r>
        <w:rPr>
          <w:rStyle w:val="FootnoteReference"/>
        </w:rPr>
        <w:footnoteRef/>
      </w:r>
      <w:r>
        <w:t xml:space="preserve"> Ibid pp.236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B265D5"/>
    <w:multiLevelType w:val="hybridMultilevel"/>
    <w:tmpl w:val="3874319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CF607C"/>
    <w:multiLevelType w:val="hybridMultilevel"/>
    <w:tmpl w:val="616E0C9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3624FC"/>
    <w:multiLevelType w:val="hybridMultilevel"/>
    <w:tmpl w:val="1C7E8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901073">
    <w:abstractNumId w:val="2"/>
  </w:num>
  <w:num w:numId="2" w16cid:durableId="1564415104">
    <w:abstractNumId w:val="1"/>
  </w:num>
  <w:num w:numId="3" w16cid:durableId="507794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9AB"/>
    <w:rsid w:val="00006FE3"/>
    <w:rsid w:val="000352C9"/>
    <w:rsid w:val="00063602"/>
    <w:rsid w:val="00066253"/>
    <w:rsid w:val="0007533A"/>
    <w:rsid w:val="000A239A"/>
    <w:rsid w:val="000B6D2A"/>
    <w:rsid w:val="00137AD8"/>
    <w:rsid w:val="001462F5"/>
    <w:rsid w:val="00174856"/>
    <w:rsid w:val="001A1CD6"/>
    <w:rsid w:val="001D2A3F"/>
    <w:rsid w:val="001E4C90"/>
    <w:rsid w:val="00215C23"/>
    <w:rsid w:val="00233E1E"/>
    <w:rsid w:val="002475FB"/>
    <w:rsid w:val="0028729A"/>
    <w:rsid w:val="002A691A"/>
    <w:rsid w:val="00306A60"/>
    <w:rsid w:val="0031493E"/>
    <w:rsid w:val="003249AB"/>
    <w:rsid w:val="003372C0"/>
    <w:rsid w:val="003D0787"/>
    <w:rsid w:val="003F1BE0"/>
    <w:rsid w:val="00410FC5"/>
    <w:rsid w:val="004302C0"/>
    <w:rsid w:val="00447F2C"/>
    <w:rsid w:val="004862AB"/>
    <w:rsid w:val="004A3A28"/>
    <w:rsid w:val="004B0F90"/>
    <w:rsid w:val="004B16EA"/>
    <w:rsid w:val="004D67E7"/>
    <w:rsid w:val="00514603"/>
    <w:rsid w:val="005A00EF"/>
    <w:rsid w:val="005A490B"/>
    <w:rsid w:val="005A7F68"/>
    <w:rsid w:val="005D101F"/>
    <w:rsid w:val="0061204C"/>
    <w:rsid w:val="00644300"/>
    <w:rsid w:val="00673648"/>
    <w:rsid w:val="0068150C"/>
    <w:rsid w:val="006859B6"/>
    <w:rsid w:val="00686F23"/>
    <w:rsid w:val="00690B6C"/>
    <w:rsid w:val="007A0640"/>
    <w:rsid w:val="007A2F29"/>
    <w:rsid w:val="007A77A4"/>
    <w:rsid w:val="008122EB"/>
    <w:rsid w:val="00852F38"/>
    <w:rsid w:val="008660AF"/>
    <w:rsid w:val="00896CA7"/>
    <w:rsid w:val="008B2524"/>
    <w:rsid w:val="008C2F74"/>
    <w:rsid w:val="008F5591"/>
    <w:rsid w:val="00923FC5"/>
    <w:rsid w:val="00926CB0"/>
    <w:rsid w:val="00947580"/>
    <w:rsid w:val="00957C3D"/>
    <w:rsid w:val="009703E9"/>
    <w:rsid w:val="009B2626"/>
    <w:rsid w:val="009B4762"/>
    <w:rsid w:val="009D541F"/>
    <w:rsid w:val="00A134B3"/>
    <w:rsid w:val="00AA645B"/>
    <w:rsid w:val="00AC49BD"/>
    <w:rsid w:val="00B07910"/>
    <w:rsid w:val="00B11A36"/>
    <w:rsid w:val="00B30A22"/>
    <w:rsid w:val="00B34762"/>
    <w:rsid w:val="00B508F6"/>
    <w:rsid w:val="00B51AFE"/>
    <w:rsid w:val="00B70F74"/>
    <w:rsid w:val="00B74569"/>
    <w:rsid w:val="00B9184F"/>
    <w:rsid w:val="00BA4464"/>
    <w:rsid w:val="00C0154B"/>
    <w:rsid w:val="00C0271C"/>
    <w:rsid w:val="00C11DD6"/>
    <w:rsid w:val="00C87315"/>
    <w:rsid w:val="00C94F3B"/>
    <w:rsid w:val="00CA302A"/>
    <w:rsid w:val="00D0218B"/>
    <w:rsid w:val="00D23F2F"/>
    <w:rsid w:val="00D75093"/>
    <w:rsid w:val="00D778EB"/>
    <w:rsid w:val="00D9237E"/>
    <w:rsid w:val="00E35F7E"/>
    <w:rsid w:val="00E4138A"/>
    <w:rsid w:val="00E55538"/>
    <w:rsid w:val="00E70746"/>
    <w:rsid w:val="00E74822"/>
    <w:rsid w:val="00EE4222"/>
    <w:rsid w:val="00F12B96"/>
    <w:rsid w:val="00F40256"/>
    <w:rsid w:val="00F65880"/>
    <w:rsid w:val="00F80D17"/>
    <w:rsid w:val="00FA7F15"/>
    <w:rsid w:val="00FC2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FF3C1"/>
  <w15:chartTrackingRefBased/>
  <w15:docId w15:val="{AD0454B1-E823-479A-9907-7FEEBA5C9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748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F12B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9AB"/>
    <w:pPr>
      <w:ind w:left="720"/>
      <w:contextualSpacing/>
    </w:pPr>
  </w:style>
  <w:style w:type="character" w:styleId="Hyperlink">
    <w:name w:val="Hyperlink"/>
    <w:basedOn w:val="DefaultParagraphFont"/>
    <w:uiPriority w:val="99"/>
    <w:semiHidden/>
    <w:unhideWhenUsed/>
    <w:rsid w:val="00690B6C"/>
    <w:rPr>
      <w:color w:val="0000FF"/>
      <w:u w:val="single"/>
    </w:rPr>
  </w:style>
  <w:style w:type="paragraph" w:styleId="NoSpacing">
    <w:name w:val="No Spacing"/>
    <w:uiPriority w:val="1"/>
    <w:qFormat/>
    <w:rsid w:val="00690B6C"/>
    <w:pPr>
      <w:spacing w:after="0" w:line="240" w:lineRule="auto"/>
    </w:pPr>
  </w:style>
  <w:style w:type="character" w:customStyle="1" w:styleId="Heading1Char">
    <w:name w:val="Heading 1 Char"/>
    <w:basedOn w:val="DefaultParagraphFont"/>
    <w:link w:val="Heading1"/>
    <w:uiPriority w:val="9"/>
    <w:rsid w:val="00E74822"/>
    <w:rPr>
      <w:rFonts w:ascii="Times New Roman" w:eastAsia="Times New Roman" w:hAnsi="Times New Roman" w:cs="Times New Roman"/>
      <w:b/>
      <w:bCs/>
      <w:kern w:val="36"/>
      <w:sz w:val="48"/>
      <w:szCs w:val="48"/>
      <w:lang w:eastAsia="en-GB"/>
    </w:rPr>
  </w:style>
  <w:style w:type="character" w:customStyle="1" w:styleId="truncatedauthor">
    <w:name w:val="truncatedauthor"/>
    <w:basedOn w:val="DefaultParagraphFont"/>
    <w:rsid w:val="0031493E"/>
  </w:style>
  <w:style w:type="character" w:customStyle="1" w:styleId="jnlarticle">
    <w:name w:val="jnlarticle"/>
    <w:basedOn w:val="DefaultParagraphFont"/>
    <w:rsid w:val="0031493E"/>
  </w:style>
  <w:style w:type="character" w:styleId="Strong">
    <w:name w:val="Strong"/>
    <w:basedOn w:val="DefaultParagraphFont"/>
    <w:uiPriority w:val="22"/>
    <w:qFormat/>
    <w:rsid w:val="0031493E"/>
    <w:rPr>
      <w:b/>
      <w:bCs/>
    </w:rPr>
  </w:style>
  <w:style w:type="paragraph" w:styleId="FootnoteText">
    <w:name w:val="footnote text"/>
    <w:basedOn w:val="Normal"/>
    <w:link w:val="FootnoteTextChar"/>
    <w:uiPriority w:val="99"/>
    <w:semiHidden/>
    <w:unhideWhenUsed/>
    <w:rsid w:val="009B262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2626"/>
    <w:rPr>
      <w:sz w:val="20"/>
      <w:szCs w:val="20"/>
    </w:rPr>
  </w:style>
  <w:style w:type="character" w:styleId="FootnoteReference">
    <w:name w:val="footnote reference"/>
    <w:basedOn w:val="DefaultParagraphFont"/>
    <w:uiPriority w:val="99"/>
    <w:semiHidden/>
    <w:unhideWhenUsed/>
    <w:rsid w:val="009B2626"/>
    <w:rPr>
      <w:vertAlign w:val="superscript"/>
    </w:rPr>
  </w:style>
  <w:style w:type="character" w:customStyle="1" w:styleId="html-attribute">
    <w:name w:val="html-attribute"/>
    <w:basedOn w:val="DefaultParagraphFont"/>
    <w:rsid w:val="0068150C"/>
  </w:style>
  <w:style w:type="character" w:customStyle="1" w:styleId="html-attribute-value">
    <w:name w:val="html-attribute-value"/>
    <w:basedOn w:val="DefaultParagraphFont"/>
    <w:rsid w:val="0068150C"/>
  </w:style>
  <w:style w:type="character" w:customStyle="1" w:styleId="html-attribute-name">
    <w:name w:val="html-attribute-name"/>
    <w:basedOn w:val="DefaultParagraphFont"/>
    <w:rsid w:val="0068150C"/>
  </w:style>
  <w:style w:type="paragraph" w:styleId="NormalWeb">
    <w:name w:val="Normal (Web)"/>
    <w:basedOn w:val="Normal"/>
    <w:uiPriority w:val="99"/>
    <w:unhideWhenUsed/>
    <w:qFormat/>
    <w:rsid w:val="009703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F12B9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8254">
      <w:bodyDiv w:val="1"/>
      <w:marLeft w:val="0"/>
      <w:marRight w:val="0"/>
      <w:marTop w:val="0"/>
      <w:marBottom w:val="0"/>
      <w:divBdr>
        <w:top w:val="none" w:sz="0" w:space="0" w:color="auto"/>
        <w:left w:val="none" w:sz="0" w:space="0" w:color="auto"/>
        <w:bottom w:val="none" w:sz="0" w:space="0" w:color="auto"/>
        <w:right w:val="none" w:sz="0" w:space="0" w:color="auto"/>
      </w:divBdr>
      <w:divsChild>
        <w:div w:id="1612323969">
          <w:marLeft w:val="0"/>
          <w:marRight w:val="0"/>
          <w:marTop w:val="0"/>
          <w:marBottom w:val="0"/>
          <w:divBdr>
            <w:top w:val="none" w:sz="0" w:space="0" w:color="auto"/>
            <w:left w:val="none" w:sz="0" w:space="0" w:color="auto"/>
            <w:bottom w:val="none" w:sz="0" w:space="0" w:color="auto"/>
            <w:right w:val="none" w:sz="0" w:space="0" w:color="auto"/>
          </w:divBdr>
        </w:div>
      </w:divsChild>
    </w:div>
    <w:div w:id="186408018">
      <w:bodyDiv w:val="1"/>
      <w:marLeft w:val="0"/>
      <w:marRight w:val="0"/>
      <w:marTop w:val="0"/>
      <w:marBottom w:val="0"/>
      <w:divBdr>
        <w:top w:val="none" w:sz="0" w:space="0" w:color="auto"/>
        <w:left w:val="none" w:sz="0" w:space="0" w:color="auto"/>
        <w:bottom w:val="none" w:sz="0" w:space="0" w:color="auto"/>
        <w:right w:val="none" w:sz="0" w:space="0" w:color="auto"/>
      </w:divBdr>
    </w:div>
    <w:div w:id="438648099">
      <w:bodyDiv w:val="1"/>
      <w:marLeft w:val="0"/>
      <w:marRight w:val="0"/>
      <w:marTop w:val="0"/>
      <w:marBottom w:val="0"/>
      <w:divBdr>
        <w:top w:val="none" w:sz="0" w:space="0" w:color="auto"/>
        <w:left w:val="none" w:sz="0" w:space="0" w:color="auto"/>
        <w:bottom w:val="none" w:sz="0" w:space="0" w:color="auto"/>
        <w:right w:val="none" w:sz="0" w:space="0" w:color="auto"/>
      </w:divBdr>
    </w:div>
    <w:div w:id="1831552651">
      <w:bodyDiv w:val="1"/>
      <w:marLeft w:val="0"/>
      <w:marRight w:val="0"/>
      <w:marTop w:val="0"/>
      <w:marBottom w:val="0"/>
      <w:divBdr>
        <w:top w:val="none" w:sz="0" w:space="0" w:color="auto"/>
        <w:left w:val="none" w:sz="0" w:space="0" w:color="auto"/>
        <w:bottom w:val="none" w:sz="0" w:space="0" w:color="auto"/>
        <w:right w:val="none" w:sz="0" w:space="0" w:color="auto"/>
      </w:divBdr>
    </w:div>
    <w:div w:id="1834174533">
      <w:bodyDiv w:val="1"/>
      <w:marLeft w:val="0"/>
      <w:marRight w:val="0"/>
      <w:marTop w:val="0"/>
      <w:marBottom w:val="0"/>
      <w:divBdr>
        <w:top w:val="none" w:sz="0" w:space="0" w:color="auto"/>
        <w:left w:val="none" w:sz="0" w:space="0" w:color="auto"/>
        <w:bottom w:val="none" w:sz="0" w:space="0" w:color="auto"/>
        <w:right w:val="none" w:sz="0" w:space="0" w:color="auto"/>
      </w:divBdr>
      <w:divsChild>
        <w:div w:id="1043482409">
          <w:marLeft w:val="0"/>
          <w:marRight w:val="0"/>
          <w:marTop w:val="0"/>
          <w:marBottom w:val="0"/>
          <w:divBdr>
            <w:top w:val="none" w:sz="0" w:space="0" w:color="auto"/>
            <w:left w:val="none" w:sz="0" w:space="0" w:color="auto"/>
            <w:bottom w:val="none" w:sz="0" w:space="0" w:color="auto"/>
            <w:right w:val="none" w:sz="0" w:space="0" w:color="auto"/>
          </w:divBdr>
        </w:div>
        <w:div w:id="2115436550">
          <w:marLeft w:val="0"/>
          <w:marRight w:val="0"/>
          <w:marTop w:val="0"/>
          <w:marBottom w:val="0"/>
          <w:divBdr>
            <w:top w:val="none" w:sz="0" w:space="0" w:color="auto"/>
            <w:left w:val="none" w:sz="0" w:space="0" w:color="auto"/>
            <w:bottom w:val="none" w:sz="0" w:space="0" w:color="auto"/>
            <w:right w:val="none" w:sz="0" w:space="0" w:color="auto"/>
          </w:divBdr>
        </w:div>
      </w:divsChild>
    </w:div>
    <w:div w:id="1862402259">
      <w:bodyDiv w:val="1"/>
      <w:marLeft w:val="0"/>
      <w:marRight w:val="0"/>
      <w:marTop w:val="0"/>
      <w:marBottom w:val="0"/>
      <w:divBdr>
        <w:top w:val="none" w:sz="0" w:space="0" w:color="auto"/>
        <w:left w:val="none" w:sz="0" w:space="0" w:color="auto"/>
        <w:bottom w:val="none" w:sz="0" w:space="0" w:color="auto"/>
        <w:right w:val="none" w:sz="0" w:space="0" w:color="auto"/>
      </w:divBdr>
    </w:div>
    <w:div w:id="1907106400">
      <w:bodyDiv w:val="1"/>
      <w:marLeft w:val="0"/>
      <w:marRight w:val="0"/>
      <w:marTop w:val="0"/>
      <w:marBottom w:val="0"/>
      <w:divBdr>
        <w:top w:val="none" w:sz="0" w:space="0" w:color="auto"/>
        <w:left w:val="none" w:sz="0" w:space="0" w:color="auto"/>
        <w:bottom w:val="none" w:sz="0" w:space="0" w:color="auto"/>
        <w:right w:val="none" w:sz="0" w:space="0" w:color="auto"/>
      </w:divBdr>
    </w:div>
    <w:div w:id="2054888998">
      <w:bodyDiv w:val="1"/>
      <w:marLeft w:val="0"/>
      <w:marRight w:val="0"/>
      <w:marTop w:val="0"/>
      <w:marBottom w:val="0"/>
      <w:divBdr>
        <w:top w:val="none" w:sz="0" w:space="0" w:color="auto"/>
        <w:left w:val="none" w:sz="0" w:space="0" w:color="auto"/>
        <w:bottom w:val="none" w:sz="0" w:space="0" w:color="auto"/>
        <w:right w:val="none" w:sz="0" w:space="0" w:color="auto"/>
      </w:divBdr>
      <w:divsChild>
        <w:div w:id="755711414">
          <w:marLeft w:val="0"/>
          <w:marRight w:val="0"/>
          <w:marTop w:val="0"/>
          <w:marBottom w:val="0"/>
          <w:divBdr>
            <w:top w:val="none" w:sz="0" w:space="0" w:color="auto"/>
            <w:left w:val="none" w:sz="0" w:space="0" w:color="auto"/>
            <w:bottom w:val="none" w:sz="0" w:space="0" w:color="auto"/>
            <w:right w:val="none" w:sz="0" w:space="0" w:color="auto"/>
          </w:divBdr>
        </w:div>
      </w:divsChild>
    </w:div>
    <w:div w:id="213798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quest.com/indexingvolumeissuelinkhandler/36277/The+Journal+of+General+Psychology/02003Y10Y01$23Oct+2003$3b++Vol.+130+$284$29/130/4?accountid=130472" TargetMode="External"/><Relationship Id="rId18" Type="http://schemas.openxmlformats.org/officeDocument/2006/relationships/hyperlink" Target="https://www.duchas.ie/en/ppl/cbes/mrs-hugh-mc-sharr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duchas.ie/en/ppl/cbes/se%C3%A1n-%C3%B3-coistealbha" TargetMode="External"/><Relationship Id="rId7" Type="http://schemas.openxmlformats.org/officeDocument/2006/relationships/endnotes" Target="endnotes.xml"/><Relationship Id="rId12" Type="http://schemas.openxmlformats.org/officeDocument/2006/relationships/hyperlink" Target="https://www.proquest.com/pubidlinkhandler/sng/pubtitle/The+Journal+of+General+Psychology/$N/36277/PagePdf/213651887/fulltextPDF/CD490370D24046F9PQ/1?accountid=130472" TargetMode="External"/><Relationship Id="rId17" Type="http://schemas.openxmlformats.org/officeDocument/2006/relationships/hyperlink" Target="https://www.logainm.ie/en/1417304" TargetMode="External"/><Relationship Id="rId25" Type="http://schemas.openxmlformats.org/officeDocument/2006/relationships/hyperlink" Target="https://www.duchas.ie/en/cbes/5044690/5032430/5145441" TargetMode="External"/><Relationship Id="rId2" Type="http://schemas.openxmlformats.org/officeDocument/2006/relationships/numbering" Target="numbering.xml"/><Relationship Id="rId16" Type="http://schemas.openxmlformats.org/officeDocument/2006/relationships/hyperlink" Target="https://www.duchas.ie/en/ppl/cbes/margaret-kearns" TargetMode="External"/><Relationship Id="rId20" Type="http://schemas.openxmlformats.org/officeDocument/2006/relationships/hyperlink" Target="https://www.duchas.ie/en/ppl/cbes/maureen-mc-shar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ve.org/search.php?query=creator%3A%22Ritson%2C+Joseph%2C+1752-1803%22" TargetMode="External"/><Relationship Id="rId24" Type="http://schemas.openxmlformats.org/officeDocument/2006/relationships/hyperlink" Target="https://www.logainm.ie/en/31970" TargetMode="External"/><Relationship Id="rId5" Type="http://schemas.openxmlformats.org/officeDocument/2006/relationships/webSettings" Target="webSettings.xml"/><Relationship Id="rId15" Type="http://schemas.openxmlformats.org/officeDocument/2006/relationships/hyperlink" Target="https://www.logainm.ie/en/1417304" TargetMode="External"/><Relationship Id="rId23" Type="http://schemas.openxmlformats.org/officeDocument/2006/relationships/hyperlink" Target="https://www.duchas.ie/en/ppl/cbes/c%C3%A1ith-n%C3%AD-cathasaigh" TargetMode="External"/><Relationship Id="rId10" Type="http://schemas.openxmlformats.org/officeDocument/2006/relationships/hyperlink" Target="https://www.jstor.org/stable/i253655" TargetMode="External"/><Relationship Id="rId19" Type="http://schemas.openxmlformats.org/officeDocument/2006/relationships/hyperlink" Target="https://www.logainm.ie/en/29636" TargetMode="External"/><Relationship Id="rId4" Type="http://schemas.openxmlformats.org/officeDocument/2006/relationships/settings" Target="settings.xml"/><Relationship Id="rId9" Type="http://schemas.openxmlformats.org/officeDocument/2006/relationships/hyperlink" Target="https://www.jstor.org/stable/i227342" TargetMode="External"/><Relationship Id="rId14" Type="http://schemas.openxmlformats.org/officeDocument/2006/relationships/hyperlink" Target="https://www.duchas.ie/en/ppl/cbes/mrs-kearns" TargetMode="External"/><Relationship Id="rId22" Type="http://schemas.openxmlformats.org/officeDocument/2006/relationships/hyperlink" Target="https://www.logainm.ie/en/31977"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duchas.ie/en/ppl/cbes/mrs-hugh-mc-sharry" TargetMode="External"/><Relationship Id="rId13" Type="http://schemas.openxmlformats.org/officeDocument/2006/relationships/hyperlink" Target="https://www.logainm.ie/en/31977" TargetMode="External"/><Relationship Id="rId3" Type="http://schemas.openxmlformats.org/officeDocument/2006/relationships/hyperlink" Target="https://www.duchas.ie/en/ppl/cbes/mrs-hugh-mc-sharry" TargetMode="External"/><Relationship Id="rId7" Type="http://schemas.openxmlformats.org/officeDocument/2006/relationships/hyperlink" Target="https://www.duchas.ie/en/cbes/5044690/5032430/5145441" TargetMode="External"/><Relationship Id="rId12" Type="http://schemas.openxmlformats.org/officeDocument/2006/relationships/hyperlink" Target="https://www.duchas.ie/en/ppl/cbes/se%C3%A1n-%C3%B3-coistealbha" TargetMode="External"/><Relationship Id="rId2" Type="http://schemas.openxmlformats.org/officeDocument/2006/relationships/hyperlink" Target="https://archive.org/search.php?query=creator%3A%22Ritson%2C+Joseph%2C+1752-1803%22" TargetMode="External"/><Relationship Id="rId1" Type="http://schemas.openxmlformats.org/officeDocument/2006/relationships/hyperlink" Target="https://www.jstor.org/stable/i227342" TargetMode="External"/><Relationship Id="rId6" Type="http://schemas.openxmlformats.org/officeDocument/2006/relationships/hyperlink" Target="https://www.logainm.ie/en/1417304" TargetMode="External"/><Relationship Id="rId11" Type="http://schemas.openxmlformats.org/officeDocument/2006/relationships/hyperlink" Target="https://www.logainm.ie/en/31970" TargetMode="External"/><Relationship Id="rId5" Type="http://schemas.openxmlformats.org/officeDocument/2006/relationships/hyperlink" Target="https://www.duchas.ie/en/ppl/cbes/mrs-kearns" TargetMode="External"/><Relationship Id="rId10" Type="http://schemas.openxmlformats.org/officeDocument/2006/relationships/hyperlink" Target="https://www.duchas.ie/en/ppl/cbes/c%C3%A1ith-n%C3%AD-cathasaigh" TargetMode="External"/><Relationship Id="rId4" Type="http://schemas.openxmlformats.org/officeDocument/2006/relationships/hyperlink" Target="https://www.logainm.ie/en/29636" TargetMode="External"/><Relationship Id="rId9" Type="http://schemas.openxmlformats.org/officeDocument/2006/relationships/hyperlink" Target="https://www.logainm.ie/en/29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Rit84</b:Tag>
    <b:SourceType>Book</b:SourceType>
    <b:Guid>{312CC182-2B4C-4AD0-9C18-DFF2BF3063FF}</b:Guid>
    <b:Author>
      <b:Author>
        <b:NameList>
          <b:Person>
            <b:Last>Ritson</b:Last>
            <b:First>J.</b:First>
          </b:Person>
        </b:NameList>
      </b:Author>
    </b:Author>
    <b:Title>Gammer Gurton's garland, or, The nursery Parnassus : a choice collection of pretty songs and verses for the amusement of all little good children who can neither read nor run</b:Title>
    <b:Year>1784</b:Year>
    <b:City>Stockton</b:City>
    <b:Publisher>R. Christopher</b:Publisher>
    <b:RefOrder>1</b:RefOrder>
  </b:Source>
</b:Sources>
</file>

<file path=customXml/itemProps1.xml><?xml version="1.0" encoding="utf-8"?>
<ds:datastoreItem xmlns:ds="http://schemas.openxmlformats.org/officeDocument/2006/customXml" ds:itemID="{D89E8C2D-F24B-4C86-B107-67D989A18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2217</TotalTime>
  <Pages>10</Pages>
  <Words>3581</Words>
  <Characters>18878</Characters>
  <Application>Microsoft Office Word</Application>
  <DocSecurity>0</DocSecurity>
  <Lines>286</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Weekes</dc:creator>
  <cp:keywords/>
  <dc:description/>
  <cp:lastModifiedBy>Jonathan Weekes</cp:lastModifiedBy>
  <cp:revision>12</cp:revision>
  <dcterms:created xsi:type="dcterms:W3CDTF">2023-03-22T20:14:00Z</dcterms:created>
  <dcterms:modified xsi:type="dcterms:W3CDTF">2023-03-29T09:54:00Z</dcterms:modified>
</cp:coreProperties>
</file>