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jc w:val="center"/>
        <w:rPr>
          <w:rFonts w:ascii="Arial" w:hAnsi="Arial" w:cs="Arial"/>
          <w:b/>
          <w:b/>
          <w:sz w:val="32"/>
        </w:rPr>
      </w:pPr>
      <w:r>
        <w:rPr/>
        <w:drawing>
          <wp:anchor behindDoc="0" distT="0" distB="0" distL="114300" distR="114300" simplePos="0" locked="0" layoutInCell="1" allowOverlap="1" relativeHeight="13">
            <wp:simplePos x="0" y="0"/>
            <wp:positionH relativeFrom="column">
              <wp:posOffset>1743075</wp:posOffset>
            </wp:positionH>
            <wp:positionV relativeFrom="paragraph">
              <wp:posOffset>635</wp:posOffset>
            </wp:positionV>
            <wp:extent cx="2466975" cy="1447800"/>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2466975" cy="1447800"/>
                    </a:xfrm>
                    <a:prstGeom prst="rect">
                      <a:avLst/>
                    </a:prstGeom>
                  </pic:spPr>
                </pic:pic>
              </a:graphicData>
            </a:graphic>
          </wp:anchor>
        </w:drawing>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52"/>
          <w:szCs w:val="52"/>
          <w:lang w:val="en-GB"/>
        </w:rPr>
      </w:pPr>
      <w:r>
        <w:rPr>
          <w:rFonts w:eastAsia="Times New Roman" w:cs="Times New Roman" w:ascii="Times New Roman" w:hAnsi="Times New Roman"/>
          <w:b/>
          <w:sz w:val="52"/>
          <w:szCs w:val="52"/>
          <w:lang w:val="en-GB"/>
        </w:rPr>
        <w:t xml:space="preserve"> </w:t>
      </w:r>
      <w:r>
        <w:rPr>
          <w:rFonts w:eastAsia="Times New Roman" w:cs="Times New Roman" w:ascii="Times New Roman" w:hAnsi="Times New Roman"/>
          <w:b/>
          <w:sz w:val="52"/>
          <w:szCs w:val="52"/>
          <w:lang w:val="en-GB"/>
        </w:rPr>
        <w:t>MANAGING PEOPLE</w:t>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t xml:space="preserve">Assessment </w:t>
      </w:r>
      <w:r>
        <w:rPr>
          <w:rFonts w:eastAsia="Times New Roman" w:cs="Times New Roman" w:ascii="Times New Roman" w:hAnsi="Times New Roman"/>
          <w:b/>
          <w:sz w:val="48"/>
          <w:szCs w:val="48"/>
          <w:lang w:val="en-GB"/>
        </w:rPr>
        <w:t>1</w:t>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Name student: ANA BAICU</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Student Number: 2012401</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Module code: LCBB500</w:t>
      </w:r>
      <w:r>
        <w:rPr>
          <w:rFonts w:eastAsia="Times New Roman" w:cs="Times New Roman" w:ascii="Times New Roman" w:hAnsi="Times New Roman"/>
          <w:b/>
          <w:sz w:val="32"/>
          <w:szCs w:val="32"/>
          <w:lang w:val="en-GB"/>
        </w:rPr>
        <w:t>4</w:t>
      </w:r>
    </w:p>
    <w:p>
      <w:pPr>
        <w:pStyle w:val="Normal"/>
        <w:spacing w:lineRule="auto" w:line="360"/>
        <w:jc w:val="right"/>
        <w:rPr>
          <w:rFonts w:ascii="Times New Roman" w:hAnsi="Times New Roman" w:eastAsia="Times New Roman" w:cs="Times New Roman"/>
          <w:b/>
          <w:b/>
          <w:color w:val="000000"/>
          <w:sz w:val="32"/>
          <w:szCs w:val="32"/>
          <w:lang w:val="en-GB"/>
        </w:rPr>
      </w:pPr>
      <w:r>
        <w:rPr>
          <w:rFonts w:eastAsia="Times New Roman" w:cs="Times New Roman"/>
          <w:b/>
          <w:color w:val="000000"/>
          <w:sz w:val="32"/>
          <w:szCs w:val="32"/>
          <w:lang w:val="en-GB"/>
        </w:rPr>
        <w:t xml:space="preserve">Module lecturer’s name:  </w:t>
      </w:r>
      <w:r>
        <w:rPr>
          <w:rFonts w:eastAsia="Times New Roman" w:cs="Times New Roman"/>
          <w:b/>
          <w:color w:val="000000"/>
          <w:sz w:val="32"/>
          <w:szCs w:val="32"/>
          <w:lang w:val="en-GB"/>
        </w:rPr>
        <w:t>CHARLES OHAM</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sdt>
      <w:sdtPr>
        <w:docPartObj>
          <w:docPartGallery w:val="Table of Contents"/>
          <w:docPartUnique w:val="true"/>
        </w:docPartObj>
      </w:sdtPr>
      <w:sdtContent>
        <w:p>
          <w:pPr>
            <w:pStyle w:val="TOCHeading"/>
            <w:shd w:fill="002060" w:val="clear"/>
            <w:spacing w:lineRule="auto" w:line="360"/>
            <w:jc w:val="center"/>
            <w:rPr>
              <w:color w:val="FFFFFF" w:themeColor="background1"/>
              <w:sz w:val="36"/>
            </w:rPr>
          </w:pPr>
          <w:r>
            <w:rPr>
              <w:color w:val="FFFFFF" w:themeColor="background1"/>
              <w:sz w:val="36"/>
            </w:rPr>
            <w:t>Table of Contents</w:t>
          </w:r>
        </w:p>
        <w:p>
          <w:pPr>
            <w:pStyle w:val="Contents1"/>
            <w:tabs>
              <w:tab w:val="clear" w:pos="709"/>
              <w:tab w:val="right" w:pos="9350" w:leader="dot"/>
            </w:tabs>
            <w:rPr/>
          </w:pPr>
          <w:r>
            <w:fldChar w:fldCharType="begin"/>
          </w:r>
          <w:r>
            <w:rPr>
              <w:webHidden/>
              <w:rStyle w:val="IndexLink"/>
            </w:rPr>
            <w:instrText> TOC \z \o "1-3" \u \h</w:instrText>
          </w:r>
          <w:r>
            <w:rPr>
              <w:webHidden/>
              <w:rStyle w:val="IndexLink"/>
            </w:rPr>
            <w:fldChar w:fldCharType="separate"/>
          </w:r>
          <w:hyperlink w:anchor="_Toc98209022">
            <w:r>
              <w:rPr>
                <w:webHidden/>
                <w:rStyle w:val="IndexLink"/>
              </w:rPr>
              <w:t>Introduction</w:t>
            </w:r>
            <w:r>
              <w:rPr>
                <w:webHidden/>
              </w:rPr>
              <w:fldChar w:fldCharType="begin"/>
            </w:r>
            <w:r>
              <w:rPr>
                <w:webHidden/>
              </w:rPr>
              <w:instrText>PAGEREF _Toc98209022 \h</w:instrText>
            </w:r>
            <w:r>
              <w:rPr>
                <w:webHidden/>
              </w:rPr>
              <w:fldChar w:fldCharType="separate"/>
            </w:r>
            <w:r>
              <w:rPr>
                <w:rStyle w:val="IndexLink"/>
                <w:vanish w:val="false"/>
              </w:rPr>
              <w:tab/>
              <w:t>1</w:t>
            </w:r>
            <w:r>
              <w:rPr>
                <w:webHidden/>
              </w:rPr>
              <w:fldChar w:fldCharType="end"/>
            </w:r>
          </w:hyperlink>
        </w:p>
        <w:p>
          <w:pPr>
            <w:pStyle w:val="Contents1"/>
            <w:tabs>
              <w:tab w:val="clear" w:pos="709"/>
              <w:tab w:val="right" w:pos="9350" w:leader="dot"/>
            </w:tabs>
            <w:rPr/>
          </w:pPr>
          <w:hyperlink w:anchor="_Toc98209023">
            <w:r>
              <w:rPr>
                <w:webHidden/>
                <w:rStyle w:val="IndexLink"/>
              </w:rPr>
              <w:t>Employees' preferences and workplace flexibility:</w:t>
            </w:r>
            <w:r>
              <w:rPr>
                <w:webHidden/>
              </w:rPr>
              <w:fldChar w:fldCharType="begin"/>
            </w:r>
            <w:r>
              <w:rPr>
                <w:webHidden/>
              </w:rPr>
              <w:instrText>PAGEREF _Toc98209023 \h</w:instrText>
            </w:r>
            <w:r>
              <w:rPr>
                <w:webHidden/>
              </w:rPr>
              <w:fldChar w:fldCharType="separate"/>
            </w:r>
            <w:r>
              <w:rPr>
                <w:rStyle w:val="IndexLink"/>
                <w:vanish w:val="false"/>
              </w:rPr>
              <w:tab/>
              <w:t>1</w:t>
            </w:r>
            <w:r>
              <w:rPr>
                <w:webHidden/>
              </w:rPr>
              <w:fldChar w:fldCharType="end"/>
            </w:r>
          </w:hyperlink>
        </w:p>
        <w:p>
          <w:pPr>
            <w:pStyle w:val="Contents1"/>
            <w:tabs>
              <w:tab w:val="clear" w:pos="709"/>
              <w:tab w:val="right" w:pos="9350" w:leader="dot"/>
            </w:tabs>
            <w:rPr/>
          </w:pPr>
          <w:hyperlink w:anchor="_Toc98209024">
            <w:r>
              <w:rPr>
                <w:webHidden/>
                <w:rStyle w:val="IndexLink"/>
              </w:rPr>
              <w:t>The following is the impact of Covid-19 on workplace flexibility:</w:t>
            </w:r>
            <w:r>
              <w:rPr>
                <w:webHidden/>
              </w:rPr>
              <w:fldChar w:fldCharType="begin"/>
            </w:r>
            <w:r>
              <w:rPr>
                <w:webHidden/>
              </w:rPr>
              <w:instrText>PAGEREF _Toc98209024 \h</w:instrText>
            </w:r>
            <w:r>
              <w:rPr>
                <w:webHidden/>
              </w:rPr>
              <w:fldChar w:fldCharType="separate"/>
            </w:r>
            <w:r>
              <w:rPr>
                <w:rStyle w:val="IndexLink"/>
                <w:vanish w:val="false"/>
              </w:rPr>
              <w:tab/>
              <w:t>2</w:t>
            </w:r>
            <w:r>
              <w:rPr>
                <w:webHidden/>
              </w:rPr>
              <w:fldChar w:fldCharType="end"/>
            </w:r>
          </w:hyperlink>
        </w:p>
        <w:p>
          <w:pPr>
            <w:pStyle w:val="Contents1"/>
            <w:tabs>
              <w:tab w:val="clear" w:pos="709"/>
              <w:tab w:val="right" w:pos="9350" w:leader="dot"/>
            </w:tabs>
            <w:rPr/>
          </w:pPr>
          <w:hyperlink w:anchor="_Toc98209025">
            <w:r>
              <w:rPr>
                <w:webHidden/>
                <w:rStyle w:val="IndexLink"/>
              </w:rPr>
              <w:t>Examining the relationship between work flexibility and job satisfaction:</w:t>
            </w:r>
            <w:r>
              <w:rPr>
                <w:webHidden/>
              </w:rPr>
              <w:fldChar w:fldCharType="begin"/>
            </w:r>
            <w:r>
              <w:rPr>
                <w:webHidden/>
              </w:rPr>
              <w:instrText>PAGEREF _Toc98209025 \h</w:instrText>
            </w:r>
            <w:r>
              <w:rPr>
                <w:webHidden/>
              </w:rPr>
              <w:fldChar w:fldCharType="separate"/>
            </w:r>
            <w:r>
              <w:rPr>
                <w:rStyle w:val="IndexLink"/>
                <w:vanish w:val="false"/>
              </w:rPr>
              <w:tab/>
              <w:t>3</w:t>
            </w:r>
            <w:r>
              <w:rPr>
                <w:webHidden/>
              </w:rPr>
              <w:fldChar w:fldCharType="end"/>
            </w:r>
          </w:hyperlink>
        </w:p>
        <w:p>
          <w:pPr>
            <w:pStyle w:val="Contents1"/>
            <w:tabs>
              <w:tab w:val="clear" w:pos="709"/>
              <w:tab w:val="right" w:pos="9350" w:leader="dot"/>
            </w:tabs>
            <w:rPr/>
          </w:pPr>
          <w:hyperlink w:anchor="_Toc98209026">
            <w:r>
              <w:rPr>
                <w:webHidden/>
                <w:rStyle w:val="IndexLink"/>
              </w:rPr>
              <w:t>Consider the following recommendations and implications:</w:t>
            </w:r>
            <w:r>
              <w:rPr>
                <w:webHidden/>
              </w:rPr>
              <w:fldChar w:fldCharType="begin"/>
            </w:r>
            <w:r>
              <w:rPr>
                <w:webHidden/>
              </w:rPr>
              <w:instrText>PAGEREF _Toc98209026 \h</w:instrText>
            </w:r>
            <w:r>
              <w:rPr>
                <w:webHidden/>
              </w:rPr>
              <w:fldChar w:fldCharType="separate"/>
            </w:r>
            <w:r>
              <w:rPr>
                <w:rStyle w:val="IndexLink"/>
                <w:vanish w:val="false"/>
              </w:rPr>
              <w:tab/>
              <w:t>5</w:t>
            </w:r>
            <w:r>
              <w:rPr>
                <w:webHidden/>
              </w:rPr>
              <w:fldChar w:fldCharType="end"/>
            </w:r>
          </w:hyperlink>
        </w:p>
        <w:p>
          <w:pPr>
            <w:pStyle w:val="Contents1"/>
            <w:tabs>
              <w:tab w:val="clear" w:pos="709"/>
              <w:tab w:val="right" w:pos="9350" w:leader="dot"/>
            </w:tabs>
            <w:rPr/>
          </w:pPr>
          <w:hyperlink w:anchor="_Toc98209027">
            <w:r>
              <w:rPr>
                <w:webHidden/>
                <w:rStyle w:val="IndexLink"/>
              </w:rPr>
              <w:t>Conclusion</w:t>
            </w:r>
            <w:r>
              <w:rPr>
                <w:webHidden/>
              </w:rPr>
              <w:fldChar w:fldCharType="begin"/>
            </w:r>
            <w:r>
              <w:rPr>
                <w:webHidden/>
              </w:rPr>
              <w:instrText>PAGEREF _Toc98209027 \h</w:instrText>
            </w:r>
            <w:r>
              <w:rPr>
                <w:webHidden/>
              </w:rPr>
              <w:fldChar w:fldCharType="separate"/>
            </w:r>
            <w:r>
              <w:rPr>
                <w:rStyle w:val="IndexLink"/>
                <w:vanish w:val="false"/>
              </w:rPr>
              <w:tab/>
              <w:t>6</w:t>
            </w:r>
            <w:r>
              <w:rPr>
                <w:webHidden/>
              </w:rPr>
              <w:fldChar w:fldCharType="end"/>
            </w:r>
          </w:hyperlink>
        </w:p>
        <w:p>
          <w:pPr>
            <w:pStyle w:val="Contents1"/>
            <w:tabs>
              <w:tab w:val="clear" w:pos="709"/>
              <w:tab w:val="right" w:pos="9350" w:leader="dot"/>
            </w:tabs>
            <w:rPr/>
          </w:pPr>
          <w:hyperlink w:anchor="_Toc98209028">
            <w:r>
              <w:rPr>
                <w:webHidden/>
                <w:rStyle w:val="IndexLink"/>
              </w:rPr>
              <w:t>Reference:</w:t>
            </w:r>
            <w:r>
              <w:rPr>
                <w:webHidden/>
              </w:rPr>
              <w:fldChar w:fldCharType="begin"/>
            </w:r>
            <w:r>
              <w:rPr>
                <w:webHidden/>
              </w:rPr>
              <w:instrText>PAGEREF _Toc98209028 \h</w:instrText>
            </w:r>
            <w:r>
              <w:rPr>
                <w:webHidden/>
              </w:rPr>
              <w:fldChar w:fldCharType="separate"/>
            </w:r>
            <w:r>
              <w:rPr>
                <w:rStyle w:val="IndexLink"/>
                <w:vanish w:val="false"/>
              </w:rPr>
              <w:tab/>
              <w:t>7</w:t>
            </w:r>
            <w:r>
              <w:rPr>
                <w:webHidden/>
              </w:rPr>
              <w:fldChar w:fldCharType="end"/>
            </w:r>
          </w:hyperlink>
        </w:p>
        <w:p>
          <w:pPr>
            <w:pStyle w:val="Normal"/>
            <w:rPr/>
          </w:pPr>
          <w:r>
            <w:rPr/>
          </w:r>
          <w:r>
            <w:rPr/>
            <w:fldChar w:fldCharType="end"/>
          </w:r>
        </w:p>
      </w:sdtContent>
    </w:sdt>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spacing w:lineRule="auto" w:line="360"/>
        <w:jc w:val="center"/>
        <w:rPr/>
      </w:pPr>
      <w:bookmarkStart w:id="0" w:name="_Toc98209022"/>
      <w:r>
        <w:rPr/>
        <w:t>Introduction</w:t>
      </w:r>
      <w:bookmarkEnd w:id="0"/>
    </w:p>
    <w:p>
      <w:pPr>
        <w:pStyle w:val="Normal"/>
        <w:rPr/>
      </w:pPr>
      <w:r>
        <w:rPr/>
        <w:t>Work hours that are becoming more flexible and content that is becoming more knowledge-intensive are just a few of examples of the countless changes in the nature of work that businesses and their workers must cope with in the global market today. The worth of the employee's employment increases as a result of their efforts. Employees who are able to work the hours that are convenient for them are more likely to stay in their current positions for a longer amount of time (</w:t>
      </w:r>
      <w:r>
        <w:rPr>
          <w:rFonts w:eastAsia="Times New Roman" w:cs="Times New Roman"/>
          <w:szCs w:val="24"/>
          <w:lang w:val="en-CA" w:eastAsia="en-CA"/>
        </w:rPr>
        <w:t>Jayachandran, 2021)</w:t>
      </w:r>
      <w:r>
        <w:rPr/>
        <w:t>. Because of this paradigm change, there has been an increase in employee autonomy as well as the number of breaks taken throughout the workday. Employee expectations are being met via increased innovation and productivity, which is the goal of sustainability. An in-depth knowledge of the relevance of work performance and job satisfaction as essential outcomes is required in order to rethink human resource management in the context of contemporary requirements. Employees that have a healthy work-life balance report greater levels of job satisfaction and performance, which is beneficial to the company's overall health. The goal of this paper, written by the human resources manager of ASDA store limited, is to assess the possible effect of flexible working hours.</w:t>
      </w:r>
    </w:p>
    <w:p>
      <w:pPr>
        <w:pStyle w:val="Normal"/>
        <w:rPr/>
      </w:pPr>
      <w:r>
        <w:rPr/>
      </w:r>
    </w:p>
    <w:p>
      <w:pPr>
        <w:pStyle w:val="Normal"/>
        <w:spacing w:lineRule="auto" w:line="259"/>
        <w:jc w:val="left"/>
        <w:rPr/>
      </w:pPr>
      <w:r>
        <w:rPr/>
      </w:r>
      <w:bookmarkStart w:id="1" w:name="_Toc98209023"/>
      <w:bookmarkStart w:id="2" w:name="_Toc98209023"/>
      <w:r>
        <w:br w:type="page"/>
      </w:r>
    </w:p>
    <w:p>
      <w:pPr>
        <w:pStyle w:val="Heading1"/>
        <w:spacing w:lineRule="auto" w:line="360"/>
        <w:jc w:val="center"/>
        <w:rPr/>
      </w:pPr>
      <w:bookmarkStart w:id="3" w:name="_Toc98209023"/>
      <w:r>
        <w:rPr/>
        <w:t>Employees' preferences and workplace flexibility:</w:t>
      </w:r>
      <w:bookmarkEnd w:id="3"/>
    </w:p>
    <w:p>
      <w:pPr>
        <w:pStyle w:val="Normal"/>
        <w:rPr/>
      </w:pPr>
      <w:r>
        <w:rPr/>
        <w:t>Workplace flexibility is critical, and digital improvements and technology have made it possible to carry out a wide range of tasks over the internet in a number of enterprises. Workers had been calling for a shift in priorities even before the coronavirus outbreak erupted on the scene (</w:t>
      </w:r>
      <w:r>
        <w:rPr>
          <w:rFonts w:eastAsia="Times New Roman" w:cs="Times New Roman"/>
          <w:szCs w:val="24"/>
          <w:lang w:val="en-CA" w:eastAsia="en-CA"/>
        </w:rPr>
        <w:t>Craven et al., 2020)</w:t>
      </w:r>
      <w:r>
        <w:rPr/>
        <w:t xml:space="preserve">. Companies were already dealing with significant change prior to the epidemic, and there will be substantially more in the coming years. </w:t>
      </w:r>
      <w:r>
        <w:rPr>
          <w:rFonts w:eastAsia="Times New Roman" w:cs="Times New Roman"/>
          <w:szCs w:val="24"/>
          <w:lang w:val="en-CA" w:eastAsia="en-CA"/>
        </w:rPr>
        <w:t>Bal and Izak</w:t>
      </w:r>
      <w:r>
        <w:rPr/>
        <w:t xml:space="preserve"> (2021) claims that "flexibility will manifest differently in each workplace since culture is as unique to a firm as DNA is to a person." Some occupations need the physical presence of the employee. As a result, we now have the chance to rethink our company's rules in order to better include flexibility across the whole structure. If public health restrictions are eased during the epidemic, a decision must be made on whether or not workers will be able to continue working from home.</w:t>
      </w:r>
    </w:p>
    <w:p>
      <w:pPr>
        <w:pStyle w:val="Normal"/>
        <w:rPr/>
      </w:pPr>
      <w:r>
        <w:rPr>
          <w:rFonts w:eastAsia="Times New Roman" w:cs="Times New Roman"/>
          <w:szCs w:val="24"/>
          <w:lang w:val="en-CA" w:eastAsia="en-CA"/>
        </w:rPr>
        <w:t>Turesky and Warner</w:t>
      </w:r>
      <w:r>
        <w:rPr/>
        <w:t xml:space="preserve"> (2020) advises managers to consider their employees' "where" as well as their "when" when making hiring decisions. Working from home isn't the only option. According to Marty et al. (2021) flexible working will become the new normal following the COVID-19 pandemic, with 48 percent of people choosing to work from home at least some of the time. When it comes to COVID-19 prevention measures, one-meter physical barrier has been enforced between persons and infected surfaces to keep the virus from spreading and new cases from emerging. In addition, these regulations encouraged and promoted virtual relationships between families and groups of people. To give more flexibility in professional operations, such as minimizing congestion and shutting down non-essential buildings and services, telework and remote learning were used.</w:t>
      </w:r>
    </w:p>
    <w:p>
      <w:pPr>
        <w:pStyle w:val="Heading1"/>
        <w:spacing w:lineRule="auto" w:line="360"/>
        <w:jc w:val="center"/>
        <w:rPr/>
      </w:pPr>
      <w:bookmarkStart w:id="4" w:name="_Toc98209024"/>
      <w:r>
        <w:rPr/>
        <w:t>The following is the impact of Covid-19 on workplace flexibility:</w:t>
      </w:r>
      <w:bookmarkEnd w:id="4"/>
    </w:p>
    <w:p>
      <w:pPr>
        <w:pStyle w:val="Normal"/>
        <w:rPr/>
      </w:pPr>
      <w:r>
        <w:rPr/>
        <w:t>Working from home has now become the new norm for many employees, because to a worldwide coronavirus outbreak that has spread around the world (</w:t>
      </w:r>
      <w:r>
        <w:rPr>
          <w:rFonts w:eastAsia="Times New Roman" w:cs="Times New Roman"/>
          <w:szCs w:val="24"/>
          <w:lang w:val="en-CA" w:eastAsia="en-CA"/>
        </w:rPr>
        <w:t>Vyas and Butakhieo, 2021)</w:t>
      </w:r>
      <w:r>
        <w:rPr/>
        <w:t>. It is clear that the influence of COVID-19 on the labor market varies significantly from country to country. Employees in Germany are unlikely to be adversely impacted by the crisis since they adhere to a well-defined short-term work schedule. The consequences differ from country to country, and they worsen already existing inequalities. Employees in alternative working arrangements and professions, where a minor portion of the tasks is completed from home, are also less likely to have decreased hours, job losses, or lower income than the general population. Working from home is not a possibility for certain individuals, even in times of crisis, such as those employed in the information technology or other industries. As a result of the health problem, retraining has become more difficult. All of this might have been avoided if the company had prepared ahead of time and made its workers aware of possible mitigation methods in advance.</w:t>
      </w:r>
    </w:p>
    <w:p>
      <w:pPr>
        <w:pStyle w:val="Normal"/>
        <w:rPr/>
      </w:pPr>
      <w:r>
        <w:rPr/>
        <w:t xml:space="preserve">All required initiatives are taken during the coronavirus epidemic have long- and short-term ramifications, particularly in the context of employment policies and procedures. When it comes to those who work in flexible jobs, the COVID-19 pandemic may have an influence on their work-life balance, which may need an examination of how the pandemic impacts their careers and work lives. During the coronavirus epidemic, Shan and Thang looked at the influence of employee happiness on productivity. According to </w:t>
      </w:r>
      <w:r>
        <w:rPr>
          <w:rFonts w:eastAsia="Times New Roman" w:cs="Times New Roman"/>
          <w:szCs w:val="24"/>
          <w:lang w:val="en-CA" w:eastAsia="en-CA"/>
        </w:rPr>
        <w:t>Shan and Tang (2020)</w:t>
      </w:r>
      <w:r>
        <w:rPr/>
        <w:t>, firms with higher levels of employee satisfaction are better equipped to endure market shocks such as the COVID-19 outbreak than those with lower levels. In the wake of the Covid-19 outbreak, there will be a substantial impact on people's work and professional lives. People will be impacted by the crisis in a variety of ways depending on where they are in their professions and lives, as well as the environment in which they are living at the time of the crisis. The pandemic has positive long-term ramifications, but the short-term consequences are not the same as those that will occur in the future, as previously stated.</w:t>
      </w:r>
    </w:p>
    <w:p>
      <w:pPr>
        <w:pStyle w:val="Normal"/>
        <w:rPr/>
      </w:pPr>
      <w:r>
        <w:rPr/>
        <w:t>Business leaders had already started to adopt the notion of remote labor prior to the coronavirus's appearance on the scene. Working from home has been determined to have benefits for both organizations and employees, according to a LinkedIn survey conducted at the end of 2019 (</w:t>
      </w:r>
      <w:r>
        <w:rPr>
          <w:rFonts w:eastAsia="Times New Roman" w:cs="Times New Roman"/>
          <w:szCs w:val="24"/>
          <w:lang w:val="en-CA" w:eastAsia="en-CA"/>
        </w:rPr>
        <w:t>Davidescu et al., 2020)</w:t>
      </w:r>
      <w:r>
        <w:rPr/>
        <w:t>. Improvements in work–life balance and increased productivity are among the benefits, as is the reduction in infrastructure and maintenance costs. Although workplace flexibility proved to be a viable solution during the outbreak, several managers reported that it increased employee productivity, raising the possibility of a reevaluation of how people would work after the pandemic.</w:t>
      </w:r>
    </w:p>
    <w:p>
      <w:pPr>
        <w:pStyle w:val="Heading1"/>
        <w:spacing w:lineRule="auto" w:line="360"/>
        <w:jc w:val="center"/>
        <w:rPr/>
      </w:pPr>
      <w:bookmarkStart w:id="5" w:name="_Toc98209025"/>
      <w:r>
        <w:rPr/>
        <w:t>Examining the relationship between work flexibility and job satisfaction:</w:t>
      </w:r>
      <w:bookmarkEnd w:id="5"/>
    </w:p>
    <w:p>
      <w:pPr>
        <w:pStyle w:val="Normal"/>
        <w:rPr/>
      </w:pPr>
      <w:bookmarkStart w:id="6" w:name="_Toc98209026"/>
      <w:r>
        <w:rPr/>
        <w:t>The goal of flexible work practices is to enhance employees' work-life balance while simultaneously increasing their job happiness and performance in a manner that is consistent with their employer's expectations (Rehman and Siddiqui, 2019). The World Economic Forum reports that enterprises and the labor market as a whole see work flexibility as a vital success element, with advantages to working conditions, productivity, profits, and overall performance. According to economists, workplace flexibility has a substantial impact on the well-being of employees and their families, as well as their level of job satisfaction (Rhee et al., 2020). According to Carvalho and Cabral's revolutionary Cardoso study, human resource management systems based on labor commitment may provide both numerical and functional flexibility at the same time and in an interconnected manner. It is possible that an employer's dedication to human resource management innovation is reflected in a wide range of flexible working alternatives. Human resource management (HRM) methods such as employee selection, engagement, and empowerment on workplace performance have been found to have a significant and positive impact on employee performance, according to the findings of Manzoor et al's investigation into the effect of human resource management methods on workplace performance.</w:t>
      </w:r>
    </w:p>
    <w:p>
      <w:pPr>
        <w:pStyle w:val="Normal"/>
        <w:rPr/>
      </w:pPr>
      <w:r>
        <w:rPr/>
        <w:t>According to a research of Romanian employees' viewpoints, when it comes to work flexibility, Romanian employees put a high importance on cooperation, autonomy, and the option to determine their own schedules. If we take a deeper look at the relevance of employment flexibility in that setting, we may be able to better understand the purpose for our research. According to the findings of this research, whereas numerous studies have looked at the relationship between workplace satisfaction and work flexibility, relatively few studies have looked at how work flexibility impacts job performance. According to Orpen's research, there is a positive association between work flexibility and workplace satisfaction, but no such correlation exists between job performance and work flexibility.</w:t>
      </w:r>
    </w:p>
    <w:p>
      <w:pPr>
        <w:pStyle w:val="Normal"/>
        <w:rPr/>
      </w:pPr>
      <w:r>
        <w:rPr/>
        <w:t>When Davidescu et al. (2020) did their research, they were interested in the link between job happiness, job performance, and work flexibility, among other things. The majority of employees in the study expressed satisfaction with their current work arrangements and employment flexibility, which may have an impact on their decision to remain with the organization for which they work. When employees have more control over their work schedules and tasks, their motivation and productivity increase as a result. According to a survey of 220 Romanian employees, who were asked about their views toward work flexibility, it was determined that it had a substantial influence on their satisfaction and productivity (Beo, 2021). Workplace flexibility may have an influence on a range of factors, including employee well-being, personal and professional performance, and motivation in general, all of which are linked to job satisfaction and productivity. Additionally, the freedom to create your own work schedule is a key aspect in enhancing employee job satisfaction. The literature should be examined to discover whether there are any probable connections between job satisfaction and job performance or between job satisfaction and job performance and flexible work arrangements. Research in industrial and organizational psychology has examined the link between job satisfaction and productivity. The success of a company is directly related to the happiness and productivity of its workforce. In Romania, Pavalache's study Ilie examined, among other things, the connection between "good soldier syndrome" and employment contentment. Workplace contentment has been shown to be linked to a range of qualities, including organizational citizenship, self-efficacy, and hospitality, as well as seniority within the firm. These behaviors are more common in public organizations than in private ones, according to the results of the research.</w:t>
      </w:r>
    </w:p>
    <w:p>
      <w:pPr>
        <w:pStyle w:val="Normal"/>
        <w:rPr/>
      </w:pPr>
      <w:r>
        <w:rPr/>
        <w:t>Companies must rethink their tactics for recruiting and keeping top talent in light of the competitive nature of today's labor market, which must include more than just monetary incentives. A company's capacity to adapt to changing conditions may have a substantial influence on the lifespan and productivity of its employees in the majority of cases. When a company is more flexible, it creates a win-win scenario for both the firm and the employee. Because there is less rigidity in the workplace in a competitive job market, job seekers have more flexibility to examine their choices in a competitive employment market.</w:t>
      </w:r>
    </w:p>
    <w:p>
      <w:pPr>
        <w:pStyle w:val="Normal"/>
        <w:rPr/>
      </w:pPr>
      <w:r>
        <w:rPr/>
      </w:r>
    </w:p>
    <w:p>
      <w:pPr>
        <w:pStyle w:val="Normal"/>
        <w:rPr/>
      </w:pPr>
      <w:r>
        <w:rPr/>
      </w:r>
    </w:p>
    <w:p>
      <w:pPr>
        <w:pStyle w:val="Normal"/>
        <w:rPr>
          <w:b/>
          <w:b/>
        </w:rPr>
      </w:pPr>
      <w:r>
        <w:rPr>
          <w:b/>
        </w:rPr>
      </w:r>
    </w:p>
    <w:p>
      <w:pPr>
        <w:pStyle w:val="Heading1"/>
        <w:spacing w:lineRule="auto" w:line="360"/>
        <w:jc w:val="center"/>
        <w:rPr/>
      </w:pPr>
      <w:bookmarkStart w:id="7" w:name="_Toc98209026"/>
      <w:r>
        <w:rPr/>
        <w:t>Consider the following recommendations and implications:</w:t>
      </w:r>
      <w:bookmarkEnd w:id="7"/>
    </w:p>
    <w:p>
      <w:pPr>
        <w:pStyle w:val="Normal"/>
        <w:rPr/>
      </w:pPr>
      <w:r>
        <w:rPr/>
        <w:t>In today's market, when professionals may pick from a variety of employment opportunities, firms must reinvent themselves and begin to provide prospective employees with perks other than monetary remuneration. In many cases, organizational flexibility determines how long a person will remain with a company and, more significantly, whether or not that individual will be motivated to work hard and be productive. The advantages of workplace flexibility extend not just to employees, but also to the company that provides it. The penalty of rigidity is that businesses lose their best personnel, and in a competitive job market, candidates have more freedom to examine their alternatives.</w:t>
      </w:r>
    </w:p>
    <w:p>
      <w:pPr>
        <w:pStyle w:val="ListParagraph"/>
        <w:numPr>
          <w:ilvl w:val="0"/>
          <w:numId w:val="1"/>
        </w:numPr>
        <w:rPr/>
      </w:pPr>
      <w:r>
        <w:rPr/>
        <w:t>Employment in nontraditional settings is growing more widespread as the coronavirus outbreak continues to limit access to the job market, according to the Bureau of Labor Statistics. As reported in an early April 2020 Gallup poll, "three out of every five US workers who did their homework during the coronavirus pandemic would prefer to continue working as far away from the crisis as possible," while 41 percent would prefer to return back to work or the office to continue working in the manner in which they had done so before the crisis (</w:t>
      </w:r>
      <w:r>
        <w:rPr>
          <w:rFonts w:eastAsia="Times New Roman" w:cs="Times New Roman"/>
          <w:szCs w:val="24"/>
          <w:lang w:val="en-CA" w:eastAsia="en-CA"/>
        </w:rPr>
        <w:t>Barry et al., 2020)</w:t>
      </w:r>
      <w:r>
        <w:rPr/>
        <w:t>.</w:t>
      </w:r>
    </w:p>
    <w:p>
      <w:pPr>
        <w:pStyle w:val="ListParagraph"/>
        <w:numPr>
          <w:ilvl w:val="0"/>
          <w:numId w:val="1"/>
        </w:numPr>
        <w:rPr/>
      </w:pPr>
      <w:r>
        <w:rPr/>
        <w:t>Covid-19, in addition to the work itself, has resulted in considerable benefits. For as long as the flexibility does not alter the performance objectives, all of these adjustments will result in a rearrangement of the workplace. Working from home amid the coronavirus crisis has become the new normal, and this degree of adaptation should not be reserved for disasters alone, but should be used in all situations.</w:t>
      </w:r>
    </w:p>
    <w:p>
      <w:pPr>
        <w:pStyle w:val="ListParagraph"/>
        <w:numPr>
          <w:ilvl w:val="0"/>
          <w:numId w:val="1"/>
        </w:numPr>
        <w:rPr/>
      </w:pPr>
      <w:r>
        <w:rPr/>
        <w:t>Coronavirus outbreaks will have both long- and short-term implications, according to the World Health Organization. Some managers are looking at the possibility of working from home in order to enhance output while decreasing expenditures (</w:t>
      </w:r>
      <w:r>
        <w:rPr>
          <w:rFonts w:eastAsia="Times New Roman" w:cs="Times New Roman"/>
          <w:szCs w:val="24"/>
          <w:lang w:val="en-CA" w:eastAsia="en-CA"/>
        </w:rPr>
        <w:t>Nakrošienė et al., 2019)</w:t>
      </w:r>
      <w:r>
        <w:rPr/>
        <w:t>. As a result of the current economic crisis, the vast majority of workers will surely notice a shift in their working environment. Australia, which has done a commendable job of addressing this health issue, is considering reducing the work week to four days per week as a new measure of employment flexibility meant to boost the economy as quickly as possible while protecting people's health. One option being considered by some firms is a five-day work week with one of those days devoted to volunteer activity.</w:t>
      </w:r>
    </w:p>
    <w:p>
      <w:pPr>
        <w:pStyle w:val="Normal"/>
        <w:rPr/>
      </w:pPr>
      <w:r>
        <w:rPr/>
        <w:t>When faced with a disaster, we have the option of being resilient or resisting. The 2020 Global Talent Trends Study conducted by Mercer found that firms desire to build strategic alliances (40 percent), recruit more diverse talent pools (39 percent), and deploy automation in times of crisis. (This accounts for 34% of the total). Currently, just 44 percent of businesses are considering doing a systematic evaluation of job positions to evaluate if they can be adapted to meet the needs of their employees, according to a recent survey.</w:t>
      </w:r>
    </w:p>
    <w:p>
      <w:pPr>
        <w:pStyle w:val="Normal"/>
        <w:jc w:val="left"/>
        <w:rPr/>
      </w:pPr>
      <w:r>
        <w:rPr/>
      </w:r>
      <w:bookmarkStart w:id="8" w:name="_Toc98209027"/>
      <w:bookmarkStart w:id="9" w:name="_Toc98209027"/>
    </w:p>
    <w:p>
      <w:pPr>
        <w:pStyle w:val="Normal"/>
        <w:spacing w:lineRule="auto" w:line="259"/>
        <w:jc w:val="left"/>
        <w:rPr>
          <w:rFonts w:eastAsia="" w:cs="" w:cstheme="majorBidi" w:eastAsiaTheme="majorEastAsia"/>
          <w:b/>
          <w:b/>
          <w:sz w:val="32"/>
          <w:szCs w:val="36"/>
        </w:rPr>
      </w:pPr>
      <w:r>
        <w:rPr>
          <w:rFonts w:eastAsia="" w:cs="" w:cstheme="majorBidi" w:eastAsiaTheme="majorEastAsia"/>
          <w:b/>
          <w:sz w:val="32"/>
          <w:szCs w:val="36"/>
        </w:rPr>
      </w:r>
      <w:r>
        <w:br w:type="page"/>
      </w:r>
    </w:p>
    <w:p>
      <w:pPr>
        <w:pStyle w:val="Heading1"/>
        <w:spacing w:lineRule="auto" w:line="360"/>
        <w:jc w:val="center"/>
        <w:rPr/>
      </w:pPr>
      <w:bookmarkStart w:id="10" w:name="_Toc98209027"/>
      <w:r>
        <w:rPr/>
        <w:t>Conclusion</w:t>
      </w:r>
      <w:bookmarkEnd w:id="10"/>
    </w:p>
    <w:p>
      <w:pPr>
        <w:pStyle w:val="Normal"/>
        <w:rPr/>
      </w:pPr>
      <w:r>
        <w:rPr/>
        <w:t>Employee development and work time and space flexibility, as well as employee happiness and job performance, should be looked at by employers to see if there is a link. This will help them meet the needs of "future work." Because of this, the goal of this paper is to look at how different types of flexibility, such as functional flexibility, working time flexibility, and workspace flexibility, affect overall employee job satisfaction. It also wants to emphasize the importance of employee development and flexibility in sustainable human resource management..</w:t>
      </w:r>
    </w:p>
    <w:p>
      <w:pPr>
        <w:pStyle w:val="Normal"/>
        <w:rPr/>
      </w:pPr>
      <w:r>
        <w:rPr/>
        <w:t>An employee flexibility composite indicator has been constructed based on the findings of a nationwide representative survey. The indicator incorporates the four most common forms of employee flexibility as perceived by Romanian workers. Aside from that, binary logistic regression models were employed to examine the impact on overall work satisfaction of several forms of flexibility, as well as a composite indicator of employee flexibility, in addition to a binary logistic regression model. An investigation was conducted on the impact of new workspace types (FOs, CWs, HOTs and HOPs) on employee productivity, job satisfaction, and other aspects of workplace performance such as professional development, networking, and interpersonal connections. They were also examined to see whether or not they had an impact on general levels of work motivation.</w:t>
      </w:r>
    </w:p>
    <w:p>
      <w:pPr>
        <w:pStyle w:val="Normal"/>
        <w:rPr/>
      </w:pPr>
      <w:r>
        <w:rPr/>
      </w:r>
    </w:p>
    <w:p>
      <w:pPr>
        <w:pStyle w:val="Normal"/>
        <w:rPr/>
      </w:pPr>
      <w:r>
        <w:rPr/>
      </w:r>
    </w:p>
    <w:p>
      <w:pPr>
        <w:pStyle w:val="Normal"/>
        <w:rPr/>
      </w:pPr>
      <w:r>
        <w:rPr/>
      </w:r>
    </w:p>
    <w:p>
      <w:pPr>
        <w:pStyle w:val="Normal"/>
        <w:spacing w:lineRule="auto" w:line="259"/>
        <w:jc w:val="left"/>
        <w:rPr/>
      </w:pPr>
      <w:r>
        <w:rPr/>
      </w:r>
      <w:bookmarkStart w:id="11" w:name="_Toc98209028"/>
      <w:bookmarkStart w:id="12" w:name="_Toc98209028"/>
      <w:r>
        <w:br w:type="page"/>
      </w:r>
    </w:p>
    <w:p>
      <w:pPr>
        <w:pStyle w:val="Heading1"/>
        <w:spacing w:lineRule="auto" w:line="360"/>
        <w:jc w:val="center"/>
        <w:rPr/>
      </w:pPr>
      <w:bookmarkStart w:id="13" w:name="_Toc98209028"/>
      <w:r>
        <w:rPr/>
        <w:t>Reference:</w:t>
      </w:r>
      <w:bookmarkEnd w:id="13"/>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Aziz-Ur-Rehman, M. and Siddiqui, D.A., 2019. Relationship between flexible working arrangements and job satisfaction mediated by work-life balance: Evidence from public sector universities employees of Pakistan. </w:t>
      </w:r>
      <w:r>
        <w:rPr>
          <w:rFonts w:eastAsia="Times New Roman" w:cs="Times New Roman"/>
          <w:i/>
          <w:iCs/>
          <w:szCs w:val="24"/>
          <w:lang w:val="en-CA" w:eastAsia="en-CA"/>
        </w:rPr>
        <w:t>Available at SSRN 3510918</w:t>
      </w:r>
      <w:r>
        <w:rPr>
          <w:rFonts w:eastAsia="Times New Roman" w:cs="Times New Roman"/>
          <w:szCs w:val="24"/>
          <w:lang w:val="en-CA" w:eastAsia="en-CA"/>
        </w:rPr>
        <w:t>.</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Bal, P.M. and Izak, M., 2021. Paradigms of flexibility: a systematic review of research on workplace flexibility. </w:t>
      </w:r>
      <w:r>
        <w:rPr>
          <w:rFonts w:eastAsia="Times New Roman" w:cs="Times New Roman"/>
          <w:i/>
          <w:iCs/>
          <w:szCs w:val="24"/>
          <w:lang w:val="en-CA" w:eastAsia="en-CA"/>
        </w:rPr>
        <w:t>European Management Review</w:t>
      </w:r>
      <w:r>
        <w:rPr>
          <w:rFonts w:eastAsia="Times New Roman" w:cs="Times New Roman"/>
          <w:szCs w:val="24"/>
          <w:lang w:val="en-CA" w:eastAsia="en-CA"/>
        </w:rPr>
        <w:t xml:space="preserve">, </w:t>
      </w:r>
      <w:r>
        <w:rPr>
          <w:rFonts w:eastAsia="Times New Roman" w:cs="Times New Roman"/>
          <w:i/>
          <w:iCs/>
          <w:szCs w:val="24"/>
          <w:lang w:val="en-CA" w:eastAsia="en-CA"/>
        </w:rPr>
        <w:t>18</w:t>
      </w:r>
      <w:r>
        <w:rPr>
          <w:rFonts w:eastAsia="Times New Roman" w:cs="Times New Roman"/>
          <w:szCs w:val="24"/>
          <w:lang w:val="en-CA" w:eastAsia="en-CA"/>
        </w:rPr>
        <w:t>(1), pp.37-50.</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Barry, C.L., Han, H., Presskreischer, R., Anderson, K.E. and McGinty, E.E., 2020. Public support for social safety-net policies for COVID-19 in the United States, April 2020. </w:t>
      </w:r>
      <w:r>
        <w:rPr>
          <w:rFonts w:eastAsia="Times New Roman" w:cs="Times New Roman"/>
          <w:i/>
          <w:iCs/>
          <w:szCs w:val="24"/>
          <w:lang w:val="en-CA" w:eastAsia="en-CA"/>
        </w:rPr>
        <w:t>American journal of public health</w:t>
      </w:r>
      <w:r>
        <w:rPr>
          <w:rFonts w:eastAsia="Times New Roman" w:cs="Times New Roman"/>
          <w:szCs w:val="24"/>
          <w:lang w:val="en-CA" w:eastAsia="en-CA"/>
        </w:rPr>
        <w:t xml:space="preserve">, </w:t>
      </w:r>
      <w:r>
        <w:rPr>
          <w:rFonts w:eastAsia="Times New Roman" w:cs="Times New Roman"/>
          <w:i/>
          <w:iCs/>
          <w:szCs w:val="24"/>
          <w:lang w:val="en-CA" w:eastAsia="en-CA"/>
        </w:rPr>
        <w:t>110</w:t>
      </w:r>
      <w:r>
        <w:rPr>
          <w:rFonts w:eastAsia="Times New Roman" w:cs="Times New Roman"/>
          <w:szCs w:val="24"/>
          <w:lang w:val="en-CA" w:eastAsia="en-CA"/>
        </w:rPr>
        <w:t>(12), pp.1811-1813.</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Beňo, M., 2021. The advantages and disadvantages of E-working: An examination using an ALDINE analysis. </w:t>
      </w:r>
      <w:r>
        <w:rPr>
          <w:rFonts w:eastAsia="Times New Roman" w:cs="Times New Roman"/>
          <w:i/>
          <w:iCs/>
          <w:szCs w:val="24"/>
          <w:lang w:val="en-CA" w:eastAsia="en-CA"/>
        </w:rPr>
        <w:t>Emerging Science Journal</w:t>
      </w:r>
      <w:r>
        <w:rPr>
          <w:rFonts w:eastAsia="Times New Roman" w:cs="Times New Roman"/>
          <w:szCs w:val="24"/>
          <w:lang w:val="en-CA" w:eastAsia="en-CA"/>
        </w:rPr>
        <w:t xml:space="preserve">, </w:t>
      </w:r>
      <w:r>
        <w:rPr>
          <w:rFonts w:eastAsia="Times New Roman" w:cs="Times New Roman"/>
          <w:i/>
          <w:iCs/>
          <w:szCs w:val="24"/>
          <w:lang w:val="en-CA" w:eastAsia="en-CA"/>
        </w:rPr>
        <w:t>5</w:t>
      </w:r>
      <w:r>
        <w:rPr>
          <w:rFonts w:eastAsia="Times New Roman" w:cs="Times New Roman"/>
          <w:szCs w:val="24"/>
          <w:lang w:val="en-CA" w:eastAsia="en-CA"/>
        </w:rPr>
        <w:t>, pp.11-20.</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Craven, M., Liu, L., Mysore, M. and Wilson, M., 2020. COVID-19: Implications for business. </w:t>
      </w:r>
      <w:r>
        <w:rPr>
          <w:rFonts w:eastAsia="Times New Roman" w:cs="Times New Roman"/>
          <w:i/>
          <w:iCs/>
          <w:szCs w:val="24"/>
          <w:lang w:val="en-CA" w:eastAsia="en-CA"/>
        </w:rPr>
        <w:t>McKinsey &amp; Company</w:t>
      </w:r>
      <w:r>
        <w:rPr>
          <w:rFonts w:eastAsia="Times New Roman" w:cs="Times New Roman"/>
          <w:szCs w:val="24"/>
          <w:lang w:val="en-CA" w:eastAsia="en-CA"/>
        </w:rPr>
        <w:t xml:space="preserve">, </w:t>
      </w:r>
      <w:r>
        <w:rPr>
          <w:rFonts w:eastAsia="Times New Roman" w:cs="Times New Roman"/>
          <w:i/>
          <w:iCs/>
          <w:szCs w:val="24"/>
          <w:lang w:val="en-CA" w:eastAsia="en-CA"/>
        </w:rPr>
        <w:t>8</w:t>
      </w:r>
      <w:r>
        <w:rPr>
          <w:rFonts w:eastAsia="Times New Roman" w:cs="Times New Roman"/>
          <w:szCs w:val="24"/>
          <w:lang w:val="en-CA" w:eastAsia="en-CA"/>
        </w:rPr>
        <w:t>.</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Davidescu, A.A., Apostu, S.A., Paul, A. and Casuneanu, I., 2020. Work flexibility, job satisfaction, and job performance among Romanian employees—Implications for sustainable human resource management. </w:t>
      </w:r>
      <w:r>
        <w:rPr>
          <w:rFonts w:eastAsia="Times New Roman" w:cs="Times New Roman"/>
          <w:i/>
          <w:iCs/>
          <w:szCs w:val="24"/>
          <w:lang w:val="en-CA" w:eastAsia="en-CA"/>
        </w:rPr>
        <w:t>Sustainability</w:t>
      </w:r>
      <w:r>
        <w:rPr>
          <w:rFonts w:eastAsia="Times New Roman" w:cs="Times New Roman"/>
          <w:szCs w:val="24"/>
          <w:lang w:val="en-CA" w:eastAsia="en-CA"/>
        </w:rPr>
        <w:t xml:space="preserve">, </w:t>
      </w:r>
      <w:r>
        <w:rPr>
          <w:rFonts w:eastAsia="Times New Roman" w:cs="Times New Roman"/>
          <w:i/>
          <w:iCs/>
          <w:szCs w:val="24"/>
          <w:lang w:val="en-CA" w:eastAsia="en-CA"/>
        </w:rPr>
        <w:t>12</w:t>
      </w:r>
      <w:r>
        <w:rPr>
          <w:rFonts w:eastAsia="Times New Roman" w:cs="Times New Roman"/>
          <w:szCs w:val="24"/>
          <w:lang w:val="en-CA" w:eastAsia="en-CA"/>
        </w:rPr>
        <w:t>(15), p.6086.</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Jayachandran, S., 2021. Social norms as a barrier to women’s employment in developing countries. </w:t>
      </w:r>
      <w:r>
        <w:rPr>
          <w:rFonts w:eastAsia="Times New Roman" w:cs="Times New Roman"/>
          <w:i/>
          <w:iCs/>
          <w:szCs w:val="24"/>
          <w:lang w:val="en-CA" w:eastAsia="en-CA"/>
        </w:rPr>
        <w:t>IMF Economic Review</w:t>
      </w:r>
      <w:r>
        <w:rPr>
          <w:rFonts w:eastAsia="Times New Roman" w:cs="Times New Roman"/>
          <w:szCs w:val="24"/>
          <w:lang w:val="en-CA" w:eastAsia="en-CA"/>
        </w:rPr>
        <w:t xml:space="preserve">, </w:t>
      </w:r>
      <w:r>
        <w:rPr>
          <w:rFonts w:eastAsia="Times New Roman" w:cs="Times New Roman"/>
          <w:i/>
          <w:iCs/>
          <w:szCs w:val="24"/>
          <w:lang w:val="en-CA" w:eastAsia="en-CA"/>
        </w:rPr>
        <w:t>69</w:t>
      </w:r>
      <w:r>
        <w:rPr>
          <w:rFonts w:eastAsia="Times New Roman" w:cs="Times New Roman"/>
          <w:szCs w:val="24"/>
          <w:lang w:val="en-CA" w:eastAsia="en-CA"/>
        </w:rPr>
        <w:t>(3), pp.576-595.</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Marty, L., de Lauzon-Guillain, B., Labesse, M. and Nicklaus, S., 2021. Food choice motives and the nutritional quality of diet during the COVID-19 lockdown in France. </w:t>
      </w:r>
      <w:r>
        <w:rPr>
          <w:rFonts w:eastAsia="Times New Roman" w:cs="Times New Roman"/>
          <w:i/>
          <w:iCs/>
          <w:szCs w:val="24"/>
          <w:lang w:val="en-CA" w:eastAsia="en-CA"/>
        </w:rPr>
        <w:t>Appetite</w:t>
      </w:r>
      <w:r>
        <w:rPr>
          <w:rFonts w:eastAsia="Times New Roman" w:cs="Times New Roman"/>
          <w:szCs w:val="24"/>
          <w:lang w:val="en-CA" w:eastAsia="en-CA"/>
        </w:rPr>
        <w:t xml:space="preserve">, </w:t>
      </w:r>
      <w:r>
        <w:rPr>
          <w:rFonts w:eastAsia="Times New Roman" w:cs="Times New Roman"/>
          <w:i/>
          <w:iCs/>
          <w:szCs w:val="24"/>
          <w:lang w:val="en-CA" w:eastAsia="en-CA"/>
        </w:rPr>
        <w:t>157</w:t>
      </w:r>
      <w:r>
        <w:rPr>
          <w:rFonts w:eastAsia="Times New Roman" w:cs="Times New Roman"/>
          <w:szCs w:val="24"/>
          <w:lang w:val="en-CA" w:eastAsia="en-CA"/>
        </w:rPr>
        <w:t>, p.105005.</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Nakrošienė, A., Bučiūnienė, I. and Goštautaitė, B., 2019. Working from home: characteristics and outcomes of telework. </w:t>
      </w:r>
      <w:r>
        <w:rPr>
          <w:rFonts w:eastAsia="Times New Roman" w:cs="Times New Roman"/>
          <w:i/>
          <w:iCs/>
          <w:szCs w:val="24"/>
          <w:lang w:val="en-CA" w:eastAsia="en-CA"/>
        </w:rPr>
        <w:t>International Journal of Manpower</w:t>
      </w:r>
      <w:r>
        <w:rPr>
          <w:rFonts w:eastAsia="Times New Roman" w:cs="Times New Roman"/>
          <w:szCs w:val="24"/>
          <w:lang w:val="en-CA" w:eastAsia="en-CA"/>
        </w:rPr>
        <w:t>.</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Rhee, M.K., Park, S.K. and Lee, C.K., 2020. Pathways from workplace flexibility to turnover intention: Role of work–family conflict, family–work conflict, and job satisfaction. </w:t>
      </w:r>
      <w:r>
        <w:rPr>
          <w:rFonts w:eastAsia="Times New Roman" w:cs="Times New Roman"/>
          <w:i/>
          <w:iCs/>
          <w:szCs w:val="24"/>
          <w:lang w:val="en-CA" w:eastAsia="en-CA"/>
        </w:rPr>
        <w:t>International Journal of Social Welfare</w:t>
      </w:r>
      <w:r>
        <w:rPr>
          <w:rFonts w:eastAsia="Times New Roman" w:cs="Times New Roman"/>
          <w:szCs w:val="24"/>
          <w:lang w:val="en-CA" w:eastAsia="en-CA"/>
        </w:rPr>
        <w:t xml:space="preserve">, </w:t>
      </w:r>
      <w:r>
        <w:rPr>
          <w:rFonts w:eastAsia="Times New Roman" w:cs="Times New Roman"/>
          <w:i/>
          <w:iCs/>
          <w:szCs w:val="24"/>
          <w:lang w:val="en-CA" w:eastAsia="en-CA"/>
        </w:rPr>
        <w:t>29</w:t>
      </w:r>
      <w:r>
        <w:rPr>
          <w:rFonts w:eastAsia="Times New Roman" w:cs="Times New Roman"/>
          <w:szCs w:val="24"/>
          <w:lang w:val="en-CA" w:eastAsia="en-CA"/>
        </w:rPr>
        <w:t>(1), pp.51-61.</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Shan, C. and Tang, D.Y., 2020. The value of employee satisfaction in disastrous times: Evidence from COVID-19. </w:t>
      </w:r>
      <w:r>
        <w:rPr>
          <w:rFonts w:eastAsia="Times New Roman" w:cs="Times New Roman"/>
          <w:i/>
          <w:iCs/>
          <w:szCs w:val="24"/>
          <w:lang w:val="en-CA" w:eastAsia="en-CA"/>
        </w:rPr>
        <w:t>Available at SSRN 3560919</w:t>
      </w:r>
      <w:r>
        <w:rPr>
          <w:rFonts w:eastAsia="Times New Roman" w:cs="Times New Roman"/>
          <w:szCs w:val="24"/>
          <w:lang w:val="en-CA" w:eastAsia="en-CA"/>
        </w:rPr>
        <w:t>.</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Turesky, M. and Warner, M.E., 2020. Gender dynamics in the planning workplace: The importance of women in management. </w:t>
      </w:r>
      <w:r>
        <w:rPr>
          <w:rFonts w:eastAsia="Times New Roman" w:cs="Times New Roman"/>
          <w:i/>
          <w:iCs/>
          <w:szCs w:val="24"/>
          <w:lang w:val="en-CA" w:eastAsia="en-CA"/>
        </w:rPr>
        <w:t>Journal of the American Planning Association</w:t>
      </w:r>
      <w:r>
        <w:rPr>
          <w:rFonts w:eastAsia="Times New Roman" w:cs="Times New Roman"/>
          <w:szCs w:val="24"/>
          <w:lang w:val="en-CA" w:eastAsia="en-CA"/>
        </w:rPr>
        <w:t xml:space="preserve">, </w:t>
      </w:r>
      <w:r>
        <w:rPr>
          <w:rFonts w:eastAsia="Times New Roman" w:cs="Times New Roman"/>
          <w:i/>
          <w:iCs/>
          <w:szCs w:val="24"/>
          <w:lang w:val="en-CA" w:eastAsia="en-CA"/>
        </w:rPr>
        <w:t>86</w:t>
      </w:r>
      <w:r>
        <w:rPr>
          <w:rFonts w:eastAsia="Times New Roman" w:cs="Times New Roman"/>
          <w:szCs w:val="24"/>
          <w:lang w:val="en-CA" w:eastAsia="en-CA"/>
        </w:rPr>
        <w:t>(2), pp.157-170.</w:t>
      </w:r>
    </w:p>
    <w:p>
      <w:pPr>
        <w:pStyle w:val="Normal"/>
        <w:spacing w:before="0" w:after="0"/>
        <w:ind w:left="720" w:hanging="720"/>
        <w:contextualSpacing/>
        <w:rPr>
          <w:rFonts w:eastAsia="Times New Roman" w:cs="Times New Roman"/>
          <w:szCs w:val="24"/>
          <w:lang w:val="en-CA" w:eastAsia="en-CA"/>
        </w:rPr>
      </w:pPr>
      <w:r>
        <w:rPr>
          <w:rFonts w:eastAsia="Times New Roman" w:cs="Times New Roman"/>
          <w:szCs w:val="24"/>
          <w:lang w:val="en-CA" w:eastAsia="en-CA"/>
        </w:rPr>
        <w:t xml:space="preserve">Vyas, L. and Butakhieo, N., 2021. The impact of working from home during COVID-19 on work and life domains: an exploratory study on Hong Kong. </w:t>
      </w:r>
      <w:r>
        <w:rPr>
          <w:rFonts w:eastAsia="Times New Roman" w:cs="Times New Roman"/>
          <w:i/>
          <w:iCs/>
          <w:szCs w:val="24"/>
          <w:lang w:val="en-CA" w:eastAsia="en-CA"/>
        </w:rPr>
        <w:t>Policy design and practice</w:t>
      </w:r>
      <w:r>
        <w:rPr>
          <w:rFonts w:eastAsia="Times New Roman" w:cs="Times New Roman"/>
          <w:szCs w:val="24"/>
          <w:lang w:val="en-CA" w:eastAsia="en-CA"/>
        </w:rPr>
        <w:t xml:space="preserve">, </w:t>
      </w:r>
      <w:r>
        <w:rPr>
          <w:rFonts w:eastAsia="Times New Roman" w:cs="Times New Roman"/>
          <w:i/>
          <w:iCs/>
          <w:szCs w:val="24"/>
          <w:lang w:val="en-CA" w:eastAsia="en-CA"/>
        </w:rPr>
        <w:t>4</w:t>
      </w:r>
      <w:r>
        <w:rPr>
          <w:rFonts w:eastAsia="Times New Roman" w:cs="Times New Roman"/>
          <w:szCs w:val="24"/>
          <w:lang w:val="en-CA" w:eastAsia="en-CA"/>
        </w:rPr>
        <w:t>(1), pp.59-76.</w:t>
      </w:r>
    </w:p>
    <w:p>
      <w:pPr>
        <w:pStyle w:val="Normal"/>
        <w:spacing w:before="0" w:after="160"/>
        <w:ind w:left="720" w:hanging="720"/>
        <w:contextualSpacing/>
        <w:rPr/>
      </w:pPr>
      <w:r>
        <w:rPr/>
      </w:r>
    </w:p>
    <w:p>
      <w:pPr>
        <w:pStyle w:val="Normal"/>
        <w:spacing w:before="0" w:after="160"/>
        <w:ind w:left="720" w:hanging="720"/>
        <w:contextualSpacing/>
        <w:rPr/>
      </w:pPr>
      <w:r>
        <w:rPr/>
      </w:r>
    </w:p>
    <w:sectPr>
      <w:footerReference w:type="default" r:id="rId3"/>
      <w:type w:val="nextPage"/>
      <w:pgSz w:w="12240" w:h="15840"/>
      <w:pgMar w:left="1440" w:right="1440" w:header="0" w:top="1440" w:footer="720" w:bottom="1440" w:gutter="0"/>
      <w:pgNumType w:start="0"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Light">
    <w:charset w:val="00"/>
    <w:family w:val="roman"/>
    <w:pitch w:val="variable"/>
  </w:font>
  <w:font w:name="Calibri">
    <w:charset w:val="00"/>
    <w:family w:val="roman"/>
    <w:pitch w:val="variable"/>
  </w:font>
  <w:font w:name="Arial">
    <w:charset w:val="00"/>
    <w:family w:val="roman"/>
    <w:pitch w:val="variable"/>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033680348"/>
    </w:sdtPr>
    <w:sdtContent>
      <w:p>
        <w:pPr>
          <w:pStyle w:val="Footer"/>
          <w:rPr/>
        </w:pPr>
        <w:r>
          <w:rPr/>
          <mc:AlternateContent>
            <mc:Choice Requires="wpg">
              <w:drawing>
                <wp:anchor behindDoc="1" distT="0" distB="0" distL="0" distR="0" simplePos="0" locked="0" layoutInCell="1" allowOverlap="1" relativeHeight="12" wp14:anchorId="362D5269">
                  <wp:simplePos x="0" y="0"/>
                  <wp:positionH relativeFrom="margin">
                    <wp:align>center</wp:align>
                  </wp:positionH>
                  <wp:positionV relativeFrom="paragraph">
                    <wp:align>center</wp:align>
                  </wp:positionV>
                  <wp:extent cx="419735" cy="322580"/>
                  <wp:effectExtent l="0" t="19050" r="0" b="11430"/>
                  <wp:wrapNone/>
                  <wp:docPr id="2" name="Group 1"/>
                  <a:graphic xmlns:a="http://schemas.openxmlformats.org/drawingml/2006/main">
                    <a:graphicData uri="http://schemas.microsoft.com/office/word/2010/wordprocessingGroup">
                      <wpg:wgp>
                        <wpg:cNvGrpSpPr/>
                        <wpg:grpSpPr>
                          <a:xfrm>
                            <a:off x="0" y="0"/>
                            <a:ext cx="419040" cy="321840"/>
                          </a:xfrm>
                        </wpg:grpSpPr>
                        <wps:wsp>
                          <wps:cNvSpPr/>
                          <wps:spPr>
                            <a:xfrm>
                              <a:off x="39240" y="0"/>
                              <a:ext cx="340200" cy="321840"/>
                            </a:xfrm>
                            <a:prstGeom prst="diamond">
                              <a:avLst/>
                            </a:prstGeom>
                            <a:noFill/>
                            <a:ln w="9360">
                              <a:solidFill>
                                <a:srgbClr val="a5a5a5"/>
                              </a:solidFill>
                              <a:miter/>
                            </a:ln>
                          </wps:spPr>
                          <wps:style>
                            <a:lnRef idx="0"/>
                            <a:fillRef idx="0"/>
                            <a:effectRef idx="0"/>
                            <a:fontRef idx="minor"/>
                          </wps:style>
                          <wps:bodyPr/>
                        </wps:wsp>
                        <wps:wsp>
                          <wps:cNvSpPr/>
                          <wps:spPr>
                            <a:xfrm>
                              <a:off x="74160" y="41760"/>
                              <a:ext cx="271080" cy="237960"/>
                            </a:xfrm>
                            <a:prstGeom prst="rect">
                              <a:avLst/>
                            </a:prstGeom>
                            <a:noFill/>
                            <a:ln w="9360">
                              <a:solidFill>
                                <a:srgbClr val="a5a5a5"/>
                              </a:solidFill>
                              <a:miter/>
                            </a:ln>
                          </wps:spPr>
                          <wps:style>
                            <a:lnRef idx="0"/>
                            <a:fillRef idx="0"/>
                            <a:effectRef idx="0"/>
                            <a:fontRef idx="minor"/>
                          </wps:style>
                          <wps:bodyPr/>
                        </wps:wsp>
                        <wps:wsp>
                          <wps:cNvSpPr/>
                          <wps:spPr>
                            <a:xfrm>
                              <a:off x="0" y="56520"/>
                              <a:ext cx="419040" cy="209520"/>
                            </a:xfrm>
                            <a:prstGeom prst="rect">
                              <a:avLst/>
                            </a:prstGeom>
                            <a:noFill/>
                            <a:ln>
                              <a:noFill/>
                            </a:ln>
                          </wps:spPr>
                          <wps:style>
                            <a:lnRef idx="0"/>
                            <a:fillRef idx="0"/>
                            <a:effectRef idx="0"/>
                            <a:fontRef idx="minor"/>
                          </wps:style>
                          <wps:txbx>
                            <w:txbxContent>
                              <w:p>
                                <w:pPr>
                                  <w:spacing w:before="0" w:after="0" w:lineRule="auto" w:line="240"/>
                                  <w:jc w:val="center"/>
                                  <w:rPr/>
                                </w:pPr>
                                <w:r>
                                  <w:rPr>
                                    <w:sz w:val="16"/>
                                    <w:b w:val="false"/>
                                    <w:u w:val="none"/>
                                    <w:dstrike w:val="false"/>
                                    <w:strike w:val="false"/>
                                    <w:i w:val="false"/>
                                    <w:vertAlign w:val="baseline"/>
                                    <w:position w:val="0"/>
                                    <w:spacing w:val="0"/>
                                    <w:szCs w:val="16"/>
                                    <w:bCs w:val="false"/>
                                    <w:iCs w:val="false"/>
                                    <w:smallCaps w:val="false"/>
                                    <w:caps w:val="false"/>
                                    <w:color w:val="323E4F"/>
                                  </w:rPr>
                                  <w:t>11</w:t>
                                </w:r>
                              </w:p>
                            </w:txbxContent>
                          </wps:txbx>
                          <wps:bodyPr lIns="0" rIns="0" tIns="27360" bIns="0">
                            <a:noAutofit/>
                          </wps:bodyPr>
                        </wps:wsp>
                        <wpg:grpSp>
                          <wpg:cNvGrpSpPr/>
                          <wpg:grpSpPr>
                            <a:xfrm>
                              <a:off x="28080" y="62280"/>
                              <a:ext cx="361800" cy="199440"/>
                            </a:xfrm>
                          </wpg:grpSpPr>
                          <wps:wsp>
                            <wps:cNvSpPr/>
                            <wps:spPr>
                              <a:xfrm rot="16200000">
                                <a:off x="0" y="0"/>
                                <a:ext cx="199440" cy="281880"/>
                              </a:xfrm>
                              <a:custGeom>
                                <a:avLst/>
                                <a:gdLst/>
                                <a:ahLst/>
                                <a:rect l="l" t="t" r="r" b="b"/>
                                <a:pathLst>
                                  <a:path w="21600" h="21600">
                                    <a:moveTo>
                                      <a:pt x="0" y="0"/>
                                    </a:moveTo>
                                    <a:lnTo>
                                      <a:pt x="5400" y="21600"/>
                                    </a:lnTo>
                                    <a:lnTo>
                                      <a:pt x="16200" y="21600"/>
                                    </a:lnTo>
                                    <a:lnTo>
                                      <a:pt x="21600" y="0"/>
                                    </a:lnTo>
                                    <a:lnTo>
                                      <a:pt x="0" y="0"/>
                                    </a:lnTo>
                                    <a:close/>
                                  </a:path>
                                </a:pathLst>
                              </a:custGeom>
                              <a:noFill/>
                              <a:ln w="9360">
                                <a:solidFill>
                                  <a:srgbClr val="a5a5a5"/>
                                </a:solidFill>
                                <a:miter/>
                              </a:ln>
                            </wps:spPr>
                            <wps:style>
                              <a:lnRef idx="0"/>
                              <a:fillRef idx="0"/>
                              <a:effectRef idx="0"/>
                              <a:fontRef idx="minor"/>
                            </wps:style>
                            <wps:bodyPr/>
                          </wps:wsp>
                          <wps:wsp>
                            <wps:cNvSpPr/>
                            <wps:spPr>
                              <a:xfrm flipH="1" rot="5400000">
                                <a:off x="79920" y="0"/>
                                <a:ext cx="199440" cy="281880"/>
                              </a:xfrm>
                              <a:custGeom>
                                <a:avLst/>
                                <a:gdLst/>
                                <a:ahLst/>
                                <a:rect l="l" t="t" r="r" b="b"/>
                                <a:pathLst>
                                  <a:path w="21600" h="21600">
                                    <a:moveTo>
                                      <a:pt x="0" y="0"/>
                                    </a:moveTo>
                                    <a:lnTo>
                                      <a:pt x="5400" y="21600"/>
                                    </a:lnTo>
                                    <a:lnTo>
                                      <a:pt x="16200" y="21600"/>
                                    </a:lnTo>
                                    <a:lnTo>
                                      <a:pt x="21600" y="0"/>
                                    </a:lnTo>
                                    <a:lnTo>
                                      <a:pt x="0" y="0"/>
                                    </a:lnTo>
                                    <a:close/>
                                  </a:path>
                                </a:pathLst>
                              </a:custGeom>
                              <a:noFill/>
                              <a:ln w="9360">
                                <a:solidFill>
                                  <a:srgbClr val="a5a5a5"/>
                                </a:solidFill>
                                <a:miter/>
                              </a:ln>
                            </wps:spPr>
                            <wps:style>
                              <a:lnRef idx="0"/>
                              <a:fillRef idx="0"/>
                              <a:effectRef idx="0"/>
                              <a:fontRef idx="minor"/>
                            </wps:style>
                            <wps:bodyPr/>
                          </wps:wsp>
                        </wpg:grpSp>
                      </wpg:wgp>
                    </a:graphicData>
                  </a:graphic>
                </wp:anchor>
              </w:drawing>
            </mc:Choice>
            <mc:Fallback>
              <w:pict>
                <v:group id="shape_0" alt="Group 1" style="position:absolute;margin-left:217.5pt;margin-top:-5.8pt;width:33pt;height:25.35pt" coordorigin="4350,-116" coordsize="660,507">
                  <v:shapetype id="shapetype_4" coordsize="21600,21600" o:spt="4" path="m,10800l10800,l21600,10800l10800,21600xe">
                    <v:stroke joinstyle="miter"/>
                    <v:formulas>
                      <v:f eqn="prod width 3 4"/>
                      <v:f eqn="prod height 3 4"/>
                    </v:formulas>
                    <v:path gradientshapeok="t" o:connecttype="rect" textboxrect="5400,5400,@0,@1"/>
                  </v:shapetype>
                  <v:shape id="shape_0" ID="AutoShape 88" stroked="t" style="position:absolute;left:4412;top:-116;width:535;height:506;mso-position-horizontal:center;mso-position-horizontal-relative:margin;mso-position-vertical:center" type="shapetype_4">
                    <w10:wrap type="none"/>
                    <v:fill o:detectmouseclick="t" on="false"/>
                    <v:stroke color="#a5a5a5" weight="9360" joinstyle="miter" endcap="flat"/>
                  </v:shape>
                  <v:rect id="shape_0" ID="Rectangle 89" stroked="t" style="position:absolute;left:4467;top:-50;width:426;height:374;mso-position-horizontal:center;mso-position-horizontal-relative:margin;mso-position-vertical:center">
                    <w10:wrap type="none"/>
                    <v:fill o:detectmouseclick="t" on="false"/>
                    <v:stroke color="#a5a5a5" weight="9360" joinstyle="miter" endcap="flat"/>
                  </v:rect>
                  <v:rect id="shape_0" ID="Text Box 90" stroked="f" style="position:absolute;left:4350;top:-27;width:659;height:329;mso-position-horizontal:center;mso-position-horizontal-relative:margin;mso-position-vertical:center">
                    <v:textbox>
                      <w:txbxContent>
                        <w:p>
                          <w:pPr>
                            <w:spacing w:before="0" w:after="0" w:lineRule="auto" w:line="240"/>
                            <w:jc w:val="center"/>
                            <w:rPr/>
                          </w:pPr>
                          <w:r>
                            <w:rPr>
                              <w:sz w:val="16"/>
                              <w:b w:val="false"/>
                              <w:u w:val="none"/>
                              <w:dstrike w:val="false"/>
                              <w:strike w:val="false"/>
                              <w:i w:val="false"/>
                              <w:vertAlign w:val="baseline"/>
                              <w:position w:val="0"/>
                              <w:spacing w:val="0"/>
                              <w:szCs w:val="16"/>
                              <w:bCs w:val="false"/>
                              <w:iCs w:val="false"/>
                              <w:smallCaps w:val="false"/>
                              <w:caps w:val="false"/>
                              <w:color w:val="323E4F"/>
                            </w:rPr>
                            <w:t>11</w:t>
                          </w:r>
                        </w:p>
                      </w:txbxContent>
                    </v:textbox>
                    <w10:wrap type="square"/>
                    <v:fill o:detectmouseclick="t" on="false"/>
                    <v:stroke color="#3465a4" joinstyle="round" endcap="flat"/>
                  </v:rect>
                  <v:group id="shape_0" alt="Group 91" style="position:absolute;left:4459;top:-84;width:440;height:444"/>
                </v:group>
              </w:pict>
            </mc:Fallback>
          </mc:AlternateContent>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6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Cs w:val="24"/>
        <w:lang w:val="en-GB" w:eastAsia="zh-CN" w:bidi="hi-IN"/>
      </w:rPr>
    </w:rPrDefault>
    <w:pPrDefault>
      <w:pPr>
        <w:widowControl/>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32b10"/>
    <w:pPr>
      <w:widowControl/>
      <w:kinsoku w:val="true"/>
      <w:overflowPunct w:val="true"/>
      <w:autoSpaceDE w:val="true"/>
      <w:bidi w:val="0"/>
      <w:spacing w:lineRule="auto" w:line="360" w:before="0" w:after="160"/>
      <w:jc w:val="both"/>
    </w:pPr>
    <w:rPr>
      <w:rFonts w:ascii="Times New Roman" w:hAnsi="Times New Roman" w:eastAsia="NSimSun" w:cs="Lucida Sans"/>
      <w:color w:val="auto"/>
      <w:kern w:val="2"/>
      <w:sz w:val="24"/>
      <w:szCs w:val="24"/>
      <w:lang w:val="en-GB" w:eastAsia="zh-CN" w:bidi="hi-IN"/>
    </w:rPr>
  </w:style>
  <w:style w:type="paragraph" w:styleId="Heading1">
    <w:name w:val="Heading 1"/>
    <w:basedOn w:val="Normal"/>
    <w:next w:val="Normal"/>
    <w:link w:val="Heading1Char"/>
    <w:uiPriority w:val="9"/>
    <w:qFormat/>
    <w:rsid w:val="00191934"/>
    <w:pPr>
      <w:keepNext w:val="true"/>
      <w:keepLines/>
      <w:spacing w:lineRule="auto" w:line="240" w:before="400" w:after="40"/>
      <w:outlineLvl w:val="0"/>
    </w:pPr>
    <w:rPr>
      <w:rFonts w:eastAsia="" w:cs="" w:cstheme="majorBidi" w:eastAsiaTheme="majorEastAsia"/>
      <w:b/>
      <w:sz w:val="32"/>
      <w:szCs w:val="36"/>
    </w:rPr>
  </w:style>
  <w:style w:type="paragraph" w:styleId="Heading2">
    <w:name w:val="Heading 2"/>
    <w:basedOn w:val="Normal"/>
    <w:next w:val="Normal"/>
    <w:link w:val="Heading2Char"/>
    <w:uiPriority w:val="9"/>
    <w:semiHidden/>
    <w:unhideWhenUsed/>
    <w:qFormat/>
    <w:rsid w:val="00396eb3"/>
    <w:pPr>
      <w:keepNext w:val="true"/>
      <w:keepLines/>
      <w:spacing w:lineRule="auto" w:line="240" w:before="40" w:after="0"/>
      <w:outlineLvl w:val="1"/>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3">
    <w:name w:val="Heading 3"/>
    <w:basedOn w:val="Normal"/>
    <w:next w:val="Normal"/>
    <w:link w:val="Heading3Char"/>
    <w:uiPriority w:val="9"/>
    <w:semiHidden/>
    <w:unhideWhenUsed/>
    <w:qFormat/>
    <w:rsid w:val="00396eb3"/>
    <w:pPr>
      <w:keepNext w:val="true"/>
      <w:keepLines/>
      <w:spacing w:lineRule="auto" w:line="240" w:before="40" w:after="0"/>
      <w:outlineLvl w:val="2"/>
    </w:pPr>
    <w:rPr>
      <w:rFonts w:ascii="Calibri Light" w:hAnsi="Calibri Light" w:eastAsia="" w:cs="" w:asciiTheme="majorHAnsi" w:cstheme="majorBidi" w:eastAsiaTheme="majorEastAsia" w:hAnsiTheme="majorHAnsi"/>
      <w:color w:val="2F5496" w:themeColor="accent1" w:themeShade="bf"/>
      <w:sz w:val="28"/>
      <w:szCs w:val="28"/>
    </w:rPr>
  </w:style>
  <w:style w:type="paragraph" w:styleId="Heading4">
    <w:name w:val="Heading 4"/>
    <w:basedOn w:val="Normal"/>
    <w:next w:val="Normal"/>
    <w:link w:val="Heading4Char"/>
    <w:uiPriority w:val="9"/>
    <w:semiHidden/>
    <w:unhideWhenUsed/>
    <w:qFormat/>
    <w:rsid w:val="00396eb3"/>
    <w:pPr>
      <w:keepNext w:val="true"/>
      <w:keepLines/>
      <w:spacing w:before="40" w:after="0"/>
      <w:outlineLvl w:val="3"/>
    </w:pPr>
    <w:rPr>
      <w:rFonts w:ascii="Calibri Light" w:hAnsi="Calibri Light" w:eastAsia="" w:cs="" w:asciiTheme="majorHAnsi" w:cstheme="majorBidi" w:eastAsiaTheme="majorEastAsia" w:hAnsiTheme="majorHAnsi"/>
      <w:color w:val="2F5496" w:themeColor="accent1" w:themeShade="bf"/>
      <w:szCs w:val="24"/>
    </w:rPr>
  </w:style>
  <w:style w:type="paragraph" w:styleId="Heading5">
    <w:name w:val="Heading 5"/>
    <w:basedOn w:val="Normal"/>
    <w:next w:val="Normal"/>
    <w:link w:val="Heading5Char"/>
    <w:uiPriority w:val="9"/>
    <w:semiHidden/>
    <w:unhideWhenUsed/>
    <w:qFormat/>
    <w:rsid w:val="00396eb3"/>
    <w:pPr>
      <w:keepNext w:val="true"/>
      <w:keepLines/>
      <w:spacing w:before="40" w:after="0"/>
      <w:outlineLvl w:val="4"/>
    </w:pPr>
    <w:rPr>
      <w:rFonts w:ascii="Calibri Light" w:hAnsi="Calibri Light" w:eastAsia="" w:cs="" w:asciiTheme="majorHAnsi" w:cstheme="majorBidi" w:eastAsiaTheme="majorEastAsia" w:hAnsiTheme="majorHAnsi"/>
      <w:caps/>
      <w:color w:val="2F5496" w:themeColor="accent1" w:themeShade="bf"/>
    </w:rPr>
  </w:style>
  <w:style w:type="paragraph" w:styleId="Heading6">
    <w:name w:val="Heading 6"/>
    <w:basedOn w:val="Normal"/>
    <w:next w:val="Normal"/>
    <w:link w:val="Heading6Char"/>
    <w:uiPriority w:val="9"/>
    <w:semiHidden/>
    <w:unhideWhenUsed/>
    <w:qFormat/>
    <w:rsid w:val="00396eb3"/>
    <w:pPr>
      <w:keepNext w:val="true"/>
      <w:keepLines/>
      <w:spacing w:before="40" w:after="0"/>
      <w:outlineLvl w:val="5"/>
    </w:pPr>
    <w:rPr>
      <w:rFonts w:ascii="Calibri Light" w:hAnsi="Calibri Light" w:eastAsia="" w:cs="" w:asciiTheme="majorHAnsi" w:cstheme="majorBidi" w:eastAsiaTheme="majorEastAsia" w:hAnsiTheme="majorHAnsi"/>
      <w:i/>
      <w:iCs/>
      <w:caps/>
      <w:color w:val="1F3864" w:themeColor="accent1" w:themeShade="80"/>
    </w:rPr>
  </w:style>
  <w:style w:type="paragraph" w:styleId="Heading7">
    <w:name w:val="Heading 7"/>
    <w:basedOn w:val="Normal"/>
    <w:next w:val="Normal"/>
    <w:link w:val="Heading7Char"/>
    <w:uiPriority w:val="9"/>
    <w:semiHidden/>
    <w:unhideWhenUsed/>
    <w:qFormat/>
    <w:rsid w:val="00396eb3"/>
    <w:pPr>
      <w:keepNext w:val="true"/>
      <w:keepLines/>
      <w:spacing w:before="40" w:after="0"/>
      <w:outlineLvl w:val="6"/>
    </w:pPr>
    <w:rPr>
      <w:rFonts w:ascii="Calibri Light" w:hAnsi="Calibri Light" w:eastAsia="" w:cs="" w:asciiTheme="majorHAnsi" w:cstheme="majorBidi" w:eastAsiaTheme="majorEastAsia" w:hAnsiTheme="majorHAnsi"/>
      <w:b/>
      <w:bCs/>
      <w:color w:val="1F3864" w:themeColor="accent1" w:themeShade="80"/>
    </w:rPr>
  </w:style>
  <w:style w:type="paragraph" w:styleId="Heading8">
    <w:name w:val="Heading 8"/>
    <w:basedOn w:val="Normal"/>
    <w:next w:val="Normal"/>
    <w:link w:val="Heading8Char"/>
    <w:uiPriority w:val="9"/>
    <w:semiHidden/>
    <w:unhideWhenUsed/>
    <w:qFormat/>
    <w:rsid w:val="00396eb3"/>
    <w:pPr>
      <w:keepNext w:val="true"/>
      <w:keepLines/>
      <w:spacing w:before="40" w:after="0"/>
      <w:outlineLvl w:val="7"/>
    </w:pPr>
    <w:rPr>
      <w:rFonts w:ascii="Calibri Light" w:hAnsi="Calibri Light" w:eastAsia="" w:cs="" w:asciiTheme="majorHAnsi" w:cstheme="majorBidi" w:eastAsiaTheme="majorEastAsia" w:hAnsiTheme="majorHAnsi"/>
      <w:b/>
      <w:bCs/>
      <w:i/>
      <w:iCs/>
      <w:color w:val="1F3864" w:themeColor="accent1" w:themeShade="80"/>
    </w:rPr>
  </w:style>
  <w:style w:type="paragraph" w:styleId="Heading9">
    <w:name w:val="Heading 9"/>
    <w:basedOn w:val="Normal"/>
    <w:next w:val="Normal"/>
    <w:link w:val="Heading9Char"/>
    <w:uiPriority w:val="9"/>
    <w:semiHidden/>
    <w:unhideWhenUsed/>
    <w:qFormat/>
    <w:rsid w:val="00396eb3"/>
    <w:pPr>
      <w:keepNext w:val="true"/>
      <w:keepLines/>
      <w:spacing w:before="40" w:after="0"/>
      <w:outlineLvl w:val="8"/>
    </w:pPr>
    <w:rPr>
      <w:rFonts w:ascii="Calibri Light" w:hAnsi="Calibri Light" w:eastAsia="" w:cs="" w:asciiTheme="majorHAnsi" w:cstheme="majorBidi" w:eastAsiaTheme="majorEastAsia" w:hAnsiTheme="majorHAnsi"/>
      <w:i/>
      <w:iCs/>
      <w:color w:val="1F3864" w:themeColor="accent1" w:themeShade="80"/>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be49ae"/>
    <w:rPr/>
  </w:style>
  <w:style w:type="character" w:styleId="Heading1Char" w:customStyle="1">
    <w:name w:val="Heading 1 Char"/>
    <w:basedOn w:val="DefaultParagraphFont"/>
    <w:link w:val="Heading1"/>
    <w:uiPriority w:val="9"/>
    <w:qFormat/>
    <w:rsid w:val="00191934"/>
    <w:rPr>
      <w:rFonts w:ascii="Times New Roman" w:hAnsi="Times New Roman" w:eastAsia="" w:cs="" w:cstheme="majorBidi" w:eastAsiaTheme="majorEastAsia"/>
      <w:b/>
      <w:sz w:val="32"/>
      <w:szCs w:val="36"/>
    </w:rPr>
  </w:style>
  <w:style w:type="character" w:styleId="Heading2Char" w:customStyle="1">
    <w:name w:val="Heading 2 Char"/>
    <w:basedOn w:val="DefaultParagraphFont"/>
    <w:link w:val="Heading2"/>
    <w:uiPriority w:val="9"/>
    <w:semiHidden/>
    <w:qFormat/>
    <w:rsid w:val="00396eb3"/>
    <w:rPr>
      <w:rFonts w:ascii="Calibri Light" w:hAnsi="Calibri Light" w:eastAsia="" w:cs="" w:asciiTheme="majorHAnsi" w:cstheme="majorBidi" w:eastAsiaTheme="majorEastAsia" w:hAnsiTheme="majorHAnsi"/>
      <w:color w:val="2F5496" w:themeColor="accent1" w:themeShade="bf"/>
      <w:sz w:val="32"/>
      <w:szCs w:val="32"/>
    </w:rPr>
  </w:style>
  <w:style w:type="character" w:styleId="Heading3Char" w:customStyle="1">
    <w:name w:val="Heading 3 Char"/>
    <w:basedOn w:val="DefaultParagraphFont"/>
    <w:link w:val="Heading3"/>
    <w:uiPriority w:val="9"/>
    <w:semiHidden/>
    <w:qFormat/>
    <w:rsid w:val="00396eb3"/>
    <w:rPr>
      <w:rFonts w:ascii="Calibri Light" w:hAnsi="Calibri Light" w:eastAsia="" w:cs="" w:asciiTheme="majorHAnsi" w:cstheme="majorBidi" w:eastAsiaTheme="majorEastAsia" w:hAnsiTheme="majorHAnsi"/>
      <w:color w:val="2F5496" w:themeColor="accent1" w:themeShade="bf"/>
      <w:sz w:val="28"/>
      <w:szCs w:val="28"/>
    </w:rPr>
  </w:style>
  <w:style w:type="character" w:styleId="Heading4Char" w:customStyle="1">
    <w:name w:val="Heading 4 Char"/>
    <w:basedOn w:val="DefaultParagraphFont"/>
    <w:link w:val="Heading4"/>
    <w:uiPriority w:val="9"/>
    <w:semiHidden/>
    <w:qFormat/>
    <w:rsid w:val="00396eb3"/>
    <w:rPr>
      <w:rFonts w:ascii="Calibri Light" w:hAnsi="Calibri Light" w:eastAsia="" w:cs="" w:asciiTheme="majorHAnsi" w:cstheme="majorBidi" w:eastAsiaTheme="majorEastAsia" w:hAnsiTheme="majorHAnsi"/>
      <w:color w:val="2F5496" w:themeColor="accent1" w:themeShade="bf"/>
      <w:sz w:val="24"/>
      <w:szCs w:val="24"/>
    </w:rPr>
  </w:style>
  <w:style w:type="character" w:styleId="Heading5Char" w:customStyle="1">
    <w:name w:val="Heading 5 Char"/>
    <w:basedOn w:val="DefaultParagraphFont"/>
    <w:link w:val="Heading5"/>
    <w:uiPriority w:val="9"/>
    <w:semiHidden/>
    <w:qFormat/>
    <w:rsid w:val="00396eb3"/>
    <w:rPr>
      <w:rFonts w:ascii="Calibri Light" w:hAnsi="Calibri Light" w:eastAsia="" w:cs="" w:asciiTheme="majorHAnsi" w:cstheme="majorBidi" w:eastAsiaTheme="majorEastAsia" w:hAnsiTheme="majorHAnsi"/>
      <w:caps/>
      <w:color w:val="2F5496" w:themeColor="accent1" w:themeShade="bf"/>
    </w:rPr>
  </w:style>
  <w:style w:type="character" w:styleId="Heading6Char" w:customStyle="1">
    <w:name w:val="Heading 6 Char"/>
    <w:basedOn w:val="DefaultParagraphFont"/>
    <w:link w:val="Heading6"/>
    <w:uiPriority w:val="9"/>
    <w:semiHidden/>
    <w:qFormat/>
    <w:rsid w:val="00396eb3"/>
    <w:rPr>
      <w:rFonts w:ascii="Calibri Light" w:hAnsi="Calibri Light" w:eastAsia="" w:cs="" w:asciiTheme="majorHAnsi" w:cstheme="majorBidi" w:eastAsiaTheme="majorEastAsia" w:hAnsiTheme="majorHAnsi"/>
      <w:i/>
      <w:iCs/>
      <w:caps/>
      <w:color w:val="1F3864" w:themeColor="accent1" w:themeShade="80"/>
    </w:rPr>
  </w:style>
  <w:style w:type="character" w:styleId="Heading7Char" w:customStyle="1">
    <w:name w:val="Heading 7 Char"/>
    <w:basedOn w:val="DefaultParagraphFont"/>
    <w:link w:val="Heading7"/>
    <w:uiPriority w:val="9"/>
    <w:semiHidden/>
    <w:qFormat/>
    <w:rsid w:val="00396eb3"/>
    <w:rPr>
      <w:rFonts w:ascii="Calibri Light" w:hAnsi="Calibri Light" w:eastAsia="" w:cs="" w:asciiTheme="majorHAnsi" w:cstheme="majorBidi" w:eastAsiaTheme="majorEastAsia" w:hAnsiTheme="majorHAnsi"/>
      <w:b/>
      <w:bCs/>
      <w:color w:val="1F3864" w:themeColor="accent1" w:themeShade="80"/>
    </w:rPr>
  </w:style>
  <w:style w:type="character" w:styleId="Heading8Char" w:customStyle="1">
    <w:name w:val="Heading 8 Char"/>
    <w:basedOn w:val="DefaultParagraphFont"/>
    <w:link w:val="Heading8"/>
    <w:uiPriority w:val="9"/>
    <w:semiHidden/>
    <w:qFormat/>
    <w:rsid w:val="00396eb3"/>
    <w:rPr>
      <w:rFonts w:ascii="Calibri Light" w:hAnsi="Calibri Light" w:eastAsia="" w:cs="" w:asciiTheme="majorHAnsi" w:cstheme="majorBidi" w:eastAsiaTheme="majorEastAsia" w:hAnsiTheme="majorHAnsi"/>
      <w:b/>
      <w:bCs/>
      <w:i/>
      <w:iCs/>
      <w:color w:val="1F3864" w:themeColor="accent1" w:themeShade="80"/>
    </w:rPr>
  </w:style>
  <w:style w:type="character" w:styleId="Heading9Char" w:customStyle="1">
    <w:name w:val="Heading 9 Char"/>
    <w:basedOn w:val="DefaultParagraphFont"/>
    <w:link w:val="Heading9"/>
    <w:uiPriority w:val="9"/>
    <w:semiHidden/>
    <w:qFormat/>
    <w:rsid w:val="00396eb3"/>
    <w:rPr>
      <w:rFonts w:ascii="Calibri Light" w:hAnsi="Calibri Light" w:eastAsia="" w:cs="" w:asciiTheme="majorHAnsi" w:cstheme="majorBidi" w:eastAsiaTheme="majorEastAsia" w:hAnsiTheme="majorHAnsi"/>
      <w:i/>
      <w:iCs/>
      <w:color w:val="1F3864" w:themeColor="accent1" w:themeShade="80"/>
    </w:rPr>
  </w:style>
  <w:style w:type="character" w:styleId="TitleChar" w:customStyle="1">
    <w:name w:val="Title Char"/>
    <w:basedOn w:val="DefaultParagraphFont"/>
    <w:link w:val="Title"/>
    <w:uiPriority w:val="10"/>
    <w:qFormat/>
    <w:rsid w:val="00396eb3"/>
    <w:rPr>
      <w:rFonts w:ascii="Calibri Light" w:hAnsi="Calibri Light" w:eastAsia="" w:cs="" w:asciiTheme="majorHAnsi" w:cstheme="majorBidi" w:eastAsiaTheme="majorEastAsia" w:hAnsiTheme="majorHAnsi"/>
      <w:caps/>
      <w:color w:val="44546A" w:themeColor="text2"/>
      <w:spacing w:val="-15"/>
      <w:sz w:val="72"/>
      <w:szCs w:val="72"/>
    </w:rPr>
  </w:style>
  <w:style w:type="character" w:styleId="SubtitleChar" w:customStyle="1">
    <w:name w:val="Subtitle Char"/>
    <w:basedOn w:val="DefaultParagraphFont"/>
    <w:link w:val="Subtitle"/>
    <w:uiPriority w:val="11"/>
    <w:qFormat/>
    <w:rsid w:val="00396eb3"/>
    <w:rPr>
      <w:rFonts w:ascii="Calibri Light" w:hAnsi="Calibri Light" w:eastAsia="" w:cs="" w:asciiTheme="majorHAnsi" w:cstheme="majorBidi" w:eastAsiaTheme="majorEastAsia" w:hAnsiTheme="majorHAnsi"/>
      <w:color w:val="4472C4" w:themeColor="accent1"/>
      <w:sz w:val="28"/>
      <w:szCs w:val="28"/>
    </w:rPr>
  </w:style>
  <w:style w:type="character" w:styleId="Strong">
    <w:name w:val="Strong"/>
    <w:basedOn w:val="DefaultParagraphFont"/>
    <w:uiPriority w:val="22"/>
    <w:qFormat/>
    <w:rsid w:val="00396eb3"/>
    <w:rPr>
      <w:b/>
      <w:bCs/>
    </w:rPr>
  </w:style>
  <w:style w:type="character" w:styleId="Emphasis">
    <w:name w:val="Emphasis"/>
    <w:basedOn w:val="DefaultParagraphFont"/>
    <w:uiPriority w:val="20"/>
    <w:qFormat/>
    <w:rsid w:val="00396eb3"/>
    <w:rPr>
      <w:i/>
      <w:iCs/>
    </w:rPr>
  </w:style>
  <w:style w:type="character" w:styleId="QuoteChar" w:customStyle="1">
    <w:name w:val="Quote Char"/>
    <w:basedOn w:val="DefaultParagraphFont"/>
    <w:link w:val="Quote"/>
    <w:uiPriority w:val="29"/>
    <w:qFormat/>
    <w:rsid w:val="00396eb3"/>
    <w:rPr>
      <w:color w:val="44546A" w:themeColor="text2"/>
      <w:sz w:val="24"/>
      <w:szCs w:val="24"/>
    </w:rPr>
  </w:style>
  <w:style w:type="character" w:styleId="IntenseQuoteChar" w:customStyle="1">
    <w:name w:val="Intense Quote Char"/>
    <w:basedOn w:val="DefaultParagraphFont"/>
    <w:link w:val="IntenseQuote"/>
    <w:uiPriority w:val="30"/>
    <w:qFormat/>
    <w:rsid w:val="00396eb3"/>
    <w:rPr>
      <w:rFonts w:ascii="Calibri Light" w:hAnsi="Calibri Light" w:eastAsia="" w:cs="" w:asciiTheme="majorHAnsi" w:cstheme="majorBidi" w:eastAsiaTheme="majorEastAsia" w:hAnsiTheme="majorHAnsi"/>
      <w:color w:val="44546A" w:themeColor="text2"/>
      <w:spacing w:val="-6"/>
      <w:sz w:val="32"/>
      <w:szCs w:val="32"/>
    </w:rPr>
  </w:style>
  <w:style w:type="character" w:styleId="SubtleEmphasis">
    <w:name w:val="Subtle Emphasis"/>
    <w:basedOn w:val="DefaultParagraphFont"/>
    <w:uiPriority w:val="19"/>
    <w:qFormat/>
    <w:rsid w:val="00396eb3"/>
    <w:rPr>
      <w:i/>
      <w:iCs/>
      <w:color w:val="595959" w:themeColor="text1" w:themeTint="a6"/>
    </w:rPr>
  </w:style>
  <w:style w:type="character" w:styleId="IntenseEmphasis">
    <w:name w:val="Intense Emphasis"/>
    <w:basedOn w:val="DefaultParagraphFont"/>
    <w:uiPriority w:val="21"/>
    <w:qFormat/>
    <w:rsid w:val="00396eb3"/>
    <w:rPr>
      <w:b/>
      <w:bCs/>
      <w:i/>
      <w:iCs/>
    </w:rPr>
  </w:style>
  <w:style w:type="character" w:styleId="SubtleReference">
    <w:name w:val="Subtle Reference"/>
    <w:basedOn w:val="DefaultParagraphFont"/>
    <w:uiPriority w:val="31"/>
    <w:qFormat/>
    <w:rsid w:val="00396eb3"/>
    <w:rPr>
      <w:smallCaps/>
      <w:color w:val="595959" w:themeColor="text1" w:themeTint="a6"/>
      <w:u w:val="none" w:color="7F7F7F"/>
    </w:rPr>
  </w:style>
  <w:style w:type="character" w:styleId="IntenseReference">
    <w:name w:val="Intense Reference"/>
    <w:basedOn w:val="DefaultParagraphFont"/>
    <w:uiPriority w:val="32"/>
    <w:qFormat/>
    <w:rsid w:val="00396eb3"/>
    <w:rPr>
      <w:b/>
      <w:bCs/>
      <w:smallCaps/>
      <w:color w:val="44546A" w:themeColor="text2"/>
      <w:u w:val="single"/>
    </w:rPr>
  </w:style>
  <w:style w:type="character" w:styleId="BookTitle">
    <w:name w:val="Book Title"/>
    <w:basedOn w:val="DefaultParagraphFont"/>
    <w:uiPriority w:val="33"/>
    <w:qFormat/>
    <w:rsid w:val="00396eb3"/>
    <w:rPr>
      <w:b/>
      <w:bCs/>
      <w:smallCaps/>
      <w:spacing w:val="10"/>
    </w:rPr>
  </w:style>
  <w:style w:type="character" w:styleId="InternetLink">
    <w:name w:val="Internet Link"/>
    <w:basedOn w:val="DefaultParagraphFont"/>
    <w:uiPriority w:val="99"/>
    <w:unhideWhenUsed/>
    <w:rsid w:val="002a6b06"/>
    <w:rPr>
      <w:color w:val="0563C1" w:themeColor="hyperlink"/>
      <w:u w:val="single"/>
    </w:rPr>
  </w:style>
  <w:style w:type="character" w:styleId="HeaderChar" w:customStyle="1">
    <w:name w:val="Header Char"/>
    <w:basedOn w:val="DefaultParagraphFont"/>
    <w:link w:val="Header"/>
    <w:uiPriority w:val="99"/>
    <w:qFormat/>
    <w:rsid w:val="002a6b06"/>
    <w:rPr>
      <w:rFonts w:ascii="Times New Roman" w:hAnsi="Times New Roman"/>
      <w:sz w:val="24"/>
    </w:rPr>
  </w:style>
  <w:style w:type="character" w:styleId="FooterChar" w:customStyle="1">
    <w:name w:val="Footer Char"/>
    <w:basedOn w:val="DefaultParagraphFont"/>
    <w:link w:val="Footer"/>
    <w:uiPriority w:val="99"/>
    <w:qFormat/>
    <w:rsid w:val="002a6b06"/>
    <w:rPr>
      <w:rFonts w:ascii="Times New Roman" w:hAnsi="Times New Roman"/>
      <w:sz w:val="2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IndexLink">
    <w:name w:val="Index Link"/>
    <w:qFormat/>
    <w:rPr/>
  </w:style>
  <w:style w:type="character" w:styleId="PlaceholderText">
    <w:name w:val="Placeholder Text"/>
    <w:basedOn w:val="DefaultParagraphFont"/>
    <w:qFormat/>
    <w:rPr>
      <w:color w:val="808080"/>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Spacing">
    <w:name w:val="No Spacing"/>
    <w:link w:val="NoSpacingChar"/>
    <w:uiPriority w:val="1"/>
    <w:qFormat/>
    <w:rsid w:val="00396eb3"/>
    <w:pPr>
      <w:widowControl/>
      <w:kinsoku w:val="true"/>
      <w:overflowPunct w:val="true"/>
      <w:autoSpaceDE w:val="true"/>
      <w:bidi w:val="0"/>
      <w:spacing w:lineRule="auto" w:line="240" w:before="0" w:after="0"/>
      <w:jc w:val="left"/>
    </w:pPr>
    <w:rPr>
      <w:rFonts w:ascii="Times New Roman" w:hAnsi="Times New Roman" w:eastAsia="NSimSun" w:cs="Lucida Sans"/>
      <w:color w:val="auto"/>
      <w:kern w:val="2"/>
      <w:sz w:val="24"/>
      <w:szCs w:val="24"/>
      <w:lang w:val="en-GB" w:eastAsia="zh-CN" w:bidi="hi-IN"/>
    </w:rPr>
  </w:style>
  <w:style w:type="paragraph" w:styleId="Caption1">
    <w:name w:val="caption"/>
    <w:basedOn w:val="Normal"/>
    <w:next w:val="Normal"/>
    <w:uiPriority w:val="35"/>
    <w:semiHidden/>
    <w:unhideWhenUsed/>
    <w:qFormat/>
    <w:rsid w:val="00396eb3"/>
    <w:pPr>
      <w:spacing w:lineRule="auto" w:line="240"/>
    </w:pPr>
    <w:rPr>
      <w:b/>
      <w:bCs/>
      <w:smallCaps/>
      <w:color w:val="44546A" w:themeColor="text2"/>
    </w:rPr>
  </w:style>
  <w:style w:type="paragraph" w:styleId="Title">
    <w:name w:val="Title"/>
    <w:basedOn w:val="Normal"/>
    <w:next w:val="Normal"/>
    <w:link w:val="TitleChar"/>
    <w:uiPriority w:val="10"/>
    <w:qFormat/>
    <w:rsid w:val="00396eb3"/>
    <w:pPr>
      <w:spacing w:lineRule="auto" w:line="204" w:before="0" w:after="0"/>
      <w:contextualSpacing/>
    </w:pPr>
    <w:rPr>
      <w:rFonts w:ascii="Calibri Light" w:hAnsi="Calibri Light" w:eastAsia="" w:cs="" w:asciiTheme="majorHAnsi" w:cstheme="majorBidi" w:eastAsiaTheme="majorEastAsia" w:hAnsiTheme="majorHAnsi"/>
      <w:caps/>
      <w:color w:val="44546A" w:themeColor="text2"/>
      <w:spacing w:val="-15"/>
      <w:sz w:val="72"/>
      <w:szCs w:val="72"/>
    </w:rPr>
  </w:style>
  <w:style w:type="paragraph" w:styleId="Subtitle">
    <w:name w:val="Subtitle"/>
    <w:basedOn w:val="Normal"/>
    <w:next w:val="Normal"/>
    <w:link w:val="SubtitleChar"/>
    <w:uiPriority w:val="11"/>
    <w:qFormat/>
    <w:rsid w:val="00396eb3"/>
    <w:pPr>
      <w:spacing w:lineRule="auto" w:line="240" w:before="0" w:after="240"/>
    </w:pPr>
    <w:rPr>
      <w:rFonts w:ascii="Calibri Light" w:hAnsi="Calibri Light" w:eastAsia="" w:cs="" w:asciiTheme="majorHAnsi" w:cstheme="majorBidi" w:eastAsiaTheme="majorEastAsia" w:hAnsiTheme="majorHAnsi"/>
      <w:color w:val="4472C4" w:themeColor="accent1"/>
      <w:sz w:val="28"/>
      <w:szCs w:val="28"/>
    </w:rPr>
  </w:style>
  <w:style w:type="paragraph" w:styleId="Quote">
    <w:name w:val="Quote"/>
    <w:basedOn w:val="Normal"/>
    <w:next w:val="Normal"/>
    <w:link w:val="QuoteChar"/>
    <w:uiPriority w:val="29"/>
    <w:qFormat/>
    <w:rsid w:val="00396eb3"/>
    <w:pPr>
      <w:spacing w:before="120" w:after="120"/>
      <w:ind w:left="720" w:hanging="0"/>
    </w:pPr>
    <w:rPr>
      <w:color w:val="44546A" w:themeColor="text2"/>
      <w:szCs w:val="24"/>
    </w:rPr>
  </w:style>
  <w:style w:type="paragraph" w:styleId="IntenseQuote">
    <w:name w:val="Intense Quote"/>
    <w:basedOn w:val="Normal"/>
    <w:next w:val="Normal"/>
    <w:link w:val="IntenseQuoteChar"/>
    <w:uiPriority w:val="30"/>
    <w:qFormat/>
    <w:rsid w:val="00396eb3"/>
    <w:pPr>
      <w:spacing w:lineRule="auto" w:line="240" w:beforeAutospacing="1" w:after="240"/>
      <w:ind w:left="720" w:hanging="0"/>
      <w:jc w:val="center"/>
    </w:pPr>
    <w:rPr>
      <w:rFonts w:ascii="Calibri Light" w:hAnsi="Calibri Light" w:eastAsia="" w:cs="" w:asciiTheme="majorHAnsi" w:cstheme="majorBidi" w:eastAsiaTheme="majorEastAsia" w:hAnsiTheme="majorHAnsi"/>
      <w:color w:val="44546A" w:themeColor="text2"/>
      <w:spacing w:val="-6"/>
      <w:sz w:val="32"/>
      <w:szCs w:val="32"/>
    </w:rPr>
  </w:style>
  <w:style w:type="paragraph" w:styleId="TOCHeading">
    <w:name w:val="TOC Heading"/>
    <w:basedOn w:val="Heading1"/>
    <w:next w:val="Normal"/>
    <w:uiPriority w:val="39"/>
    <w:unhideWhenUsed/>
    <w:qFormat/>
    <w:rsid w:val="00396eb3"/>
    <w:pPr/>
    <w:rPr/>
  </w:style>
  <w:style w:type="paragraph" w:styleId="ListParagraph">
    <w:name w:val="List Paragraph"/>
    <w:basedOn w:val="Normal"/>
    <w:uiPriority w:val="34"/>
    <w:qFormat/>
    <w:rsid w:val="00220b28"/>
    <w:pPr>
      <w:spacing w:before="0" w:after="160"/>
      <w:ind w:left="720" w:hanging="0"/>
      <w:contextualSpacing/>
    </w:pPr>
    <w:rPr/>
  </w:style>
  <w:style w:type="paragraph" w:styleId="Contents1">
    <w:name w:val="TOC 1"/>
    <w:basedOn w:val="Normal"/>
    <w:next w:val="Normal"/>
    <w:autoRedefine/>
    <w:uiPriority w:val="39"/>
    <w:unhideWhenUsed/>
    <w:rsid w:val="002a6b06"/>
    <w:pPr>
      <w:spacing w:before="0" w:after="100"/>
    </w:pPr>
    <w:rPr/>
  </w:style>
  <w:style w:type="paragraph" w:styleId="Header">
    <w:name w:val="Header"/>
    <w:basedOn w:val="Normal"/>
    <w:link w:val="HeaderChar"/>
    <w:uiPriority w:val="99"/>
    <w:unhideWhenUsed/>
    <w:rsid w:val="002a6b06"/>
    <w:pPr>
      <w:tabs>
        <w:tab w:val="clear" w:pos="709"/>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2a6b06"/>
    <w:pPr>
      <w:tabs>
        <w:tab w:val="clear" w:pos="709"/>
        <w:tab w:val="center" w:pos="4680" w:leader="none"/>
        <w:tab w:val="right" w:pos="9360" w:leader="none"/>
      </w:tabs>
      <w:spacing w:lineRule="auto" w:line="240" w:before="0" w:after="0"/>
    </w:pPr>
    <w:rPr/>
  </w:style>
  <w:style w:type="paragraph" w:styleId="Normal1">
    <w:name w:val="Normal1"/>
    <w:qFormat/>
    <w:pPr>
      <w:widowControl/>
      <w:kinsoku w:val="true"/>
      <w:overflowPunct w:val="true"/>
      <w:autoSpaceDE w:val="true"/>
      <w:bidi w:val="0"/>
      <w:spacing w:lineRule="auto" w:line="276" w:before="0" w:after="160"/>
      <w:jc w:val="left"/>
    </w:pPr>
    <w:rPr>
      <w:rFonts w:ascii="Calibri" w:hAnsi="Calibri" w:eastAsia="Calibri" w:cs="Lucida Sans" w:asciiTheme="minorHAnsi" w:hAnsiTheme="minorHAnsi"/>
      <w:color w:val="auto"/>
      <w:kern w:val="0"/>
      <w:sz w:val="24"/>
      <w:szCs w:val="22"/>
      <w:lang w:val="en-US" w:eastAsia="en-US" w:bidi="ar-SA"/>
    </w:rPr>
  </w:style>
  <w:style w:type="paragraph" w:styleId="Contents2">
    <w:name w:val="TOC 2"/>
    <w:basedOn w:val="Normal"/>
    <w:next w:val="Normal"/>
    <w:pPr>
      <w:spacing w:before="0" w:after="100"/>
      <w:ind w:left="240" w:right="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DCF16-5B99-48BE-9A46-7463B5267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Application>Trio_Office/6.2.8.2$Windows_x86 LibreOffice_project/</Application>
  <Pages>13</Pages>
  <Words>2780</Words>
  <Characters>15467</Characters>
  <CharactersWithSpaces>18191</CharactersWithSpaces>
  <Paragraphs>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2022-03-14T21:59:00Z</dcterms:created>
  <dc:creator>user</dc:creator>
  <dc:description/>
  <dc:language>en-GB</dc:language>
  <cp:lastModifiedBy/>
  <dcterms:modified xsi:type="dcterms:W3CDTF">2022-03-28T11:09:51Z</dcterms:modified>
  <cp:revision>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