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the research was to</w:t>
      </w:r>
      <w:r w:rsidRPr="006F40C4">
        <w:rPr>
          <w:rFonts w:ascii="Times New Roman" w:eastAsia="Times New Roman" w:hAnsi="Times New Roman" w:cs="Times New Roman"/>
          <w:sz w:val="24"/>
          <w:szCs w:val="24"/>
        </w:rPr>
        <w:t xml:space="preserve"> evaluate the feasibility of implementing aquaponics in St. Vincen</w:t>
      </w:r>
      <w:r>
        <w:rPr>
          <w:rFonts w:ascii="Times New Roman" w:eastAsia="Times New Roman" w:hAnsi="Times New Roman" w:cs="Times New Roman"/>
          <w:sz w:val="24"/>
          <w:szCs w:val="24"/>
        </w:rPr>
        <w:t xml:space="preserve">t and the Grenadines (SVG) as an alternate </w:t>
      </w:r>
      <w:r w:rsidRPr="006F40C4">
        <w:rPr>
          <w:rFonts w:ascii="Times New Roman" w:eastAsia="Times New Roman" w:hAnsi="Times New Roman" w:cs="Times New Roman"/>
          <w:sz w:val="24"/>
          <w:szCs w:val="24"/>
        </w:rPr>
        <w:t>sustainable agr</w:t>
      </w:r>
      <w:r>
        <w:rPr>
          <w:rFonts w:ascii="Times New Roman" w:eastAsia="Times New Roman" w:hAnsi="Times New Roman" w:cs="Times New Roman"/>
          <w:sz w:val="24"/>
          <w:szCs w:val="24"/>
        </w:rPr>
        <w:t>icultural practice,</w:t>
      </w:r>
      <w:r w:rsidRPr="006F40C4">
        <w:rPr>
          <w:rFonts w:ascii="Times New Roman" w:eastAsia="Times New Roman" w:hAnsi="Times New Roman" w:cs="Times New Roman"/>
          <w:sz w:val="24"/>
          <w:szCs w:val="24"/>
        </w:rPr>
        <w:t xml:space="preserve"> for enhancing short-cycle crop pr</w:t>
      </w:r>
      <w:r>
        <w:rPr>
          <w:rFonts w:ascii="Times New Roman" w:eastAsia="Times New Roman" w:hAnsi="Times New Roman" w:cs="Times New Roman"/>
          <w:sz w:val="24"/>
          <w:szCs w:val="24"/>
        </w:rPr>
        <w:t>oductivity. Considering a number of</w:t>
      </w:r>
      <w:r w:rsidRPr="006F40C4">
        <w:rPr>
          <w:rFonts w:ascii="Times New Roman" w:eastAsia="Times New Roman" w:hAnsi="Times New Roman" w:cs="Times New Roman"/>
          <w:sz w:val="24"/>
          <w:szCs w:val="24"/>
        </w:rPr>
        <w:t xml:space="preserve"> challenges posed by climate change, land degradation, and fluctuating agricultural markets, the study explored</w:t>
      </w:r>
      <w:r>
        <w:rPr>
          <w:rFonts w:ascii="Times New Roman" w:eastAsia="Times New Roman" w:hAnsi="Times New Roman" w:cs="Times New Roman"/>
          <w:sz w:val="24"/>
          <w:szCs w:val="24"/>
        </w:rPr>
        <w:t xml:space="preserve"> a comprehensive approach to determine</w:t>
      </w:r>
      <w:r w:rsidRPr="006F40C4">
        <w:rPr>
          <w:rFonts w:ascii="Times New Roman" w:eastAsia="Times New Roman" w:hAnsi="Times New Roman" w:cs="Times New Roman"/>
          <w:sz w:val="24"/>
          <w:szCs w:val="24"/>
        </w:rPr>
        <w:t xml:space="preserve"> the benefits, limitations, and potential integration of aquaponics into the countr</w:t>
      </w:r>
      <w:r>
        <w:rPr>
          <w:rFonts w:ascii="Times New Roman" w:eastAsia="Times New Roman" w:hAnsi="Times New Roman" w:cs="Times New Roman"/>
          <w:sz w:val="24"/>
          <w:szCs w:val="24"/>
        </w:rPr>
        <w:t>y’s agricultural sector. Structured interviews with farmers and a senior official from the Ministry of Agriculture was done alongside a questionnaire survey that was completed by 31 participants. I</w:t>
      </w:r>
      <w:r w:rsidRPr="006F40C4">
        <w:rPr>
          <w:rFonts w:ascii="Times New Roman" w:eastAsia="Times New Roman" w:hAnsi="Times New Roman" w:cs="Times New Roman"/>
          <w:sz w:val="24"/>
          <w:szCs w:val="24"/>
        </w:rPr>
        <w:t>nsights into government support, existing policies, market dynamics, and infrastructural constraints af</w:t>
      </w:r>
      <w:r>
        <w:rPr>
          <w:rFonts w:ascii="Times New Roman" w:eastAsia="Times New Roman" w:hAnsi="Times New Roman" w:cs="Times New Roman"/>
          <w:sz w:val="24"/>
          <w:szCs w:val="24"/>
        </w:rPr>
        <w:t xml:space="preserve">fecting the agricultural sector were obtained. </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A key finding of this research is that while the government has instituted multiple agricultural support programs, none are specifically designed to facilitate the implementation of aquaponics. Initiatives such as the Zero Hunger Trust Fund, the Farmers Support Program, Pryme grants, and FAO support programs (St. Vincent Times, 2025) provide financial and technical assistance to farmers. However, because these programs cater to general agricultural activities rather than aquaponics specifically, there is a gap in targeted funding and policy support. The research suggests that government interventions should extend beyond conventional agriculture to include specialized grants, training programs, and research initiatives that promote aquaponics as a viable farming method.</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 xml:space="preserve">Additionally, the study highlights how leasing government land and granting duty-free privileges for importing farming equipment could support the commercialization of aquaponics (FAO, </w:t>
      </w:r>
      <w:bookmarkStart w:id="0" w:name="_GoBack"/>
      <w:bookmarkEnd w:id="0"/>
      <w:r w:rsidRPr="006F40C4">
        <w:rPr>
          <w:rFonts w:ascii="Times New Roman" w:eastAsia="Times New Roman" w:hAnsi="Times New Roman" w:cs="Times New Roman"/>
          <w:sz w:val="24"/>
          <w:szCs w:val="24"/>
        </w:rPr>
        <w:t>2011; Ministry of Finance, 2024). Given that labor shortages and underutilized agricultural land remain significant barriers to increased productivity, the introduction of aquaponics could help optimize land use while reducing dependence on manual labor. However, the effectiveness of such measures depends on farmers' willingness to adopt new farming techniques and the availability of technical support.</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From the perspective of large-scale farmers, this study has revealed several challenges that could impact the widespread adoption of aquaponics. Market instability and pricing fluctuations emerged as major concerns, as farmers struggle with inconsistent pricing caused by external market forces, middlemen, and a lack of direct access to larger buyers. Farmers noted that aquaponics would not directly address pricing issues but could add another layer of competition, potentially threatening small-scale farmers (Madeley, 2002). While aquaponics may present an opportunity for increased productivity and diversification, its impact on local market dynamics needs careful consideration.</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 xml:space="preserve">One of the most revealing aspects of the study was the reluctance of older farmers to consider aquaponics as a viable farming method. Two of the three farmers interviewed expressed that their current farming practices were already profitable, and the risks associated with adopting an unfamiliar system outweighed the potential benefits. The third farmer, who cited poor infrastructure as his biggest challenge, pointed out that difficulties in transportation and access to markets were more pressing concerns than implementing new technology. This highlights a generational divide in the perception of agricultural innovation. While younger farmers might be more open to adopting aquaponics, established farmers with decades of experience may resist change unless clear incentives and support systems are in place. This aligns with research on </w:t>
      </w:r>
      <w:r w:rsidRPr="006F40C4">
        <w:rPr>
          <w:rFonts w:ascii="Times New Roman" w:eastAsia="Times New Roman" w:hAnsi="Times New Roman" w:cs="Times New Roman"/>
          <w:sz w:val="24"/>
          <w:szCs w:val="24"/>
        </w:rPr>
        <w:lastRenderedPageBreak/>
        <w:t>agricultural modernization, which suggests that successful transitions require not only financial investment but also education, training, and long-term policy commitments (Johnston &amp; Mellor, 1961).</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Despite these concerns, the study underscores the broader implications of aquaponics in SVG’s agricultural and economic landscape. The integration of aquaponics could enhance food security, reduce dependency on imported crops, and create new opportunities for agribusiness development. However, for this to become a reality, there must be a concerted effort to address infrastructural deficiencies, improve market access, and provide tailored financial support.</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Moving forward, further research should focus on the economic viability of aquaponics in the Caribbean, particularly in relation to production costs, yield efficiency, and market integration. Additionally, future studies should examine how aquaponics can complement traditional farming rather than compete with it. By positioning aquaponics as an enhancement to existing agricultural systems, rather than a replacement, policymakers and stakeholders may be more inclined to support its adoption.</w:t>
      </w:r>
    </w:p>
    <w:p w:rsidR="006F40C4" w:rsidRPr="006F40C4" w:rsidRDefault="006F40C4" w:rsidP="006F40C4">
      <w:pPr>
        <w:spacing w:before="100" w:beforeAutospacing="1" w:after="100" w:afterAutospacing="1" w:line="240" w:lineRule="auto"/>
        <w:rPr>
          <w:rFonts w:ascii="Times New Roman" w:eastAsia="Times New Roman" w:hAnsi="Times New Roman" w:cs="Times New Roman"/>
          <w:sz w:val="24"/>
          <w:szCs w:val="24"/>
        </w:rPr>
      </w:pPr>
      <w:r w:rsidRPr="006F40C4">
        <w:rPr>
          <w:rFonts w:ascii="Times New Roman" w:eastAsia="Times New Roman" w:hAnsi="Times New Roman" w:cs="Times New Roman"/>
          <w:sz w:val="24"/>
          <w:szCs w:val="24"/>
        </w:rPr>
        <w:t>Ultimately, this research has laid the groundwork for further discussions on sustainability, innovation, and resilience in SVG’s agricultural sector. The findings emphasize the need for collaboration among policymakers, farmers, and researchers to ensure that aquaponics contributes to a more inclusive and sustainable farming future. While challenges remain, the potential benefits of aquaponics warrant deeper exploration, policy refinement, and strategic investments that align with national agricultural goals.</w:t>
      </w:r>
    </w:p>
    <w:p w:rsidR="006F40C4" w:rsidRPr="006F40C4" w:rsidRDefault="006F40C4">
      <w:pPr>
        <w:rPr>
          <w:rFonts w:ascii="Times New Roman" w:hAnsi="Times New Roman" w:cs="Times New Roman"/>
          <w:sz w:val="24"/>
          <w:szCs w:val="24"/>
        </w:rPr>
      </w:pPr>
    </w:p>
    <w:sectPr w:rsidR="006F40C4" w:rsidRPr="006F40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0C4"/>
    <w:rsid w:val="00282C45"/>
    <w:rsid w:val="006F40C4"/>
    <w:rsid w:val="00E553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DC9D"/>
  <w15:chartTrackingRefBased/>
  <w15:docId w15:val="{7F789868-5FC2-4710-BADC-470977B43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40C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9874850">
      <w:bodyDiv w:val="1"/>
      <w:marLeft w:val="0"/>
      <w:marRight w:val="0"/>
      <w:marTop w:val="0"/>
      <w:marBottom w:val="0"/>
      <w:divBdr>
        <w:top w:val="none" w:sz="0" w:space="0" w:color="auto"/>
        <w:left w:val="none" w:sz="0" w:space="0" w:color="auto"/>
        <w:bottom w:val="none" w:sz="0" w:space="0" w:color="auto"/>
        <w:right w:val="none" w:sz="0" w:space="0" w:color="auto"/>
      </w:divBdr>
    </w:div>
    <w:div w:id="156999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806</Words>
  <Characters>4597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Rose</dc:creator>
  <cp:keywords/>
  <dc:description/>
  <cp:lastModifiedBy>Ron Rose</cp:lastModifiedBy>
  <cp:revision>1</cp:revision>
  <dcterms:created xsi:type="dcterms:W3CDTF">2025-03-31T13:52:00Z</dcterms:created>
  <dcterms:modified xsi:type="dcterms:W3CDTF">2025-03-31T14:14:00Z</dcterms:modified>
</cp:coreProperties>
</file>