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36370" w14:textId="01B5CDA1" w:rsidR="00B07CD6" w:rsidRDefault="00FA2A23" w:rsidP="00B07CD6">
      <w:pPr>
        <w:jc w:val="both"/>
        <w:rPr>
          <w:b/>
          <w:bCs/>
          <w:sz w:val="24"/>
          <w:szCs w:val="24"/>
        </w:rPr>
      </w:pPr>
      <w:r>
        <w:rPr>
          <w:b/>
          <w:bCs/>
          <w:sz w:val="24"/>
          <w:szCs w:val="24"/>
        </w:rPr>
        <w:t>Name: Yahaddy</w:t>
      </w:r>
      <w:r w:rsidR="0019014D">
        <w:rPr>
          <w:b/>
          <w:bCs/>
          <w:sz w:val="24"/>
          <w:szCs w:val="24"/>
        </w:rPr>
        <w:t xml:space="preserve"> Bangura</w:t>
      </w:r>
    </w:p>
    <w:p w14:paraId="2CFCC5F9" w14:textId="58F0F5BB" w:rsidR="0019014D" w:rsidRDefault="0019014D" w:rsidP="00B07CD6">
      <w:pPr>
        <w:jc w:val="both"/>
        <w:rPr>
          <w:b/>
          <w:bCs/>
          <w:sz w:val="24"/>
          <w:szCs w:val="24"/>
        </w:rPr>
      </w:pPr>
    </w:p>
    <w:p w14:paraId="10FAC8EA" w14:textId="369E3D61" w:rsidR="0019014D" w:rsidRDefault="0019014D" w:rsidP="00B07CD6">
      <w:pPr>
        <w:jc w:val="both"/>
        <w:rPr>
          <w:b/>
          <w:bCs/>
          <w:sz w:val="24"/>
          <w:szCs w:val="24"/>
        </w:rPr>
      </w:pPr>
      <w:r>
        <w:rPr>
          <w:b/>
          <w:bCs/>
          <w:sz w:val="24"/>
          <w:szCs w:val="24"/>
        </w:rPr>
        <w:t xml:space="preserve">Student </w:t>
      </w:r>
      <w:r w:rsidR="00FA2A23">
        <w:rPr>
          <w:b/>
          <w:bCs/>
          <w:sz w:val="24"/>
          <w:szCs w:val="24"/>
        </w:rPr>
        <w:t>Id: 2315639</w:t>
      </w:r>
    </w:p>
    <w:p w14:paraId="32D32DFC" w14:textId="77777777" w:rsidR="0019014D" w:rsidRDefault="0019014D" w:rsidP="00B07CD6">
      <w:pPr>
        <w:jc w:val="both"/>
        <w:rPr>
          <w:b/>
          <w:bCs/>
          <w:sz w:val="24"/>
          <w:szCs w:val="24"/>
        </w:rPr>
      </w:pPr>
    </w:p>
    <w:p w14:paraId="62724A08" w14:textId="6FA58C4D" w:rsidR="0019014D" w:rsidRDefault="00FA2A23" w:rsidP="00B07CD6">
      <w:pPr>
        <w:jc w:val="both"/>
        <w:rPr>
          <w:b/>
          <w:bCs/>
          <w:sz w:val="24"/>
          <w:szCs w:val="24"/>
        </w:rPr>
      </w:pPr>
      <w:proofErr w:type="spellStart"/>
      <w:r>
        <w:rPr>
          <w:b/>
          <w:bCs/>
          <w:sz w:val="24"/>
          <w:szCs w:val="24"/>
        </w:rPr>
        <w:t>Programme</w:t>
      </w:r>
      <w:proofErr w:type="spellEnd"/>
      <w:r>
        <w:rPr>
          <w:b/>
          <w:bCs/>
          <w:sz w:val="24"/>
          <w:szCs w:val="24"/>
        </w:rPr>
        <w:t>: BSC</w:t>
      </w:r>
      <w:r w:rsidR="0019014D">
        <w:rPr>
          <w:b/>
          <w:bCs/>
          <w:sz w:val="24"/>
          <w:szCs w:val="24"/>
        </w:rPr>
        <w:t xml:space="preserve"> (Hons) Health and Social care</w:t>
      </w:r>
    </w:p>
    <w:p w14:paraId="736049A0" w14:textId="77777777" w:rsidR="0019014D" w:rsidRDefault="0019014D" w:rsidP="00B07CD6">
      <w:pPr>
        <w:jc w:val="both"/>
        <w:rPr>
          <w:b/>
          <w:bCs/>
          <w:sz w:val="24"/>
          <w:szCs w:val="24"/>
        </w:rPr>
      </w:pPr>
    </w:p>
    <w:p w14:paraId="186A67F5" w14:textId="3D04638E" w:rsidR="0019014D" w:rsidRDefault="0019014D" w:rsidP="00B07CD6">
      <w:pPr>
        <w:jc w:val="both"/>
        <w:rPr>
          <w:b/>
          <w:bCs/>
          <w:sz w:val="24"/>
          <w:szCs w:val="24"/>
        </w:rPr>
      </w:pPr>
      <w:r>
        <w:rPr>
          <w:b/>
          <w:bCs/>
          <w:sz w:val="24"/>
          <w:szCs w:val="24"/>
        </w:rPr>
        <w:t xml:space="preserve">Module </w:t>
      </w:r>
      <w:r w:rsidR="00FA2A23">
        <w:rPr>
          <w:b/>
          <w:bCs/>
          <w:sz w:val="24"/>
          <w:szCs w:val="24"/>
        </w:rPr>
        <w:t>Code: BMHP</w:t>
      </w:r>
      <w:r>
        <w:rPr>
          <w:b/>
          <w:bCs/>
          <w:sz w:val="24"/>
          <w:szCs w:val="24"/>
        </w:rPr>
        <w:t>60</w:t>
      </w:r>
      <w:r w:rsidR="00FA2A23">
        <w:rPr>
          <w:b/>
          <w:bCs/>
          <w:sz w:val="24"/>
          <w:szCs w:val="24"/>
        </w:rPr>
        <w:t>30</w:t>
      </w:r>
    </w:p>
    <w:p w14:paraId="49E279A8" w14:textId="77777777" w:rsidR="00FA2A23" w:rsidRDefault="00FA2A23" w:rsidP="00B07CD6">
      <w:pPr>
        <w:jc w:val="both"/>
        <w:rPr>
          <w:b/>
          <w:bCs/>
          <w:sz w:val="24"/>
          <w:szCs w:val="24"/>
        </w:rPr>
      </w:pPr>
    </w:p>
    <w:p w14:paraId="199850BB" w14:textId="6C6C028B" w:rsidR="00FA2A23" w:rsidRDefault="00FA2A23" w:rsidP="00B07CD6">
      <w:pPr>
        <w:jc w:val="both"/>
        <w:rPr>
          <w:b/>
          <w:bCs/>
          <w:sz w:val="24"/>
          <w:szCs w:val="24"/>
        </w:rPr>
      </w:pPr>
      <w:r>
        <w:rPr>
          <w:b/>
          <w:bCs/>
          <w:sz w:val="24"/>
          <w:szCs w:val="24"/>
        </w:rPr>
        <w:t>Module: Wellbeing and Sustainable Development</w:t>
      </w:r>
    </w:p>
    <w:p w14:paraId="23504B2C" w14:textId="77777777" w:rsidR="00FA2A23" w:rsidRDefault="00FA2A23" w:rsidP="00B07CD6">
      <w:pPr>
        <w:jc w:val="both"/>
        <w:rPr>
          <w:b/>
          <w:bCs/>
          <w:sz w:val="24"/>
          <w:szCs w:val="24"/>
        </w:rPr>
      </w:pPr>
    </w:p>
    <w:p w14:paraId="4A21A3B0" w14:textId="68D1A483" w:rsidR="00FA2A23" w:rsidRDefault="00FA2A23" w:rsidP="00B07CD6">
      <w:pPr>
        <w:jc w:val="both"/>
        <w:rPr>
          <w:b/>
          <w:bCs/>
          <w:sz w:val="24"/>
          <w:szCs w:val="24"/>
        </w:rPr>
      </w:pPr>
      <w:r>
        <w:rPr>
          <w:b/>
          <w:bCs/>
          <w:sz w:val="24"/>
          <w:szCs w:val="24"/>
        </w:rPr>
        <w:t xml:space="preserve">Lecture: </w:t>
      </w:r>
      <w:r w:rsidR="00E5371F">
        <w:rPr>
          <w:b/>
          <w:bCs/>
          <w:sz w:val="24"/>
          <w:szCs w:val="24"/>
        </w:rPr>
        <w:t>Junai</w:t>
      </w:r>
      <w:r w:rsidR="00B10634">
        <w:rPr>
          <w:b/>
          <w:bCs/>
          <w:sz w:val="24"/>
          <w:szCs w:val="24"/>
        </w:rPr>
        <w:t>d Shaikh</w:t>
      </w:r>
    </w:p>
    <w:p w14:paraId="603626EA" w14:textId="77777777" w:rsidR="0031517A" w:rsidRDefault="0031517A" w:rsidP="00B07CD6">
      <w:pPr>
        <w:jc w:val="both"/>
        <w:rPr>
          <w:b/>
          <w:bCs/>
          <w:sz w:val="24"/>
          <w:szCs w:val="24"/>
        </w:rPr>
      </w:pPr>
    </w:p>
    <w:p w14:paraId="7B49FBCE" w14:textId="4E79CAB7" w:rsidR="0031517A" w:rsidRDefault="0031517A" w:rsidP="00B07CD6">
      <w:pPr>
        <w:jc w:val="both"/>
        <w:rPr>
          <w:b/>
          <w:bCs/>
          <w:sz w:val="24"/>
          <w:szCs w:val="24"/>
        </w:rPr>
      </w:pPr>
      <w:proofErr w:type="spellStart"/>
      <w:r>
        <w:rPr>
          <w:b/>
          <w:bCs/>
          <w:sz w:val="24"/>
          <w:szCs w:val="24"/>
        </w:rPr>
        <w:t>A</w:t>
      </w:r>
      <w:r w:rsidR="00503829">
        <w:rPr>
          <w:b/>
          <w:bCs/>
          <w:sz w:val="24"/>
          <w:szCs w:val="24"/>
        </w:rPr>
        <w:t>ssigment</w:t>
      </w:r>
      <w:proofErr w:type="spellEnd"/>
      <w:r w:rsidR="00503829">
        <w:rPr>
          <w:b/>
          <w:bCs/>
          <w:sz w:val="24"/>
          <w:szCs w:val="24"/>
        </w:rPr>
        <w:t xml:space="preserve"> </w:t>
      </w:r>
      <w:r w:rsidR="00F22989">
        <w:rPr>
          <w:b/>
          <w:bCs/>
          <w:sz w:val="24"/>
          <w:szCs w:val="24"/>
        </w:rPr>
        <w:t xml:space="preserve">Title </w:t>
      </w:r>
      <w:r w:rsidR="00C17A4D">
        <w:rPr>
          <w:b/>
          <w:bCs/>
          <w:sz w:val="24"/>
          <w:szCs w:val="24"/>
        </w:rPr>
        <w:t xml:space="preserve">Component </w:t>
      </w:r>
      <w:r w:rsidR="00B93E8E">
        <w:rPr>
          <w:b/>
          <w:bCs/>
          <w:sz w:val="24"/>
          <w:szCs w:val="24"/>
        </w:rPr>
        <w:t>2</w:t>
      </w:r>
    </w:p>
    <w:p w14:paraId="245AF8E8" w14:textId="77777777" w:rsidR="00AC17A8" w:rsidRDefault="00AC17A8" w:rsidP="00B07CD6">
      <w:pPr>
        <w:jc w:val="both"/>
        <w:rPr>
          <w:b/>
          <w:bCs/>
          <w:sz w:val="24"/>
          <w:szCs w:val="24"/>
        </w:rPr>
      </w:pPr>
    </w:p>
    <w:p w14:paraId="30F043F5" w14:textId="77777777" w:rsidR="00E5371F" w:rsidRDefault="00E5371F" w:rsidP="00B07CD6">
      <w:pPr>
        <w:jc w:val="both"/>
        <w:rPr>
          <w:b/>
          <w:bCs/>
          <w:sz w:val="24"/>
          <w:szCs w:val="24"/>
        </w:rPr>
      </w:pPr>
    </w:p>
    <w:p w14:paraId="02A36FBF" w14:textId="77777777" w:rsidR="00FA2A23" w:rsidRDefault="00FA2A23" w:rsidP="00B07CD6">
      <w:pPr>
        <w:jc w:val="both"/>
        <w:rPr>
          <w:b/>
          <w:bCs/>
          <w:sz w:val="24"/>
          <w:szCs w:val="24"/>
        </w:rPr>
      </w:pPr>
    </w:p>
    <w:p w14:paraId="28DB32DD" w14:textId="77777777" w:rsidR="00FA2A23" w:rsidRDefault="00FA2A23" w:rsidP="00B07CD6">
      <w:pPr>
        <w:jc w:val="both"/>
        <w:rPr>
          <w:b/>
          <w:bCs/>
          <w:sz w:val="24"/>
          <w:szCs w:val="24"/>
        </w:rPr>
      </w:pPr>
    </w:p>
    <w:p w14:paraId="643A6FA4" w14:textId="77777777" w:rsidR="00B07CD6" w:rsidRDefault="00B07CD6" w:rsidP="00B07CD6">
      <w:pPr>
        <w:jc w:val="both"/>
        <w:rPr>
          <w:b/>
          <w:bCs/>
          <w:sz w:val="24"/>
          <w:szCs w:val="24"/>
        </w:rPr>
      </w:pPr>
    </w:p>
    <w:p w14:paraId="30D9CA02" w14:textId="77777777" w:rsidR="00B07CD6" w:rsidRDefault="00B07CD6" w:rsidP="00B07CD6">
      <w:pPr>
        <w:jc w:val="both"/>
        <w:rPr>
          <w:b/>
          <w:bCs/>
          <w:sz w:val="24"/>
          <w:szCs w:val="24"/>
        </w:rPr>
      </w:pPr>
    </w:p>
    <w:p w14:paraId="2E2789FE" w14:textId="77777777" w:rsidR="00B07CD6" w:rsidRDefault="00B07CD6" w:rsidP="00B07CD6">
      <w:pPr>
        <w:jc w:val="both"/>
        <w:rPr>
          <w:b/>
          <w:bCs/>
          <w:sz w:val="24"/>
          <w:szCs w:val="24"/>
        </w:rPr>
      </w:pPr>
    </w:p>
    <w:p w14:paraId="3DE591E4" w14:textId="77777777" w:rsidR="00B07CD6" w:rsidRDefault="00B07CD6" w:rsidP="00B07CD6">
      <w:pPr>
        <w:spacing w:line="360" w:lineRule="auto"/>
        <w:jc w:val="both"/>
        <w:rPr>
          <w:b/>
          <w:bCs/>
          <w:sz w:val="24"/>
          <w:szCs w:val="24"/>
        </w:rPr>
      </w:pPr>
    </w:p>
    <w:p w14:paraId="2B1AAFA5" w14:textId="77777777" w:rsidR="00B07CD6" w:rsidRDefault="00B07CD6" w:rsidP="00B07CD6">
      <w:pPr>
        <w:spacing w:line="360" w:lineRule="auto"/>
        <w:jc w:val="both"/>
        <w:rPr>
          <w:b/>
          <w:bCs/>
          <w:sz w:val="24"/>
          <w:szCs w:val="24"/>
        </w:rPr>
      </w:pPr>
    </w:p>
    <w:p w14:paraId="39D12249" w14:textId="77777777" w:rsidR="00B07CD6" w:rsidRDefault="00B07CD6" w:rsidP="00B07CD6">
      <w:pPr>
        <w:spacing w:line="360" w:lineRule="auto"/>
        <w:jc w:val="both"/>
        <w:rPr>
          <w:b/>
          <w:bCs/>
          <w:sz w:val="24"/>
          <w:szCs w:val="24"/>
        </w:rPr>
      </w:pPr>
    </w:p>
    <w:p w14:paraId="271D2017" w14:textId="77777777" w:rsidR="00B07CD6" w:rsidRDefault="00B07CD6" w:rsidP="00B07CD6">
      <w:pPr>
        <w:spacing w:line="360" w:lineRule="auto"/>
        <w:jc w:val="both"/>
        <w:rPr>
          <w:b/>
          <w:bCs/>
          <w:sz w:val="24"/>
          <w:szCs w:val="24"/>
        </w:rPr>
      </w:pPr>
    </w:p>
    <w:p w14:paraId="2364D678" w14:textId="77777777" w:rsidR="003B791A" w:rsidRDefault="00062D62" w:rsidP="00B07CD6">
      <w:pPr>
        <w:spacing w:line="360" w:lineRule="auto"/>
        <w:jc w:val="both"/>
      </w:pPr>
      <w:r>
        <w:rPr>
          <w:b/>
          <w:bCs/>
          <w:sz w:val="24"/>
          <w:szCs w:val="24"/>
        </w:rPr>
        <w:t>SDG 3 and SDG 10: Examining Health, Wellbeing and Sustainability Policies and Their Impact on Citizens at Global, National and Local Levels</w:t>
      </w:r>
    </w:p>
    <w:p w14:paraId="6E847156" w14:textId="77777777" w:rsidR="00B07CD6" w:rsidRDefault="00B07CD6" w:rsidP="00B07CD6">
      <w:pPr>
        <w:pStyle w:val="Heading1"/>
        <w:spacing w:before="0" w:after="0" w:line="360" w:lineRule="auto"/>
        <w:jc w:val="both"/>
        <w:rPr>
          <w:sz w:val="22"/>
        </w:rPr>
      </w:pPr>
    </w:p>
    <w:p w14:paraId="69FCF5D6" w14:textId="77777777" w:rsidR="00B07CD6" w:rsidRDefault="00B07CD6" w:rsidP="00B07CD6">
      <w:pPr>
        <w:pStyle w:val="Heading1"/>
        <w:spacing w:before="0" w:after="0" w:line="360" w:lineRule="auto"/>
        <w:jc w:val="both"/>
        <w:rPr>
          <w:sz w:val="22"/>
        </w:rPr>
      </w:pPr>
    </w:p>
    <w:p w14:paraId="28700DDA" w14:textId="77777777" w:rsidR="00B07CD6" w:rsidRDefault="00B07CD6" w:rsidP="00B07CD6">
      <w:pPr>
        <w:pStyle w:val="Heading1"/>
        <w:spacing w:before="0" w:after="0" w:line="360" w:lineRule="auto"/>
        <w:jc w:val="both"/>
        <w:rPr>
          <w:sz w:val="22"/>
        </w:rPr>
      </w:pPr>
    </w:p>
    <w:p w14:paraId="6DD02861" w14:textId="77777777" w:rsidR="00B07CD6" w:rsidRDefault="00B07CD6" w:rsidP="00B07CD6">
      <w:pPr>
        <w:pStyle w:val="Heading1"/>
        <w:spacing w:before="0" w:after="0" w:line="360" w:lineRule="auto"/>
        <w:jc w:val="both"/>
        <w:rPr>
          <w:sz w:val="22"/>
        </w:rPr>
      </w:pPr>
    </w:p>
    <w:p w14:paraId="65A9F651" w14:textId="77777777" w:rsidR="00B07CD6" w:rsidRDefault="00B07CD6" w:rsidP="00B07CD6">
      <w:pPr>
        <w:pStyle w:val="Heading1"/>
        <w:spacing w:before="0" w:after="0" w:line="360" w:lineRule="auto"/>
        <w:jc w:val="both"/>
        <w:rPr>
          <w:sz w:val="22"/>
        </w:rPr>
      </w:pPr>
    </w:p>
    <w:p w14:paraId="445B5C9D" w14:textId="77777777" w:rsidR="00B07CD6" w:rsidRDefault="00B07CD6" w:rsidP="00B07CD6">
      <w:pPr>
        <w:pStyle w:val="Heading1"/>
        <w:spacing w:before="0" w:after="0" w:line="360" w:lineRule="auto"/>
        <w:jc w:val="both"/>
        <w:rPr>
          <w:sz w:val="22"/>
        </w:rPr>
      </w:pPr>
    </w:p>
    <w:p w14:paraId="7FFCCF0B" w14:textId="77777777" w:rsidR="00B07CD6" w:rsidRDefault="00B07CD6" w:rsidP="00B07CD6">
      <w:pPr>
        <w:pStyle w:val="Heading1"/>
        <w:spacing w:before="0" w:after="0" w:line="360" w:lineRule="auto"/>
        <w:jc w:val="both"/>
        <w:rPr>
          <w:sz w:val="22"/>
        </w:rPr>
      </w:pPr>
    </w:p>
    <w:p w14:paraId="209FDB4C" w14:textId="77777777" w:rsidR="00B07CD6" w:rsidRDefault="00B07CD6" w:rsidP="00B07CD6">
      <w:pPr>
        <w:pStyle w:val="Heading1"/>
        <w:spacing w:before="0" w:after="0" w:line="360" w:lineRule="auto"/>
        <w:jc w:val="both"/>
        <w:rPr>
          <w:sz w:val="22"/>
        </w:rPr>
      </w:pPr>
    </w:p>
    <w:p w14:paraId="2FACC7A8" w14:textId="77777777" w:rsidR="00B07CD6" w:rsidRDefault="00B07CD6" w:rsidP="00B07CD6">
      <w:pPr>
        <w:pStyle w:val="Heading1"/>
        <w:spacing w:before="0" w:after="0" w:line="360" w:lineRule="auto"/>
        <w:jc w:val="both"/>
        <w:rPr>
          <w:sz w:val="22"/>
        </w:rPr>
      </w:pPr>
    </w:p>
    <w:p w14:paraId="127431BB" w14:textId="77777777" w:rsidR="00B07CD6" w:rsidRDefault="00B07CD6" w:rsidP="00B07CD6">
      <w:pPr>
        <w:pStyle w:val="Heading1"/>
        <w:spacing w:before="0" w:after="0" w:line="360" w:lineRule="auto"/>
        <w:jc w:val="both"/>
        <w:rPr>
          <w:sz w:val="22"/>
        </w:rPr>
      </w:pPr>
    </w:p>
    <w:p w14:paraId="0EA4812B" w14:textId="77777777" w:rsidR="00B07CD6" w:rsidRDefault="00B07CD6" w:rsidP="00B07CD6">
      <w:pPr>
        <w:pStyle w:val="Heading1"/>
        <w:spacing w:before="0" w:after="0" w:line="360" w:lineRule="auto"/>
        <w:jc w:val="both"/>
        <w:rPr>
          <w:sz w:val="22"/>
        </w:rPr>
      </w:pPr>
    </w:p>
    <w:p w14:paraId="57FC04DE" w14:textId="77777777" w:rsidR="00B07CD6" w:rsidRDefault="00B07CD6" w:rsidP="00B07CD6">
      <w:pPr>
        <w:pStyle w:val="Heading1"/>
        <w:spacing w:before="0" w:after="0" w:line="360" w:lineRule="auto"/>
        <w:jc w:val="both"/>
        <w:rPr>
          <w:sz w:val="22"/>
        </w:rPr>
      </w:pPr>
    </w:p>
    <w:p w14:paraId="7A53A5F7" w14:textId="77777777" w:rsidR="00B07CD6" w:rsidRDefault="00B07CD6" w:rsidP="00B07CD6">
      <w:pPr>
        <w:pStyle w:val="Heading1"/>
        <w:spacing w:before="0" w:after="0" w:line="360" w:lineRule="auto"/>
        <w:jc w:val="both"/>
        <w:rPr>
          <w:sz w:val="22"/>
        </w:rPr>
      </w:pPr>
    </w:p>
    <w:p w14:paraId="7612F574" w14:textId="77777777" w:rsidR="00B07CD6" w:rsidRDefault="00B07CD6" w:rsidP="00B07CD6">
      <w:pPr>
        <w:pStyle w:val="Heading1"/>
        <w:spacing w:before="0" w:after="0" w:line="360" w:lineRule="auto"/>
        <w:jc w:val="both"/>
        <w:rPr>
          <w:sz w:val="22"/>
        </w:rPr>
      </w:pPr>
    </w:p>
    <w:p w14:paraId="505F65BD" w14:textId="77777777" w:rsidR="00B07CD6" w:rsidRDefault="00B07CD6" w:rsidP="00B07CD6">
      <w:pPr>
        <w:pStyle w:val="Heading1"/>
        <w:spacing w:before="0" w:after="0" w:line="360" w:lineRule="auto"/>
        <w:jc w:val="both"/>
        <w:rPr>
          <w:sz w:val="22"/>
        </w:rPr>
      </w:pPr>
    </w:p>
    <w:p w14:paraId="76CEF493" w14:textId="77777777" w:rsidR="00B07CD6" w:rsidRDefault="00B07CD6" w:rsidP="00B07CD6">
      <w:pPr>
        <w:pStyle w:val="Heading1"/>
        <w:spacing w:before="0" w:after="0" w:line="360" w:lineRule="auto"/>
        <w:jc w:val="both"/>
        <w:rPr>
          <w:sz w:val="22"/>
        </w:rPr>
      </w:pPr>
    </w:p>
    <w:p w14:paraId="7C89A156" w14:textId="77777777" w:rsidR="00B07CD6" w:rsidRDefault="00B07CD6" w:rsidP="00B07CD6">
      <w:pPr>
        <w:pStyle w:val="Heading1"/>
        <w:spacing w:before="0" w:after="0" w:line="360" w:lineRule="auto"/>
        <w:jc w:val="both"/>
        <w:rPr>
          <w:sz w:val="22"/>
        </w:rPr>
      </w:pPr>
    </w:p>
    <w:p w14:paraId="46FF5CD9" w14:textId="77777777" w:rsidR="00B07CD6" w:rsidRDefault="00B07CD6" w:rsidP="00B07CD6">
      <w:pPr>
        <w:pStyle w:val="Heading1"/>
        <w:spacing w:before="0" w:after="0" w:line="360" w:lineRule="auto"/>
        <w:jc w:val="both"/>
        <w:rPr>
          <w:sz w:val="22"/>
        </w:rPr>
      </w:pPr>
    </w:p>
    <w:p w14:paraId="4D99CD5E" w14:textId="77777777" w:rsidR="00B07CD6" w:rsidRDefault="00B07CD6" w:rsidP="00B07CD6">
      <w:pPr>
        <w:pStyle w:val="Heading1"/>
        <w:spacing w:before="0" w:after="0" w:line="360" w:lineRule="auto"/>
        <w:jc w:val="both"/>
        <w:rPr>
          <w:sz w:val="22"/>
        </w:rPr>
      </w:pPr>
    </w:p>
    <w:p w14:paraId="20687581" w14:textId="77777777" w:rsidR="00B07CD6" w:rsidRDefault="00B07CD6" w:rsidP="00B07CD6">
      <w:pPr>
        <w:pStyle w:val="Heading1"/>
        <w:spacing w:before="0" w:after="0" w:line="360" w:lineRule="auto"/>
        <w:jc w:val="both"/>
        <w:rPr>
          <w:sz w:val="22"/>
        </w:rPr>
      </w:pPr>
    </w:p>
    <w:p w14:paraId="62708DFC" w14:textId="77777777" w:rsidR="00B07CD6" w:rsidRDefault="00B07CD6" w:rsidP="00B07CD6">
      <w:pPr>
        <w:pStyle w:val="Heading1"/>
        <w:spacing w:before="0" w:after="0" w:line="360" w:lineRule="auto"/>
        <w:jc w:val="both"/>
        <w:rPr>
          <w:sz w:val="22"/>
        </w:rPr>
      </w:pPr>
    </w:p>
    <w:p w14:paraId="1303D843" w14:textId="77777777" w:rsidR="00B07CD6" w:rsidRDefault="00B07CD6" w:rsidP="00B07CD6">
      <w:pPr>
        <w:pStyle w:val="Heading1"/>
        <w:spacing w:before="0" w:after="0" w:line="360" w:lineRule="auto"/>
        <w:jc w:val="both"/>
        <w:rPr>
          <w:sz w:val="22"/>
        </w:rPr>
      </w:pPr>
    </w:p>
    <w:p w14:paraId="158C4268" w14:textId="77777777" w:rsidR="00B07CD6" w:rsidRDefault="00B07CD6" w:rsidP="00B07CD6">
      <w:pPr>
        <w:pStyle w:val="Heading1"/>
        <w:spacing w:before="0" w:after="0" w:line="360" w:lineRule="auto"/>
        <w:jc w:val="both"/>
        <w:rPr>
          <w:sz w:val="22"/>
        </w:rPr>
      </w:pPr>
    </w:p>
    <w:p w14:paraId="40DC4EDF" w14:textId="77777777" w:rsidR="00B07CD6" w:rsidRDefault="00B07CD6" w:rsidP="00B07CD6">
      <w:pPr>
        <w:pStyle w:val="Heading1"/>
        <w:spacing w:before="0" w:after="0" w:line="360" w:lineRule="auto"/>
        <w:jc w:val="both"/>
        <w:rPr>
          <w:sz w:val="22"/>
        </w:rPr>
      </w:pPr>
    </w:p>
    <w:p w14:paraId="5ECA989A" w14:textId="77777777" w:rsidR="00B07CD6" w:rsidRDefault="00B07CD6" w:rsidP="00B07CD6">
      <w:pPr>
        <w:pStyle w:val="Heading1"/>
        <w:spacing w:before="0" w:after="0" w:line="360" w:lineRule="auto"/>
        <w:jc w:val="both"/>
        <w:rPr>
          <w:sz w:val="22"/>
        </w:rPr>
      </w:pPr>
    </w:p>
    <w:p w14:paraId="1D4D32C0" w14:textId="77777777" w:rsidR="00B07CD6" w:rsidRDefault="00B07CD6" w:rsidP="00B07CD6">
      <w:pPr>
        <w:pStyle w:val="Heading1"/>
        <w:spacing w:before="0" w:after="0" w:line="360" w:lineRule="auto"/>
        <w:jc w:val="both"/>
        <w:rPr>
          <w:sz w:val="22"/>
        </w:rPr>
      </w:pPr>
    </w:p>
    <w:p w14:paraId="35A0AB52" w14:textId="77777777" w:rsidR="00B07CD6" w:rsidRDefault="00B07CD6" w:rsidP="00B07CD6">
      <w:pPr>
        <w:pStyle w:val="Heading1"/>
        <w:spacing w:before="0" w:after="0" w:line="360" w:lineRule="auto"/>
        <w:jc w:val="both"/>
        <w:rPr>
          <w:sz w:val="22"/>
        </w:rPr>
      </w:pPr>
    </w:p>
    <w:p w14:paraId="6FD92BC6" w14:textId="77777777" w:rsidR="00B07CD6" w:rsidRDefault="00B07CD6" w:rsidP="00B07CD6">
      <w:pPr>
        <w:pStyle w:val="Heading1"/>
        <w:spacing w:before="0" w:after="0" w:line="360" w:lineRule="auto"/>
        <w:jc w:val="both"/>
        <w:rPr>
          <w:sz w:val="22"/>
        </w:rPr>
      </w:pPr>
    </w:p>
    <w:p w14:paraId="7971339A" w14:textId="77777777" w:rsidR="00B07CD6" w:rsidRDefault="00B07CD6" w:rsidP="00B07CD6">
      <w:pPr>
        <w:pStyle w:val="Heading1"/>
        <w:spacing w:before="0" w:after="0" w:line="360" w:lineRule="auto"/>
        <w:jc w:val="both"/>
        <w:rPr>
          <w:sz w:val="22"/>
        </w:rPr>
      </w:pPr>
    </w:p>
    <w:p w14:paraId="06D591B6" w14:textId="77777777" w:rsidR="00B07CD6" w:rsidRDefault="00B07CD6" w:rsidP="00B07CD6">
      <w:pPr>
        <w:pStyle w:val="Heading1"/>
        <w:spacing w:before="0" w:after="0" w:line="360" w:lineRule="auto"/>
        <w:jc w:val="both"/>
        <w:rPr>
          <w:sz w:val="22"/>
        </w:rPr>
      </w:pPr>
    </w:p>
    <w:p w14:paraId="4A43A2D9" w14:textId="77777777" w:rsidR="00B07CD6" w:rsidRDefault="00B07CD6" w:rsidP="00B07CD6">
      <w:pPr>
        <w:pStyle w:val="Heading1"/>
        <w:spacing w:before="0" w:after="0" w:line="360" w:lineRule="auto"/>
        <w:jc w:val="both"/>
        <w:rPr>
          <w:sz w:val="22"/>
        </w:rPr>
      </w:pPr>
    </w:p>
    <w:p w14:paraId="1FCB2D5C" w14:textId="77777777" w:rsidR="00B07CD6" w:rsidRDefault="00B07CD6" w:rsidP="00B07CD6">
      <w:pPr>
        <w:pStyle w:val="Heading1"/>
        <w:spacing w:before="0" w:after="0" w:line="360" w:lineRule="auto"/>
        <w:jc w:val="both"/>
        <w:rPr>
          <w:sz w:val="22"/>
        </w:rPr>
      </w:pPr>
    </w:p>
    <w:p w14:paraId="5097E3AF" w14:textId="77777777" w:rsidR="00B07CD6" w:rsidRDefault="00B07CD6" w:rsidP="00B07CD6">
      <w:pPr>
        <w:pStyle w:val="Heading1"/>
        <w:spacing w:before="0" w:after="0" w:line="360" w:lineRule="auto"/>
        <w:jc w:val="both"/>
        <w:rPr>
          <w:sz w:val="22"/>
        </w:rPr>
      </w:pPr>
    </w:p>
    <w:p w14:paraId="6E06926E" w14:textId="77777777" w:rsidR="00B07CD6" w:rsidRDefault="00B07CD6" w:rsidP="00B07CD6">
      <w:pPr>
        <w:pStyle w:val="Heading1"/>
        <w:spacing w:before="0" w:after="0" w:line="360" w:lineRule="auto"/>
        <w:jc w:val="both"/>
        <w:rPr>
          <w:sz w:val="22"/>
        </w:rPr>
      </w:pPr>
    </w:p>
    <w:p w14:paraId="0D2C6858" w14:textId="77777777" w:rsidR="00B07CD6" w:rsidRDefault="00B07CD6" w:rsidP="00B07CD6">
      <w:pPr>
        <w:pStyle w:val="Heading1"/>
        <w:spacing w:before="0" w:after="0" w:line="360" w:lineRule="auto"/>
        <w:jc w:val="both"/>
        <w:rPr>
          <w:sz w:val="22"/>
        </w:rPr>
      </w:pPr>
    </w:p>
    <w:p w14:paraId="7BABBE79" w14:textId="77777777" w:rsidR="003B791A" w:rsidRPr="00B07CD6" w:rsidRDefault="00062D62" w:rsidP="00B07CD6">
      <w:pPr>
        <w:pStyle w:val="Heading1"/>
        <w:spacing w:before="0" w:after="0" w:line="360" w:lineRule="auto"/>
        <w:jc w:val="both"/>
        <w:rPr>
          <w:sz w:val="22"/>
        </w:rPr>
      </w:pPr>
      <w:r w:rsidRPr="00B07CD6">
        <w:rPr>
          <w:sz w:val="22"/>
        </w:rPr>
        <w:t>1. Introduction</w:t>
      </w:r>
    </w:p>
    <w:p w14:paraId="06B7253E" w14:textId="77777777" w:rsidR="003B791A" w:rsidRDefault="00062D62" w:rsidP="00B07CD6">
      <w:pPr>
        <w:spacing w:line="360" w:lineRule="auto"/>
        <w:jc w:val="both"/>
      </w:pPr>
      <w:r>
        <w:t xml:space="preserve">Health, wellbeing, and sustainable development are increasingly </w:t>
      </w:r>
      <w:proofErr w:type="spellStart"/>
      <w:r>
        <w:t>recognised</w:t>
      </w:r>
      <w:proofErr w:type="spellEnd"/>
      <w:r>
        <w:t xml:space="preserve"> as interconnected imperatives that shape the quality of life for citizens at global, national, and local levels. The United Nations' 2030 Agenda for Sustainable Development, comprising 17 Sustainable Development Goals (SDGs), provides an internationally </w:t>
      </w:r>
      <w:proofErr w:type="spellStart"/>
      <w:r>
        <w:t>recognised</w:t>
      </w:r>
      <w:proofErr w:type="spellEnd"/>
      <w:r>
        <w:t xml:space="preserve"> framework for addressing these challenges in an integrated and mutually reinforcing manner (United Nations, 2015). Progress on one goal is understood to facilitate progress on others, while failure in one domain can undermine gains elsewhere. This report critically examines two SDGs: SDG 3 'Good Health and Wellbeing' and SDG 10 'Reduced Inequalities'. It analyses how these goals intersect to shape citizen health outcomes at global, national, and local levels, evaluates the effectiveness of two key policy initiatives in the United Kingdom (UK) and Wales, and presents evidence-based recommendations for improvement. Health inequalities remain a persistent and worsening feature of contemporary British society. The Marmot Review (2020) demonstrated that improvements in life expectancy had stalled in England for the first time in over a century, and that health inequalities had widened significantly since 2010, underscoring the urgency of this analysis. The social and economic conditions in which people are born, grow, live, work, and age are now widely </w:t>
      </w:r>
      <w:proofErr w:type="spellStart"/>
      <w:r>
        <w:t>recognised</w:t>
      </w:r>
      <w:proofErr w:type="spellEnd"/>
      <w:r>
        <w:t xml:space="preserve"> as the primary drivers of health </w:t>
      </w:r>
      <w:r>
        <w:lastRenderedPageBreak/>
        <w:t>outcomes, and any meaningful policy response must address these upstream structural factors (WHO Commission on Social Determinants of Health, 2008).</w:t>
      </w:r>
    </w:p>
    <w:p w14:paraId="3B1C639C" w14:textId="77777777" w:rsidR="003B791A" w:rsidRPr="00B07CD6" w:rsidRDefault="00062D62" w:rsidP="00B07CD6">
      <w:pPr>
        <w:pStyle w:val="Heading1"/>
        <w:spacing w:before="0" w:after="0" w:line="360" w:lineRule="auto"/>
        <w:jc w:val="both"/>
        <w:rPr>
          <w:sz w:val="22"/>
        </w:rPr>
      </w:pPr>
      <w:r w:rsidRPr="00B07CD6">
        <w:rPr>
          <w:sz w:val="22"/>
        </w:rPr>
        <w:t>2. Analysis of SDG 3 and SDG 10: Impact on Health and Wellbeing</w:t>
      </w:r>
    </w:p>
    <w:p w14:paraId="4B263854" w14:textId="77777777" w:rsidR="003B791A" w:rsidRDefault="00062D62" w:rsidP="00B07CD6">
      <w:pPr>
        <w:pStyle w:val="Heading2"/>
        <w:spacing w:before="0" w:after="0" w:line="360" w:lineRule="auto"/>
        <w:jc w:val="both"/>
      </w:pPr>
      <w:r>
        <w:t>2.1 SDG 3: Good Health and Wellbeing</w:t>
      </w:r>
    </w:p>
    <w:p w14:paraId="144BD47F" w14:textId="77777777" w:rsidR="003B791A" w:rsidRDefault="00062D62" w:rsidP="00B07CD6">
      <w:pPr>
        <w:spacing w:line="360" w:lineRule="auto"/>
        <w:jc w:val="both"/>
      </w:pPr>
      <w:r>
        <w:t xml:space="preserve">SDG 3 aims to ensure healthy lives and promote wellbeing for all at all ages through 13 interconnected targets addressing communicable diseases, maternal and child health, mental health, substance misuse, road safety, universal health coverage (UHC), and environmental health risks (WHO, 2023a). Globally, meaningful progress was achieved in the two decades preceding 2020: under-five mortality rates declined by over 50% between 2000 and 2019, and access to antiretroviral therapy expanded significantly across sub-Saharan Africa (WHO, 2023b). However, the COVID-19 pandemic severely disrupted health system capacities worldwide, reversing progress on several SDG 3 indicators including </w:t>
      </w:r>
      <w:proofErr w:type="spellStart"/>
      <w:r>
        <w:t>immunisation</w:t>
      </w:r>
      <w:proofErr w:type="spellEnd"/>
      <w:r>
        <w:t xml:space="preserve"> coverage, tuberculosis control, and maternal health services, with effects disproportionately felt in low- and middle-income countries (UNAIDS, 2022). This uneven global impact exposed deep structural vulnerabilities in health systems and revealed the extent to which health outcomes are contingent on national wealth, governance quality, and social protection systems.</w:t>
      </w:r>
    </w:p>
    <w:p w14:paraId="3C23C7C8" w14:textId="77777777" w:rsidR="003B791A" w:rsidRDefault="00062D62" w:rsidP="00B07CD6">
      <w:pPr>
        <w:spacing w:line="360" w:lineRule="auto"/>
        <w:jc w:val="both"/>
      </w:pPr>
      <w:r>
        <w:t xml:space="preserve">At the national level in the UK, the NHS Long Term Plan (NHS England, 2019) explicitly aligned health service strategy with SDG 3 objectives, </w:t>
      </w:r>
      <w:proofErr w:type="spellStart"/>
      <w:r>
        <w:t>prioritising</w:t>
      </w:r>
      <w:proofErr w:type="spellEnd"/>
      <w:r>
        <w:t xml:space="preserve"> prevention, </w:t>
      </w:r>
      <w:proofErr w:type="spellStart"/>
      <w:r>
        <w:t>personalised</w:t>
      </w:r>
      <w:proofErr w:type="spellEnd"/>
      <w:r>
        <w:t xml:space="preserve"> care, mental health parity of esteem, and earlier cancer diagnosis. At the local level in Wales, the Well-being of Future Generations (Wales) Act 2015 represents a landmark legislative commitment to embedding sustainable development principles, including those of SDG 3, within the statutory obligations of all public bodies including health boards and local authorities (Welsh Government, 2015). Notwithstanding these frameworks, Wanless (2004) cautioned that achieving a fully engaged population in which citizens actively co-produce their own health required sustained investment in prevention and public health literacy, a recommendation that has yet to be fully </w:t>
      </w:r>
      <w:proofErr w:type="spellStart"/>
      <w:r>
        <w:t>realised</w:t>
      </w:r>
      <w:proofErr w:type="spellEnd"/>
      <w:r>
        <w:t>. Mental health represents a particularly acute gap: NHS Digital (2022) reported that approximately one in six adults in England experienced a common mental health disorder in 2021, while considerable geographical variation in access to psychological therapies persisted, indicating that SDG 3's aspiration of universal health access remains incompletely achieved at the local level.</w:t>
      </w:r>
    </w:p>
    <w:p w14:paraId="43B40D9C" w14:textId="77777777" w:rsidR="003B791A" w:rsidRDefault="00062D62" w:rsidP="00B07CD6">
      <w:pPr>
        <w:pStyle w:val="Heading2"/>
        <w:spacing w:before="0" w:after="0" w:line="360" w:lineRule="auto"/>
        <w:jc w:val="both"/>
      </w:pPr>
      <w:r>
        <w:t>2.2 SDG 10: Reduced Inequalities and its Intersection with Health</w:t>
      </w:r>
    </w:p>
    <w:p w14:paraId="6D7AFE39" w14:textId="77777777" w:rsidR="003B791A" w:rsidRDefault="00062D62" w:rsidP="00B07CD6">
      <w:pPr>
        <w:spacing w:line="360" w:lineRule="auto"/>
        <w:jc w:val="both"/>
      </w:pPr>
      <w:r>
        <w:t xml:space="preserve">SDG 10 seeks to reduce inequalities within and among countries by targeting income growth for the lowest-earning populations, promoting social, economic, and political inclusion, and eliminating discriminatory laws and practices (United Nations, 2015). Its relevance to health is foundational. The social determinants of health model, first articulated by Dahlgren and Whitehead (1991) and subsequently elaborated by the WHO Commission on Social Determinants of Health (2008), demonstrates that socioeconomic position, educational </w:t>
      </w:r>
      <w:r>
        <w:lastRenderedPageBreak/>
        <w:t>attainment, employment security, and housing quality are among the most powerful and consistent predictors of health outcomes across all populations. Wilkinson and Pickett (2009), in their landmark comparative study, provided robust cross-national evidence that societies with greater income inequality experience worse outcomes not only in health but across a range of social indicators including educational attainment, social mobility, and mental wellbeing. Their findings suggest that inequality itself, rather than absolute poverty, is the operative mechanism, exerting its effects through psychosocial pathways including chronic stress, erosion of social trust, and diminished sense of personal control.</w:t>
      </w:r>
    </w:p>
    <w:p w14:paraId="2277C7C5" w14:textId="77777777" w:rsidR="003B791A" w:rsidRDefault="00062D62" w:rsidP="00B07CD6">
      <w:pPr>
        <w:spacing w:line="360" w:lineRule="auto"/>
        <w:jc w:val="both"/>
      </w:pPr>
      <w:r>
        <w:t>In the UK context, the Marmot Review (2020) concluded that welfare reform, real-terms reductions in public expenditure, and wage stagnation had collectively deepened health inequalities across England over the preceding decade. In Wales, the Public Health Wales Observatory (2021) documented persistent life expectancy gaps between the most and least deprived quintiles, amounting to approximately 9.8 years for men and 7.2 years for women. These data expose a critical tension: while SDG 10 demands a reduction in inequalities, national policy decisions oriented towards fiscal austerity have, in many instances, exacerbated the structural determinants that produce differential health outcomes, simultaneously undermining both SDG 3 and SDG 10. The Capability Approach, developed by Sen (1999) and extended by Nussbaum (2011), offers a valuable theoretical lens through which to understand this dynamic. Health is understood not merely as a biological state but as a substantive freedom, one that is shaped by the capabilities that political, economic, and social structures either enable or constrain. This framework implies that effective policy must go beyond service provision to actively expand the real opportunities available to disadvantaged groups.</w:t>
      </w:r>
    </w:p>
    <w:p w14:paraId="68379C2B" w14:textId="77777777" w:rsidR="003B791A" w:rsidRPr="00B07CD6" w:rsidRDefault="00062D62" w:rsidP="00B07CD6">
      <w:pPr>
        <w:pStyle w:val="Heading1"/>
        <w:spacing w:before="0" w:after="0" w:line="360" w:lineRule="auto"/>
        <w:jc w:val="both"/>
        <w:rPr>
          <w:sz w:val="22"/>
          <w:szCs w:val="22"/>
        </w:rPr>
      </w:pPr>
      <w:r w:rsidRPr="00B07CD6">
        <w:rPr>
          <w:sz w:val="22"/>
          <w:szCs w:val="22"/>
        </w:rPr>
        <w:t>3. Evaluation of National and Local Health, Wellbeing and Sustainability Initiatives</w:t>
      </w:r>
    </w:p>
    <w:p w14:paraId="386F0207" w14:textId="77777777" w:rsidR="003B791A" w:rsidRPr="00B07CD6" w:rsidRDefault="00062D62" w:rsidP="00B07CD6">
      <w:pPr>
        <w:pStyle w:val="Heading2"/>
        <w:spacing w:before="0" w:after="0" w:line="360" w:lineRule="auto"/>
        <w:jc w:val="both"/>
      </w:pPr>
      <w:r w:rsidRPr="00B07CD6">
        <w:t>3.1 National Initiative: NHS England Long Term Plan (2019)</w:t>
      </w:r>
    </w:p>
    <w:p w14:paraId="15AD894F" w14:textId="77777777" w:rsidR="003B791A" w:rsidRDefault="00062D62" w:rsidP="00B07CD6">
      <w:pPr>
        <w:spacing w:line="360" w:lineRule="auto"/>
        <w:jc w:val="both"/>
      </w:pPr>
      <w:r>
        <w:t xml:space="preserve">The NHS Long Term Plan (NHS England, 2019) set out a comprehensive ten-year roadmap for transforming health service delivery and improving population health in England. Core commitments included a decisive shift towards primary and community care, expansion of mental health services to reach an additional 380,000 adults annually, earlier cancer diagnosis for a further 55,000 patients per year, and an explicit health inequalities framework. The Plan was underpinned by a substantial funding settlement of an additional £20.5 billion per year in real terms by 2023/24, representing the largest multi-year budget commitment in NHS history. The subsequent Health and Care Act 2022 gave legislative form to the </w:t>
      </w:r>
      <w:proofErr w:type="gramStart"/>
      <w:r>
        <w:t>Plan's integration</w:t>
      </w:r>
      <w:proofErr w:type="gramEnd"/>
      <w:r>
        <w:t xml:space="preserve"> ambitions through the creation of Integrated Care Systems (ICSs), tasked with aligning NHS, local authority, and voluntary sector resources at a population level.</w:t>
      </w:r>
    </w:p>
    <w:p w14:paraId="3D79491B" w14:textId="77777777" w:rsidR="003B791A" w:rsidRDefault="00062D62" w:rsidP="00B07CD6">
      <w:pPr>
        <w:spacing w:line="360" w:lineRule="auto"/>
        <w:jc w:val="both"/>
      </w:pPr>
      <w:r>
        <w:t xml:space="preserve">In evaluating the Plan's effectiveness, a mixed picture emerges. The Health Foundation (2023) acknowledged measurable progress in mental health access and cancer screening </w:t>
      </w:r>
      <w:proofErr w:type="spellStart"/>
      <w:r>
        <w:lastRenderedPageBreak/>
        <w:t>programmes</w:t>
      </w:r>
      <w:proofErr w:type="spellEnd"/>
      <w:r>
        <w:t xml:space="preserve">, yet simultaneously documented NHS waiting lists reaching a record 7.7 million in England by 2023, reflecting both pandemic-related backlogs and the cumulative effects of underinvestment in workforce capacity over the preceding decade. The King's Fund (2022) cautioned that structural </w:t>
      </w:r>
      <w:proofErr w:type="spellStart"/>
      <w:r>
        <w:t>reorganisation</w:t>
      </w:r>
      <w:proofErr w:type="spellEnd"/>
      <w:r>
        <w:t xml:space="preserve"> through ICSs, while conceptually sound, cannot independently resolve the deep-seated social determinants driving health inequalities; without corresponding investment in housing, education, and employment, clinical integration achieves only partial gains. The NHS Confederation (2023) further noted that the Plan's health inequality commitments lacked the granular monitoring frameworks necessary to hold systems accountable for equity outcomes, with progress varying markedly across regions. The NHS Long Term Plan therefore represents an ambitious but incompletely </w:t>
      </w:r>
      <w:proofErr w:type="spellStart"/>
      <w:r>
        <w:t>realised</w:t>
      </w:r>
      <w:proofErr w:type="spellEnd"/>
      <w:r>
        <w:t xml:space="preserve"> strategy whose effectiveness has been constrained by external shocks, workforce shortfalls, and insufficient upstream policy alignment.</w:t>
      </w:r>
    </w:p>
    <w:p w14:paraId="70F66D7E" w14:textId="77777777" w:rsidR="00B07CD6" w:rsidRDefault="00B07CD6" w:rsidP="00B07CD6">
      <w:pPr>
        <w:spacing w:line="360" w:lineRule="auto"/>
        <w:jc w:val="both"/>
      </w:pPr>
    </w:p>
    <w:p w14:paraId="38D36F10" w14:textId="77777777" w:rsidR="003B791A" w:rsidRDefault="00062D62" w:rsidP="00B07CD6">
      <w:pPr>
        <w:pStyle w:val="Heading2"/>
        <w:spacing w:before="0" w:after="0" w:line="360" w:lineRule="auto"/>
        <w:jc w:val="both"/>
      </w:pPr>
      <w:r>
        <w:t xml:space="preserve">3.2 Local Initiative: </w:t>
      </w:r>
      <w:proofErr w:type="gramStart"/>
      <w:r>
        <w:t>A Healthier</w:t>
      </w:r>
      <w:proofErr w:type="gramEnd"/>
      <w:r>
        <w:t xml:space="preserve"> Wales (Welsh Government, 2018)</w:t>
      </w:r>
    </w:p>
    <w:p w14:paraId="22588F0F" w14:textId="77777777" w:rsidR="003B791A" w:rsidRDefault="00062D62" w:rsidP="00B07CD6">
      <w:pPr>
        <w:spacing w:line="360" w:lineRule="auto"/>
        <w:jc w:val="both"/>
      </w:pPr>
      <w:r>
        <w:t>At the national and local level within Wales, '</w:t>
      </w:r>
      <w:proofErr w:type="gramStart"/>
      <w:r>
        <w:t>A Healthier</w:t>
      </w:r>
      <w:proofErr w:type="gramEnd"/>
      <w:r>
        <w:t xml:space="preserve"> Wales: Our Plan for Health and Social Care' (Welsh Government, 2018) establishes a long-term transformational strategy grounded in whole-system, person-</w:t>
      </w:r>
      <w:proofErr w:type="spellStart"/>
      <w:r>
        <w:t>centred</w:t>
      </w:r>
      <w:proofErr w:type="spellEnd"/>
      <w:r>
        <w:t>, and prevention-focused principles. The strategy aligns explicitly with both SDG 3 and SDG 10, embedding community empowerment and co-production as central mechanisms of change. The Prudent Healthcare framework, which underpins much of Welsh health policy, advocates for achieving health through partnership rather than dependency, intervening only when necessary to avoid harm, and always preferring the lowest-impact approach (Bevan Commission, 2015). This model actively positions citizens as agents of their own health rather than passive recipients of care, resonating closely with Sen's (1999) emphasis on capability expansion as the foundation of human development.</w:t>
      </w:r>
    </w:p>
    <w:p w14:paraId="3A74E88C" w14:textId="77777777" w:rsidR="003B791A" w:rsidRDefault="00062D62" w:rsidP="00B07CD6">
      <w:pPr>
        <w:spacing w:line="360" w:lineRule="auto"/>
        <w:jc w:val="both"/>
      </w:pPr>
      <w:r>
        <w:t xml:space="preserve">The initiative has produced notable achievements in practice. The Integrated Health and Social Care model, piloted in the Gwent region, demonstrated measurable reductions in unplanned hospital admissions among elderly populations through the deployment of coordinated community care teams (Public Health Wales, 2022). Social Prescribing </w:t>
      </w:r>
      <w:proofErr w:type="spellStart"/>
      <w:r>
        <w:t>programmes</w:t>
      </w:r>
      <w:proofErr w:type="spellEnd"/>
      <w:r>
        <w:t xml:space="preserve">, embedded within Welsh primary care networks, have connected patients facing social isolation, financial hardship, or mild-to-moderate mental health difficulties to community-based resources, addressing the social determinants of health in ways that clinical intervention alone cannot achieve (Welsh Government, 2022). Nonetheless, significant challenges persist. Audit Wales (2022) found that chronic workforce shortages and inadequate capital investment continued to obstruct the pace of transformation. In rural communities such as Powys, geographical isolation compounds access inequalities that systems-level policy documents can obscure, while </w:t>
      </w:r>
      <w:proofErr w:type="gramStart"/>
      <w:r>
        <w:t>digitally-mediated</w:t>
      </w:r>
      <w:proofErr w:type="gramEnd"/>
      <w:r>
        <w:t xml:space="preserve"> health services risk creating new barriers for older adults </w:t>
      </w:r>
      <w:r>
        <w:lastRenderedPageBreak/>
        <w:t xml:space="preserve">and economically </w:t>
      </w:r>
      <w:proofErr w:type="spellStart"/>
      <w:r>
        <w:t>marginalised</w:t>
      </w:r>
      <w:proofErr w:type="spellEnd"/>
      <w:r>
        <w:t xml:space="preserve"> groups with limited digital access or literacy (Digital Health and Care Wales, 2023). This reflects a fundamental limitation of structural initiatives: transformation can inadvertently entrench inequalities when differential access and capability across population groups are insufficiently accounted for in implementation design.</w:t>
      </w:r>
    </w:p>
    <w:p w14:paraId="320A223F" w14:textId="77777777" w:rsidR="003B791A" w:rsidRPr="00B07CD6" w:rsidRDefault="00062D62" w:rsidP="00B07CD6">
      <w:pPr>
        <w:pStyle w:val="Heading1"/>
        <w:spacing w:before="0" w:after="0" w:line="360" w:lineRule="auto"/>
        <w:jc w:val="both"/>
        <w:rPr>
          <w:sz w:val="22"/>
        </w:rPr>
      </w:pPr>
      <w:r w:rsidRPr="00B07CD6">
        <w:rPr>
          <w:sz w:val="22"/>
        </w:rPr>
        <w:t>4. Recommendations for Improvement</w:t>
      </w:r>
    </w:p>
    <w:p w14:paraId="49D08721" w14:textId="77777777" w:rsidR="003B791A" w:rsidRDefault="00062D62" w:rsidP="00B07CD6">
      <w:pPr>
        <w:spacing w:line="360" w:lineRule="auto"/>
        <w:jc w:val="both"/>
      </w:pPr>
      <w:r>
        <w:t xml:space="preserve">Drawing on the preceding analysis and underpinned by the social determinants, </w:t>
      </w:r>
      <w:proofErr w:type="spellStart"/>
      <w:r>
        <w:t>salutogenic</w:t>
      </w:r>
      <w:proofErr w:type="spellEnd"/>
      <w:r>
        <w:t>, and capability frameworks, four evidence-based recommendations are proposed to strengthen health, wellbeing, and sustainability policy at national and local levels.</w:t>
      </w:r>
    </w:p>
    <w:p w14:paraId="5FDCD853" w14:textId="77777777" w:rsidR="003B791A" w:rsidRDefault="00062D62" w:rsidP="00B07CD6">
      <w:pPr>
        <w:spacing w:line="360" w:lineRule="auto"/>
        <w:jc w:val="both"/>
      </w:pPr>
      <w:r>
        <w:t>First, cross-departmental policy integration must be substantially strengthened. The persistence of health inequalities reflects the fragmented and siloed nature of public policy, in which health, housing, education, and employment departments rarely co-design interventions despite operating on the same underlying social determinants. Marmot (2020) identifies giving every child the best start in life, which requires sustained cross-government investment in early years services, as the single most impactful lever for reducing health inequalities over the long term. The Well-being of Future Generations (Wales) Act 2015 provides a replicable legislative model requiring all public bodies to apply sustainable development principles to their decision-making processes. Extending this approach nationally through mandatory health impact assessments for all major spending decisions and robust interdepartmental accountability mechanisms would align with Graham's (2016) framework for health equity governance.</w:t>
      </w:r>
    </w:p>
    <w:p w14:paraId="3663D21A" w14:textId="77777777" w:rsidR="003B791A" w:rsidRDefault="00062D62" w:rsidP="00B07CD6">
      <w:pPr>
        <w:spacing w:line="360" w:lineRule="auto"/>
        <w:jc w:val="both"/>
      </w:pPr>
      <w:r>
        <w:t xml:space="preserve">Second, robust and disaggregated health inequality monitoring must accompany all national and local health strategies. The NHS Long Term Plan's equity commitments have been hampered by insufficient data disaggregation, making it difficult to determine whether interventions are narrowing or widening existing disparities. Whitehead (1992) established that making inequalities visible through systematic and </w:t>
      </w:r>
      <w:proofErr w:type="spellStart"/>
      <w:r>
        <w:t>standardised</w:t>
      </w:r>
      <w:proofErr w:type="spellEnd"/>
      <w:r>
        <w:t xml:space="preserve"> data collection is a prerequisite for political and institutional accountability. A national health inequalities dashboard disaggregating outcomes by deprivation decile, ethnicity, disability status, age, and geography would equip Integrated Care Systems and Welsh Health Boards with the evidence needed to target resources effectively and evaluate equity-specific outcomes over time.</w:t>
      </w:r>
    </w:p>
    <w:p w14:paraId="2E800324" w14:textId="77777777" w:rsidR="003B791A" w:rsidRDefault="00062D62" w:rsidP="00B07CD6">
      <w:pPr>
        <w:spacing w:line="360" w:lineRule="auto"/>
        <w:jc w:val="both"/>
      </w:pPr>
      <w:r>
        <w:t>Third, community-</w:t>
      </w:r>
      <w:proofErr w:type="spellStart"/>
      <w:r>
        <w:t>centred</w:t>
      </w:r>
      <w:proofErr w:type="spellEnd"/>
      <w:r>
        <w:t xml:space="preserve"> health models should be systematically scaled across national health systems. Evidence from social prescribing evaluations, asset-based community development </w:t>
      </w:r>
      <w:proofErr w:type="spellStart"/>
      <w:r>
        <w:t>programmes</w:t>
      </w:r>
      <w:proofErr w:type="spellEnd"/>
      <w:r>
        <w:t xml:space="preserve">, and Welsh Integrated Care initiatives consistently </w:t>
      </w:r>
      <w:proofErr w:type="gramStart"/>
      <w:r>
        <w:t>demonstrates</w:t>
      </w:r>
      <w:proofErr w:type="gramEnd"/>
      <w:r>
        <w:t xml:space="preserve"> that communities empowered as co-producers of health achieve improved outcomes at lower system cost (NHS England, 2022). The </w:t>
      </w:r>
      <w:proofErr w:type="spellStart"/>
      <w:r>
        <w:t>Salutogenic</w:t>
      </w:r>
      <w:proofErr w:type="spellEnd"/>
      <w:r>
        <w:t xml:space="preserve"> model advanced by Antonovsky (1996) provides a compelling theoretical rationale: by focusing on the sense of coherence and generative resources that enable individuals to manage adversity and sustain health, rather than solely treating pathology, services become both more effective and more equitable. </w:t>
      </w:r>
      <w:proofErr w:type="spellStart"/>
      <w:r>
        <w:lastRenderedPageBreak/>
        <w:t>Realising</w:t>
      </w:r>
      <w:proofErr w:type="spellEnd"/>
      <w:r>
        <w:t xml:space="preserve"> this at scale demands sustained multi-year funding arrangements rather than the short-term project grants that currently dominate community health investment and undermine </w:t>
      </w:r>
      <w:proofErr w:type="spellStart"/>
      <w:r>
        <w:t>programme</w:t>
      </w:r>
      <w:proofErr w:type="spellEnd"/>
      <w:r>
        <w:t xml:space="preserve"> continuity.</w:t>
      </w:r>
    </w:p>
    <w:p w14:paraId="000551CD" w14:textId="77777777" w:rsidR="003B791A" w:rsidRDefault="00062D62" w:rsidP="00B07CD6">
      <w:pPr>
        <w:spacing w:line="360" w:lineRule="auto"/>
        <w:jc w:val="both"/>
      </w:pPr>
      <w:r>
        <w:t xml:space="preserve">Fourth, digital health equity must be embedded as a foundational principle within all digital transformation strategies. Digital Health and Care Wales (2023) </w:t>
      </w:r>
      <w:proofErr w:type="gramStart"/>
      <w:r>
        <w:t>acknowledges</w:t>
      </w:r>
      <w:proofErr w:type="gramEnd"/>
      <w:r>
        <w:t xml:space="preserve"> that while digital tools can improve accessibility and efficiency, they simultaneously risk deepening inequalities for those with limited digital literacy, unreliable internet connectivity, or language barriers. Co-design with </w:t>
      </w:r>
      <w:proofErr w:type="spellStart"/>
      <w:r>
        <w:t>marginalised</w:t>
      </w:r>
      <w:proofErr w:type="spellEnd"/>
      <w:r>
        <w:t xml:space="preserve"> communities, the provision of accessible offline alternatives, and sustained investment in community-based digital skills </w:t>
      </w:r>
      <w:proofErr w:type="spellStart"/>
      <w:r>
        <w:t>programmes</w:t>
      </w:r>
      <w:proofErr w:type="spellEnd"/>
      <w:r>
        <w:t xml:space="preserve"> are essential safeguards against a </w:t>
      </w:r>
      <w:proofErr w:type="gramStart"/>
      <w:r>
        <w:t>digitally-mediated</w:t>
      </w:r>
      <w:proofErr w:type="gramEnd"/>
      <w:r>
        <w:t xml:space="preserve"> widening of health inequalities. These measures align with Universal Design principles (Story, 1998) and with the broader capability imperative to ensure that technological advances expand rather than constrain the health freedoms available to all citizens regardless of background.</w:t>
      </w:r>
    </w:p>
    <w:p w14:paraId="671FD127" w14:textId="77777777" w:rsidR="003B791A" w:rsidRPr="00B07CD6" w:rsidRDefault="00062D62" w:rsidP="00B07CD6">
      <w:pPr>
        <w:pStyle w:val="Heading1"/>
        <w:spacing w:before="0" w:after="0" w:line="360" w:lineRule="auto"/>
        <w:jc w:val="both"/>
        <w:rPr>
          <w:sz w:val="22"/>
        </w:rPr>
      </w:pPr>
      <w:r w:rsidRPr="00B07CD6">
        <w:rPr>
          <w:sz w:val="22"/>
        </w:rPr>
        <w:t>5. Conclusion</w:t>
      </w:r>
    </w:p>
    <w:p w14:paraId="4AA7C166" w14:textId="77777777" w:rsidR="003B791A" w:rsidRDefault="00062D62" w:rsidP="00B07CD6">
      <w:pPr>
        <w:spacing w:line="360" w:lineRule="auto"/>
        <w:jc w:val="both"/>
      </w:pPr>
      <w:r>
        <w:t xml:space="preserve">This report has critically examined the impact of SDG 3 'Good Health and Wellbeing' and SDG 10 'Reduced Inequalities' on citizen health outcomes at global, national, and local levels, demonstrating that these goals are profoundly interdependent and mutually constitutive. Progress on health cannot be sustained without simultaneously addressing the structural inequalities that produce and reproduce differential outcomes across populations. The NHS Long Term Plan and </w:t>
      </w:r>
      <w:proofErr w:type="gramStart"/>
      <w:r>
        <w:t>A Healthier</w:t>
      </w:r>
      <w:proofErr w:type="gramEnd"/>
      <w:r>
        <w:t xml:space="preserve"> Wales represent substantively important policy efforts to </w:t>
      </w:r>
      <w:proofErr w:type="spellStart"/>
      <w:r>
        <w:t>operationalise</w:t>
      </w:r>
      <w:proofErr w:type="spellEnd"/>
      <w:r>
        <w:t xml:space="preserve"> these principles; however, their effectiveness has been constrained by workforce shortfalls, inadequate upstream integration, and the ongoing structural consequences of sustained austerity. The four recommendations advanced, encompassing cross-departmental integration, granular inequality monitoring, scaling of community-</w:t>
      </w:r>
      <w:proofErr w:type="spellStart"/>
      <w:r>
        <w:t>centred</w:t>
      </w:r>
      <w:proofErr w:type="spellEnd"/>
      <w:r>
        <w:t xml:space="preserve"> models, and digital health equity, are grounded in convergent theoretical frameworks from the social </w:t>
      </w:r>
      <w:proofErr w:type="gramStart"/>
      <w:r>
        <w:t>determinants</w:t>
      </w:r>
      <w:proofErr w:type="gramEnd"/>
      <w:r>
        <w:t xml:space="preserve"> tradition, </w:t>
      </w:r>
      <w:proofErr w:type="spellStart"/>
      <w:r>
        <w:t>salutogenesis</w:t>
      </w:r>
      <w:proofErr w:type="spellEnd"/>
      <w:r>
        <w:t>, and the capability approach, and are supported by a substantial body of empirical evidence. Achieving the transformative ambitions of both SDG 3 and SDG 10 ultimately demands not merely technical refinement of existing policies, but a deeper political commitment to restructuring the social and economic conditions in which health, wellbeing, and opportunity are produced and distributed.</w:t>
      </w:r>
    </w:p>
    <w:p w14:paraId="20B353E7" w14:textId="77777777" w:rsidR="00B07CD6" w:rsidRDefault="00B07CD6" w:rsidP="00B07CD6">
      <w:pPr>
        <w:pStyle w:val="Heading1"/>
        <w:spacing w:before="0" w:after="0"/>
        <w:jc w:val="both"/>
      </w:pPr>
    </w:p>
    <w:p w14:paraId="1AA68356" w14:textId="77777777" w:rsidR="00B07CD6" w:rsidRDefault="00B07CD6" w:rsidP="00B07CD6">
      <w:pPr>
        <w:pStyle w:val="Heading1"/>
        <w:spacing w:before="0" w:after="0"/>
        <w:jc w:val="both"/>
      </w:pPr>
    </w:p>
    <w:p w14:paraId="0109397C" w14:textId="77777777" w:rsidR="00B07CD6" w:rsidRDefault="00B07CD6" w:rsidP="00B07CD6">
      <w:pPr>
        <w:pStyle w:val="Heading1"/>
        <w:spacing w:before="0" w:after="0"/>
        <w:jc w:val="both"/>
      </w:pPr>
    </w:p>
    <w:p w14:paraId="59EF0936" w14:textId="77777777" w:rsidR="00B07CD6" w:rsidRDefault="00B07CD6" w:rsidP="00B07CD6">
      <w:pPr>
        <w:pStyle w:val="Heading1"/>
        <w:spacing w:before="0" w:after="0"/>
        <w:jc w:val="both"/>
      </w:pPr>
    </w:p>
    <w:p w14:paraId="42413B2E" w14:textId="77777777" w:rsidR="00B07CD6" w:rsidRDefault="00B07CD6" w:rsidP="00B07CD6">
      <w:pPr>
        <w:pStyle w:val="Heading1"/>
        <w:spacing w:before="0" w:after="0"/>
        <w:jc w:val="both"/>
      </w:pPr>
    </w:p>
    <w:p w14:paraId="5B881B7E" w14:textId="77777777" w:rsidR="00B07CD6" w:rsidRDefault="00B07CD6" w:rsidP="00B07CD6">
      <w:pPr>
        <w:pStyle w:val="Heading1"/>
        <w:spacing w:before="0" w:after="0"/>
        <w:jc w:val="both"/>
      </w:pPr>
    </w:p>
    <w:p w14:paraId="0F938B11" w14:textId="77777777" w:rsidR="00B07CD6" w:rsidRDefault="00B07CD6" w:rsidP="00B07CD6">
      <w:pPr>
        <w:pStyle w:val="Heading1"/>
        <w:spacing w:before="0" w:after="0"/>
        <w:jc w:val="both"/>
      </w:pPr>
    </w:p>
    <w:p w14:paraId="2A4AB9EF" w14:textId="77777777" w:rsidR="00B07CD6" w:rsidRDefault="00B07CD6" w:rsidP="00B07CD6">
      <w:pPr>
        <w:pStyle w:val="Heading1"/>
        <w:spacing w:before="0" w:after="0"/>
        <w:jc w:val="both"/>
      </w:pPr>
    </w:p>
    <w:p w14:paraId="0FCBC67E" w14:textId="77777777" w:rsidR="00B07CD6" w:rsidRDefault="00B07CD6" w:rsidP="00B07CD6">
      <w:pPr>
        <w:pStyle w:val="Heading1"/>
        <w:spacing w:before="0" w:after="0"/>
        <w:jc w:val="both"/>
      </w:pPr>
    </w:p>
    <w:p w14:paraId="178A79E3" w14:textId="77777777" w:rsidR="00B07CD6" w:rsidRDefault="00B07CD6" w:rsidP="00B07CD6">
      <w:pPr>
        <w:pStyle w:val="Heading1"/>
        <w:spacing w:before="0" w:after="0"/>
        <w:jc w:val="both"/>
      </w:pPr>
    </w:p>
    <w:p w14:paraId="3672B017" w14:textId="77777777" w:rsidR="00B07CD6" w:rsidRDefault="00B07CD6" w:rsidP="00B07CD6">
      <w:pPr>
        <w:pStyle w:val="Heading1"/>
        <w:spacing w:before="0" w:after="0"/>
        <w:jc w:val="both"/>
      </w:pPr>
    </w:p>
    <w:p w14:paraId="68DA25CA" w14:textId="77777777" w:rsidR="00B07CD6" w:rsidRDefault="00B07CD6" w:rsidP="00B07CD6">
      <w:pPr>
        <w:pStyle w:val="Heading1"/>
        <w:spacing w:before="0" w:after="0"/>
        <w:jc w:val="both"/>
      </w:pPr>
    </w:p>
    <w:p w14:paraId="13E8A282" w14:textId="77777777" w:rsidR="00B07CD6" w:rsidRDefault="00B07CD6" w:rsidP="00B07CD6">
      <w:pPr>
        <w:pStyle w:val="Heading1"/>
        <w:spacing w:before="0" w:after="0"/>
        <w:jc w:val="both"/>
      </w:pPr>
    </w:p>
    <w:p w14:paraId="5EAF0CD2" w14:textId="77777777" w:rsidR="00B07CD6" w:rsidRDefault="00B07CD6" w:rsidP="00B07CD6">
      <w:pPr>
        <w:pStyle w:val="Heading1"/>
        <w:spacing w:before="0" w:after="0"/>
        <w:jc w:val="both"/>
      </w:pPr>
    </w:p>
    <w:p w14:paraId="7C8BCBF2" w14:textId="77777777" w:rsidR="00B07CD6" w:rsidRDefault="00B07CD6" w:rsidP="00B07CD6">
      <w:pPr>
        <w:pStyle w:val="Heading1"/>
        <w:spacing w:before="0" w:after="0"/>
        <w:jc w:val="both"/>
      </w:pPr>
    </w:p>
    <w:p w14:paraId="1A1C0631" w14:textId="77777777" w:rsidR="00B07CD6" w:rsidRDefault="00B07CD6" w:rsidP="00B07CD6">
      <w:pPr>
        <w:pStyle w:val="Heading1"/>
        <w:spacing w:before="0" w:after="0"/>
        <w:jc w:val="both"/>
      </w:pPr>
    </w:p>
    <w:p w14:paraId="40264245" w14:textId="77777777" w:rsidR="00B07CD6" w:rsidRDefault="00B07CD6" w:rsidP="00B07CD6">
      <w:pPr>
        <w:pStyle w:val="Heading1"/>
        <w:spacing w:before="0" w:after="0"/>
        <w:jc w:val="both"/>
      </w:pPr>
    </w:p>
    <w:p w14:paraId="16C91AF3" w14:textId="77777777" w:rsidR="00B07CD6" w:rsidRDefault="00B07CD6" w:rsidP="00B07CD6">
      <w:pPr>
        <w:pStyle w:val="Heading1"/>
        <w:spacing w:before="0" w:after="0"/>
        <w:jc w:val="both"/>
      </w:pPr>
    </w:p>
    <w:p w14:paraId="3C1B9380" w14:textId="77777777" w:rsidR="00B07CD6" w:rsidRDefault="00B07CD6" w:rsidP="00B07CD6">
      <w:pPr>
        <w:pStyle w:val="Heading1"/>
        <w:spacing w:before="0" w:after="0"/>
        <w:jc w:val="both"/>
      </w:pPr>
    </w:p>
    <w:p w14:paraId="08F66A53" w14:textId="77777777" w:rsidR="00B07CD6" w:rsidRDefault="00B07CD6" w:rsidP="00B07CD6">
      <w:pPr>
        <w:pStyle w:val="Heading1"/>
        <w:spacing w:before="0" w:after="0"/>
        <w:jc w:val="both"/>
      </w:pPr>
    </w:p>
    <w:p w14:paraId="705996F1" w14:textId="77777777" w:rsidR="00B07CD6" w:rsidRDefault="00B07CD6" w:rsidP="00B07CD6">
      <w:pPr>
        <w:pStyle w:val="Heading1"/>
        <w:spacing w:before="0" w:after="0"/>
        <w:jc w:val="both"/>
      </w:pPr>
    </w:p>
    <w:p w14:paraId="38007C82" w14:textId="77777777" w:rsidR="00B07CD6" w:rsidRDefault="00B07CD6" w:rsidP="00B07CD6">
      <w:pPr>
        <w:pStyle w:val="Heading1"/>
        <w:spacing w:before="0" w:after="0"/>
        <w:jc w:val="both"/>
      </w:pPr>
    </w:p>
    <w:p w14:paraId="05B562DE" w14:textId="77777777" w:rsidR="00B07CD6" w:rsidRDefault="00B07CD6" w:rsidP="00B07CD6">
      <w:pPr>
        <w:pStyle w:val="Heading1"/>
        <w:spacing w:before="0" w:after="0"/>
        <w:jc w:val="both"/>
      </w:pPr>
    </w:p>
    <w:p w14:paraId="1A9E97BF" w14:textId="77777777" w:rsidR="00B07CD6" w:rsidRDefault="00B07CD6" w:rsidP="00B07CD6">
      <w:pPr>
        <w:pStyle w:val="Heading1"/>
        <w:spacing w:before="0" w:after="0"/>
        <w:jc w:val="both"/>
      </w:pPr>
    </w:p>
    <w:p w14:paraId="51303D99" w14:textId="77777777" w:rsidR="003B791A" w:rsidRDefault="00062D62" w:rsidP="00B07CD6">
      <w:pPr>
        <w:pStyle w:val="Heading1"/>
        <w:spacing w:before="0" w:after="0" w:line="360" w:lineRule="auto"/>
        <w:jc w:val="both"/>
      </w:pPr>
      <w:r>
        <w:t>Reference</w:t>
      </w:r>
      <w:r w:rsidR="00B07CD6">
        <w:t>s</w:t>
      </w:r>
    </w:p>
    <w:p w14:paraId="42B7EDCC" w14:textId="77777777" w:rsidR="003B791A" w:rsidRDefault="00062D62" w:rsidP="00B07CD6">
      <w:pPr>
        <w:spacing w:line="360" w:lineRule="auto"/>
        <w:ind w:left="720" w:hanging="720"/>
        <w:jc w:val="both"/>
      </w:pPr>
      <w:r>
        <w:t xml:space="preserve">Antonovsky, A. (1996) 'The </w:t>
      </w:r>
      <w:proofErr w:type="spellStart"/>
      <w:r>
        <w:t>salutogenic</w:t>
      </w:r>
      <w:proofErr w:type="spellEnd"/>
      <w:r>
        <w:t xml:space="preserve"> model as a theory to guide health promotion', Health Promotion International, 11(1), pp. 11-18.</w:t>
      </w:r>
    </w:p>
    <w:p w14:paraId="252A956F" w14:textId="77777777" w:rsidR="003B791A" w:rsidRDefault="00062D62" w:rsidP="00B07CD6">
      <w:pPr>
        <w:spacing w:line="360" w:lineRule="auto"/>
        <w:ind w:left="720" w:hanging="720"/>
        <w:jc w:val="both"/>
      </w:pPr>
      <w:r>
        <w:t>Audit Wales (2022) NHS Wales: Financial Sustainability. Cardiff: Audit Wales. Available at: https://www.audit.wales (Accessed: 10 June 2025).</w:t>
      </w:r>
    </w:p>
    <w:p w14:paraId="6DB3937F" w14:textId="77777777" w:rsidR="003B791A" w:rsidRDefault="00062D62" w:rsidP="00B07CD6">
      <w:pPr>
        <w:spacing w:line="360" w:lineRule="auto"/>
        <w:ind w:left="720" w:hanging="720"/>
        <w:jc w:val="both"/>
      </w:pPr>
      <w:r>
        <w:t>Bevan Commission (2015) Prudent Healthcare: Setting the Principles. Cardiff: Bevan Commission. Available at: https://www.bevancommission.org (Accessed: 12 June 2025).</w:t>
      </w:r>
    </w:p>
    <w:p w14:paraId="1D2E569D" w14:textId="77777777" w:rsidR="003B791A" w:rsidRDefault="00062D62" w:rsidP="00B07CD6">
      <w:pPr>
        <w:spacing w:line="360" w:lineRule="auto"/>
        <w:ind w:left="720" w:hanging="720"/>
        <w:jc w:val="both"/>
      </w:pPr>
      <w:r>
        <w:t>Dahlgren, G. and Whitehead, M. (1991) Policies and Strategies to Promote Social Equity in Health. Stockholm: Institute for Future Studies.</w:t>
      </w:r>
    </w:p>
    <w:p w14:paraId="15BD9908" w14:textId="77777777" w:rsidR="003B791A" w:rsidRDefault="00062D62" w:rsidP="00B07CD6">
      <w:pPr>
        <w:spacing w:line="360" w:lineRule="auto"/>
        <w:ind w:left="720" w:hanging="720"/>
        <w:jc w:val="both"/>
      </w:pPr>
      <w:r>
        <w:t>Digital Health and Care Wales (2023) Digital Health and Care Strategy 2023-2026. Cardiff: DHCW. Available at: https://dhcw.nhs.wales (Accessed: 15 June 2025).</w:t>
      </w:r>
    </w:p>
    <w:p w14:paraId="25A49323" w14:textId="77777777" w:rsidR="003B791A" w:rsidRDefault="00062D62" w:rsidP="00B07CD6">
      <w:pPr>
        <w:spacing w:line="360" w:lineRule="auto"/>
        <w:ind w:left="720" w:hanging="720"/>
        <w:jc w:val="both"/>
      </w:pPr>
      <w:r>
        <w:t>Graham, H. (2016) 'Addressing inequalities in health: directions for future policy and practice', Social Science and Medicine, 157, pp. 1-6.</w:t>
      </w:r>
    </w:p>
    <w:p w14:paraId="35AD6747" w14:textId="77777777" w:rsidR="003B791A" w:rsidRDefault="00062D62" w:rsidP="00B07CD6">
      <w:pPr>
        <w:spacing w:line="360" w:lineRule="auto"/>
        <w:ind w:left="720" w:hanging="720"/>
        <w:jc w:val="both"/>
      </w:pPr>
      <w:r>
        <w:t>Health Foundation (2023) NHS Performance Overview: January 2023. London: Health Foundation. Available at: https://www.health.org.uk (Accessed: 8 June 2025).</w:t>
      </w:r>
    </w:p>
    <w:p w14:paraId="585FE628" w14:textId="77777777" w:rsidR="003B791A" w:rsidRDefault="00062D62" w:rsidP="00B07CD6">
      <w:pPr>
        <w:spacing w:line="360" w:lineRule="auto"/>
        <w:ind w:left="720" w:hanging="720"/>
        <w:jc w:val="both"/>
      </w:pPr>
      <w:r>
        <w:t>Marmot, M. (2020) Health Equity in England: The Marmot Review 10 Years On. London: Institute of Health Equity.</w:t>
      </w:r>
    </w:p>
    <w:p w14:paraId="720D84CA" w14:textId="77777777" w:rsidR="003B791A" w:rsidRDefault="00062D62" w:rsidP="00B07CD6">
      <w:pPr>
        <w:spacing w:line="360" w:lineRule="auto"/>
        <w:ind w:left="720" w:hanging="720"/>
        <w:jc w:val="both"/>
      </w:pPr>
      <w:r>
        <w:t>NHS Confederation (2023) NHS Reset: A New Direction for Health and Care. London: NHS Confederation.</w:t>
      </w:r>
    </w:p>
    <w:p w14:paraId="0BAC27AE" w14:textId="77777777" w:rsidR="003B791A" w:rsidRDefault="00062D62" w:rsidP="00B07CD6">
      <w:pPr>
        <w:spacing w:line="360" w:lineRule="auto"/>
        <w:ind w:left="720" w:hanging="720"/>
        <w:jc w:val="both"/>
      </w:pPr>
      <w:r>
        <w:t>NHS Digital (2022) Adult Psychiatric Morbidity Survey 2021. Leeds: NHS Digital.</w:t>
      </w:r>
    </w:p>
    <w:p w14:paraId="667B0012" w14:textId="77777777" w:rsidR="003B791A" w:rsidRDefault="00062D62" w:rsidP="00B07CD6">
      <w:pPr>
        <w:spacing w:line="360" w:lineRule="auto"/>
        <w:ind w:left="720" w:hanging="720"/>
        <w:jc w:val="both"/>
      </w:pPr>
      <w:r>
        <w:t>NHS England (2019) The NHS Long Term Plan. London: NHS England. Available at: https://www.longtermplan.nhs.uk (Accessed: 5 June 2025).</w:t>
      </w:r>
    </w:p>
    <w:p w14:paraId="17BEA5C8" w14:textId="77777777" w:rsidR="003B791A" w:rsidRDefault="00062D62" w:rsidP="00B07CD6">
      <w:pPr>
        <w:spacing w:line="360" w:lineRule="auto"/>
        <w:ind w:left="720" w:hanging="720"/>
        <w:jc w:val="both"/>
      </w:pPr>
      <w:r>
        <w:t>NHS England (2022) Social Prescribing and Community-Based Support: Summary Guide. London: NHS England.</w:t>
      </w:r>
    </w:p>
    <w:p w14:paraId="07EAAB13" w14:textId="77777777" w:rsidR="003B791A" w:rsidRDefault="00062D62" w:rsidP="00B07CD6">
      <w:pPr>
        <w:spacing w:line="360" w:lineRule="auto"/>
        <w:ind w:left="720" w:hanging="720"/>
        <w:jc w:val="both"/>
      </w:pPr>
      <w:r>
        <w:lastRenderedPageBreak/>
        <w:t>Nussbaum, M.C. (2011) Creating Capabilities: The Human Development Approach. Cambridge, MA: Harvard University Press.</w:t>
      </w:r>
    </w:p>
    <w:p w14:paraId="50B19AF8" w14:textId="77777777" w:rsidR="003B791A" w:rsidRDefault="00062D62" w:rsidP="00B07CD6">
      <w:pPr>
        <w:spacing w:line="360" w:lineRule="auto"/>
        <w:ind w:left="720" w:hanging="720"/>
        <w:jc w:val="both"/>
      </w:pPr>
      <w:r>
        <w:t>Public Health Wales (2022) Health in Wales: Key Trends 2022. Cardiff: Public Health Wales Observatory.</w:t>
      </w:r>
    </w:p>
    <w:p w14:paraId="4892F63B" w14:textId="77777777" w:rsidR="003B791A" w:rsidRDefault="00062D62" w:rsidP="00B07CD6">
      <w:pPr>
        <w:spacing w:line="360" w:lineRule="auto"/>
        <w:ind w:left="720" w:hanging="720"/>
        <w:jc w:val="both"/>
      </w:pPr>
      <w:r>
        <w:t>Public Health Wales Observatory (2021) Welsh Health Survey: Health Inequalities Data 2021. Cardiff: Public Health Wales.</w:t>
      </w:r>
    </w:p>
    <w:p w14:paraId="48FD22FB" w14:textId="77777777" w:rsidR="003B791A" w:rsidRDefault="00062D62" w:rsidP="00B07CD6">
      <w:pPr>
        <w:spacing w:line="360" w:lineRule="auto"/>
        <w:ind w:left="720" w:hanging="720"/>
        <w:jc w:val="both"/>
      </w:pPr>
      <w:r>
        <w:t>Sen, A. (1999) Development as Freedom. Oxford: Oxford University Press.</w:t>
      </w:r>
    </w:p>
    <w:p w14:paraId="3233C017" w14:textId="77777777" w:rsidR="003B791A" w:rsidRDefault="00062D62" w:rsidP="00B07CD6">
      <w:pPr>
        <w:spacing w:line="360" w:lineRule="auto"/>
        <w:ind w:left="720" w:hanging="720"/>
        <w:jc w:val="both"/>
      </w:pPr>
      <w:r>
        <w:t>Story, M.F. (1998) 'Maximizing usability: the principles of universal design', Assistive Technology, 10(1), pp. 4-12.</w:t>
      </w:r>
    </w:p>
    <w:p w14:paraId="065D0215" w14:textId="77777777" w:rsidR="003B791A" w:rsidRDefault="00062D62" w:rsidP="00B07CD6">
      <w:pPr>
        <w:spacing w:line="360" w:lineRule="auto"/>
        <w:ind w:left="720" w:hanging="720"/>
        <w:jc w:val="both"/>
      </w:pPr>
      <w:r>
        <w:t>The King's Fund (2022) Integrated Care Systems Explained. London: The King's Fund. Available at: https://www.kingsfund.org.uk (Accessed: 9 June 2025).</w:t>
      </w:r>
    </w:p>
    <w:p w14:paraId="39259D4C" w14:textId="77777777" w:rsidR="003B791A" w:rsidRDefault="00062D62" w:rsidP="00B07CD6">
      <w:pPr>
        <w:spacing w:line="360" w:lineRule="auto"/>
        <w:ind w:left="720" w:hanging="720"/>
        <w:jc w:val="both"/>
      </w:pPr>
      <w:r>
        <w:t>UNAIDS (2022) Global AIDS Update 2022: In Danger. Geneva: UNAIDS.</w:t>
      </w:r>
    </w:p>
    <w:p w14:paraId="731032E4" w14:textId="77777777" w:rsidR="003B791A" w:rsidRDefault="00062D62" w:rsidP="00B07CD6">
      <w:pPr>
        <w:spacing w:line="360" w:lineRule="auto"/>
        <w:ind w:left="720" w:hanging="720"/>
        <w:jc w:val="both"/>
      </w:pPr>
      <w:r>
        <w:t>United Nations (2015) Transforming Our World: The 2030 Agenda for Sustainable Development. New York: United Nations.</w:t>
      </w:r>
    </w:p>
    <w:p w14:paraId="4F7D3D34" w14:textId="77777777" w:rsidR="003B791A" w:rsidRDefault="00062D62" w:rsidP="00B07CD6">
      <w:pPr>
        <w:spacing w:line="360" w:lineRule="auto"/>
        <w:ind w:left="720" w:hanging="720"/>
        <w:jc w:val="both"/>
      </w:pPr>
      <w:r>
        <w:t>Wanless, D. (2004) Securing Good Health for the Whole Population: Final Report. London: HM Treasury.</w:t>
      </w:r>
    </w:p>
    <w:p w14:paraId="12A1CEC8" w14:textId="77777777" w:rsidR="003B791A" w:rsidRDefault="00062D62" w:rsidP="00B07CD6">
      <w:pPr>
        <w:spacing w:line="360" w:lineRule="auto"/>
        <w:ind w:left="720" w:hanging="720"/>
        <w:jc w:val="both"/>
      </w:pPr>
      <w:r>
        <w:t>Welsh Government (2015) Well-being of Future Generations (Wales) Act 2015. Cardiff: Welsh Government.</w:t>
      </w:r>
    </w:p>
    <w:p w14:paraId="64868ECB" w14:textId="77777777" w:rsidR="003B791A" w:rsidRDefault="00062D62" w:rsidP="00B07CD6">
      <w:pPr>
        <w:spacing w:line="360" w:lineRule="auto"/>
        <w:ind w:left="720" w:hanging="720"/>
        <w:jc w:val="both"/>
      </w:pPr>
      <w:r>
        <w:t xml:space="preserve">Welsh Government (2018) </w:t>
      </w:r>
      <w:proofErr w:type="gramStart"/>
      <w:r>
        <w:t>A Healthier</w:t>
      </w:r>
      <w:proofErr w:type="gramEnd"/>
      <w:r>
        <w:t xml:space="preserve"> Wales: Our Plan for Health and Social Care. Cardiff: Welsh Government.</w:t>
      </w:r>
    </w:p>
    <w:p w14:paraId="1920EE2C" w14:textId="77777777" w:rsidR="003B791A" w:rsidRDefault="00062D62" w:rsidP="00B07CD6">
      <w:pPr>
        <w:spacing w:line="360" w:lineRule="auto"/>
        <w:ind w:left="720" w:hanging="720"/>
        <w:jc w:val="both"/>
      </w:pPr>
      <w:r>
        <w:t>Welsh Government (2022) Social Prescribing National Framework for Wales. Cardiff: Welsh Government.</w:t>
      </w:r>
    </w:p>
    <w:p w14:paraId="1F5DBB18" w14:textId="77777777" w:rsidR="003B791A" w:rsidRDefault="00062D62" w:rsidP="00B07CD6">
      <w:pPr>
        <w:spacing w:line="360" w:lineRule="auto"/>
        <w:ind w:left="720" w:hanging="720"/>
        <w:jc w:val="both"/>
      </w:pPr>
      <w:r>
        <w:t>WHO (2023a) Sustainable Development Goals: SDG 3 Targets. Geneva: World Health Organization. Available at: https://www.who.int (Accessed: 4 June 2025).</w:t>
      </w:r>
    </w:p>
    <w:p w14:paraId="69DF4888" w14:textId="77777777" w:rsidR="003B791A" w:rsidRDefault="00062D62" w:rsidP="00B07CD6">
      <w:pPr>
        <w:spacing w:line="360" w:lineRule="auto"/>
        <w:ind w:left="720" w:hanging="720"/>
        <w:jc w:val="both"/>
      </w:pPr>
      <w:r>
        <w:t>WHO (2023b) World Health Statistics 2023. Geneva: World Health Organization.</w:t>
      </w:r>
    </w:p>
    <w:p w14:paraId="35EE67D1" w14:textId="77777777" w:rsidR="003B791A" w:rsidRDefault="00062D62" w:rsidP="00B07CD6">
      <w:pPr>
        <w:spacing w:line="360" w:lineRule="auto"/>
        <w:ind w:left="720" w:hanging="720"/>
        <w:jc w:val="both"/>
      </w:pPr>
      <w:r>
        <w:t>WHO Commission on Social Determinants of Health (2008) Closing the Gap in a Generation. Geneva: World Health Organization.</w:t>
      </w:r>
    </w:p>
    <w:p w14:paraId="161191AC" w14:textId="77777777" w:rsidR="003B791A" w:rsidRDefault="00062D62" w:rsidP="00B07CD6">
      <w:pPr>
        <w:spacing w:line="360" w:lineRule="auto"/>
        <w:ind w:left="720" w:hanging="720"/>
        <w:jc w:val="both"/>
      </w:pPr>
      <w:r>
        <w:t>Whitehead, M. (1992) 'The concepts and principles of equity and health', International Journal of Health Services, 22(3), pp. 429-445.</w:t>
      </w:r>
    </w:p>
    <w:p w14:paraId="3B0E37AB" w14:textId="77777777" w:rsidR="003B791A" w:rsidRDefault="00062D62" w:rsidP="00B07CD6">
      <w:pPr>
        <w:spacing w:line="360" w:lineRule="auto"/>
        <w:ind w:left="720" w:hanging="720"/>
        <w:jc w:val="both"/>
      </w:pPr>
      <w:r>
        <w:t>Wilkinson, R. and Pickett, K. (2009) The Spirit Level: Why More Equal Societies Almost Always Do Better. London: Allen Lane.</w:t>
      </w:r>
    </w:p>
    <w:sectPr w:rsidR="003B791A" w:rsidSect="003B791A">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4DCE5C" w14:textId="77777777" w:rsidR="00CB3DED" w:rsidRDefault="00CB3DED" w:rsidP="003B791A">
      <w:r>
        <w:separator/>
      </w:r>
    </w:p>
  </w:endnote>
  <w:endnote w:type="continuationSeparator" w:id="0">
    <w:p w14:paraId="04DD2628" w14:textId="77777777" w:rsidR="00CB3DED" w:rsidRDefault="00CB3DED" w:rsidP="003B79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7DBA00" w14:textId="77777777" w:rsidR="003B791A" w:rsidRDefault="00062D62">
    <w:pPr>
      <w:jc w:val="right"/>
    </w:pPr>
    <w:r>
      <w:rPr>
        <w:sz w:val="20"/>
        <w:szCs w:val="20"/>
      </w:rPr>
      <w:t xml:space="preserve">Page </w:t>
    </w:r>
    <w:r w:rsidR="003B791A">
      <w:rPr>
        <w:sz w:val="20"/>
        <w:szCs w:val="20"/>
      </w:rPr>
      <w:fldChar w:fldCharType="begin"/>
    </w:r>
    <w:r>
      <w:rPr>
        <w:sz w:val="20"/>
        <w:szCs w:val="20"/>
      </w:rPr>
      <w:instrText>PAGE</w:instrText>
    </w:r>
    <w:r w:rsidR="003B791A">
      <w:rPr>
        <w:sz w:val="20"/>
        <w:szCs w:val="20"/>
      </w:rPr>
      <w:fldChar w:fldCharType="separate"/>
    </w:r>
    <w:r w:rsidR="00B07CD6">
      <w:rPr>
        <w:noProof/>
        <w:sz w:val="20"/>
        <w:szCs w:val="20"/>
      </w:rPr>
      <w:t>1</w:t>
    </w:r>
    <w:r w:rsidR="003B791A">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5BE83" w14:textId="77777777" w:rsidR="00CB3DED" w:rsidRDefault="00CB3DED" w:rsidP="003B791A">
      <w:r>
        <w:separator/>
      </w:r>
    </w:p>
  </w:footnote>
  <w:footnote w:type="continuationSeparator" w:id="0">
    <w:p w14:paraId="03E1449D" w14:textId="77777777" w:rsidR="00CB3DED" w:rsidRDefault="00CB3DED" w:rsidP="003B79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1A3610"/>
    <w:multiLevelType w:val="hybridMultilevel"/>
    <w:tmpl w:val="7C0670EE"/>
    <w:lvl w:ilvl="0" w:tplc="FB56AC7C">
      <w:start w:val="1"/>
      <w:numFmt w:val="bullet"/>
      <w:lvlText w:val="●"/>
      <w:lvlJc w:val="left"/>
      <w:pPr>
        <w:ind w:left="720" w:hanging="360"/>
      </w:pPr>
    </w:lvl>
    <w:lvl w:ilvl="1" w:tplc="B502A088">
      <w:start w:val="1"/>
      <w:numFmt w:val="bullet"/>
      <w:lvlText w:val="○"/>
      <w:lvlJc w:val="left"/>
      <w:pPr>
        <w:ind w:left="1440" w:hanging="360"/>
      </w:pPr>
    </w:lvl>
    <w:lvl w:ilvl="2" w:tplc="30D012C4">
      <w:start w:val="1"/>
      <w:numFmt w:val="bullet"/>
      <w:lvlText w:val="■"/>
      <w:lvlJc w:val="left"/>
      <w:pPr>
        <w:ind w:left="2160" w:hanging="360"/>
      </w:pPr>
    </w:lvl>
    <w:lvl w:ilvl="3" w:tplc="3B9E82FA">
      <w:start w:val="1"/>
      <w:numFmt w:val="bullet"/>
      <w:lvlText w:val="●"/>
      <w:lvlJc w:val="left"/>
      <w:pPr>
        <w:ind w:left="2880" w:hanging="360"/>
      </w:pPr>
    </w:lvl>
    <w:lvl w:ilvl="4" w:tplc="34CE53D6">
      <w:start w:val="1"/>
      <w:numFmt w:val="bullet"/>
      <w:lvlText w:val="○"/>
      <w:lvlJc w:val="left"/>
      <w:pPr>
        <w:ind w:left="3600" w:hanging="360"/>
      </w:pPr>
    </w:lvl>
    <w:lvl w:ilvl="5" w:tplc="8B48C3BA">
      <w:start w:val="1"/>
      <w:numFmt w:val="bullet"/>
      <w:lvlText w:val="■"/>
      <w:lvlJc w:val="left"/>
      <w:pPr>
        <w:ind w:left="4320" w:hanging="360"/>
      </w:pPr>
    </w:lvl>
    <w:lvl w:ilvl="6" w:tplc="5BE02BE2">
      <w:start w:val="1"/>
      <w:numFmt w:val="bullet"/>
      <w:lvlText w:val="●"/>
      <w:lvlJc w:val="left"/>
      <w:pPr>
        <w:ind w:left="5040" w:hanging="360"/>
      </w:pPr>
    </w:lvl>
    <w:lvl w:ilvl="7" w:tplc="E3165F1C">
      <w:start w:val="1"/>
      <w:numFmt w:val="bullet"/>
      <w:lvlText w:val="●"/>
      <w:lvlJc w:val="left"/>
      <w:pPr>
        <w:ind w:left="5760" w:hanging="360"/>
      </w:pPr>
    </w:lvl>
    <w:lvl w:ilvl="8" w:tplc="46C433E6">
      <w:start w:val="1"/>
      <w:numFmt w:val="bullet"/>
      <w:lvlText w:val="●"/>
      <w:lvlJc w:val="left"/>
      <w:pPr>
        <w:ind w:left="6480" w:hanging="360"/>
      </w:pPr>
    </w:lvl>
  </w:abstractNum>
  <w:num w:numId="1" w16cid:durableId="155119180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91A"/>
    <w:rsid w:val="00062D62"/>
    <w:rsid w:val="001565B6"/>
    <w:rsid w:val="0019014D"/>
    <w:rsid w:val="002A4FB8"/>
    <w:rsid w:val="0031517A"/>
    <w:rsid w:val="003B791A"/>
    <w:rsid w:val="00471F67"/>
    <w:rsid w:val="00503829"/>
    <w:rsid w:val="00A3134E"/>
    <w:rsid w:val="00AC17A8"/>
    <w:rsid w:val="00B07CD6"/>
    <w:rsid w:val="00B10634"/>
    <w:rsid w:val="00B93E8E"/>
    <w:rsid w:val="00C17A4D"/>
    <w:rsid w:val="00CB3DED"/>
    <w:rsid w:val="00E34B9E"/>
    <w:rsid w:val="00E5371F"/>
    <w:rsid w:val="00F22989"/>
    <w:rsid w:val="00FA2A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4DFD2"/>
  <w15:docId w15:val="{1059D60C-B6E2-4B48-95E7-FC5C931FC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rsid w:val="003B791A"/>
    <w:pPr>
      <w:spacing w:before="240" w:after="120"/>
      <w:outlineLvl w:val="0"/>
    </w:pPr>
    <w:rPr>
      <w:b/>
      <w:bCs/>
      <w:color w:val="000000"/>
      <w:sz w:val="24"/>
      <w:szCs w:val="24"/>
    </w:rPr>
  </w:style>
  <w:style w:type="paragraph" w:styleId="Heading2">
    <w:name w:val="heading 2"/>
    <w:qFormat/>
    <w:rsid w:val="003B791A"/>
    <w:pPr>
      <w:spacing w:before="200" w:after="100"/>
      <w:outlineLvl w:val="1"/>
    </w:pPr>
    <w:rPr>
      <w:b/>
      <w:bCs/>
      <w:color w:val="000000"/>
    </w:rPr>
  </w:style>
  <w:style w:type="paragraph" w:styleId="Heading3">
    <w:name w:val="heading 3"/>
    <w:qFormat/>
    <w:rsid w:val="003B791A"/>
    <w:pPr>
      <w:outlineLvl w:val="2"/>
    </w:pPr>
    <w:rPr>
      <w:color w:val="1F4D78"/>
      <w:sz w:val="24"/>
      <w:szCs w:val="24"/>
    </w:rPr>
  </w:style>
  <w:style w:type="paragraph" w:styleId="Heading4">
    <w:name w:val="heading 4"/>
    <w:qFormat/>
    <w:rsid w:val="003B791A"/>
    <w:pPr>
      <w:outlineLvl w:val="3"/>
    </w:pPr>
    <w:rPr>
      <w:i/>
      <w:iCs/>
      <w:color w:val="2E74B5"/>
    </w:rPr>
  </w:style>
  <w:style w:type="paragraph" w:styleId="Heading5">
    <w:name w:val="heading 5"/>
    <w:qFormat/>
    <w:rsid w:val="003B791A"/>
    <w:pPr>
      <w:outlineLvl w:val="4"/>
    </w:pPr>
    <w:rPr>
      <w:color w:val="2E74B5"/>
    </w:rPr>
  </w:style>
  <w:style w:type="paragraph" w:styleId="Heading6">
    <w:name w:val="heading 6"/>
    <w:qFormat/>
    <w:rsid w:val="003B791A"/>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sid w:val="003B791A"/>
    <w:rPr>
      <w:sz w:val="56"/>
      <w:szCs w:val="56"/>
    </w:rPr>
  </w:style>
  <w:style w:type="paragraph" w:customStyle="1" w:styleId="Strong1">
    <w:name w:val="Strong1"/>
    <w:qFormat/>
    <w:rsid w:val="003B791A"/>
    <w:rPr>
      <w:b/>
      <w:bCs/>
    </w:rPr>
  </w:style>
  <w:style w:type="paragraph" w:styleId="ListParagraph">
    <w:name w:val="List Paragraph"/>
    <w:qFormat/>
    <w:rsid w:val="003B791A"/>
  </w:style>
  <w:style w:type="character" w:styleId="Hyperlink">
    <w:name w:val="Hyperlink"/>
    <w:uiPriority w:val="99"/>
    <w:unhideWhenUsed/>
    <w:rsid w:val="003B791A"/>
    <w:rPr>
      <w:color w:val="0563C1"/>
      <w:u w:val="single"/>
    </w:rPr>
  </w:style>
  <w:style w:type="character" w:styleId="FootnoteReference">
    <w:name w:val="footnote reference"/>
    <w:uiPriority w:val="99"/>
    <w:semiHidden/>
    <w:unhideWhenUsed/>
    <w:rsid w:val="003B791A"/>
    <w:rPr>
      <w:vertAlign w:val="superscript"/>
    </w:rPr>
  </w:style>
  <w:style w:type="paragraph" w:styleId="FootnoteText">
    <w:name w:val="footnote text"/>
    <w:link w:val="FootnoteTextChar"/>
    <w:uiPriority w:val="99"/>
    <w:semiHidden/>
    <w:unhideWhenUsed/>
    <w:rsid w:val="003B791A"/>
    <w:rPr>
      <w:sz w:val="20"/>
      <w:szCs w:val="20"/>
    </w:rPr>
  </w:style>
  <w:style w:type="character" w:customStyle="1" w:styleId="FootnoteTextChar">
    <w:name w:val="Footnote Text Char"/>
    <w:link w:val="FootnoteText"/>
    <w:uiPriority w:val="99"/>
    <w:semiHidden/>
    <w:unhideWhenUsed/>
    <w:rsid w:val="003B791A"/>
    <w:rPr>
      <w:sz w:val="20"/>
      <w:szCs w:val="20"/>
    </w:rPr>
  </w:style>
  <w:style w:type="character" w:styleId="EndnoteReference">
    <w:name w:val="endnote reference"/>
    <w:uiPriority w:val="99"/>
    <w:semiHidden/>
    <w:unhideWhenUsed/>
    <w:rsid w:val="003B791A"/>
    <w:rPr>
      <w:vertAlign w:val="superscript"/>
    </w:rPr>
  </w:style>
  <w:style w:type="paragraph" w:styleId="EndnoteText">
    <w:name w:val="endnote text"/>
    <w:link w:val="EndnoteTextChar"/>
    <w:uiPriority w:val="99"/>
    <w:semiHidden/>
    <w:unhideWhenUsed/>
    <w:rsid w:val="003B791A"/>
    <w:rPr>
      <w:sz w:val="20"/>
      <w:szCs w:val="20"/>
    </w:rPr>
  </w:style>
  <w:style w:type="character" w:customStyle="1" w:styleId="EndnoteTextChar">
    <w:name w:val="Endnote Text Char"/>
    <w:link w:val="EndnoteText"/>
    <w:uiPriority w:val="99"/>
    <w:semiHidden/>
    <w:unhideWhenUsed/>
    <w:rsid w:val="003B791A"/>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62d38765b0affc1eae5babdf82fc00d2">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f31571bf3a6a9a054423961d035f624"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C859AB12-A9F1-4235-A27D-1DC14DCB9F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ED2FB4-2807-4AAB-9ACA-8E13C14B817B}">
  <ds:schemaRefs>
    <ds:schemaRef ds:uri="http://schemas.microsoft.com/sharepoint/v3/contenttype/forms"/>
  </ds:schemaRefs>
</ds:datastoreItem>
</file>

<file path=customXml/itemProps3.xml><?xml version="1.0" encoding="utf-8"?>
<ds:datastoreItem xmlns:ds="http://schemas.openxmlformats.org/officeDocument/2006/customXml" ds:itemID="{CCA0D5BF-8C63-4FF7-9021-816D97BFEE23}">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3049</Words>
  <Characters>17380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Yahaddy Bangura (2315639)</cp:lastModifiedBy>
  <cp:revision>2</cp:revision>
  <dcterms:created xsi:type="dcterms:W3CDTF">2026-07-18T21:38:00Z</dcterms:created>
  <dcterms:modified xsi:type="dcterms:W3CDTF">2026-07-18T21:38:00Z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