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360" w:lineRule="auto"/>
        <w:ind w:left="360" w:hanging="360"/>
        <w:jc w:val="both"/>
        <w:rPr>
          <w:rFonts w:ascii="Times New Roman" w:hAnsi="Times New Roman" w:cs="Times New Roman"/>
        </w:rPr>
      </w:pPr>
    </w:p>
    <w:p>
      <w:pPr>
        <w:spacing w:before="156" w:beforeLines="50" w:after="156" w:afterLines="50" w:line="360" w:lineRule="auto"/>
        <w:ind w:left="360" w:hanging="360"/>
        <w:jc w:val="both"/>
        <w:rPr>
          <w:rFonts w:ascii="Times New Roman" w:hAnsi="Times New Roman" w:cs="Times New Roman"/>
        </w:rPr>
      </w:pPr>
    </w:p>
    <w:p>
      <w:pPr>
        <w:spacing w:before="156" w:beforeLines="50" w:after="156" w:afterLines="50" w:line="360" w:lineRule="auto"/>
        <w:ind w:left="360" w:hanging="360"/>
        <w:jc w:val="both"/>
        <w:rPr>
          <w:rFonts w:ascii="Times New Roman" w:hAnsi="Times New Roman" w:cs="Times New Roman"/>
        </w:rPr>
      </w:pPr>
    </w:p>
    <w:p>
      <w:pPr>
        <w:spacing w:before="156" w:beforeLines="50" w:after="156" w:afterLines="50" w:line="360" w:lineRule="auto"/>
        <w:ind w:left="360" w:hanging="360"/>
        <w:jc w:val="both"/>
        <w:rPr>
          <w:rFonts w:ascii="Times New Roman" w:hAnsi="Times New Roman" w:cs="Times New Roman"/>
        </w:rPr>
      </w:pPr>
    </w:p>
    <w:p>
      <w:pPr>
        <w:spacing w:before="156" w:beforeLines="50" w:after="156" w:afterLines="50" w:line="360" w:lineRule="auto"/>
        <w:ind w:left="360" w:hanging="360"/>
        <w:jc w:val="center"/>
        <w:rPr>
          <w:rFonts w:ascii="Times New Roman" w:hAnsi="Times New Roman" w:cs="Times New Roman"/>
        </w:rPr>
      </w:pPr>
      <w:r>
        <w:rPr>
          <w:rFonts w:ascii="Times New Roman" w:hAnsi="Times New Roman" w:cs="Times New Roman"/>
        </w:rPr>
        <w:drawing>
          <wp:inline distT="0" distB="0" distL="0" distR="0">
            <wp:extent cx="4617085" cy="171005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625078" cy="1712992"/>
                    </a:xfrm>
                    <a:prstGeom prst="rect">
                      <a:avLst/>
                    </a:prstGeom>
                    <a:noFill/>
                  </pic:spPr>
                </pic:pic>
              </a:graphicData>
            </a:graphic>
          </wp:inline>
        </w:drawing>
      </w:r>
    </w:p>
    <w:p>
      <w:pPr>
        <w:pStyle w:val="19"/>
        <w:spacing w:before="156" w:beforeLines="50" w:after="156" w:afterLines="50" w:line="360" w:lineRule="auto"/>
        <w:jc w:val="center"/>
        <w:rPr>
          <w:rFonts w:hint="default" w:ascii="Arial" w:hAnsi="Arial" w:cs="Arial"/>
          <w:sz w:val="56"/>
          <w:szCs w:val="56"/>
        </w:rPr>
      </w:pPr>
      <w:r>
        <w:rPr>
          <w:rFonts w:hint="default" w:ascii="Arial" w:hAnsi="Arial" w:cs="Arial"/>
          <w:sz w:val="56"/>
          <w:szCs w:val="56"/>
        </w:rPr>
        <w:t>A strategic audit and marketing plan developed for Huazhu</w:t>
      </w:r>
    </w:p>
    <w:p>
      <w:pPr>
        <w:rPr>
          <w:rFonts w:hint="default" w:ascii="Arial" w:hAnsi="Arial" w:cs="Arial"/>
          <w:sz w:val="56"/>
          <w:szCs w:val="56"/>
        </w:rPr>
      </w:pPr>
    </w:p>
    <w:p>
      <w:pPr>
        <w:spacing w:before="312" w:beforeLines="100" w:after="624" w:afterLines="200" w:line="480" w:lineRule="auto"/>
        <w:ind w:firstLine="3120" w:firstLineChars="1300"/>
        <w:jc w:val="both"/>
        <w:rPr>
          <w:rFonts w:hint="default" w:ascii="Arial" w:hAnsi="Arial" w:cs="Arial" w:eastAsiaTheme="minorEastAsia"/>
          <w:sz w:val="24"/>
          <w:szCs w:val="24"/>
          <w:lang w:val="en-US" w:eastAsia="zh-CN"/>
        </w:rPr>
      </w:pPr>
      <w:r>
        <w:rPr>
          <w:rFonts w:ascii="Arial" w:hAnsi="Arial" w:cs="Arial"/>
          <w:sz w:val="24"/>
          <w:szCs w:val="24"/>
        </w:rPr>
        <w:t>Student Name</w:t>
      </w:r>
      <w:r>
        <w:rPr>
          <w:rFonts w:hint="eastAsia" w:ascii="Arial" w:hAnsi="Arial" w:cs="Arial"/>
          <w:sz w:val="24"/>
          <w:szCs w:val="24"/>
          <w:lang w:val="en-US" w:eastAsia="zh-CN"/>
        </w:rPr>
        <w:t xml:space="preserve"> Haotian Peng</w:t>
      </w:r>
    </w:p>
    <w:p>
      <w:pPr>
        <w:ind w:firstLine="3600" w:firstLineChars="1500"/>
        <w:jc w:val="both"/>
        <w:rPr>
          <w:rFonts w:hint="default" w:ascii="Arial" w:hAnsi="Arial" w:cs="Arial"/>
          <w:sz w:val="56"/>
          <w:szCs w:val="56"/>
        </w:rPr>
      </w:pPr>
      <w:r>
        <w:rPr>
          <w:rFonts w:ascii="Arial" w:hAnsi="Arial" w:cs="Arial"/>
          <w:sz w:val="24"/>
          <w:szCs w:val="24"/>
        </w:rPr>
        <w:t>Student ID</w:t>
      </w:r>
      <w:r>
        <w:rPr>
          <w:rFonts w:hint="eastAsia" w:ascii="Arial" w:hAnsi="Arial" w:cs="Arial"/>
          <w:sz w:val="24"/>
          <w:szCs w:val="24"/>
          <w:lang w:val="en-US" w:eastAsia="zh-CN"/>
        </w:rPr>
        <w:t xml:space="preserve"> </w:t>
      </w:r>
      <w:r>
        <w:rPr>
          <w:rFonts w:hint="default" w:ascii="Arial" w:hAnsi="Arial" w:cs="Arial"/>
          <w:sz w:val="24"/>
          <w:szCs w:val="24"/>
          <w:lang w:val="en-US" w:eastAsia="zh-CN"/>
        </w:rPr>
        <w:t>2106635</w:t>
      </w:r>
    </w:p>
    <w:p>
      <w:pPr>
        <w:spacing w:before="156" w:beforeLines="50" w:after="156" w:afterLines="50" w:line="360" w:lineRule="auto"/>
        <w:jc w:val="both"/>
        <w:rPr>
          <w:rFonts w:ascii="Times New Roman" w:hAnsi="Times New Roman" w:cs="Times New Roman"/>
          <w:sz w:val="24"/>
          <w:szCs w:val="24"/>
        </w:rPr>
      </w:pPr>
      <w:r>
        <w:rPr>
          <w:rFonts w:ascii="Times New Roman" w:hAnsi="Times New Roman" w:cs="Times New Roman"/>
          <w:sz w:val="56"/>
          <w:szCs w:val="56"/>
        </w:rPr>
        <w:br w:type="page"/>
      </w:r>
    </w:p>
    <w:p>
      <w:pPr>
        <w:pStyle w:val="19"/>
        <w:spacing w:before="156" w:beforeLines="50" w:after="156" w:afterLines="50" w:line="360" w:lineRule="auto"/>
        <w:jc w:val="both"/>
        <w:rPr>
          <w:rFonts w:hint="default" w:ascii="Arial" w:hAnsi="Arial" w:cs="Arial"/>
          <w:sz w:val="56"/>
          <w:szCs w:val="56"/>
        </w:rPr>
      </w:pPr>
      <w:r>
        <w:rPr>
          <w:rFonts w:hint="default" w:ascii="Arial" w:hAnsi="Arial" w:cs="Arial"/>
          <w:sz w:val="56"/>
          <w:szCs w:val="56"/>
        </w:rPr>
        <w:t>Executive summary</w:t>
      </w:r>
    </w:p>
    <w:p>
      <w:pPr>
        <w:pStyle w:val="19"/>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eastAsiaTheme="minorEastAsia"/>
          <w:color w:val="auto"/>
          <w:spacing w:val="0"/>
          <w:sz w:val="24"/>
          <w:szCs w:val="24"/>
        </w:rPr>
      </w:pPr>
      <w:r>
        <w:rPr>
          <w:rFonts w:hint="default" w:ascii="Arial" w:hAnsi="Arial" w:cs="Arial" w:eastAsiaTheme="minorEastAsia"/>
          <w:color w:val="auto"/>
          <w:spacing w:val="0"/>
          <w:sz w:val="24"/>
          <w:szCs w:val="24"/>
        </w:rPr>
        <w:t xml:space="preserve">The covid-19 has significantly disrupted the hotel sector as hotel establishments are places with intensive interactions between service providers and customers. With covid-19 continuing to shadow the industry, hotel incumbents need to change their passive responses to active transformation to uncover opportunities hidden in the covid-19 pandemic.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The present report is a strategic marketing audit based on Huazhu, an international hotel chain based in China. A combination of complementary strategic marketing tools has been used to perform the audit at different levels from different aspects. The issues identified from the audit include over-reliance on the Chinese domestic market, the focus of digitalization in backstage operation, the eroded profitability, the fierce competition due to declined demands, ineffective communication across divisions, etc. Some recommendations are provided to Huazhu to actively seizes the opportunities and eliminate threats, such as the ingratiation of technologies to provide contact-less services, the effective communication of covid-19 codes of conduct across divisions and to customers, creative marketing through initiatives such as appealing offerings to boost domestic demands, etc. </w:t>
      </w:r>
    </w:p>
    <w:p>
      <w:pPr>
        <w:spacing w:before="156" w:beforeLines="50" w:after="156" w:afterLines="50" w:line="360" w:lineRule="auto"/>
        <w:jc w:val="both"/>
        <w:rPr>
          <w:rFonts w:hint="default" w:ascii="Arial" w:hAnsi="Arial" w:cs="Arial" w:eastAsiaTheme="majorEastAsia"/>
          <w:color w:val="262626" w:themeColor="text1" w:themeTint="D9"/>
          <w:spacing w:val="-15"/>
          <w:sz w:val="56"/>
          <w:szCs w:val="56"/>
          <w14:textFill>
            <w14:solidFill>
              <w14:schemeClr w14:val="tx1">
                <w14:lumMod w14:val="85000"/>
                <w14:lumOff w14:val="15000"/>
              </w14:schemeClr>
            </w14:solidFill>
          </w14:textFill>
        </w:rPr>
      </w:pPr>
      <w:r>
        <w:rPr>
          <w:rFonts w:hint="default" w:ascii="Arial" w:hAnsi="Arial" w:cs="Arial"/>
          <w:sz w:val="56"/>
          <w:szCs w:val="56"/>
        </w:rPr>
        <w:br w:type="page"/>
      </w:r>
    </w:p>
    <w:sdt>
      <w:sdtPr>
        <w:rPr>
          <w:rFonts w:hint="default" w:ascii="Arial" w:hAnsi="Arial" w:cs="Arial" w:eastAsiaTheme="minorEastAsia"/>
          <w:color w:val="auto"/>
          <w:sz w:val="21"/>
          <w:szCs w:val="21"/>
          <w:lang w:val="zh-CN"/>
        </w:rPr>
        <w:id w:val="-1276399906"/>
        <w:docPartObj>
          <w:docPartGallery w:val="Table of Contents"/>
          <w:docPartUnique/>
        </w:docPartObj>
      </w:sdtPr>
      <w:sdtEndPr>
        <w:rPr>
          <w:rFonts w:hint="default" w:ascii="Arial" w:hAnsi="Arial" w:cs="Arial" w:eastAsiaTheme="minorEastAsia"/>
          <w:b/>
          <w:bCs/>
          <w:color w:val="auto"/>
          <w:sz w:val="21"/>
          <w:szCs w:val="21"/>
          <w:lang w:val="zh-CN"/>
        </w:rPr>
      </w:sdtEndPr>
      <w:sdtContent>
        <w:p>
          <w:pPr>
            <w:pStyle w:val="48"/>
            <w:spacing w:before="156" w:beforeLines="50" w:after="156" w:afterLines="50" w:line="360" w:lineRule="auto"/>
            <w:jc w:val="both"/>
            <w:rPr>
              <w:rFonts w:hint="default" w:ascii="Arial" w:hAnsi="Arial" w:cs="Arial"/>
              <w:color w:val="auto"/>
            </w:rPr>
          </w:pPr>
          <w:r>
            <w:rPr>
              <w:rFonts w:hint="default" w:ascii="Arial" w:hAnsi="Arial" w:cs="Arial"/>
              <w:color w:val="auto"/>
            </w:rPr>
            <w:t>Table of contents</w:t>
          </w:r>
        </w:p>
        <w:p>
          <w:pPr>
            <w:pStyle w:val="15"/>
            <w:keepNext w:val="0"/>
            <w:keepLines w:val="0"/>
            <w:pageBreakBefore w:val="0"/>
            <w:widowControl/>
            <w:tabs>
              <w:tab w:val="left" w:pos="210"/>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sz w:val="24"/>
              <w:szCs w:val="24"/>
            </w:rPr>
            <w:fldChar w:fldCharType="begin"/>
          </w:r>
          <w:r>
            <w:rPr>
              <w:rFonts w:hint="default" w:ascii="Arial" w:hAnsi="Arial" w:cs="Arial"/>
              <w:sz w:val="24"/>
              <w:szCs w:val="24"/>
            </w:rPr>
            <w:instrText xml:space="preserve"> TOC \o "1-3" \h \z \u </w:instrText>
          </w:r>
          <w:r>
            <w:rPr>
              <w:rFonts w:hint="default" w:ascii="Arial" w:hAnsi="Arial" w:cs="Arial"/>
              <w:sz w:val="24"/>
              <w:szCs w:val="24"/>
            </w:rPr>
            <w:fldChar w:fldCharType="separate"/>
          </w:r>
          <w:r>
            <w:rPr>
              <w:rFonts w:hint="default" w:ascii="Arial" w:hAnsi="Arial" w:cs="Arial"/>
            </w:rPr>
            <w:fldChar w:fldCharType="begin"/>
          </w:r>
          <w:r>
            <w:rPr>
              <w:rFonts w:hint="default" w:ascii="Arial" w:hAnsi="Arial" w:cs="Arial"/>
            </w:rPr>
            <w:instrText xml:space="preserve"> HYPERLINK \l "_Toc98489104" </w:instrText>
          </w:r>
          <w:r>
            <w:rPr>
              <w:rFonts w:hint="default" w:ascii="Arial" w:hAnsi="Arial" w:cs="Arial"/>
            </w:rPr>
            <w:fldChar w:fldCharType="separate"/>
          </w:r>
          <w:r>
            <w:rPr>
              <w:rStyle w:val="25"/>
              <w:rFonts w:hint="default" w:ascii="Arial" w:hAnsi="Arial" w:cs="Arial"/>
              <w:sz w:val="24"/>
              <w:szCs w:val="24"/>
            </w:rPr>
            <w:t>1.</w:t>
          </w:r>
          <w:r>
            <w:rPr>
              <w:rFonts w:hint="default" w:ascii="Arial" w:hAnsi="Arial" w:cs="Arial"/>
              <w:kern w:val="2"/>
              <w:sz w:val="24"/>
              <w:szCs w:val="28"/>
            </w:rPr>
            <w:tab/>
          </w:r>
          <w:r>
            <w:rPr>
              <w:rStyle w:val="25"/>
              <w:rFonts w:hint="default" w:ascii="Arial" w:hAnsi="Arial" w:cs="Arial"/>
              <w:sz w:val="24"/>
              <w:szCs w:val="24"/>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_Toc98489104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4"/>
            </w:rPr>
            <w:fldChar w:fldCharType="end"/>
          </w:r>
        </w:p>
        <w:p>
          <w:pPr>
            <w:pStyle w:val="15"/>
            <w:keepNext w:val="0"/>
            <w:keepLines w:val="0"/>
            <w:pageBreakBefore w:val="0"/>
            <w:widowControl/>
            <w:tabs>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"_Toc98489105" </w:instrText>
          </w:r>
          <w:r>
            <w:rPr>
              <w:rFonts w:hint="default" w:ascii="Arial" w:hAnsi="Arial" w:cs="Arial"/>
            </w:rPr>
            <w:fldChar w:fldCharType="separate"/>
          </w:r>
          <w:r>
            <w:rPr>
              <w:rStyle w:val="25"/>
              <w:rFonts w:hint="default" w:ascii="Arial" w:hAnsi="Arial" w:cs="Arial"/>
              <w:sz w:val="24"/>
              <w:szCs w:val="24"/>
            </w:rPr>
            <w:t>2. Main body: strategic audit of Huazhu</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_Toc98489105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18"/>
            <w:keepNext w:val="0"/>
            <w:keepLines w:val="0"/>
            <w:pageBreakBefore w:val="0"/>
            <w:widowControl/>
            <w:tabs>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"_Toc98489106" </w:instrText>
          </w:r>
          <w:r>
            <w:rPr>
              <w:rFonts w:hint="default" w:ascii="Arial" w:hAnsi="Arial" w:cs="Arial"/>
            </w:rPr>
            <w:fldChar w:fldCharType="separate"/>
          </w:r>
          <w:r>
            <w:rPr>
              <w:rStyle w:val="25"/>
              <w:rFonts w:hint="default" w:ascii="Arial" w:hAnsi="Arial" w:cs="Arial"/>
              <w:sz w:val="24"/>
              <w:szCs w:val="24"/>
            </w:rPr>
            <w:t>2.1 Macro audit: PESTEL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_Toc98489106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18"/>
            <w:keepNext w:val="0"/>
            <w:keepLines w:val="0"/>
            <w:pageBreakBefore w:val="0"/>
            <w:widowControl/>
            <w:tabs>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"_Toc98489107" </w:instrText>
          </w:r>
          <w:r>
            <w:rPr>
              <w:rFonts w:hint="default" w:ascii="Arial" w:hAnsi="Arial" w:cs="Arial"/>
            </w:rPr>
            <w:fldChar w:fldCharType="separate"/>
          </w:r>
          <w:r>
            <w:rPr>
              <w:rStyle w:val="25"/>
              <w:rFonts w:hint="default" w:ascii="Arial" w:hAnsi="Arial" w:cs="Arial"/>
              <w:sz w:val="24"/>
              <w:szCs w:val="24"/>
            </w:rPr>
            <w:t>2.2 Micro audit: Porter’s five forces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_Toc98489107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18"/>
            <w:keepNext w:val="0"/>
            <w:keepLines w:val="0"/>
            <w:pageBreakBefore w:val="0"/>
            <w:widowControl/>
            <w:tabs>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"_Toc98489108" </w:instrText>
          </w:r>
          <w:r>
            <w:rPr>
              <w:rFonts w:hint="default" w:ascii="Arial" w:hAnsi="Arial" w:cs="Arial"/>
            </w:rPr>
            <w:fldChar w:fldCharType="separate"/>
          </w:r>
          <w:r>
            <w:rPr>
              <w:rStyle w:val="25"/>
              <w:rFonts w:hint="default" w:ascii="Arial" w:hAnsi="Arial" w:cs="Arial"/>
              <w:sz w:val="24"/>
              <w:szCs w:val="24"/>
            </w:rPr>
            <w:t>2.3 Internal audit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_Toc98489108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12"/>
            <w:keepNext w:val="0"/>
            <w:keepLines w:val="0"/>
            <w:pageBreakBefore w:val="0"/>
            <w:widowControl/>
            <w:tabs>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"_Toc98489109" </w:instrText>
          </w:r>
          <w:r>
            <w:rPr>
              <w:rFonts w:hint="default" w:ascii="Arial" w:hAnsi="Arial" w:cs="Arial"/>
            </w:rPr>
            <w:fldChar w:fldCharType="separate"/>
          </w:r>
          <w:r>
            <w:rPr>
              <w:rStyle w:val="25"/>
              <w:rFonts w:hint="default" w:ascii="Arial" w:hAnsi="Arial" w:cs="Arial"/>
              <w:sz w:val="24"/>
              <w:szCs w:val="24"/>
            </w:rPr>
            <w:t>2.3.1 McKinsey 7S model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_Toc98489109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12"/>
            <w:keepNext w:val="0"/>
            <w:keepLines w:val="0"/>
            <w:pageBreakBefore w:val="0"/>
            <w:widowControl/>
            <w:tabs>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"_Toc98489110" </w:instrText>
          </w:r>
          <w:r>
            <w:rPr>
              <w:rFonts w:hint="default" w:ascii="Arial" w:hAnsi="Arial" w:cs="Arial"/>
            </w:rPr>
            <w:fldChar w:fldCharType="separate"/>
          </w:r>
          <w:r>
            <w:rPr>
              <w:rStyle w:val="25"/>
              <w:rFonts w:hint="default" w:ascii="Arial" w:hAnsi="Arial" w:cs="Arial"/>
              <w:sz w:val="24"/>
              <w:szCs w:val="24"/>
            </w:rPr>
            <w:t>2.3.2 VRIO model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_Toc98489110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12"/>
            <w:keepNext w:val="0"/>
            <w:keepLines w:val="0"/>
            <w:pageBreakBefore w:val="0"/>
            <w:widowControl/>
            <w:tabs>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"_Toc98489111" </w:instrText>
          </w:r>
          <w:r>
            <w:rPr>
              <w:rFonts w:hint="default" w:ascii="Arial" w:hAnsi="Arial" w:cs="Arial"/>
            </w:rPr>
            <w:fldChar w:fldCharType="separate"/>
          </w:r>
          <w:r>
            <w:rPr>
              <w:rStyle w:val="25"/>
              <w:rFonts w:hint="default" w:ascii="Arial" w:hAnsi="Arial" w:cs="Arial"/>
              <w:sz w:val="24"/>
              <w:szCs w:val="24"/>
            </w:rPr>
            <w:t>2.3.3 SWOT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_Toc98489111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18"/>
            <w:keepNext w:val="0"/>
            <w:keepLines w:val="0"/>
            <w:pageBreakBefore w:val="0"/>
            <w:widowControl/>
            <w:tabs>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"_Toc98489112" </w:instrText>
          </w:r>
          <w:r>
            <w:rPr>
              <w:rFonts w:hint="default" w:ascii="Arial" w:hAnsi="Arial" w:cs="Arial"/>
            </w:rPr>
            <w:fldChar w:fldCharType="separate"/>
          </w:r>
          <w:r>
            <w:rPr>
              <w:rStyle w:val="25"/>
              <w:rFonts w:hint="default" w:ascii="Arial" w:hAnsi="Arial" w:cs="Arial"/>
              <w:sz w:val="24"/>
              <w:szCs w:val="24"/>
            </w:rPr>
            <w:t>2. 4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_Toc98489112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15"/>
            <w:keepNext w:val="0"/>
            <w:keepLines w:val="0"/>
            <w:pageBreakBefore w:val="0"/>
            <w:widowControl/>
            <w:tabs>
              <w:tab w:val="left" w:pos="420"/>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"_Toc98489113" </w:instrText>
          </w:r>
          <w:r>
            <w:rPr>
              <w:rFonts w:hint="default" w:ascii="Arial" w:hAnsi="Arial" w:cs="Arial"/>
            </w:rPr>
            <w:fldChar w:fldCharType="separate"/>
          </w:r>
          <w:r>
            <w:rPr>
              <w:rStyle w:val="25"/>
              <w:rFonts w:hint="default" w:ascii="Arial" w:hAnsi="Arial" w:cs="Arial"/>
              <w:sz w:val="24"/>
              <w:szCs w:val="24"/>
            </w:rPr>
            <w:t>3.</w:t>
          </w:r>
          <w:r>
            <w:rPr>
              <w:rFonts w:hint="default" w:ascii="Arial" w:hAnsi="Arial" w:cs="Arial"/>
              <w:kern w:val="2"/>
              <w:sz w:val="24"/>
              <w:szCs w:val="28"/>
            </w:rPr>
            <w:tab/>
          </w:r>
          <w:r>
            <w:rPr>
              <w:rStyle w:val="25"/>
              <w:rFonts w:hint="default" w:ascii="Arial" w:hAnsi="Arial" w:cs="Arial"/>
              <w:sz w:val="24"/>
              <w:szCs w:val="24"/>
            </w:rPr>
            <w:t>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_Toc98489113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15"/>
            <w:keepNext w:val="0"/>
            <w:keepLines w:val="0"/>
            <w:pageBreakBefore w:val="0"/>
            <w:widowControl/>
            <w:tabs>
              <w:tab w:val="right" w:leader="dot" w:pos="9736"/>
            </w:tabs>
            <w:kinsoku/>
            <w:wordWrap/>
            <w:overflowPunct/>
            <w:topLinePunct w:val="0"/>
            <w:autoSpaceDE/>
            <w:autoSpaceDN/>
            <w:bidi w:val="0"/>
            <w:adjustRightInd/>
            <w:snapToGrid/>
            <w:spacing w:before="50" w:after="50" w:line="480" w:lineRule="auto"/>
            <w:textAlignment w:val="auto"/>
            <w:rPr>
              <w:rFonts w:hint="default" w:ascii="Arial" w:hAnsi="Arial" w:cs="Arial"/>
              <w:kern w:val="2"/>
              <w:sz w:val="24"/>
              <w:szCs w:val="28"/>
            </w:rPr>
          </w:pPr>
          <w:r>
            <w:rPr>
              <w:rFonts w:hint="default" w:ascii="Arial" w:hAnsi="Arial" w:cs="Arial"/>
            </w:rPr>
            <w:fldChar w:fldCharType="begin"/>
          </w:r>
          <w:r>
            <w:rPr>
              <w:rFonts w:hint="default" w:ascii="Arial" w:hAnsi="Arial" w:cs="Arial"/>
            </w:rPr>
            <w:instrText xml:space="preserve"> HYPERLINK \l "_Toc98489114" </w:instrText>
          </w:r>
          <w:r>
            <w:rPr>
              <w:rFonts w:hint="default" w:ascii="Arial" w:hAnsi="Arial" w:cs="Arial"/>
            </w:rPr>
            <w:fldChar w:fldCharType="separate"/>
          </w:r>
          <w:r>
            <w:rPr>
              <w:rStyle w:val="25"/>
              <w:rFonts w:hint="default" w:ascii="Arial" w:hAnsi="Arial" w:cs="Arial"/>
              <w:sz w:val="24"/>
              <w:szCs w:val="24"/>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_Toc98489114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pPr>
            <w:spacing w:before="156" w:beforeLines="50" w:after="156" w:afterLines="50" w:line="360" w:lineRule="auto"/>
            <w:jc w:val="both"/>
            <w:rPr>
              <w:rFonts w:hint="default" w:ascii="Arial" w:hAnsi="Arial" w:cs="Arial"/>
            </w:rPr>
          </w:pPr>
          <w:r>
            <w:rPr>
              <w:rFonts w:hint="default" w:ascii="Arial" w:hAnsi="Arial" w:cs="Arial"/>
              <w:b/>
              <w:bCs/>
              <w:sz w:val="24"/>
              <w:szCs w:val="24"/>
              <w:lang w:val="zh-CN"/>
            </w:rPr>
            <w:fldChar w:fldCharType="end"/>
          </w:r>
        </w:p>
      </w:sdtContent>
    </w:sdt>
    <w:p>
      <w:pPr>
        <w:spacing w:before="156" w:beforeLines="50" w:after="156" w:afterLines="50" w:line="360" w:lineRule="auto"/>
        <w:jc w:val="both"/>
        <w:rPr>
          <w:rFonts w:hint="default" w:ascii="Arial" w:hAnsi="Arial" w:cs="Arial" w:eastAsiaTheme="majorEastAsia"/>
          <w:color w:val="262626" w:themeColor="text1" w:themeTint="D9"/>
          <w:spacing w:val="-15"/>
          <w:sz w:val="56"/>
          <w:szCs w:val="56"/>
          <w14:textFill>
            <w14:solidFill>
              <w14:schemeClr w14:val="tx1">
                <w14:lumMod w14:val="85000"/>
                <w14:lumOff w14:val="15000"/>
              </w14:schemeClr>
            </w14:solidFill>
          </w14:textFill>
        </w:rPr>
      </w:pPr>
      <w:r>
        <w:rPr>
          <w:rFonts w:hint="default" w:ascii="Arial" w:hAnsi="Arial" w:cs="Arial"/>
          <w:sz w:val="56"/>
          <w:szCs w:val="56"/>
        </w:rPr>
        <w:br w:type="page"/>
      </w:r>
    </w:p>
    <w:p>
      <w:pPr>
        <w:pStyle w:val="2"/>
        <w:numPr>
          <w:ilvl w:val="0"/>
          <w:numId w:val="1"/>
        </w:numPr>
        <w:spacing w:before="156" w:beforeLines="50" w:after="156" w:afterLines="50" w:line="360" w:lineRule="auto"/>
        <w:jc w:val="both"/>
        <w:rPr>
          <w:rFonts w:hint="default" w:ascii="Arial" w:hAnsi="Arial" w:cs="Arial"/>
        </w:rPr>
        <w:sectPr>
          <w:footerReference r:id="rId5" w:type="default"/>
          <w:pgSz w:w="11906" w:h="16838"/>
          <w:pgMar w:top="1440" w:right="1080" w:bottom="1440" w:left="1080" w:header="851" w:footer="992" w:gutter="0"/>
          <w:cols w:space="425" w:num="1"/>
          <w:docGrid w:type="lines" w:linePitch="312" w:charSpace="0"/>
        </w:sectPr>
      </w:pPr>
    </w:p>
    <w:p>
      <w:pPr>
        <w:pStyle w:val="2"/>
        <w:numPr>
          <w:ilvl w:val="0"/>
          <w:numId w:val="1"/>
        </w:numPr>
        <w:spacing w:before="156" w:beforeLines="50" w:after="156" w:afterLines="50" w:line="360" w:lineRule="auto"/>
        <w:jc w:val="both"/>
        <w:rPr>
          <w:rFonts w:hint="default" w:ascii="Arial" w:hAnsi="Arial" w:cs="Arial"/>
          <w:color w:val="auto"/>
        </w:rPr>
      </w:pPr>
      <w:bookmarkStart w:id="0" w:name="_Toc98489104"/>
      <w:r>
        <w:rPr>
          <w:rFonts w:hint="default" w:ascii="Arial" w:hAnsi="Arial" w:cs="Arial"/>
          <w:color w:val="auto"/>
        </w:rPr>
        <w:t>Introduction</w:t>
      </w:r>
      <w:bookmarkEnd w:id="0"/>
      <w:r>
        <w:rPr>
          <w:rFonts w:hint="default" w:ascii="Arial" w:hAnsi="Arial" w:cs="Arial"/>
          <w:color w:val="auto"/>
        </w:rPr>
        <w:t xml:space="preserv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After more than three decades of growth, the global tourism industry has come to a standstill due to the covid-19 epidemic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{"citationItems":[{"id":"ITEM-1","itemData":{"DOI":"10.1108/IJCHM-03-2020-0237","ISSN":"09596119","abstract":"Purpose: This paper aims to discuss the effects of COVID-19 on hotel marketing and management practices and outlines a three-pronged research agenda to stimulate knowledge development in the hotel sector. Design/methodology/approach: This paper is based on an overview of the relevant literature on hotel marketing and management and the hotel guest behavior. The authors also investigated hospitality service trends to propose a research agenda. Findings: This paper presents a research agenda from three dimensions – artificial intelligence (AI) and robotics, hygiene and cleanliness and health and health care. First, different types of AI (mechanical, thinking and feeling) might open up distinct research streams at the intersection of health crises and hotel management, in light of the COVID-19 pandemic. Additionally, this paper recommends that researchers move beyond typical perspectives on the antecedents and outcomes of hotel hygiene and cleanliness to delve into guests’ perceptions of the cleanliness of specific hotel surfaces. Furthermore, a more in-depth analysis is warranted about the evolving relationship between hotels and the health-care sector. Practical implications: The recommended research areas are intended to advance the knowledge base to help hotels recover from the COVID-19 pandemic. The suggested research streams are expected to provide actionable insights to promote the development and sustainability of the hotel sector. Originality/value: This paper appears to be a frontier study, critically examining possible effects of the COVID-19 pandemic on hotel marketing and management practices and how hoteliers may respond to such challenges to recover after this pandemic.","author":[{"dropping-particle":"","family":"Jiang","given":"Yangyang","non-dropping-particle":"","parse-names":false,"suffix":""},{"dropping-particle":"","family":"Wen","given":"Jun","non-dropping-particle":"","parse-names":false,"suffix":""}],"container-title":"International Journal of Contemporary Hospitality Management","id":"ITEM-1","issue":"8","issued":{"date-parts":[["2020","8","4"]]},"page":"2563-2573","publisher":"Emerald Group Holdings Ltd.","title":"Effects of COVID-19 on hotel marketing and management: a perspective article","type":"article-journal","volume":"32"},"uris":["http://www.mendeley.com/documents/?uuid=152c47d3-57b1-3f43-9f7b-fc47654c7b1f"]}],"mendeley":{"formattedCitation":"(Jiang and Wen, 2020)","plainTextFormattedCitation":"(Jiang and Wen, 2020)","previouslyFormattedCitation":"(Jiang and Wen, 2020)"},"properties":{"noteIndex":0},"schema":"https://github.com/citation-style-language/schema/raw/master/csl-citation.json"}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(Jiang and Wen, 2020)</w:t>
      </w:r>
      <w:r>
        <w:rPr>
          <w:rFonts w:hint="default" w:ascii="Arial" w:hAnsi="Arial" w:cs="Arial"/>
          <w:sz w:val="24"/>
          <w:szCs w:val="24"/>
        </w:rPr>
        <w:fldChar w:fldCharType="end"/>
      </w:r>
      <w:r>
        <w:rPr>
          <w:rFonts w:hint="default" w:ascii="Arial" w:hAnsi="Arial" w:cs="Arial"/>
          <w:sz w:val="24"/>
          <w:szCs w:val="24"/>
        </w:rPr>
        <w:t xml:space="preserve">. However, because the tourism ecosystem is so broad in scope, it is not only limited to the tourism industry but many other industries and sectors that depend on tourism for their growth have also suffered a fatal blow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{"citationItems":[{"id":"ITEM-1","itemData":{"DOI":"10.1108/IJCHM-06-2020-0623","ISSN":"09596119","abstract":"Purpose: The revenue management (RM) discipline is built on the principle of demand-based pricing. This study aims to examine how and to what extent RM can be implemented in the hotel industry during low-demand periods, particularly during the coronavirus disease 2019 (COVID-19) crisis. Design/methodology/approach: This paper used semi-structured interviews to gather information from hotel RM executives, RM consultants and RM system providers. Participants were asked to think about the impact of COVID-19 on their RM practices. This paper interviewed 26 revenue executives between January and March 2020. Findings: Core RM processes are still relevant during the COVID-19 crisis; however, not all components are equally important. Business analysis, pricing strategy and demand modeling and forecasting are the most critical RM processes. Inventory and price optimization and setting booking controls are not as important at this time; along with distribution channel management, these processes will become more relevant as demand picks up. Research limitations/implications: Future research in this area should focus on each core RM process separately and in-depth to understand how implementation changes during the crisis and recovery periods. Future studies should also investigate how these processes operate during the recovery period. The full breadth of consequences of the COVID-19 crisis in hotel RM will likely manifest gradually. Therefore, the core RM processes should also be examined when the crisis is over. Originality/value: Apart from a few studies that touched on RM-related strategies during economic downturns, to the knowledge, this is the first study to systematically examine the extent to which RM can be implemented during a crisis.","author":[{"dropping-particle":"","family":"Denizci Guillet","given":"Basak","non-dropping-particle":"","parse-names":false,"suffix":""},{"dropping-particle":"","family":"Chu","given":"Angela Mai Chi","non-dropping-particle":"","parse-names":false,"suffix":""}],"container-title":"International Journal of Contemporary Hospitality Management","id":"ITEM-1","issue":"2","issued":{"date-parts":[["2021","3","15"]]},"page":"604-627","publisher":"Emerald Group Holdings Ltd.","title":"Managing hotel revenue amid the COVID-19 crisis","type":"article-journal","volume":"33"},"uris":["http://www.mendeley.com/documents/?uuid=9e514c35-239c-3bde-927f-4e95dd2f7135"]}],"mendeley":{"formattedCitation":"(Denizci Guillet and Chu, 2021)","plainTextFormattedCitation":"(Denizci Guillet and Chu, 2021)","previouslyFormattedCitation":"(Denizci Guillet and Chu,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(Denizci Guillet and Chu, 2021)</w:t>
      </w:r>
      <w:r>
        <w:rPr>
          <w:rFonts w:hint="default" w:ascii="Arial" w:hAnsi="Arial" w:cs="Arial"/>
          <w:sz w:val="24"/>
          <w:szCs w:val="24"/>
        </w:rPr>
        <w:fldChar w:fldCharType="end"/>
      </w:r>
      <w:r>
        <w:rPr>
          <w:rFonts w:hint="default" w:ascii="Arial" w:hAnsi="Arial" w:cs="Arial"/>
          <w:sz w:val="24"/>
          <w:szCs w:val="24"/>
        </w:rPr>
        <w:t xml:space="preserve">. Specifically, from the demand side, under covid-19, all non-essential travels have been discouraged by the government, and travel restrictions resulted in the cancels of the majority of flights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{"citationItems":[{"id":"ITEM-1","itemData":{"DOI":"10.1016/j.ijhm.2020.102659","ISSN":"02784319","abstract":"The COVID-19 pandemic will reduce the attractiveness of hospitality occupations. This particularly concerns senior management positions whose holders may substitute hospitality jobs with more secure and rewarding employment in other economic sectors. Organisational resilience of hospitality businesses, including their response to COVID-19, and corporate social responsibility (CSR) practices may, however, affect perceived job security of senior managers and, thus, influence their commitment to remain in their host organisations. This paper quantitatively tests the inter-linkages between the above variables on a sample of senior managers in hotels in Spain. It finds that the levels of organisational resilience and the extent of CSR practices reinforce perceived job security of managers which, in turn, determines their organisational commitment. Organisational response to COVID-19 affects perceived job security and enhances managers’ organisational commitment. To retain senior management teams in light of future disastrous events, hotels should, therefore, strengthen their organisational resilience and invest in CSR.","author":[{"dropping-particle":"","family":"Filimonau","given":"Viachaslau","non-dropping-particle":"","parse-names":false,"suffix":""},{"dropping-particle":"","family":"Derqui","given":"Belen","non-dropping-particle":"","parse-names":false,"suffix":""},{"dropping-particle":"","family":"Matute","given":"Jorge","non-dropping-particle":"","parse-names":false,"suffix":""}],"container-title":"International Journal of Hospitality Management","id":"ITEM-1","issued":{"date-parts":[["2020"]]},"title":"The COVID-19 pandemic and organisational commitment of senior hotel managers","type":"article-journal","volume":"91"},"uris":["http://www.mendeley.com/documents/?uuid=8f0fb882-530b-3241-9e52-7d348d98e4fe"]}],"mendeley":{"formattedCitation":"(Filimonau, Derqui and Matute, 2020)","plainTextFormattedCitation":"(Filimonau, Derqui and Matute, 2020)","previouslyFormattedCitation":"(Filimonau, Derqui and Matute, 2020)"},"properties":{"noteIndex":0},"schema":"https://github.com/citation-style-language/schema/raw/master/csl-citation.json"}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(Filimonau, Derqui and Matute, 2020)</w:t>
      </w:r>
      <w:r>
        <w:rPr>
          <w:rFonts w:hint="default" w:ascii="Arial" w:hAnsi="Arial" w:cs="Arial"/>
          <w:sz w:val="24"/>
          <w:szCs w:val="24"/>
        </w:rPr>
        <w:fldChar w:fldCharType="end"/>
      </w:r>
      <w:r>
        <w:rPr>
          <w:rFonts w:hint="default" w:ascii="Arial" w:hAnsi="Arial" w:cs="Arial"/>
          <w:sz w:val="24"/>
          <w:szCs w:val="24"/>
        </w:rPr>
        <w:t xml:space="preserve">. Even upon arrival, additional mandatory quarantine, negative covid-19 are required by the local authorities to prevent infections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{"citationItems":[{"id":"ITEM-1","itemData":{"DOI":"10.1108/IJCHM-03-2021-0289","ISSN":"09596119","abstract":"Purpose: This study aims to adopt Carroll’s corporate social responsibility (CSR) pyramid framework as a theoretical lens for examining employee perspectives on South Korean hotels operating as quarantine facilities during the COVID-19 pandemic. Design/methodology/approach: The study adopted a qualitative approach consisting of the following components: in-depth interviews with employees and stakeholders of quarantine hotels, including frontline staff, government officials and medical staff, field observations and data from one researcher’s direct experience in a quarantined hotel. Findings: Six themes regarding the experience of operating quarantine hotels emerged from the in-depth interviews and field observations. The findings also showed an interplay between the hotel employees’ perspectives, the four components of the CSR pyramid and the benefits and costs to hotels operating as quarantine facilities. Research limitations/implications: This study focusses on the particular case of quarantine hotels in South Korea, and therefore caution is required in generalising the findings. Practical implications: The findings suggest that strategic partnerships can help to protect local communities whilst alleviating the hotel industry’s financial difficulties. They also explore an opportunity for business revitalisation in the midst of a global pandemic. Originality/value: This study finds that the voluntary decision of hotels to operate as coronavirus quarantine facilities is aligned with CSR because its ultimate aim is to protect the community from the risk of coronavirus from overseas arrivals. This study broadens the CSR literature in the fields of COVID-19 and hospitality.","author":[{"dropping-particle":"","family":"Choi","given":"Miju","non-dropping-particle":"","parse-names":false,"suffix":""},{"dropping-particle":"","family":"Choi","given":"Youngjoon","non-dropping-particle":"","parse-names":false,"suffix":""}],"container-title":"International Journal of Contemporary Hospitality Management","id":"ITEM-1","issue":"10","issued":{"date-parts":[["2021","10","20"]]},"page":"3355-3378","publisher":"Emerald Group Holdings Ltd.","title":"Employee perceptions of hotel CSR activities during the COVID-19 pandemic","type":"article-journal","volume":"33"},"uris":["http://www.mendeley.com/documents/?uuid=9c706ca7-13b3-3b62-8f69-b73d91661555"]}],"mendeley":{"formattedCitation":"(Choi and Choi, 2021)","plainTextFormattedCitation":"(Choi and Choi, 2021)","previouslyFormattedCitation":"(Choi and Choi,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(Choi and Choi, 2021)</w:t>
      </w:r>
      <w:r>
        <w:rPr>
          <w:rFonts w:hint="default" w:ascii="Arial" w:hAnsi="Arial" w:cs="Arial"/>
          <w:sz w:val="24"/>
          <w:szCs w:val="24"/>
        </w:rPr>
        <w:fldChar w:fldCharType="end"/>
      </w:r>
      <w:r>
        <w:rPr>
          <w:rFonts w:hint="default" w:ascii="Arial" w:hAnsi="Arial" w:cs="Arial"/>
          <w:sz w:val="24"/>
          <w:szCs w:val="24"/>
        </w:rPr>
        <w:t xml:space="preserve">. Thereby, the time and money costs for traveling have been unprecedented high than ever, resulting in record-low demands in hotels. From the supply side, the hotels are temporarily closed or are required to take additional measures, most out of compliances of local regulations to address safety concerns, resulting in higher operational and maintaining costs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DOI":"10.1080/13032917.2020.1851553","ISSN":"21566909","author":[{"dropping-particle":"","family":"Hameed","given":"Nabila","non-dropping-particle":"","parse-names":false,"suffix":""},{"dropping-particle":"","family":"Mahomed","given":"Ridwan","non-dropping-particle":"","parse-names":false,"suffix":""},{"dropping-particle":"","family":"Carvalho","given":"Inês","non-dropping-particle":"","parse-names":false,"suffix":""}],"container-title":"Anatolia","id":"ITEM-1","issue":"1","issued":{"date-parts":[["2021"]]},"page":"172-175","publisher":"Routledge","title":"Measures to be implemented in the hotel buffets during the COVID-19 pandemic","type":"article-journal","volume":"32"},"uris":["http://www.mendeley.com/documents/?uuid=08355eaf-4c12-3698-8ba5-a59a60549336"]}],"mendeley":{"formattedCitation":"(Hameed, Mahomed and Carvalho, 2021)","plainTextFormattedCitation":"(Hameed, Mahomed and Carvalho, 2021)","previouslyFormattedCitation":"(Hameed, Mahomed and Carvalho,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(Hameed, Mahomed and Carvalho, 2021)</w:t>
      </w:r>
      <w:r>
        <w:rPr>
          <w:rFonts w:hint="default" w:ascii="Arial" w:hAnsi="Arial" w:cs="Arial"/>
          <w:sz w:val="24"/>
          <w:szCs w:val="24"/>
        </w:rPr>
        <w:fldChar w:fldCharType="end"/>
      </w:r>
      <w:r>
        <w:rPr>
          <w:rFonts w:hint="default" w:ascii="Arial" w:hAnsi="Arial" w:cs="Arial"/>
          <w:sz w:val="24"/>
          <w:szCs w:val="24"/>
        </w:rPr>
        <w:t xml:space="preserve">. The current reality in the hotel industry will have a lasting impact in the future since covid-19 is still threatening public health.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Huazhu is a leading mul0brand hotel group headquartered in China but with an international presence. The brands managed by Huazhu are presented in Figure 1. As of the fiscal year of 2020, Huazhu has above 6000 hotels in operation with 153 million loyal customers managed but its H Club membership program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{"citationItems":[{"id":"ITEM-1","itemData":{"author":[{"dropping-particle":"","family":"Huazhu","given":"","non-dropping-particle":"","parse-names":false,"suffix":""}],"id":"ITEM-1","issued":{"date-parts":[["2021"]]},"title":"Huazhu annual report 2020","type":"report"},"uris":["http://www.mendeley.com/documents/?uuid=dbe2beda-b6b8-4a62-a9c9-ac20c9e9fa4b"]}],"mendeley":{"formattedCitation":"(Huazhu, 2021)","plainTextFormattedCitation":"(Huazhu, 2021)","previouslyFormattedCitation":"(Huazhu,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(Huazhu, 2021)</w:t>
      </w:r>
      <w:r>
        <w:rPr>
          <w:rFonts w:hint="default" w:ascii="Arial" w:hAnsi="Arial" w:cs="Arial"/>
          <w:sz w:val="24"/>
          <w:szCs w:val="24"/>
        </w:rPr>
        <w:fldChar w:fldCharType="end"/>
      </w:r>
      <w:r>
        <w:rPr>
          <w:rFonts w:hint="default" w:ascii="Arial" w:hAnsi="Arial" w:cs="Arial"/>
          <w:sz w:val="24"/>
          <w:szCs w:val="24"/>
        </w:rPr>
        <w:t xml:space="preserve">. The present report provides a strategic audit for Huazhu in the context of covid-19. Based on the audit, some actionable recommendations are provided at the end of the report to help Huazhu actively navigate the pandemic. </w:t>
      </w:r>
    </w:p>
    <w:p>
      <w:pPr>
        <w:spacing w:before="156" w:beforeLines="50" w:after="156" w:afterLines="50" w:line="360" w:lineRule="auto"/>
        <w:jc w:val="both"/>
        <w:rPr>
          <w:rFonts w:hint="default" w:ascii="Arial" w:hAnsi="Arial" w:cs="Arial"/>
        </w:rPr>
      </w:pPr>
      <w:r>
        <w:rPr>
          <w:rFonts w:hint="default" w:ascii="Arial" w:hAnsi="Arial" w:cs="Arial"/>
        </w:rPr>
        <w:drawing>
          <wp:inline distT="0" distB="0" distL="0" distR="0">
            <wp:extent cx="3378200" cy="364744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381778" cy="3651780"/>
                    </a:xfrm>
                    <a:prstGeom prst="rect">
                      <a:avLst/>
                    </a:prstGeom>
                  </pic:spPr>
                </pic:pic>
              </a:graphicData>
            </a:graphic>
          </wp:inline>
        </w:drawing>
      </w:r>
    </w:p>
    <w:p>
      <w:pPr>
        <w:spacing w:before="156" w:beforeLines="50" w:after="156" w:afterLines="50" w:line="360" w:lineRule="auto"/>
        <w:jc w:val="both"/>
        <w:rPr>
          <w:rFonts w:hint="default" w:ascii="Arial" w:hAnsi="Arial" w:cs="Arial"/>
          <w:sz w:val="24"/>
          <w:szCs w:val="24"/>
        </w:rPr>
      </w:pPr>
      <w:r>
        <w:rPr>
          <w:rFonts w:hint="default" w:ascii="Arial" w:hAnsi="Arial" w:cs="Arial"/>
          <w:sz w:val="24"/>
          <w:szCs w:val="24"/>
        </w:rPr>
        <w:t xml:space="preserve">Figure 1. Major brands of Huazhu , by category as of the date of the annual report </w:t>
      </w:r>
      <w:r>
        <w:rPr>
          <w:rStyle w:val="26"/>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{"citationItems":[{"id":"ITEM-1","itemData":{"author":[{"dropping-particle":"","family":"Huazhu","given":"","non-dropping-particle":"","parse-names":false,"suffix":""}],"id":"ITEM-1","issued":{"date-parts":[["2021"]]},"title":"Huazhu annual report 2020","type":"report"},"uris":["http://www.mendeley.com/documents/?uuid=dbe2beda-b6b8-4a62-a9c9-ac20c9e9fa4b"]}],"mendeley":{"formattedCitation":"(Huazhu, 2021)","plainTextFormattedCitation":"(Huazhu, 2021)","previouslyFormattedCitation":"(Huazhu, 2021)"},"properties":{"noteIndex":0},"schema":"https://github.com/citation-style-language/schema/raw/master/csl-citation.json"}</w:instrText>
      </w:r>
      <w:r>
        <w:rPr>
          <w:rStyle w:val="26"/>
          <w:rFonts w:hint="default" w:ascii="Arial" w:hAnsi="Arial" w:cs="Arial"/>
          <w:sz w:val="24"/>
          <w:szCs w:val="24"/>
        </w:rPr>
        <w:fldChar w:fldCharType="separate"/>
      </w:r>
      <w:r>
        <w:rPr>
          <w:rFonts w:hint="default" w:ascii="Arial" w:hAnsi="Arial" w:cs="Arial"/>
          <w:sz w:val="24"/>
          <w:szCs w:val="24"/>
        </w:rPr>
        <w:t>(Huazhu, 2021)</w:t>
      </w:r>
      <w:r>
        <w:rPr>
          <w:rStyle w:val="26"/>
          <w:rFonts w:hint="default" w:ascii="Arial" w:hAnsi="Arial" w:cs="Arial"/>
          <w:sz w:val="24"/>
          <w:szCs w:val="24"/>
        </w:rPr>
        <w:fldChar w:fldCharType="end"/>
      </w:r>
    </w:p>
    <w:p>
      <w:pPr>
        <w:spacing w:before="50" w:after="50" w:line="360" w:lineRule="auto"/>
        <w:rPr>
          <w:rFonts w:hint="default" w:ascii="Arial" w:hAnsi="Arial" w:cs="Arial"/>
        </w:rPr>
      </w:pPr>
      <w:r>
        <w:rPr>
          <w:rFonts w:hint="default" w:ascii="Arial" w:hAnsi="Arial" w:cs="Arial"/>
        </w:rPr>
        <w:br w:type="page"/>
      </w:r>
    </w:p>
    <w:p>
      <w:pPr>
        <w:pStyle w:val="2"/>
        <w:spacing w:before="156" w:beforeLines="50" w:after="156" w:afterLines="50" w:line="360" w:lineRule="auto"/>
        <w:jc w:val="both"/>
        <w:rPr>
          <w:rFonts w:hint="default" w:ascii="Arial" w:hAnsi="Arial" w:cs="Arial"/>
          <w:color w:val="auto"/>
        </w:rPr>
      </w:pPr>
      <w:bookmarkStart w:id="1" w:name="_Toc98489105"/>
      <w:r>
        <w:rPr>
          <w:rFonts w:hint="default" w:ascii="Arial" w:hAnsi="Arial" w:cs="Arial"/>
          <w:color w:val="auto"/>
        </w:rPr>
        <w:t>2. Main body: strategic audit of Huazhu</w:t>
      </w:r>
      <w:bookmarkEnd w:id="1"/>
      <w:r>
        <w:rPr>
          <w:rFonts w:hint="default" w:ascii="Arial" w:hAnsi="Arial" w:cs="Arial"/>
          <w:color w:val="auto"/>
        </w:rPr>
        <w:t xml:space="preserve"> </w:t>
      </w:r>
    </w:p>
    <w:p>
      <w:pPr>
        <w:pStyle w:val="3"/>
        <w:spacing w:before="156" w:beforeLines="50" w:after="156" w:afterLines="50" w:line="360" w:lineRule="auto"/>
        <w:jc w:val="both"/>
        <w:rPr>
          <w:rFonts w:hint="default" w:ascii="Arial" w:hAnsi="Arial" w:cs="Arial"/>
          <w:color w:val="auto"/>
        </w:rPr>
      </w:pPr>
      <w:bookmarkStart w:id="2" w:name="_Toc98489106"/>
      <w:r>
        <w:rPr>
          <w:rFonts w:hint="default" w:ascii="Arial" w:hAnsi="Arial" w:cs="Arial"/>
          <w:color w:val="auto"/>
        </w:rPr>
        <w:t>2.1 Macro audit: PESTEL analysis</w:t>
      </w:r>
      <w:bookmarkEnd w:id="2"/>
      <w:r>
        <w:rPr>
          <w:rFonts w:hint="default" w:ascii="Arial" w:hAnsi="Arial" w:cs="Arial"/>
          <w:color w:val="auto"/>
        </w:rPr>
        <w:t xml:space="preserv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PESTEL, an acronym for the political, economic, social, technological, environmental and legal factors, is a strategic management framework that helps managers to access the risk arising from the impact of external factors on a macro level, particularly when operating internationally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{"citationItems":[{"id":"ITEM-1","itemData":{"author":[{"dropping-particle":"","family":"Cravens","given":"David W","non-dropping-particle":"","parse-names":false,"suffix":""},{"dropping-particle":"","family":"Piercy","given":"Nigel","non-dropping-particle":"","parse-names":false,"suffix":""}],"id":"ITEM-1","issued":{"date-parts":[["2006"]]},"publisher":"McGraw-Hill New York","title":"Strategic marketing","type":"book","volume":"6"},"uris":["http://www.mendeley.com/documents/?uuid=bff0fc94-4bf7-434e-b657-9ac708187418"]}],"mendeley":{"formattedCitation":"(Cravens and Piercy, 2006)","plainTextFormattedCitation":"(Cravens and Piercy, 2006)","previouslyFormattedCitation":"(Cravens and Piercy, 2006)"},"properties":{"noteIndex":0},"schema":"https://github.com/citation-style-language/schema/raw/master/csl-citation.json"}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(Cravens and Piercy, 2006)</w:t>
      </w:r>
      <w:r>
        <w:rPr>
          <w:rFonts w:hint="default" w:ascii="Arial" w:hAnsi="Arial" w:cs="Arial"/>
          <w:sz w:val="24"/>
          <w:szCs w:val="24"/>
        </w:rPr>
        <w:fldChar w:fldCharType="end"/>
      </w:r>
      <w:r>
        <w:rPr>
          <w:rFonts w:hint="default" w:ascii="Arial" w:hAnsi="Arial" w:cs="Arial"/>
          <w:sz w:val="24"/>
          <w:szCs w:val="24"/>
        </w:rPr>
        <w:t xml:space="preserve">. The model is used to audit the macro environment of Huazhu and identify particular factors impacting Huazhu ’s strategic development. However, only points of the greatest relevancy will be highlighted here. </w:t>
      </w:r>
    </w:p>
    <w:p>
      <w:pPr>
        <w:pStyle w:val="49"/>
        <w:keepNext w:val="0"/>
        <w:keepLines w:val="0"/>
        <w:pageBreakBefore w:val="0"/>
        <w:widowControl/>
        <w:numPr>
          <w:ilvl w:val="0"/>
          <w:numId w:val="2"/>
        </w:numPr>
        <w:kinsoku/>
        <w:wordWrap/>
        <w:overflowPunct/>
        <w:topLinePunct w:val="0"/>
        <w:autoSpaceDE/>
        <w:autoSpaceDN/>
        <w:bidi w:val="0"/>
        <w:adjustRightInd/>
        <w:snapToGrid/>
        <w:spacing w:before="156" w:beforeLines="50" w:after="156" w:afterLines="50" w:line="480" w:lineRule="auto"/>
        <w:ind w:firstLineChars="0"/>
        <w:jc w:val="both"/>
        <w:textAlignment w:val="auto"/>
        <w:rPr>
          <w:rFonts w:hint="default" w:ascii="Arial" w:hAnsi="Arial" w:cs="Arial"/>
          <w:sz w:val="24"/>
          <w:szCs w:val="24"/>
        </w:rPr>
      </w:pPr>
      <w:r>
        <w:rPr>
          <w:rFonts w:hint="default" w:ascii="Arial" w:hAnsi="Arial" w:cs="Arial"/>
          <w:sz w:val="24"/>
          <w:szCs w:val="24"/>
        </w:rPr>
        <w:t xml:space="preserve">Political: China is the first country to be affected by the covid-19 outbreak, and the local hotel industry has been the first to bear the brunt as Wuhan has declared a city closure and other parts of mainland China have adopted strict travel restrictions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ISSN":"1744-8603","author":[{"dropping-particle":"","family":"Sun","given":"Shuangyi","non-dropping-particle":"","parse-names":false,"suffix":""},{"dropping-particle":"","family":"Xie","given":"Zhen","non-dropping-particle":"","parse-names":false,"suffix":""},{"dropping-particle":"","family":"Yu","given":"Keting","non-dropping-particle":"","parse-names":false,"suffix":""},{"dropping-particle":"","family":"Jiang","given":"Bingqian","non-dropping-particle":"","parse-names":false,"suffix":""},{"dropping-particle":"","family":"Zheng","given":"Siwei","non-dropping-particle":"","parse-names":false,"suffix":""},{"dropping-particle":"","family":"Pan","given":"Xiaoting","non-dropping-particle":"","parse-names":false,"suffix":""}],"container-title":"Globalization and Health","id":"ITEM-1","issue":"1","issued":{"date-parts":[["2021"]]},"page":"1-8","publisher":"BioMed Central","title":"COVID-19 and healthcare system in China: challenges and progression for a sustainable future","type":"article-journal","volume":"17"},"uris":["http://www.mendeley.com/documents/?uuid=bab22ec0-943f-4831-81a1-5754bbcf698c"]}],"mendeley":{"formattedCitation":"(Sun &lt;i&gt;et al.&lt;/i&gt;, 2021)","plainTextFormattedCitation":"(Sun et al., 2021)","previouslyFormattedCitation":"(Sun &lt;i&gt;et al.&lt;/i&gt;,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 xml:space="preserve">(Sun </w:t>
      </w:r>
      <w:r>
        <w:rPr>
          <w:rFonts w:hint="default" w:ascii="Arial" w:hAnsi="Arial" w:cs="Arial"/>
          <w:i/>
          <w:sz w:val="24"/>
          <w:szCs w:val="24"/>
        </w:rPr>
        <w:t>et al.</w:t>
      </w:r>
      <w:r>
        <w:rPr>
          <w:rFonts w:hint="default" w:ascii="Arial" w:hAnsi="Arial" w:cs="Arial"/>
          <w:sz w:val="24"/>
          <w:szCs w:val="24"/>
        </w:rPr>
        <w:t>, 2021)</w:t>
      </w:r>
      <w:r>
        <w:rPr>
          <w:rFonts w:hint="default" w:ascii="Arial" w:hAnsi="Arial" w:cs="Arial"/>
          <w:sz w:val="24"/>
          <w:szCs w:val="24"/>
        </w:rPr>
        <w:fldChar w:fldCharType="end"/>
      </w:r>
      <w:r>
        <w:rPr>
          <w:rFonts w:hint="default" w:ascii="Arial" w:hAnsi="Arial" w:cs="Arial"/>
          <w:sz w:val="24"/>
          <w:szCs w:val="24"/>
        </w:rPr>
        <w:t xml:space="preserve">. Over the past year, the hotel business throughout China has been severely impacted by the lack of inbound travelers. In the face of the covid-19, which is not yet fully understood by human beings and has no way to be conquered in a short period, the Chinese government has reviewed the situation, made a comprehensive study and judgment, and made a decisive decision to put "people's life safety and health in the first place", that is, to adhere to the principle of "people first and life first", adopt the strategy of "internal prevention of rebound and external prevention of import", and ensure "dynamic zero" as the normal prevention policy goal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ISSN":"2041-1723","author":[{"dropping-particle":"","family":"Feng","given":"Luzhao","non-dropping-particle":"","parse-names":false,"suffix":""},{"dropping-particle":"","family":"Zhang","given":"Ting","non-dropping-particle":"","parse-names":false,"suffix":""},{"dropping-particle":"","family":"Wang","given":"Qing","non-dropping-particle":"","parse-names":false,"suffix":""},{"dropping-particle":"","family":"Xie","given":"Yiran","non-dropping-particle":"","parse-names":false,"suffix":""},{"dropping-particle":"","family":"Peng","given":"Zhibin","non-dropping-particle":"","parse-names":false,"suffix":""},{"dropping-particle":"","family":"Zheng","given":"Jiandong","non-dropping-particle":"","parse-names":false,"suffix":""},{"dropping-particle":"","family":"Qin","given":"Ying","non-dropping-particle":"","parse-names":false,"suffix":""},{"dropping-particle":"","family":"Zhang","given":"Muli","non-dropping-particle":"","parse-names":false,"suffix":""},{"dropping-particle":"","family":"Lai","given":"Shengjie","non-dropping-particle":"","parse-names":false,"suffix":""},{"dropping-particle":"","family":"Wang","given":"Dayan","non-dropping-particle":"","parse-names":false,"suffix":""}],"container-title":"Nature communications","id":"ITEM-1","issue":"1","issued":{"date-parts":[["2021"]]},"page":"1-8","publisher":"Nature Publishing Group","title":"Impact of COVID-19 outbreaks and interventions on influenza in China and the United States","type":"article-journal","volume":"12"},"uris":["http://www.mendeley.com/documents/?uuid=75362713-1fbe-4b4a-a024-e1faf3842456"]},{"id":"ITEM-2","itemData":{"ISSN":"1476-5578","author":[{"dropping-particle":"","family":"Wang","given":"Yunhe","non-dropping-particle":"","parse-names":false,"suffix":""},{"dropping-particle":"","family":"Shi","given":"Le","non-dropping-particle":"","parse-names":false,"suffix":""},{"dropping-particle":"","family":"Que","given":"Jianyu","non-dropping-particle":"","parse-names":false,"suffix":""},{"dropping-particle":"","family":"Lu","given":"Qingdong","non-dropping-particle":"","parse-names":false,"suffix":""},{"dropping-particle":"","family":"Liu","given":"Lin","non-dropping-particle":"","parse-names":false,"suffix":""},{"dropping-particle":"","family":"Lu","given":"Zhengan","non-dropping-particle":"","parse-names":false,"suffix":""},{"dropping-particle":"","family":"Xu","given":"Yingying","non-dropping-particle":"","parse-names":false,"suffix":""},{"dropping-particle":"","family":"Liu","given":"Jiajia","non-dropping-particle":"","parse-names":false,"suffix":""},{"dropping-particle":"","family":"Sun","given":"Yankun","non-dropping-particle":"","parse-names":false,"suffix":""},{"dropping-particle":"","family":"Meng","given":"Shiqiu","non-dropping-particle":"","parse-names":false,"suffix":""}],"container-title":"Molecular psychiatry","id":"ITEM-2","issue":"9","issued":{"date-parts":[["2021"]]},"page":"4813-4822","publisher":"Nature Publishing Group","title":"The impact of quarantine on mental health status among general population in China during the COVID-19 pandemic","type":"article-journal","volume":"26"},"uris":["http://www.mendeley.com/documents/?uuid=ee6ffc0a-11df-4013-9f99-9aa335803c41"]},{"id":"ITEM-3","itemData":{"ISSN":"1573-3521","author":[{"dropping-particle":"","family":"Wang","given":"Cuiyan","non-dropping-particle":"","parse-names":false,"suffix":""},{"dropping-particle":"","family":"Tripp","given":"Connor","non-dropping-particle":"","parse-names":false,"suffix":""},{"dropping-particle":"","family":"Sears","given":"Samuel F","non-dropping-particle":"","parse-names":false,"suffix":""},{"dropping-particle":"","family":"Xu","given":"Linkang","non-dropping-particle":"","parse-names":false,"suffix":""},{"dropping-particle":"","family":"Tan","given":"Yilin","non-dropping-particle":"","parse-names":false,"suffix":""},{"dropping-particle":"","family":"Zhou","given":"Danqing","non-dropping-particle":"","parse-names":false,"suffix":""},{"dropping-particle":"","family":"Ma","given":"Wenfang","non-dropping-particle":"","parse-names":false,"suffix":""},{"dropping-particle":"","family":"Xu","given":"Ziqi","non-dropping-particle":"","parse-names":false,"suffix":""},{"dropping-particle":"","family":"Chan","given":"Natalie A","non-dropping-particle":"","parse-names":false,"suffix":""},{"dropping-particle":"","family":"Ho","given":"Cyrus","non-dropping-particle":"","parse-names":false,"suffix":""}],"container-title":"Journal of behavioral medicine","id":"ITEM-3","issue":"6","issued":{"date-parts":[["2021"]]},"page":"741-759","publisher":"Springer","title":"The impact of the COVID-19 pandemic on physical and mental health in the two largest economies in the world: a comparison between the United States and China","type":"article-journal","volume":"44"},"uris":["http://www.mendeley.com/documents/?uuid=995c249f-d804-4da5-81c5-379ee107cb3b"]}],"mendeley":{"formattedCitation":"(C. Wang &lt;i&gt;et al.&lt;/i&gt;, 2021; Feng &lt;i&gt;et al.&lt;/i&gt;, 2021; Y. Wang &lt;i&gt;et al.&lt;/i&gt;, 2021)","plainTextFormattedCitation":"(C. Wang et al., 2021; Feng et al., 2021; Y. Wang et al., 2021)","previouslyFormattedCitation":"(C. Wang &lt;i&gt;et al.&lt;/i&gt;, 2021; Feng &lt;i&gt;et al.&lt;/i&gt;, 2021; Y. Wang &lt;i&gt;et al.&lt;/i&gt;,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 xml:space="preserve">(C. Wang </w:t>
      </w:r>
      <w:r>
        <w:rPr>
          <w:rFonts w:hint="default" w:ascii="Arial" w:hAnsi="Arial" w:cs="Arial"/>
          <w:i/>
          <w:sz w:val="24"/>
          <w:szCs w:val="24"/>
        </w:rPr>
        <w:t>et al.</w:t>
      </w:r>
      <w:r>
        <w:rPr>
          <w:rFonts w:hint="default" w:ascii="Arial" w:hAnsi="Arial" w:cs="Arial"/>
          <w:sz w:val="24"/>
          <w:szCs w:val="24"/>
        </w:rPr>
        <w:t xml:space="preserve">, 2021; Feng </w:t>
      </w:r>
      <w:r>
        <w:rPr>
          <w:rFonts w:hint="default" w:ascii="Arial" w:hAnsi="Arial" w:cs="Arial"/>
          <w:i/>
          <w:sz w:val="24"/>
          <w:szCs w:val="24"/>
        </w:rPr>
        <w:t>et al.</w:t>
      </w:r>
      <w:r>
        <w:rPr>
          <w:rFonts w:hint="default" w:ascii="Arial" w:hAnsi="Arial" w:cs="Arial"/>
          <w:sz w:val="24"/>
          <w:szCs w:val="24"/>
        </w:rPr>
        <w:t xml:space="preserve">, 2021; Y. Wang </w:t>
      </w:r>
      <w:r>
        <w:rPr>
          <w:rFonts w:hint="default" w:ascii="Arial" w:hAnsi="Arial" w:cs="Arial"/>
          <w:i/>
          <w:sz w:val="24"/>
          <w:szCs w:val="24"/>
        </w:rPr>
        <w:t>et al.</w:t>
      </w:r>
      <w:r>
        <w:rPr>
          <w:rFonts w:hint="default" w:ascii="Arial" w:hAnsi="Arial" w:cs="Arial"/>
          <w:sz w:val="24"/>
          <w:szCs w:val="24"/>
        </w:rPr>
        <w:t>, 2021)</w:t>
      </w:r>
      <w:r>
        <w:rPr>
          <w:rFonts w:hint="default" w:ascii="Arial" w:hAnsi="Arial" w:cs="Arial"/>
          <w:sz w:val="24"/>
          <w:szCs w:val="24"/>
        </w:rPr>
        <w:fldChar w:fldCharType="end"/>
      </w:r>
      <w:r>
        <w:rPr>
          <w:rFonts w:hint="default" w:ascii="Arial" w:hAnsi="Arial" w:cs="Arial"/>
          <w:sz w:val="24"/>
          <w:szCs w:val="24"/>
        </w:rPr>
        <w:t xml:space="preserve">. The stringent prevention and control policies here have resulted in nearly zero international customers towards China, and significantly erodes the profitability of Huazhu (since China is Huazhu’s major market.). However, the current outbreak may continue to weigh on the business performance of the China hospitality industry in 2021 and beyond, considering that we have yet to see any signs of the covid-19 epidemic subsiding and international cross-border travel activity resuming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ISSN":"0163-4453","author":[{"dropping-particle":"","family":"Bou-Karroum","given":"Lama","non-dropping-particle":"","parse-names":false,"suffix":""},{"dropping-particle":"","family":"Khabsa","given":"Joanne","non-dropping-particle":"","parse-names":false,"suffix":""},{"dropping-particle":"","family":"Jabbour","given":"Mathilda","non-dropping-particle":"","parse-names":false,"suffix":""},{"dropping-particle":"","family":"Hilal","given":"Nadeen","non-dropping-particle":"","parse-names":false,"suffix":""},{"dropping-particle":"","family":"Haidar","given":"Zeinab","non-dropping-particle":"","parse-names":false,"suffix":""},{"dropping-particle":"","family":"Abi Khalil","given":"Pamela","non-dropping-particle":"","parse-names":false,"suffix":""},{"dropping-particle":"","family":"Khalek","given":"Rima Abdul","non-dropping-particle":"","parse-names":false,"suffix":""},{"dropping-particle":"","family":"Assaf","given":"Jana","non-dropping-particle":"","parse-names":false,"suffix":""},{"dropping-particle":"","family":"Honein-AbouHaidar","given":"Gladys","non-dropping-particle":"","parse-names":false,"suffix":""},{"dropping-particle":"","family":"Abou Samra","given":"Clara","non-dropping-particle":"","parse-names":false,"suffix":""}],"container-title":"Journal of Infection","id":"ITEM-1","issue":"4","issued":{"date-parts":[["2021"]]},"page":"413-423","publisher":"Elsevier","title":"Public health effects of travel-related policies on the COVID-19 pandemic: a mixed-methods systematic review","type":"article-journal","volume":"83"},"uris":["http://www.mendeley.com/documents/?uuid=cf5a5cda-8bef-4d0b-a9d4-b1543e111cb4"]}],"mendeley":{"formattedCitation":"(Bou-Karroum &lt;i&gt;et al.&lt;/i&gt;, 2021)","plainTextFormattedCitation":"(Bou-Karroum et al., 2021)","previouslyFormattedCitation":"(Bou-Karroum &lt;i&gt;et al.&lt;/i&gt;,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 xml:space="preserve">(Bou-Karroum </w:t>
      </w:r>
      <w:r>
        <w:rPr>
          <w:rFonts w:hint="default" w:ascii="Arial" w:hAnsi="Arial" w:cs="Arial"/>
          <w:i/>
          <w:sz w:val="24"/>
          <w:szCs w:val="24"/>
        </w:rPr>
        <w:t>et al.</w:t>
      </w:r>
      <w:r>
        <w:rPr>
          <w:rFonts w:hint="default" w:ascii="Arial" w:hAnsi="Arial" w:cs="Arial"/>
          <w:sz w:val="24"/>
          <w:szCs w:val="24"/>
        </w:rPr>
        <w:t>, 2021)</w:t>
      </w:r>
      <w:r>
        <w:rPr>
          <w:rFonts w:hint="default" w:ascii="Arial" w:hAnsi="Arial" w:cs="Arial"/>
          <w:sz w:val="24"/>
          <w:szCs w:val="24"/>
        </w:rPr>
        <w:fldChar w:fldCharType="end"/>
      </w:r>
      <w:r>
        <w:rPr>
          <w:rFonts w:hint="default" w:ascii="Arial" w:hAnsi="Arial" w:cs="Arial"/>
          <w:sz w:val="24"/>
          <w:szCs w:val="24"/>
        </w:rPr>
        <w:t xml:space="preserve">. However, we remain cautiously optimistic about the performance of the hospitality industry as the restart of leisure travel in mainland China has provided good support for the recovery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{"citationItems":[{"id":"ITEM-1","itemData":{"ISSN":"0378-5920","author":[{"dropping-particle":"","family":"Egger","given":"Peter H","non-dropping-particle":"","parse-names":false,"suffix":""},{"dropping-particle":"","family":"Zhu","given":"Jiaqing","non-dropping-particle":"","parse-names":false,"suffix":""}],"container-title":"The World Economy","id":"ITEM-1","issue":"2","issued":{"date-parts":[["2022"]]},"page":"523-538","publisher":"Wiley Online Library","title":"How COVID�\\19 travels in�\\and outside of value chains and then affects the stock market: Evidence from China","type":"article-journal","volume":"45"},"uris":["http://www.mendeley.com/documents/?uuid=ca1b3427-fe2c-4c62-9cdd-359a277dea14"]}],"mendeley":{"formattedCitation":"(Egger and Zhu, 2022)","plainTextFormattedCitation":"(Egger and Zhu, 2022)","previouslyFormattedCitation":"(Egger and Zhu, 2022)"},"properties":{"noteIndex":0},"schema":"https://github.com/citation-style-language/schema/raw/master/csl-citation.json"}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(Egger and Zhu, 2022)</w:t>
      </w:r>
      <w:r>
        <w:rPr>
          <w:rFonts w:hint="default" w:ascii="Arial" w:hAnsi="Arial" w:cs="Arial"/>
          <w:sz w:val="24"/>
          <w:szCs w:val="24"/>
        </w:rPr>
        <w:fldChar w:fldCharType="end"/>
      </w:r>
      <w:r>
        <w:rPr>
          <w:rFonts w:hint="default" w:ascii="Arial" w:hAnsi="Arial" w:cs="Arial"/>
          <w:sz w:val="24"/>
          <w:szCs w:val="24"/>
        </w:rPr>
        <w:t xml:space="preserve">. In the post-epidemic era, the report is confident in the long-term outlook of the China hotel industry, driven by the expansion of China's middle class and the overall upgrade in consumption power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ISSN":"1356-7667","author":[{"dropping-particle":"","family":"Ran","given":"Li","non-dropping-particle":"","parse-names":false,"suffix":""},{"dropping-particle":"","family":"Zhenpeng","given":"Luo","non-dropping-particle":"","parse-names":false,"suffix":""},{"dropping-particle":"","family":"Bilgihan","given":"Anil","non-dropping-particle":"","parse-names":false,"suffix":""},{"dropping-particle":"","family":"Okumus","given":"Fevzi","non-dropping-particle":"","parse-names":false,"suffix":""}],"container-title":"Journal of Vacation Marketing","id":"ITEM-1","issue":"3","issued":{"date-parts":[["2021"]]},"page":"267-286","publisher":"SAGE Publications Sage UK: London, England","title":"Marketing China to US travelers through electronic word-of-mouth and destination image: Taking Beijing as an example","type":"article-journal","volume":"27"},"uris":["http://www.mendeley.com/documents/?uuid=17622063-380c-45e4-9e89-d15ba7538a12"]}],"mendeley":{"formattedCitation":"(Ran &lt;i&gt;et al.&lt;/i&gt;, 2021)","plainTextFormattedCitation":"(Ran et al., 2021)","previouslyFormattedCitation":"(Ran &lt;i&gt;et al.&lt;/i&gt;,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 xml:space="preserve">(Ran </w:t>
      </w:r>
      <w:r>
        <w:rPr>
          <w:rFonts w:hint="default" w:ascii="Arial" w:hAnsi="Arial" w:cs="Arial"/>
          <w:i/>
          <w:sz w:val="24"/>
          <w:szCs w:val="24"/>
        </w:rPr>
        <w:t>et al.</w:t>
      </w:r>
      <w:r>
        <w:rPr>
          <w:rFonts w:hint="default" w:ascii="Arial" w:hAnsi="Arial" w:cs="Arial"/>
          <w:sz w:val="24"/>
          <w:szCs w:val="24"/>
        </w:rPr>
        <w:t>, 2021)</w:t>
      </w:r>
      <w:r>
        <w:rPr>
          <w:rFonts w:hint="default" w:ascii="Arial" w:hAnsi="Arial" w:cs="Arial"/>
          <w:sz w:val="24"/>
          <w:szCs w:val="24"/>
        </w:rPr>
        <w:fldChar w:fldCharType="end"/>
      </w:r>
      <w:r>
        <w:rPr>
          <w:rFonts w:hint="default" w:ascii="Arial" w:hAnsi="Arial" w:cs="Arial"/>
          <w:sz w:val="24"/>
          <w:szCs w:val="24"/>
        </w:rPr>
        <w:t xml:space="preserve">. Among another international markets within which Huazhu operates, it is delightful to see that the suppressed travel demand will probably be released supported by the loosened international travel regulations. Against this backdrop, the role played by hotels in the prevention of infections has been highlighted by the authorities. </w:t>
      </w:r>
    </w:p>
    <w:p>
      <w:pPr>
        <w:pStyle w:val="49"/>
        <w:keepNext w:val="0"/>
        <w:keepLines w:val="0"/>
        <w:pageBreakBefore w:val="0"/>
        <w:widowControl/>
        <w:numPr>
          <w:ilvl w:val="0"/>
          <w:numId w:val="2"/>
        </w:numPr>
        <w:kinsoku/>
        <w:wordWrap/>
        <w:overflowPunct/>
        <w:topLinePunct w:val="0"/>
        <w:autoSpaceDE/>
        <w:autoSpaceDN/>
        <w:bidi w:val="0"/>
        <w:adjustRightInd/>
        <w:snapToGrid/>
        <w:spacing w:before="156" w:beforeLines="50" w:after="156" w:afterLines="50" w:line="480" w:lineRule="auto"/>
        <w:ind w:firstLineChars="0"/>
        <w:jc w:val="both"/>
        <w:textAlignment w:val="auto"/>
        <w:rPr>
          <w:rFonts w:hint="default" w:ascii="Arial" w:hAnsi="Arial" w:cs="Arial"/>
          <w:sz w:val="24"/>
          <w:szCs w:val="24"/>
        </w:rPr>
      </w:pPr>
      <w:r>
        <w:rPr>
          <w:rFonts w:hint="default" w:ascii="Arial" w:hAnsi="Arial" w:cs="Arial"/>
          <w:sz w:val="24"/>
          <w:szCs w:val="24"/>
        </w:rPr>
        <w:t xml:space="preserve">Technological: Biometrics is a very effective tool for verifying identity at various border crossings, especially at airports. Some hotels have already adopted identification technology that allows retina scans and fingerprint scans to be used to open hotel rooms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{"citationItems":[{"id":"ITEM-1","itemData":{"ISSN":"0897-3806","author":[{"dropping-particle":"","family":"Byrnes","given":"Kevin G","non-dropping-particle":"","parse-names":false,"suffix":""},{"dropping-particle":"","family":"Kiely","given":"Patrick A","non-dropping-particle":"","parse-names":false,"suffix":""},{"dropping-particle":"","family":"Dunne","given":"Colum P","non-dropping-particle":"","parse-names":false,"suffix":""},{"dropping-particle":"","family":"McDermott","given":"Kieran W","non-dropping-particle":"","parse-names":false,"suffix":""},{"dropping-particle":"","family":"Coffey","given":"John Calvin","non-dropping-particle":"","parse-names":false,"suffix":""}],"container-title":"Clinical anatomy","id":"ITEM-1","issue":"1","issued":{"date-parts":[["2021"]]},"page":"82-89","publisher":"Wiley Online Library","title":"Communication, collaboration and contagion:��Virtualisation�� of anatomy during COVID�\\19","type":"article-journal","volume":"34"},"uris":["http://www.mendeley.com/documents/?uuid=36c31672-8914-4cf6-9d80-8111eff72c7f"]}],"mendeley":{"formattedCitation":"(Byrnes &lt;i&gt;et al.&lt;/i&gt;, 2021)","plainTextFormattedCitation":"(Byrnes et al., 2021)","previouslyFormattedCitation":"(Byrnes &lt;i&gt;et al.&lt;/i&gt;,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 xml:space="preserve">(Byrnes </w:t>
      </w:r>
      <w:r>
        <w:rPr>
          <w:rFonts w:hint="default" w:ascii="Arial" w:hAnsi="Arial" w:cs="Arial"/>
          <w:i/>
          <w:sz w:val="24"/>
          <w:szCs w:val="24"/>
        </w:rPr>
        <w:t>et al.</w:t>
      </w:r>
      <w:r>
        <w:rPr>
          <w:rFonts w:hint="default" w:ascii="Arial" w:hAnsi="Arial" w:cs="Arial"/>
          <w:sz w:val="24"/>
          <w:szCs w:val="24"/>
        </w:rPr>
        <w:t>, 2021)</w:t>
      </w:r>
      <w:r>
        <w:rPr>
          <w:rFonts w:hint="default" w:ascii="Arial" w:hAnsi="Arial" w:cs="Arial"/>
          <w:sz w:val="24"/>
          <w:szCs w:val="24"/>
        </w:rPr>
        <w:fldChar w:fldCharType="end"/>
      </w:r>
      <w:r>
        <w:rPr>
          <w:rFonts w:hint="default" w:ascii="Arial" w:hAnsi="Arial" w:cs="Arial"/>
          <w:sz w:val="24"/>
          <w:szCs w:val="24"/>
        </w:rPr>
        <w:t xml:space="preserve">. The technology is now being used more and more widely because of its great advantages, which means that it is vital to ensure its security. Besides, the hotel industry is a labor-intensive industry, and to reduce personnel costs, the industry is creating smart hotels to reform the hotel industry in response to the demand for non-stop, experiential hotels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ISSN":"0376-835X","author":[{"dropping-particle":"","family":"Woyo","given":"Erisher","non-dropping-particle":"","parse-names":false,"suffix":""},{"dropping-particle":"","family":"Nyamandi","given":"Costantine","non-dropping-particle":"","parse-names":false,"suffix":""}],"container-title":"Development Southern Africa","id":"ITEM-1","issue":"1","issued":{"date-parts":[["2022"]]},"page":"20-34","publisher":"Taylor &amp; Francis","title":"Application of virtual reality technologies in the comrades�� marathon as a response to COVID-19 pandemic","type":"article-journal","volume":"39"},"uris":["http://www.mendeley.com/documents/?uuid=4a205a08-0d51-4868-bc29-965e97de9774"]}],"mendeley":{"formattedCitation":"(Woyo and Nyamandi, 2022)","plainTextFormattedCitation":"(Woyo and Nyamandi, 2022)","previouslyFormattedCitation":"(Woyo and Nyamandi, 2022)"},"properties":{"noteIndex":0},"schema":"https://github.com/citation-style-language/schema/raw/master/csl-citation.json"}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(Woyo and Nyamandi, 2022)</w:t>
      </w:r>
      <w:r>
        <w:rPr>
          <w:rFonts w:hint="default" w:ascii="Arial" w:hAnsi="Arial" w:cs="Arial"/>
          <w:sz w:val="24"/>
          <w:szCs w:val="24"/>
        </w:rPr>
        <w:fldChar w:fldCharType="end"/>
      </w:r>
      <w:r>
        <w:rPr>
          <w:rFonts w:hint="default" w:ascii="Arial" w:hAnsi="Arial" w:cs="Arial"/>
          <w:sz w:val="24"/>
          <w:szCs w:val="24"/>
        </w:rPr>
        <w:t xml:space="preserve">. By replacing human labor with machines and combining various intelligent functions such as face recognition and mobile room cards, the hotel industry can improve its economic effect. Some pioneers use artificial intelligence as a front door to replace receptionists, baggage handlers, and room service staff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{"citationItems":[{"id":"ITEM-1","itemData":{"ISSN":"0278-4319","author":[{"dropping-particle":"","family":"Kim","given":"Seongseop Sam","non-dropping-particle":"","parse-names":false,"suffix":""},{"dropping-particle":"","family":"Kim","given":"Jungkeun","non-dropping-particle":"","parse-names":false,"suffix":""},{"dropping-particle":"","family":"Badu-Baiden","given":"Frank","non-dropping-particle":"","parse-names":false,"suffix":""},{"dropping-particle":"","family":"Giroux","given":"Marilyn","non-dropping-particle":"","parse-names":false,"suffix":""},{"dropping-particle":"","family":"Choi","given":"Youngjoon","non-dropping-particle":"","parse-names":false,"suffix":""}],"container-title":"International Journal of Hospitality Management","id":"ITEM-1","issued":{"date-parts":[["2021"]]},"page":"102795","publisher":"Elsevier","title":"Preference for robot service or human service in hotels? Impacts of the COVID-19 pandemic","type":"article-journal","volume":"93"},"uris":["http://www.mendeley.com/documents/?uuid=4f8685c4-63cf-4444-ae3b-0928d039ac28"]}],"mendeley":{"formattedCitation":"(Kim &lt;i&gt;et al.&lt;/i&gt;, 2021)","plainTextFormattedCitation":"(Kim et al., 2021)","previouslyFormattedCitation":"(Kim &lt;i&gt;et al.&lt;/i&gt;,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 xml:space="preserve">(Kim </w:t>
      </w:r>
      <w:r>
        <w:rPr>
          <w:rFonts w:hint="default" w:ascii="Arial" w:hAnsi="Arial" w:cs="Arial"/>
          <w:i/>
          <w:sz w:val="24"/>
          <w:szCs w:val="24"/>
        </w:rPr>
        <w:t>et al.</w:t>
      </w:r>
      <w:r>
        <w:rPr>
          <w:rFonts w:hint="default" w:ascii="Arial" w:hAnsi="Arial" w:cs="Arial"/>
          <w:sz w:val="24"/>
          <w:szCs w:val="24"/>
        </w:rPr>
        <w:t>, 2021)</w:t>
      </w:r>
      <w:r>
        <w:rPr>
          <w:rFonts w:hint="default" w:ascii="Arial" w:hAnsi="Arial" w:cs="Arial"/>
          <w:sz w:val="24"/>
          <w:szCs w:val="24"/>
        </w:rPr>
        <w:fldChar w:fldCharType="end"/>
      </w:r>
      <w:r>
        <w:rPr>
          <w:rFonts w:hint="default" w:ascii="Arial" w:hAnsi="Arial" w:cs="Arial"/>
          <w:sz w:val="24"/>
          <w:szCs w:val="24"/>
        </w:rPr>
        <w:t xml:space="preserve">. In addition to artificial intelligence, in-room facilities are also being reformed, such as smart closets that can dry clothes and kill bacteria on their own to improve comfort and increase the possibility of personalized services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ISSN":"1936-8623","author":[{"dropping-particle":"","family":"Chen","given":"Shu-Hsiang","non-dropping-particle":"","parse-names":false,"suffix":""},{"dropping-particle":"","family":"Tzeng","given":"Shian-Yang","non-dropping-particle":"","parse-names":false,"suffix":""},{"dropping-particle":"","family":"Tham","given":"Aaron","non-dropping-particle":"","parse-names":false,"suffix":""},{"dropping-particle":"","family":"Chu","given":"Peng-Xu","non-dropping-particle":"","parse-names":false,"suffix":""}],"container-title":"Journal of Hospitality Marketing &amp; Management","id":"ITEM-1","issue":"8","issued":{"date-parts":[["2021"]]},"page":"905-928","publisher":"Taylor &amp; Francis","title":"Hospitality services in the post COVID-19 era: Are we ready for high-tech and no touch service delivery in smart hotels?","type":"article-journal","volume":"30"},"uris":["http://www.mendeley.com/documents/?uuid=62c829c4-cb59-46d9-b8ef-f772b92f4360"]}],"mendeley":{"formattedCitation":"(Chen &lt;i&gt;et al.&lt;/i&gt;, 2021)","plainTextFormattedCitation":"(Chen et al., 2021)","previouslyFormattedCitation":"(Chen &lt;i&gt;et al.&lt;/i&gt;,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 xml:space="preserve">(Chen </w:t>
      </w:r>
      <w:r>
        <w:rPr>
          <w:rFonts w:hint="default" w:ascii="Arial" w:hAnsi="Arial" w:cs="Arial"/>
          <w:i/>
          <w:sz w:val="24"/>
          <w:szCs w:val="24"/>
        </w:rPr>
        <w:t>et al.</w:t>
      </w:r>
      <w:r>
        <w:rPr>
          <w:rFonts w:hint="default" w:ascii="Arial" w:hAnsi="Arial" w:cs="Arial"/>
          <w:sz w:val="24"/>
          <w:szCs w:val="24"/>
        </w:rPr>
        <w:t>, 2021)</w:t>
      </w:r>
      <w:r>
        <w:rPr>
          <w:rFonts w:hint="default" w:ascii="Arial" w:hAnsi="Arial" w:cs="Arial"/>
          <w:sz w:val="24"/>
          <w:szCs w:val="24"/>
        </w:rPr>
        <w:fldChar w:fldCharType="end"/>
      </w:r>
      <w:r>
        <w:rPr>
          <w:rFonts w:hint="default" w:ascii="Arial" w:hAnsi="Arial" w:cs="Arial"/>
          <w:sz w:val="24"/>
          <w:szCs w:val="24"/>
        </w:rPr>
        <w:t xml:space="preserve">. The introduction of technologies in the contact-intensive hotel industry helps effectively address the public safety concerns during covid-19, and deliver a worry-free accommodation experience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{"citationItems":[{"id":"ITEM-1","itemData":{"URL":"https://www.hospitalitynet.org/news/4104620.html","accessed":{"date-parts":[["2022","3","17"]]},"author":[{"dropping-particle":"","family":"Hospitality Net","given":"","non-dropping-particle":"","parse-names":false,"suffix":""}],"id":"ITEM-1","issued":{"date-parts":[["2021"]]},"title":"The role innovative technology will play in the hospitality industry post Covid","type":"webpage"},"uris":["http://www.mendeley.com/documents/?uuid=845dae1b-84f9-3d03-a51b-33562d7dd9c7"]},{"id":"ITEM-2","itemData":{"author":[{"dropping-particle":"","family":"Deloitte","given":"","non-dropping-particle":"","parse-names":false,"suffix":""}],"id":"ITEM-2","issued":{"date-parts":[["2022"]]},"title":"The future of hospitality","type":"article-journal"},"uris":["http://www.mendeley.com/documents/?uuid=58528293-f6cd-30a7-8e36-8c9670ad408f"]}],"mendeley":{"formattedCitation":"(Hospitality Net, 2021; Deloitte, 2022)","plainTextFormattedCitation":"(Hospitality Net, 2021; Deloitte, 2022)","previouslyFormattedCitation":"(Hospitality Net, 2021; Deloitte, 2022)"},"properties":{"noteIndex":0},"schema":"https://github.com/citation-style-language/schema/raw/master/csl-citation.json"}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(Hospitality Net, 2021; Deloitte, 2022)</w:t>
      </w:r>
      <w:r>
        <w:rPr>
          <w:rFonts w:hint="default" w:ascii="Arial" w:hAnsi="Arial" w:cs="Arial"/>
          <w:sz w:val="24"/>
          <w:szCs w:val="24"/>
        </w:rPr>
        <w:fldChar w:fldCharType="end"/>
      </w:r>
      <w:r>
        <w:rPr>
          <w:rFonts w:hint="default" w:ascii="Arial" w:hAnsi="Arial" w:cs="Arial"/>
          <w:sz w:val="24"/>
          <w:szCs w:val="24"/>
        </w:rPr>
        <w:t xml:space="preserve">. </w:t>
      </w:r>
    </w:p>
    <w:p>
      <w:pPr>
        <w:pStyle w:val="3"/>
        <w:spacing w:before="156" w:beforeLines="50" w:after="156" w:afterLines="50" w:line="360" w:lineRule="auto"/>
        <w:jc w:val="both"/>
        <w:rPr>
          <w:rFonts w:hint="default" w:ascii="Arial" w:hAnsi="Arial" w:cs="Arial"/>
          <w:color w:val="auto"/>
        </w:rPr>
      </w:pPr>
      <w:bookmarkStart w:id="3" w:name="_Toc98489107"/>
      <w:r>
        <w:rPr>
          <w:rFonts w:hint="default" w:ascii="Arial" w:hAnsi="Arial" w:cs="Arial"/>
          <w:color w:val="auto"/>
        </w:rPr>
        <w:t>2.2 Micro audit: Porter’s five forces</w:t>
      </w:r>
      <w:bookmarkEnd w:id="3"/>
      <w:r>
        <w:rPr>
          <w:rFonts w:hint="default" w:ascii="Arial" w:hAnsi="Arial" w:cs="Arial"/>
          <w:color w:val="auto"/>
        </w:rPr>
        <w:t xml:space="preserv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Porter’s five forces are one of the most widely known tools for auditing the competitive environment, which helps in explaining how major forces in the industry shape strategies and affect performance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{"citationItems":[{"id":"ITEM-1","itemData":{"author":[{"dropping-particle":"","family":"Cravens","given":"David W","non-dropping-particle":"","parse-names":false,"suffix":""},{"dropping-particle":"","family":"Piercy","given":"Nigel","non-dropping-particle":"","parse-names":false,"suffix":""}],"id":"ITEM-1","issued":{"date-parts":[["2006"]]},"publisher":"McGraw-Hill New York","title":"Strategic marketing","type":"book","volume":"6"},"uris":["http://www.mendeley.com/documents/?uuid=bff0fc94-4bf7-434e-b657-9ac708187418"]}],"mendeley":{"formattedCitation":"(Cravens and Piercy, 2006)","plainTextFormattedCitation":"(Cravens and Piercy, 2006)","previouslyFormattedCitation":"(Cravens and Piercy, 2006)"},"properties":{"noteIndex":0},"schema":"https://github.com/citation-style-language/schema/raw/master/csl-citation.json"}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(Cravens and Piercy, 2006)</w:t>
      </w:r>
      <w:r>
        <w:rPr>
          <w:rFonts w:hint="default" w:ascii="Arial" w:hAnsi="Arial" w:cs="Arial"/>
          <w:sz w:val="24"/>
          <w:szCs w:val="24"/>
        </w:rPr>
        <w:fldChar w:fldCharType="end"/>
      </w:r>
      <w:r>
        <w:rPr>
          <w:rFonts w:hint="default" w:ascii="Arial" w:hAnsi="Arial" w:cs="Arial"/>
          <w:sz w:val="24"/>
          <w:szCs w:val="24"/>
        </w:rPr>
        <w:t xml:space="preserve">. After the above audit of the macro-environment, it is necessary to audit the industry-specific factors that impact Huazhu, but attention will be only placed on several points of high implications. </w:t>
      </w:r>
    </w:p>
    <w:p>
      <w:pPr>
        <w:pStyle w:val="49"/>
        <w:keepNext w:val="0"/>
        <w:keepLines w:val="0"/>
        <w:pageBreakBefore w:val="0"/>
        <w:widowControl/>
        <w:numPr>
          <w:ilvl w:val="0"/>
          <w:numId w:val="2"/>
        </w:numPr>
        <w:kinsoku/>
        <w:wordWrap/>
        <w:overflowPunct/>
        <w:topLinePunct w:val="0"/>
        <w:autoSpaceDE/>
        <w:autoSpaceDN/>
        <w:bidi w:val="0"/>
        <w:adjustRightInd/>
        <w:snapToGrid/>
        <w:spacing w:before="156" w:beforeLines="50" w:after="156" w:afterLines="50" w:line="480" w:lineRule="auto"/>
        <w:ind w:firstLineChars="0"/>
        <w:jc w:val="both"/>
        <w:textAlignment w:val="auto"/>
        <w:rPr>
          <w:rFonts w:hint="default" w:ascii="Arial" w:hAnsi="Arial" w:cs="Arial"/>
          <w:sz w:val="24"/>
          <w:szCs w:val="24"/>
        </w:rPr>
      </w:pPr>
      <w:r>
        <w:rPr>
          <w:rFonts w:hint="default" w:ascii="Arial" w:hAnsi="Arial" w:cs="Arial"/>
          <w:sz w:val="24"/>
          <w:szCs w:val="24"/>
        </w:rPr>
        <w:t xml:space="preserve">Threats of new entrants: The threats of new entrants are audited as low. The entry barriers are relatively high, representing high capital investment in setting up the infrastructure and value delivery chain (high staff and high furnishing costs), and it is difficult to realize economies of scale during the shrank demands of hotels during covid-19. </w:t>
      </w:r>
    </w:p>
    <w:p>
      <w:pPr>
        <w:pStyle w:val="49"/>
        <w:keepNext w:val="0"/>
        <w:keepLines w:val="0"/>
        <w:pageBreakBefore w:val="0"/>
        <w:widowControl/>
        <w:numPr>
          <w:ilvl w:val="0"/>
          <w:numId w:val="2"/>
        </w:numPr>
        <w:kinsoku/>
        <w:wordWrap/>
        <w:overflowPunct/>
        <w:topLinePunct w:val="0"/>
        <w:autoSpaceDE/>
        <w:autoSpaceDN/>
        <w:bidi w:val="0"/>
        <w:adjustRightInd/>
        <w:snapToGrid/>
        <w:spacing w:before="156" w:beforeLines="50" w:after="156" w:afterLines="50" w:line="480" w:lineRule="auto"/>
        <w:ind w:firstLineChars="0"/>
        <w:jc w:val="both"/>
        <w:textAlignment w:val="auto"/>
        <w:rPr>
          <w:rFonts w:hint="default" w:ascii="Arial" w:hAnsi="Arial" w:cs="Arial"/>
          <w:sz w:val="24"/>
          <w:szCs w:val="24"/>
        </w:rPr>
      </w:pPr>
      <w:r>
        <w:rPr>
          <w:rFonts w:hint="default" w:ascii="Arial" w:hAnsi="Arial" w:cs="Arial"/>
          <w:sz w:val="24"/>
          <w:szCs w:val="24"/>
        </w:rPr>
        <w:t xml:space="preserve">Threats of substitutes: Airbnb which connects private hosts directly with travelers to share the spare accommodations with lower prices and heterogeneous offerings has been the primary substitute for the traditional hotels. During the covid-19, both hosts and travelers are more reluctant to use Airbnb due to potential infection risks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Nhamo","given":"Godwell","non-dropping-particle":"","parse-names":false,"suffix":""},{"dropping-particle":"","family":"Dube","given":"Kaitano","non-dropping-particle":"","parse-names":false,"suffix":""},{"dropping-particle":"","family":"Chikodzi","given":"David","non-dropping-particle":"","parse-names":false,"suffix":""}],"container-title":"Counting the cost of COVID-19 on the global tourism industry","id":"ITEM-1","issued":{"date-parts":[["2020"]]},"page":"183-204","publisher":"Springer","title":"Impacts and implications of COVID-19 on the global hotel industry and Airbnb","type":"chapter"},"uris":["http://www.mendeley.com/documents/?uuid=40da902e-3eed-433a-9673-f0c0f15b4892"]}],"mendeley":{"formattedCitation":"(Nhamo, Dube and Chikodzi, 2020)","manualFormatting":"(Nhamo, Dube, and Chikodzi, 2020)","plainTextFormattedCitation":"(Nhamo, Dube and Chikodzi, 2020)","previouslyFormattedCitation":"(Nhamo, Dube and Chikodzi, 2020)"},"properties":{"noteIndex":0},"schema":"https://github.com/citation-style-language/schema/raw/master/csl-citation.json"}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(Nhamo, Dube, and Chikodzi, 2020)</w:t>
      </w:r>
      <w:r>
        <w:rPr>
          <w:rFonts w:hint="default" w:ascii="Arial" w:hAnsi="Arial" w:cs="Arial"/>
          <w:sz w:val="24"/>
          <w:szCs w:val="24"/>
        </w:rPr>
        <w:fldChar w:fldCharType="end"/>
      </w:r>
      <w:r>
        <w:rPr>
          <w:rFonts w:hint="default" w:ascii="Arial" w:hAnsi="Arial" w:cs="Arial"/>
          <w:sz w:val="24"/>
          <w:szCs w:val="24"/>
        </w:rPr>
        <w:t xml:space="preserve">. The threats of substitutes are lower than the usual in this regard.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It can be summarized from the above analysis that the industry exhibits a relatively low attractiveness towards new entrants, and a high level of competition. The focus of Huazhu’s strategies should be in how to differentiate itself from other hotel chains and stimulate more traveling demands. </w:t>
      </w:r>
    </w:p>
    <w:p>
      <w:pPr>
        <w:pStyle w:val="3"/>
        <w:spacing w:before="156" w:beforeLines="50" w:after="156" w:afterLines="50" w:line="360" w:lineRule="auto"/>
        <w:jc w:val="both"/>
        <w:rPr>
          <w:rFonts w:hint="default" w:ascii="Arial" w:hAnsi="Arial" w:cs="Arial"/>
          <w:color w:val="auto"/>
        </w:rPr>
      </w:pPr>
      <w:bookmarkStart w:id="4" w:name="_Toc98489108"/>
      <w:r>
        <w:rPr>
          <w:rFonts w:hint="default" w:ascii="Arial" w:hAnsi="Arial" w:cs="Arial"/>
          <w:color w:val="auto"/>
        </w:rPr>
        <w:t>2.3 Internal audit</w:t>
      </w:r>
      <w:bookmarkEnd w:id="4"/>
      <w:r>
        <w:rPr>
          <w:rFonts w:hint="default" w:ascii="Arial" w:hAnsi="Arial" w:cs="Arial"/>
          <w:color w:val="auto"/>
        </w:rPr>
        <w:t xml:space="preserve"> </w:t>
      </w:r>
    </w:p>
    <w:p>
      <w:pPr>
        <w:pStyle w:val="4"/>
        <w:spacing w:before="156" w:beforeLines="50" w:after="156" w:afterLines="50" w:line="360" w:lineRule="auto"/>
        <w:jc w:val="both"/>
        <w:rPr>
          <w:rFonts w:hint="default" w:ascii="Arial" w:hAnsi="Arial" w:cs="Arial"/>
          <w:color w:val="auto"/>
        </w:rPr>
      </w:pPr>
      <w:bookmarkStart w:id="5" w:name="_Toc98489109"/>
      <w:r>
        <w:rPr>
          <w:rFonts w:hint="default" w:ascii="Arial" w:hAnsi="Arial" w:cs="Arial"/>
          <w:color w:val="auto"/>
        </w:rPr>
        <w:t>2.3.1 McKinsey 7S model</w:t>
      </w:r>
      <w:bookmarkEnd w:id="5"/>
      <w:r>
        <w:rPr>
          <w:rFonts w:hint="default" w:ascii="Arial" w:hAnsi="Arial" w:cs="Arial"/>
          <w:color w:val="auto"/>
        </w:rPr>
        <w:t xml:space="preserv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The internal audit is facilitated with different models to audit the different aspects of Huazhu’s operation. The first model used here is called McKinsey 7S, and VRIO. The Mckinsey 7S identifies 7 elements that could help Huazhu to achieve goals and implement change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{"citationItems":[{"id":"ITEM-1","itemData":{"author":[{"dropping-particle":"","family":"Cravens","given":"David W","non-dropping-particle":"","parse-names":false,"suffix":""},{"dropping-particle":"","family":"Piercy","given":"Nigel","non-dropping-particle":"","parse-names":false,"suffix":""}],"id":"ITEM-1","issued":{"date-parts":[["2006"]]},"publisher":"McGraw-Hill New York","title":"Strategic marketing","type":"book","volume":"6"},"uris":["http://www.mendeley.com/documents/?uuid=bff0fc94-4bf7-434e-b657-9ac708187418"]}],"mendeley":{"formattedCitation":"(Cravens and Piercy, 2006)","plainTextFormattedCitation":"(Cravens and Piercy, 2006)","previouslyFormattedCitation":"(Cravens and Piercy, 2006)"},"properties":{"noteIndex":0},"schema":"https://github.com/citation-style-language/schema/raw/master/csl-citation.json"}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(Cravens and Piercy, 2006)</w:t>
      </w:r>
      <w:r>
        <w:rPr>
          <w:rFonts w:hint="default" w:ascii="Arial" w:hAnsi="Arial" w:cs="Arial"/>
          <w:sz w:val="24"/>
          <w:szCs w:val="24"/>
        </w:rPr>
        <w:fldChar w:fldCharType="end"/>
      </w:r>
      <w:r>
        <w:rPr>
          <w:rFonts w:hint="default" w:ascii="Arial" w:hAnsi="Arial" w:cs="Arial"/>
          <w:sz w:val="24"/>
          <w:szCs w:val="24"/>
        </w:rPr>
        <w:t xml:space="preserve">. The model categorizes the seven elements into hard ones (strategy, structure, and systems) and soft ones (shared value, skills, style, and staff). The sector focus on the structure and system of Huazhu. </w:t>
      </w:r>
    </w:p>
    <w:p>
      <w:pPr>
        <w:pStyle w:val="49"/>
        <w:keepNext w:val="0"/>
        <w:keepLines w:val="0"/>
        <w:pageBreakBefore w:val="0"/>
        <w:widowControl/>
        <w:numPr>
          <w:ilvl w:val="0"/>
          <w:numId w:val="2"/>
        </w:numPr>
        <w:kinsoku/>
        <w:wordWrap/>
        <w:overflowPunct/>
        <w:topLinePunct w:val="0"/>
        <w:autoSpaceDE/>
        <w:autoSpaceDN/>
        <w:bidi w:val="0"/>
        <w:adjustRightInd/>
        <w:snapToGrid/>
        <w:spacing w:before="156" w:beforeLines="50" w:after="156" w:afterLines="50" w:line="480" w:lineRule="auto"/>
        <w:ind w:firstLineChars="0"/>
        <w:jc w:val="both"/>
        <w:textAlignment w:val="auto"/>
        <w:rPr>
          <w:rFonts w:hint="default" w:ascii="Arial" w:hAnsi="Arial" w:cs="Arial"/>
          <w:sz w:val="24"/>
          <w:szCs w:val="24"/>
        </w:rPr>
      </w:pPr>
      <w:r>
        <w:rPr>
          <w:rFonts w:hint="default" w:ascii="Arial" w:hAnsi="Arial" w:cs="Arial"/>
          <w:sz w:val="24"/>
          <w:szCs w:val="24"/>
        </w:rPr>
        <w:t xml:space="preserve">Structure: Huazhu follows the department system organizational structure. The wide portfolio of Huazhu is managed through the subsidiaries and departments under Huazhu. The multi-divisional structure of Huazhu allows it to gains a competitive advantage in each brand as it endows high autonomy of decision making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{"citationItems":[{"id":"ITEM-1","itemData":{"author":[{"dropping-particle":"","family":"Huazhu","given":"","non-dropping-particle":"","parse-names":false,"suffix":""}],"id":"ITEM-1","issued":{"date-parts":[["2021"]]},"title":"Huazhu annual report 2020","type":"report"},"uris":["http://www.mendeley.com/documents/?uuid=dbe2beda-b6b8-4a62-a9c9-ac20c9e9fa4b"]}],"mendeley":{"formattedCitation":"(Huazhu, 2021)","plainTextFormattedCitation":"(Huazhu, 2021)","previouslyFormattedCitation":"(Huazhu,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(Huazhu, 2021)</w:t>
      </w:r>
      <w:r>
        <w:rPr>
          <w:rFonts w:hint="default" w:ascii="Arial" w:hAnsi="Arial" w:cs="Arial"/>
          <w:sz w:val="24"/>
          <w:szCs w:val="24"/>
        </w:rPr>
        <w:fldChar w:fldCharType="end"/>
      </w:r>
      <w:r>
        <w:rPr>
          <w:rFonts w:hint="default" w:ascii="Arial" w:hAnsi="Arial" w:cs="Arial"/>
          <w:sz w:val="24"/>
          <w:szCs w:val="24"/>
        </w:rPr>
        <w:t xml:space="preserve">. However, communication across brands to remain cohesive culture during the covid-19 crisis can be challenging, and communication to update codes of conduct to prevent infection requires additional efforts. </w:t>
      </w:r>
    </w:p>
    <w:p>
      <w:pPr>
        <w:spacing w:before="156" w:beforeLines="50" w:after="156" w:afterLines="50" w:line="360" w:lineRule="auto"/>
        <w:jc w:val="both"/>
        <w:rPr>
          <w:rFonts w:hint="default" w:ascii="Arial" w:hAnsi="Arial" w:cs="Arial"/>
          <w:sz w:val="24"/>
          <w:szCs w:val="24"/>
        </w:rPr>
      </w:pPr>
      <w:r>
        <w:rPr>
          <w:rFonts w:hint="default" w:ascii="Arial" w:hAnsi="Arial" w:cs="Arial"/>
          <w:sz w:val="24"/>
          <w:szCs w:val="24"/>
        </w:rPr>
        <w:drawing>
          <wp:inline distT="0" distB="0" distL="0" distR="0">
            <wp:extent cx="5399405" cy="3238500"/>
            <wp:effectExtent l="0" t="0" r="10795"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a:xfrm>
                      <a:off x="0" y="0"/>
                      <a:ext cx="5399676" cy="3238500"/>
                    </a:xfrm>
                    <a:prstGeom prst="rect">
                      <a:avLst/>
                    </a:prstGeom>
                    <a:noFill/>
                    <a:ln>
                      <a:noFill/>
                    </a:ln>
                  </pic:spPr>
                </pic:pic>
              </a:graphicData>
            </a:graphic>
          </wp:inline>
        </w:drawing>
      </w:r>
    </w:p>
    <w:p>
      <w:pPr>
        <w:spacing w:before="156" w:beforeLines="50" w:after="156" w:afterLines="50" w:line="360" w:lineRule="auto"/>
        <w:jc w:val="both"/>
        <w:rPr>
          <w:rFonts w:hint="default" w:ascii="Arial" w:hAnsi="Arial" w:cs="Arial"/>
          <w:sz w:val="24"/>
          <w:szCs w:val="24"/>
        </w:rPr>
      </w:pPr>
      <w:r>
        <w:rPr>
          <w:rFonts w:hint="default" w:ascii="Arial" w:hAnsi="Arial" w:cs="Arial"/>
          <w:sz w:val="24"/>
          <w:szCs w:val="24"/>
        </w:rPr>
        <w:t xml:space="preserve">Figure 2: organizational structure of Huazhu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{"citationItems":[{"id":"ITEM-1","itemData":{"author":[{"dropping-particle":"","family":"Huazhu","given":"","non-dropping-particle":"","parse-names":false,"suffix":""}],"id":"ITEM-1","issued":{"date-parts":[["2021"]]},"title":"Huazhu annual report 2020","type":"report"},"uris":["http://www.mendeley.com/documents/?uuid=dbe2beda-b6b8-4a62-a9c9-ac20c9e9fa4b"]}],"mendeley":{"formattedCitation":"(Huazhu, 2021)","plainTextFormattedCitation":"(Huazhu, 2021)","previouslyFormattedCitation":"(Huazhu,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(Huazhu, 2021)</w:t>
      </w:r>
      <w:r>
        <w:rPr>
          <w:rFonts w:hint="default" w:ascii="Arial" w:hAnsi="Arial" w:cs="Arial"/>
          <w:sz w:val="24"/>
          <w:szCs w:val="24"/>
        </w:rPr>
        <w:fldChar w:fldCharType="end"/>
      </w:r>
    </w:p>
    <w:p>
      <w:pPr>
        <w:pStyle w:val="49"/>
        <w:keepNext w:val="0"/>
        <w:keepLines w:val="0"/>
        <w:pageBreakBefore w:val="0"/>
        <w:widowControl/>
        <w:numPr>
          <w:ilvl w:val="0"/>
          <w:numId w:val="2"/>
        </w:numPr>
        <w:kinsoku/>
        <w:wordWrap/>
        <w:overflowPunct/>
        <w:topLinePunct w:val="0"/>
        <w:autoSpaceDE/>
        <w:autoSpaceDN/>
        <w:bidi w:val="0"/>
        <w:adjustRightInd/>
        <w:snapToGrid/>
        <w:spacing w:before="156" w:beforeLines="50" w:after="156" w:afterLines="50" w:line="480" w:lineRule="auto"/>
        <w:ind w:left="363" w:hanging="363" w:firstLineChars="0"/>
        <w:jc w:val="both"/>
        <w:textAlignment w:val="auto"/>
        <w:rPr>
          <w:rFonts w:hint="default" w:ascii="Arial" w:hAnsi="Arial" w:cs="Arial"/>
          <w:sz w:val="24"/>
          <w:szCs w:val="24"/>
        </w:rPr>
      </w:pPr>
      <w:r>
        <w:rPr>
          <w:rFonts w:hint="default" w:ascii="Arial" w:hAnsi="Arial" w:cs="Arial"/>
          <w:sz w:val="24"/>
          <w:szCs w:val="24"/>
        </w:rPr>
        <w:t xml:space="preserve">System: Huazhu continues to improve its existing operational, administrative, and technological systems to enhance its current operational efficacy, while developing resilience against the crisis. For instance, Huazhu has developed proprietary technology infrastructure that enhances customer experiences based on a comprehensive suite of modularized applications, including a cloud-based property management system and centralized reservation, procurement, and revenue management system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{"citationItems":[{"id":"ITEM-1","itemData":{"author":[{"dropping-particle":"","family":"Huazhu","given":"","non-dropping-particle":"","parse-names":false,"suffix":""}],"id":"ITEM-1","issued":{"date-parts":[["2021"]]},"title":"Huazhu annual report 2020","type":"report"},"uris":["http://www.mendeley.com/documents/?uuid=dbe2beda-b6b8-4a62-a9c9-ac20c9e9fa4b"]},{"id":"ITEM-2","itemData":{"URL":"https://www.shine.cn/biz/economy/2105098609/","accessed":{"date-parts":[["2022","3","17"]]},"author":[{"dropping-particle":"","family":"SHINE News","given":"","non-dropping-particle":"","parse-names":false,"suffix":""}],"id":"ITEM-2","issued":{"date-parts":[["2021"]]},"title":"Latest digitalization efforts on show at Exposition on China Indigenous Brands ","type":"webpage"},"uris":["http://www.mendeley.com/documents/?uuid=03c3d975-5539-390a-a718-6ded1bf36eed"]}],"mendeley":{"formattedCitation":"(Huazhu, 2021; SHINE News, 2021)","plainTextFormattedCitation":"(Huazhu, 2021; SHINE News, 2021)","previouslyFormattedCitation":"(Huazhu, 2021; SHINE News,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(Huazhu, 2021; SHINE News, 2021)</w:t>
      </w:r>
      <w:r>
        <w:rPr>
          <w:rFonts w:hint="default" w:ascii="Arial" w:hAnsi="Arial" w:cs="Arial"/>
          <w:sz w:val="24"/>
          <w:szCs w:val="24"/>
        </w:rPr>
        <w:fldChar w:fldCharType="end"/>
      </w:r>
      <w:r>
        <w:rPr>
          <w:rFonts w:hint="default" w:ascii="Arial" w:hAnsi="Arial" w:cs="Arial"/>
          <w:sz w:val="24"/>
          <w:szCs w:val="24"/>
        </w:rPr>
        <w:t xml:space="preserve">. Enabled by the technological capabilities and operational experiences, Huazhu has developed a centralized service center to benefit the economies of scale.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The discussion on the 7S of Huazhu indicates its operation has been experienced problems in cross-division communication, and over-focus in the backstage technology development but less attention on the technological innovation in customer touchpoints</w:t>
      </w:r>
    </w:p>
    <w:p>
      <w:pPr>
        <w:pStyle w:val="4"/>
        <w:spacing w:before="156" w:beforeLines="50" w:after="156" w:afterLines="50" w:line="360" w:lineRule="auto"/>
        <w:jc w:val="both"/>
        <w:rPr>
          <w:rFonts w:hint="default" w:ascii="Arial" w:hAnsi="Arial" w:cs="Arial"/>
          <w:color w:val="auto"/>
        </w:rPr>
      </w:pPr>
      <w:bookmarkStart w:id="6" w:name="_Toc98489110"/>
      <w:r>
        <w:rPr>
          <w:rFonts w:hint="default" w:ascii="Arial" w:hAnsi="Arial" w:cs="Arial"/>
          <w:color w:val="auto"/>
        </w:rPr>
        <w:t>2.3.2 VRIO model</w:t>
      </w:r>
      <w:bookmarkEnd w:id="6"/>
      <w:r>
        <w:rPr>
          <w:rFonts w:hint="default" w:ascii="Arial" w:hAnsi="Arial" w:cs="Arial"/>
          <w:color w:val="auto"/>
        </w:rPr>
        <w:t xml:space="preserv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A VRIO analysis allows the manager to audit the specific resources and competencies owned by Huazhu based on four dimensions (value, rarity, imitability, and organization), based on which, the manager can decide how to align resources and competencies to support strategic development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{"citationItems":[{"id":"ITEM-1","itemData":{"author":[{"dropping-particle":"","family":"Cravens","given":"David W","non-dropping-particle":"","parse-names":false,"suffix":""},{"dropping-particle":"","family":"Piercy","given":"Nigel","non-dropping-particle":"","parse-names":false,"suffix":""}],"id":"ITEM-1","issued":{"date-parts":[["2006"]]},"publisher":"McGraw-Hill New York","title":"Strategic marketing","type":"book","volume":"6"},"uris":["http://www.mendeley.com/documents/?uuid=bff0fc94-4bf7-434e-b657-9ac708187418"]}],"mendeley":{"formattedCitation":"(Cravens and Piercy, 2006)","plainTextFormattedCitation":"(Cravens and Piercy, 2006)","previouslyFormattedCitation":"(Cravens and Piercy, 2006)"},"properties":{"noteIndex":0},"schema":"https://github.com/citation-style-language/schema/raw/master/csl-citation.json"}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(Cravens and Piercy, 2006)</w:t>
      </w:r>
      <w:r>
        <w:rPr>
          <w:rFonts w:hint="default" w:ascii="Arial" w:hAnsi="Arial" w:cs="Arial"/>
          <w:sz w:val="24"/>
          <w:szCs w:val="24"/>
        </w:rPr>
        <w:fldChar w:fldCharType="end"/>
      </w:r>
      <w:r>
        <w:rPr>
          <w:rFonts w:hint="default" w:ascii="Arial" w:hAnsi="Arial" w:cs="Arial"/>
          <w:sz w:val="24"/>
          <w:szCs w:val="24"/>
        </w:rPr>
        <w:t xml:space="preserv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Table 1: VRIO highlight (own summary)</w:t>
      </w:r>
    </w:p>
    <w:p>
      <w:pPr>
        <w:spacing w:before="156" w:beforeLines="50" w:after="156" w:afterLines="50" w:line="360" w:lineRule="auto"/>
        <w:jc w:val="both"/>
        <w:rPr>
          <w:rFonts w:hint="default" w:ascii="Arial" w:hAnsi="Arial" w:cs="Arial"/>
          <w:sz w:val="24"/>
          <w:szCs w:val="24"/>
        </w:rPr>
      </w:pPr>
      <w:r>
        <w:rPr>
          <w:rFonts w:hint="default" w:ascii="Arial" w:hAnsi="Arial" w:cs="Arial"/>
          <w:sz w:val="24"/>
          <w:szCs w:val="24"/>
        </w:rPr>
        <w:drawing>
          <wp:inline distT="0" distB="0" distL="0" distR="0">
            <wp:extent cx="6188710" cy="354965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6188710" cy="354965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The VRIO analysis indicates Huazhu’s abilities in its technology integration with hospitality service have not yet been fully exploited in the covid-19 time. The 500-day IT integration plan of Huazhu enables it fully digitalize its operation to improve its operational efficiency, by customer relationship management system, a central reservation system, a centralized revenue management system, and a centralized procurement system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{"citationItems":[{"id":"ITEM-1","itemData":{"URL":"https://www.chinatravelnews.com/article/90007","accessed":{"date-parts":[["2022","3","17"]]},"author":[{"dropping-particle":"","family":"China Travel News","given":"","non-dropping-particle":"","parse-names":false,"suffix":""}],"id":"ITEM-1","issued":{"date-parts":[["2015"]]},"title":"Huazhu Hotels plan - future is digital, but all stakeholders need to benefit ","type":"webpage"},"uris":["http://www.mendeley.com/documents/?uuid=7e5d6656-77bf-36cf-9358-50d609d9ee0b"]}],"mendeley":{"formattedCitation":"(China Travel News, 2015)","plainTextFormattedCitation":"(China Travel News, 2015)","previouslyFormattedCitation":"(China Travel News, 2015)"},"properties":{"noteIndex":0},"schema":"https://github.com/citation-style-language/schema/raw/master/csl-citation.json"}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(China Travel News, 2015)</w:t>
      </w:r>
      <w:r>
        <w:rPr>
          <w:rFonts w:hint="default" w:ascii="Arial" w:hAnsi="Arial" w:cs="Arial"/>
          <w:sz w:val="24"/>
          <w:szCs w:val="24"/>
        </w:rPr>
        <w:fldChar w:fldCharType="end"/>
      </w:r>
      <w:r>
        <w:rPr>
          <w:rFonts w:hint="default" w:ascii="Arial" w:hAnsi="Arial" w:cs="Arial"/>
          <w:sz w:val="24"/>
          <w:szCs w:val="24"/>
        </w:rPr>
        <w:t xml:space="preserve">. However, the digitalization efforts of Huazhu have been centered on the backstage efficiency improvement, but rarely been used in the different interactions with customers to improve customer experiences, especially during the covid-19. Also, while other traditional hotels are still competing with their peers' membership systems, Huazhu is already thinking farther ahead, and its membership development is a critical move to counteract the monopoly of OTA (online travel agency) platform traffic </w:t>
      </w:r>
      <w:r>
        <w:rPr>
          <w:rStyle w:val="26"/>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URL":"https://eglobaltravelmedia.com.au/huazhu-group-selects-sabre-to-power-its-distribution-strategy-and-support-its-next-chapter-of-growth/","accessed":{"date-parts":[["2022","3","18"]]},"author":[{"dropping-particle":"","family":"Global Travel Media","given":"","non-dropping-particle":"","parse-names":false,"suffix":""}],"id":"ITEM-1","issued":{"date-parts":[["2021"]]},"title":"Huazhu Group selects Sabre to power its distribution strategy and support its next chapter of growth | Global Travel Media","type":"webpage"},"uris":["http://www.mendeley.com/documents/?uuid=fc8f0fda-42ad-3dfb-b287-5ad09b01ee88"]}],"mendeley":{"formattedCitation":"(Global Travel Media, 2021)","plainTextFormattedCitation":"(Global Travel Media, 2021)","previouslyFormattedCitation":"(Global Travel Media, 2021)"},"properties":{"noteIndex":0},"schema":"https://github.com/citation-style-language/schema/raw/master/csl-citation.json"}</w:instrText>
      </w:r>
      <w:r>
        <w:rPr>
          <w:rStyle w:val="26"/>
          <w:rFonts w:hint="default" w:ascii="Arial" w:hAnsi="Arial" w:cs="Arial"/>
          <w:sz w:val="24"/>
          <w:szCs w:val="24"/>
        </w:rPr>
        <w:fldChar w:fldCharType="separate"/>
      </w:r>
      <w:r>
        <w:rPr>
          <w:rFonts w:hint="default" w:ascii="Arial" w:hAnsi="Arial" w:cs="Arial"/>
          <w:sz w:val="24"/>
          <w:szCs w:val="24"/>
        </w:rPr>
        <w:t>(Global Travel Media, 2021)</w:t>
      </w:r>
      <w:r>
        <w:rPr>
          <w:rStyle w:val="26"/>
          <w:rFonts w:hint="default" w:ascii="Arial" w:hAnsi="Arial" w:cs="Arial"/>
          <w:sz w:val="24"/>
          <w:szCs w:val="24"/>
        </w:rPr>
        <w:fldChar w:fldCharType="end"/>
      </w:r>
      <w:r>
        <w:rPr>
          <w:rFonts w:hint="default" w:ascii="Arial" w:hAnsi="Arial" w:cs="Arial"/>
          <w:sz w:val="24"/>
          <w:szCs w:val="24"/>
        </w:rPr>
        <w:t xml:space="preserve">. While OTAs and other platforms are still in the process of importing traffic easily and at low prices, traditional hotels are happy to enjoy the dividends brought by low-priced traffic, Huazhu realized that over-reliance on external imported traffic, once the traffic side forms a monopoly, the pricing power of traffic will be in the hands of OTAs and another traffic side. Huazhu attaches great importance to membership acquisition through providing value-added services to the membership and partnering with stakeholders within the hospitality industry to provide benefits to the membership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URL":"https://eglobaltravelmedia.com.au/huazhu-group-selects-sabre-to-power-its-distribution-strategy-and-support-its-next-chapter-of-growth/","accessed":{"date-parts":[["2022","3","18"]]},"author":[{"dropping-particle":"","family":"Global Travel Media","given":"","non-dropping-particle":"","parse-names":false,"suffix":""}],"id":"ITEM-1","issued":{"date-parts":[["2021"]]},"title":"Huazhu Group selects Sabre to power its distribution strategy and support its next chapter of growth | Global Travel Media","type":"webpage"},"uris":["http://www.mendeley.com/documents/?uuid=fc8f0fda-42ad-3dfb-b287-5ad09b01ee88"]}],"mendeley":{"formattedCitation":"(Global Travel Media, 2021)","plainTextFormattedCitation":"(Global Travel Media, 2021)","previouslyFormattedCitation":"(Global Travel Media,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(Global Travel Media, 2021)</w:t>
      </w:r>
      <w:r>
        <w:rPr>
          <w:rFonts w:hint="default" w:ascii="Arial" w:hAnsi="Arial" w:cs="Arial"/>
          <w:sz w:val="24"/>
          <w:szCs w:val="24"/>
        </w:rPr>
        <w:fldChar w:fldCharType="end"/>
      </w:r>
      <w:r>
        <w:rPr>
          <w:rFonts w:hint="default" w:ascii="Arial" w:hAnsi="Arial" w:cs="Arial"/>
          <w:sz w:val="24"/>
          <w:szCs w:val="24"/>
        </w:rPr>
        <w:t xml:space="preserve">. However, the vast base of Huazhu has not yet been fully exploited during the covid-19 crisis as no active measures have been observed in the management its members. </w:t>
      </w:r>
    </w:p>
    <w:p>
      <w:pPr>
        <w:pStyle w:val="4"/>
        <w:spacing w:before="156" w:beforeLines="50" w:after="156" w:afterLines="50" w:line="360" w:lineRule="auto"/>
        <w:jc w:val="both"/>
        <w:rPr>
          <w:rFonts w:hint="default" w:ascii="Arial" w:hAnsi="Arial" w:cs="Arial"/>
          <w:color w:val="auto"/>
        </w:rPr>
      </w:pPr>
      <w:bookmarkStart w:id="7" w:name="_Toc98489111"/>
      <w:r>
        <w:rPr>
          <w:rFonts w:hint="default" w:ascii="Arial" w:hAnsi="Arial" w:cs="Arial"/>
          <w:color w:val="auto"/>
        </w:rPr>
        <w:t>2.3.3 SWOT analysis</w:t>
      </w:r>
      <w:bookmarkEnd w:id="7"/>
      <w:r>
        <w:rPr>
          <w:rFonts w:hint="default" w:ascii="Arial" w:hAnsi="Arial" w:cs="Arial"/>
          <w:color w:val="auto"/>
        </w:rPr>
        <w:t xml:space="preserv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The above audit on Huazhu and the external environment where Huazhu operates allow us to describe the competitive position of Huazhu through SWOT analysis, which highlights its strengths, weaknesses, opportunities, and threats during the covid-19 time. The special light was placed on the threat aspect. </w:t>
      </w:r>
    </w:p>
    <w:p>
      <w:pPr>
        <w:spacing w:before="156" w:beforeLines="50" w:after="156" w:afterLines="50" w:line="360" w:lineRule="auto"/>
        <w:jc w:val="both"/>
        <w:rPr>
          <w:rFonts w:hint="default" w:ascii="Arial" w:hAnsi="Arial" w:cs="Arial"/>
          <w:sz w:val="24"/>
          <w:szCs w:val="24"/>
        </w:rPr>
      </w:pPr>
      <w:r>
        <w:rPr>
          <w:rFonts w:hint="default" w:ascii="Arial" w:hAnsi="Arial" w:cs="Arial"/>
          <w:sz w:val="24"/>
          <w:szCs w:val="24"/>
        </w:rPr>
        <w:t>Table 2: SWOT highlights (own summary)</w:t>
      </w:r>
    </w:p>
    <w:p>
      <w:pPr>
        <w:spacing w:before="156" w:beforeLines="50" w:after="156" w:afterLines="50" w:line="360" w:lineRule="auto"/>
        <w:jc w:val="both"/>
        <w:rPr>
          <w:rFonts w:hint="default" w:ascii="Arial" w:hAnsi="Arial" w:cs="Arial"/>
        </w:rPr>
      </w:pPr>
      <w:r>
        <w:rPr>
          <w:rFonts w:hint="default" w:ascii="Arial" w:hAnsi="Arial" w:cs="Arial"/>
        </w:rPr>
        <w:drawing>
          <wp:inline distT="0" distB="0" distL="0" distR="0">
            <wp:extent cx="6188710" cy="201993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6188710" cy="201993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Huazhu has to compare with the international hotel chains such as Hilton and Marriott, and local independent non-standard hotels in both international and local markets. The number of available rooms has reached a record high during covid-19 due to consumers’ concern over safety. The reduced demands together with the bare switching costs has intensified the competition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{"citationItems":[{"id":"ITEM-1","itemData":{"URL":"https://www.nbcnews.com/news/us-news/covid-hit-hotel-industry-hard-data-shows-it-s-still-n1280061","accessed":{"date-parts":[["2022","3","17"]]},"author":[{"dropping-particle":"","family":"NBC News","given":"","non-dropping-particle":"","parse-names":false,"suffix":""}],"id":"ITEM-1","issued":{"date-parts":[["2022"]]},"title":"Covid hit the hotel industry hard. Data shows it's still missing a key part of its business.","type":"webpage"},"uris":["http://www.mendeley.com/documents/?uuid=49237f20-7146-373e-9db5-9be809c821d0"]}],"mendeley":{"formattedCitation":"(NBC News, 2022)","plainTextFormattedCitation":"(NBC News, 2022)","previouslyFormattedCitation":"(NBC News, 2022)"},"properties":{"noteIndex":0},"schema":"https://github.com/citation-style-language/schema/raw/master/csl-citation.json"}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(NBC News, 2022)</w:t>
      </w:r>
      <w:r>
        <w:rPr>
          <w:rFonts w:hint="default" w:ascii="Arial" w:hAnsi="Arial" w:cs="Arial"/>
          <w:sz w:val="24"/>
          <w:szCs w:val="24"/>
        </w:rPr>
        <w:fldChar w:fldCharType="end"/>
      </w:r>
      <w:r>
        <w:rPr>
          <w:rFonts w:hint="default" w:ascii="Arial" w:hAnsi="Arial" w:cs="Arial"/>
          <w:sz w:val="24"/>
          <w:szCs w:val="24"/>
        </w:rPr>
        <w:t xml:space="preserve">. Specifically, since the rise of non-standard accommodation in 2011, online non-standard accommodation vertical booking platforms started to emerge and began to grow explosively by 2015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{"citationItems":[{"id":"ITEM-1","itemData":{"URL":"https://www.yicaiglobal.com/news/china-huazhu-has-90-of-hotels-open-amid-covid-19-battle","accessed":{"date-parts":[["2022","3","17"]]},"author":[{"dropping-particle":"","family":"YiCai Global","given":"","non-dropping-particle":"","parse-names":false,"suffix":""}],"id":"ITEM-1","issued":{"date-parts":[["2020"]]},"title":"China's Huazhu Has 90% of Hotels Open Amid Covid-19 Battle","type":"webpage"},"uris":["http://www.mendeley.com/documents/?uuid=9b9f36f6-f812-310c-bfdf-a11b78cdbe0f"]}],"mendeley":{"formattedCitation":"(YiCai Global, 2020)","plainTextFormattedCitation":"(YiCai Global, 2020)"},"properties":{"noteIndex":0},"schema":"https://github.com/citation-style-language/schema/raw/master/csl-citation.json"}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(YiCai Global, 2020)</w:t>
      </w:r>
      <w:r>
        <w:rPr>
          <w:rFonts w:hint="default" w:ascii="Arial" w:hAnsi="Arial" w:cs="Arial"/>
          <w:sz w:val="24"/>
          <w:szCs w:val="24"/>
        </w:rPr>
        <w:fldChar w:fldCharType="end"/>
      </w:r>
      <w:r>
        <w:rPr>
          <w:rFonts w:hint="default" w:ascii="Arial" w:hAnsi="Arial" w:cs="Arial"/>
          <w:sz w:val="24"/>
          <w:szCs w:val="24"/>
        </w:rPr>
        <w:t xml:space="preserve">. The supply of non-standard accommodation continued to rise between 2015 and 2019, growing from 4,538,000 rooms in 2015 to 5,216,000 rooms in 2017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{"citationItems":[{"id":"ITEM-1","itemData":{"URL":"https://www.yicaiglobal.com/news/china-huazhu-has-90-of-hotels-open-amid-covid-19-battle","accessed":{"date-parts":[["2022","3","17"]]},"author":[{"dropping-particle":"","family":"YiCai Global","given":"","non-dropping-particle":"","parse-names":false,"suffix":""}],"id":"ITEM-1","issued":{"date-parts":[["2020"]]},"title":"China's Huazhu Has 90% of Hotels Open Amid Covid-19 Battle","type":"webpage"},"uris":["http://www.mendeley.com/documents/?uuid=9b9f36f6-f812-310c-bfdf-a11b78cdbe0f"]}],"mendeley":{"formattedCitation":"(YiCai Global, 2020)","plainTextFormattedCitation":"(YiCai Global, 2020)","previouslyFormattedCitation":"(YiCai Global, 2020)"},"properties":{"noteIndex":0},"schema":"https://github.com/citation-style-language/schema/raw/master/csl-citation.json"}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(YiCai Global, 2020)</w:t>
      </w:r>
      <w:r>
        <w:rPr>
          <w:rFonts w:hint="default" w:ascii="Arial" w:hAnsi="Arial" w:cs="Arial"/>
          <w:sz w:val="24"/>
          <w:szCs w:val="24"/>
        </w:rPr>
        <w:fldChar w:fldCharType="end"/>
      </w:r>
      <w:r>
        <w:rPr>
          <w:rFonts w:hint="default" w:ascii="Arial" w:hAnsi="Arial" w:cs="Arial"/>
          <w:sz w:val="24"/>
          <w:szCs w:val="24"/>
        </w:rPr>
        <w:t xml:space="preserve">. The overall size of the non-standard accommodation industry rose from 12.935 billion yuan in 2015 to 23.488 billion yuan in 2017 during these three years, with an average annual compound growth rate of 22% </w:t>
      </w:r>
      <w:r>
        <w:rPr>
          <w:rFonts w:hint="default" w:ascii="Arial" w:hAnsi="Arial" w:cs="Arial"/>
          <w:sz w:val="24"/>
          <w:szCs w:val="24"/>
        </w:rPr>
        <w:fldChar w:fldCharType="begin" w:fldLock="1"/>
      </w:r>
      <w:r>
        <w:rPr>
          <w:rFonts w:hint="default" w:ascii="Arial" w:hAnsi="Arial" w:cs="Arial"/>
          <w:sz w:val="24"/>
          <w:szCs w:val="24"/>
        </w:rPr>
        <w:instrText xml:space="preserve">ADDIN CSL_CITATION {"citationItems":[{"id":"ITEM-1","itemData":{"URL":"https://eglobaltravelmedia.com.au/huazhu-group-selects-sabre-to-power-its-distribution-strategy-and-support-its-next-chapter-of-growth/","accessed":{"date-parts":[["2022","3","18"]]},"author":[{"dropping-particle":"","family":"Global Travel Media","given":"","non-dropping-particle":"","parse-names":false,"suffix":""}],"id":"ITEM-1","issued":{"date-parts":[["2021"]]},"title":"Huazhu Group selects Sabre to power its distribution strategy and support its next chapter of growth | Global Travel Media","type":"webpage"},"uris":["http://www.mendeley.com/documents/?uuid=fc8f0fda-42ad-3dfb-b287-5ad09b01ee88"]}],"mendeley":{"formattedCitation":"(Global Travel Media, 2021)","plainTextFormattedCitation":"(Global Travel Media, 2021)","previouslyFormattedCitation":"(Global Travel Media, 2021)"},"properties":{"noteIndex":0},"schema":"https://github.com/citation-style-language/schema/raw/master/csl-citation.json"}</w:instrText>
      </w:r>
      <w:r>
        <w:rPr>
          <w:rFonts w:hint="default" w:ascii="Arial" w:hAnsi="Arial" w:cs="Arial"/>
          <w:sz w:val="24"/>
          <w:szCs w:val="24"/>
        </w:rPr>
        <w:fldChar w:fldCharType="separate"/>
      </w:r>
      <w:r>
        <w:rPr>
          <w:rFonts w:hint="default" w:ascii="Arial" w:hAnsi="Arial" w:cs="Arial"/>
          <w:sz w:val="24"/>
          <w:szCs w:val="24"/>
        </w:rPr>
        <w:t>(Global Travel Media, 2021)</w:t>
      </w:r>
      <w:r>
        <w:rPr>
          <w:rFonts w:hint="default" w:ascii="Arial" w:hAnsi="Arial" w:cs="Arial"/>
          <w:sz w:val="24"/>
          <w:szCs w:val="24"/>
        </w:rPr>
        <w:fldChar w:fldCharType="end"/>
      </w:r>
      <w:r>
        <w:rPr>
          <w:rFonts w:hint="default" w:ascii="Arial" w:hAnsi="Arial" w:cs="Arial"/>
          <w:sz w:val="24"/>
          <w:szCs w:val="24"/>
        </w:rPr>
        <w:t xml:space="preserve">. Non-standard accommodation has diversified operating entities, decentralized room sources, and personalized service facilities, making consumers more selective. It is also more cost-effective, providing consumers with more added value at the same price, such as free transfer, local guided tours, etc. in terms of large hotel chains, Huazhu face competitions posed by domestic hotel chains, such as Jingjiang in China, and international hotel chains, such as Hilton and Marriott. These large hotel chains have a wider geographical presence, a more diversified portfolio, as well as a stronger financial strength, making them more resilient towards covid-19. </w:t>
      </w:r>
    </w:p>
    <w:p>
      <w:pPr>
        <w:pStyle w:val="3"/>
        <w:spacing w:before="156" w:beforeLines="50" w:after="156" w:afterLines="50" w:line="360" w:lineRule="auto"/>
        <w:jc w:val="both"/>
        <w:rPr>
          <w:rFonts w:hint="default" w:ascii="Arial" w:hAnsi="Arial" w:cs="Arial"/>
          <w:color w:val="auto"/>
        </w:rPr>
      </w:pPr>
      <w:bookmarkStart w:id="8" w:name="_Toc98489112"/>
      <w:r>
        <w:rPr>
          <w:rFonts w:hint="default" w:ascii="Arial" w:hAnsi="Arial" w:cs="Arial"/>
          <w:color w:val="auto"/>
        </w:rPr>
        <w:t>2. 4 Recommendations</w:t>
      </w:r>
      <w:bookmarkEnd w:id="8"/>
      <w:r>
        <w:rPr>
          <w:rFonts w:hint="default" w:ascii="Arial" w:hAnsi="Arial" w:cs="Arial"/>
          <w:color w:val="auto"/>
        </w:rPr>
        <w:t xml:space="preserv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The above audit on Huazhu identifies some key issues facing Huazhu in its current operation. The primary one is the eroded profitability due to declined demands during the covid-19 time. Also, Huazhu facing problems such as over-focus on the technological application in backstage operation, the fierce competition in the hotel sector due to declined demands and offering surplus, the uncertain situation brought by covid-19 in the future, the over-reliance on the Chinese market, the difficulties in cross-divisional communication, etc. Given the low attractiveness of the global hotel market, it is probably not a good idea for Huazhu to invest in internationalization to get rid of its reliance on the Chinese market. However, some efforts focusing on its current business can help Huazhu to seize the opportunities hidden in the covid-19 crisis. Some recommendations are provided as follows </w:t>
      </w:r>
    </w:p>
    <w:p>
      <w:pPr>
        <w:pStyle w:val="49"/>
        <w:keepNext w:val="0"/>
        <w:keepLines w:val="0"/>
        <w:pageBreakBefore w:val="0"/>
        <w:widowControl/>
        <w:numPr>
          <w:ilvl w:val="0"/>
          <w:numId w:val="3"/>
        </w:numPr>
        <w:kinsoku/>
        <w:wordWrap/>
        <w:overflowPunct/>
        <w:topLinePunct w:val="0"/>
        <w:autoSpaceDE/>
        <w:autoSpaceDN/>
        <w:bidi w:val="0"/>
        <w:adjustRightInd/>
        <w:snapToGrid/>
        <w:spacing w:before="156" w:beforeLines="50" w:after="156" w:afterLines="50" w:line="480" w:lineRule="auto"/>
        <w:ind w:left="420" w:hanging="420" w:firstLineChars="0"/>
        <w:jc w:val="both"/>
        <w:textAlignment w:val="auto"/>
        <w:rPr>
          <w:rFonts w:hint="default" w:ascii="Arial" w:hAnsi="Arial" w:cs="Arial"/>
          <w:sz w:val="24"/>
          <w:szCs w:val="24"/>
        </w:rPr>
      </w:pPr>
      <w:r>
        <w:rPr>
          <w:rFonts w:hint="default" w:ascii="Arial" w:hAnsi="Arial" w:cs="Arial"/>
          <w:sz w:val="24"/>
          <w:szCs w:val="24"/>
        </w:rPr>
        <w:t xml:space="preserve">Consider the integration of technologies in the touchpoints where Huazhu interacts with customers directly to improve accommodation experience during covid-19. Some initiatives, such as self-check-in/out kiosks using mobile applications supported by facial recognition can offer a completely automated replacement of the standard -check-in/out services. The active use of mobile applications for service inquiry and providing can reduce direct contacts and promote automation during the covid-19. The deployment of smart robots powered by artificial intelligence can travel across hotels to delivery hotel amenities, and greet and guide customers can further realize contactless experience during covid-19. </w:t>
      </w:r>
    </w:p>
    <w:p>
      <w:pPr>
        <w:pStyle w:val="49"/>
        <w:keepNext w:val="0"/>
        <w:keepLines w:val="0"/>
        <w:pageBreakBefore w:val="0"/>
        <w:widowControl/>
        <w:numPr>
          <w:ilvl w:val="0"/>
          <w:numId w:val="3"/>
        </w:numPr>
        <w:kinsoku/>
        <w:wordWrap/>
        <w:overflowPunct/>
        <w:topLinePunct w:val="0"/>
        <w:autoSpaceDE/>
        <w:autoSpaceDN/>
        <w:bidi w:val="0"/>
        <w:adjustRightInd/>
        <w:snapToGrid/>
        <w:spacing w:before="156" w:beforeLines="50" w:after="156" w:afterLines="50" w:line="480" w:lineRule="auto"/>
        <w:ind w:left="420" w:hanging="420" w:firstLineChars="0"/>
        <w:jc w:val="both"/>
        <w:textAlignment w:val="auto"/>
        <w:rPr>
          <w:rFonts w:hint="default" w:ascii="Arial" w:hAnsi="Arial" w:cs="Arial"/>
          <w:sz w:val="24"/>
          <w:szCs w:val="24"/>
        </w:rPr>
      </w:pPr>
      <w:r>
        <w:rPr>
          <w:rFonts w:hint="default" w:ascii="Arial" w:hAnsi="Arial" w:cs="Arial"/>
          <w:sz w:val="24"/>
          <w:szCs w:val="24"/>
        </w:rPr>
        <w:t xml:space="preserve">Revisit the safety standards issued by the local authorities and effectively communicate to the local management team through meetings, emails, or trainings. Establish a group-wise industry-leading codes of conduct to ensure the cleanliness of service provision, and communicate the codes of conduct and Huazhu’s active responses (such as the use of latest technologies) with customers through media press or direct mails or social media to address the potential concerns of customers. Huazhu should also monitor travel restrictions and inform customers upon arrival. Communication should be in an integrated way to address concerns and stimulate travel desire. </w:t>
      </w:r>
    </w:p>
    <w:p>
      <w:pPr>
        <w:pStyle w:val="49"/>
        <w:keepNext w:val="0"/>
        <w:keepLines w:val="0"/>
        <w:pageBreakBefore w:val="0"/>
        <w:widowControl/>
        <w:numPr>
          <w:ilvl w:val="0"/>
          <w:numId w:val="3"/>
        </w:numPr>
        <w:kinsoku/>
        <w:wordWrap/>
        <w:overflowPunct/>
        <w:topLinePunct w:val="0"/>
        <w:autoSpaceDE/>
        <w:autoSpaceDN/>
        <w:bidi w:val="0"/>
        <w:adjustRightInd/>
        <w:snapToGrid/>
        <w:spacing w:before="156" w:beforeLines="50" w:after="156" w:afterLines="50" w:line="480" w:lineRule="auto"/>
        <w:ind w:left="420" w:hanging="420" w:firstLineChars="0"/>
        <w:jc w:val="both"/>
        <w:textAlignment w:val="auto"/>
        <w:rPr>
          <w:rFonts w:hint="default" w:ascii="Arial" w:hAnsi="Arial" w:cs="Arial"/>
          <w:sz w:val="24"/>
          <w:szCs w:val="24"/>
        </w:rPr>
      </w:pPr>
      <w:r>
        <w:rPr>
          <w:rFonts w:hint="default" w:ascii="Arial" w:hAnsi="Arial" w:cs="Arial"/>
          <w:sz w:val="24"/>
          <w:szCs w:val="24"/>
        </w:rPr>
        <w:t xml:space="preserve">Roll out creative offerings during the covid-19 to boost demands from the customer sides in the local market as international travel is still not revived yet. Typical measures include the discounted prices, the additional benefits and bonuses served with booking (such as personal covid-19 free travel plan making, in-room dining and entertainment, hotel staycation offers, etc.) to boost the local hotel demands. Huazhu should leverage its ability in data management to personalize customer offerings based on patterns and preferences mined from their consumption history. </w:t>
      </w:r>
    </w:p>
    <w:p>
      <w:pPr>
        <w:pStyle w:val="2"/>
        <w:numPr>
          <w:ilvl w:val="0"/>
          <w:numId w:val="4"/>
        </w:numPr>
        <w:spacing w:before="156" w:beforeLines="50" w:after="156" w:afterLines="50" w:line="360" w:lineRule="auto"/>
        <w:jc w:val="both"/>
        <w:rPr>
          <w:rFonts w:hint="default" w:ascii="Arial" w:hAnsi="Arial" w:cs="Arial"/>
          <w:color w:val="auto"/>
        </w:rPr>
      </w:pPr>
      <w:bookmarkStart w:id="9" w:name="_Toc98489113"/>
      <w:r>
        <w:rPr>
          <w:rFonts w:hint="default" w:ascii="Arial" w:hAnsi="Arial" w:cs="Arial"/>
          <w:color w:val="auto"/>
        </w:rPr>
        <w:t>Conclusion</w:t>
      </w:r>
      <w:bookmarkEnd w:id="9"/>
      <w:r>
        <w:rPr>
          <w:rFonts w:hint="default" w:ascii="Arial" w:hAnsi="Arial" w:cs="Arial"/>
          <w:color w:val="auto"/>
        </w:rPr>
        <w:t xml:space="preserve"> </w:t>
      </w:r>
    </w:p>
    <w:p>
      <w:pPr>
        <w:keepNext w:val="0"/>
        <w:keepLines w:val="0"/>
        <w:pageBreakBefore w:val="0"/>
        <w:widowControl/>
        <w:kinsoku/>
        <w:wordWrap/>
        <w:overflowPunct/>
        <w:topLinePunct w:val="0"/>
        <w:autoSpaceDE/>
        <w:autoSpaceDN/>
        <w:bidi w:val="0"/>
        <w:adjustRightInd/>
        <w:snapToGrid/>
        <w:spacing w:before="156" w:beforeLines="50" w:after="156" w:afterLines="50" w:line="480" w:lineRule="auto"/>
        <w:jc w:val="both"/>
        <w:textAlignment w:val="auto"/>
        <w:rPr>
          <w:rFonts w:hint="default" w:ascii="Arial" w:hAnsi="Arial" w:cs="Arial"/>
          <w:sz w:val="24"/>
          <w:szCs w:val="24"/>
        </w:rPr>
      </w:pPr>
      <w:r>
        <w:rPr>
          <w:rFonts w:hint="default" w:ascii="Arial" w:hAnsi="Arial" w:cs="Arial"/>
          <w:sz w:val="24"/>
          <w:szCs w:val="24"/>
        </w:rPr>
        <w:t xml:space="preserve">The report serves as a marketing report for Huazhu, a hotel chain with an international presence based in China. The strategic audit at different levels using various strategic marketing tools has indicated the issues facing Huazhu, such as lack of technology adoption to ensure contactless service, problematic profitability, ineffective communication across divisions, the ever-fierce competition, etc. The recommendations provided for Huazhu is to consider the further integration of technologies in the customer touchpoints to reduce contacts and promote convenience, the communication of industry-wise and corporate-specific codes of conduct to divisions and customers, the roll-out of special product offerings to boost demands in the local markets. </w:t>
      </w:r>
    </w:p>
    <w:p>
      <w:pPr>
        <w:spacing w:before="156" w:beforeLines="50" w:after="156" w:afterLines="50" w:line="360" w:lineRule="auto"/>
        <w:jc w:val="both"/>
        <w:rPr>
          <w:rFonts w:hint="default" w:ascii="Arial" w:hAnsi="Arial" w:cs="Arial"/>
          <w:sz w:val="24"/>
          <w:szCs w:val="24"/>
        </w:rPr>
      </w:pPr>
      <w:r>
        <w:rPr>
          <w:rFonts w:hint="default" w:ascii="Arial" w:hAnsi="Arial" w:cs="Arial"/>
          <w:sz w:val="24"/>
          <w:szCs w:val="24"/>
        </w:rPr>
        <w:br w:type="page"/>
      </w:r>
    </w:p>
    <w:p>
      <w:pPr>
        <w:pStyle w:val="2"/>
        <w:spacing w:before="156" w:beforeLines="50" w:after="156" w:afterLines="50" w:line="360" w:lineRule="auto"/>
        <w:jc w:val="both"/>
        <w:rPr>
          <w:rFonts w:hint="default" w:ascii="Arial" w:hAnsi="Arial" w:cs="Arial"/>
          <w:color w:val="auto"/>
        </w:rPr>
      </w:pPr>
      <w:bookmarkStart w:id="10" w:name="_Toc98489114"/>
      <w:r>
        <w:rPr>
          <w:rFonts w:hint="default" w:ascii="Arial" w:hAnsi="Arial" w:cs="Arial"/>
          <w:color w:val="auto"/>
        </w:rPr>
        <w:t>References</w:t>
      </w:r>
      <w:bookmarkEnd w:id="10"/>
      <w:r>
        <w:rPr>
          <w:rFonts w:hint="default" w:ascii="Arial" w:hAnsi="Arial" w:cs="Arial"/>
          <w:color w:val="auto"/>
        </w:rPr>
        <w:t xml:space="preserve"> </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fldChar w:fldCharType="begin" w:fldLock="1"/>
      </w:r>
      <w:r>
        <w:rPr>
          <w:rFonts w:hint="default" w:ascii="Arial" w:hAnsi="Arial" w:cs="Arial"/>
          <w:sz w:val="24"/>
          <w:szCs w:val="24"/>
        </w:rPr>
        <w:instrText xml:space="preserve">ADDIN Mendeley Bibliography CSL_BIBLIOGRAPHY </w:instrText>
      </w:r>
      <w:r>
        <w:rPr>
          <w:rFonts w:hint="default" w:ascii="Arial" w:hAnsi="Arial" w:cs="Arial"/>
          <w:sz w:val="24"/>
          <w:szCs w:val="24"/>
        </w:rPr>
        <w:fldChar w:fldCharType="separate"/>
      </w:r>
      <w:r>
        <w:rPr>
          <w:rFonts w:hint="default" w:ascii="Arial" w:hAnsi="Arial" w:cs="Arial"/>
          <w:sz w:val="24"/>
          <w:szCs w:val="24"/>
        </w:rPr>
        <w:t xml:space="preserve">Bou-Karroum, L. </w:t>
      </w:r>
      <w:r>
        <w:rPr>
          <w:rFonts w:hint="default" w:ascii="Arial" w:hAnsi="Arial" w:cs="Arial"/>
          <w:i/>
          <w:iCs/>
          <w:sz w:val="24"/>
          <w:szCs w:val="24"/>
        </w:rPr>
        <w:t>et al.</w:t>
      </w:r>
      <w:r>
        <w:rPr>
          <w:rFonts w:hint="default" w:ascii="Arial" w:hAnsi="Arial" w:cs="Arial"/>
          <w:sz w:val="24"/>
          <w:szCs w:val="24"/>
        </w:rPr>
        <w:t xml:space="preserve"> (2021) ‘Public health effects of travel-related policies on the COVID-19 pandemic: a mixed-methods systematic review’, </w:t>
      </w:r>
      <w:r>
        <w:rPr>
          <w:rFonts w:hint="default" w:ascii="Arial" w:hAnsi="Arial" w:cs="Arial"/>
          <w:i/>
          <w:iCs/>
          <w:sz w:val="24"/>
          <w:szCs w:val="24"/>
        </w:rPr>
        <w:t>Journal of Infection</w:t>
      </w:r>
      <w:r>
        <w:rPr>
          <w:rFonts w:hint="default" w:ascii="Arial" w:hAnsi="Arial" w:cs="Arial"/>
          <w:sz w:val="24"/>
          <w:szCs w:val="24"/>
        </w:rPr>
        <w:t>, 83(4), pp. 413–423.</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Byrnes, K. G. </w:t>
      </w:r>
      <w:r>
        <w:rPr>
          <w:rFonts w:hint="default" w:ascii="Arial" w:hAnsi="Arial" w:cs="Arial"/>
          <w:i/>
          <w:iCs/>
          <w:sz w:val="24"/>
          <w:szCs w:val="24"/>
        </w:rPr>
        <w:t>et al.</w:t>
      </w:r>
      <w:r>
        <w:rPr>
          <w:rFonts w:hint="default" w:ascii="Arial" w:hAnsi="Arial" w:cs="Arial"/>
          <w:sz w:val="24"/>
          <w:szCs w:val="24"/>
        </w:rPr>
        <w:t xml:space="preserve"> (2021) ‘Communication, collaboration and contagion:"Virtualisation" of anatomy during COVID-19’, </w:t>
      </w:r>
      <w:r>
        <w:rPr>
          <w:rFonts w:hint="default" w:ascii="Arial" w:hAnsi="Arial" w:cs="Arial"/>
          <w:i/>
          <w:iCs/>
          <w:sz w:val="24"/>
          <w:szCs w:val="24"/>
        </w:rPr>
        <w:t>Clinical anatomy</w:t>
      </w:r>
      <w:r>
        <w:rPr>
          <w:rFonts w:hint="default" w:ascii="Arial" w:hAnsi="Arial" w:cs="Arial"/>
          <w:sz w:val="24"/>
          <w:szCs w:val="24"/>
        </w:rPr>
        <w:t>, 34(1), pp. 82–89.</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Chen, S.-H. </w:t>
      </w:r>
      <w:r>
        <w:rPr>
          <w:rFonts w:hint="default" w:ascii="Arial" w:hAnsi="Arial" w:cs="Arial"/>
          <w:i/>
          <w:iCs/>
          <w:sz w:val="24"/>
          <w:szCs w:val="24"/>
        </w:rPr>
        <w:t>et al.</w:t>
      </w:r>
      <w:r>
        <w:rPr>
          <w:rFonts w:hint="default" w:ascii="Arial" w:hAnsi="Arial" w:cs="Arial"/>
          <w:sz w:val="24"/>
          <w:szCs w:val="24"/>
        </w:rPr>
        <w:t xml:space="preserve"> (2021) ‘Hospitality services in the post COVID-19 era: Are we ready for high-tech and no touch service delivery in smart hotels?’, </w:t>
      </w:r>
      <w:r>
        <w:rPr>
          <w:rFonts w:hint="default" w:ascii="Arial" w:hAnsi="Arial" w:cs="Arial"/>
          <w:i/>
          <w:iCs/>
          <w:sz w:val="24"/>
          <w:szCs w:val="24"/>
        </w:rPr>
        <w:t>Journal of Hospitality Marketing &amp; Management</w:t>
      </w:r>
      <w:r>
        <w:rPr>
          <w:rFonts w:hint="default" w:ascii="Arial" w:hAnsi="Arial" w:cs="Arial"/>
          <w:sz w:val="24"/>
          <w:szCs w:val="24"/>
        </w:rPr>
        <w:t>, 30(8), pp. 905–928.</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China Travel News (2015) </w:t>
      </w:r>
      <w:r>
        <w:rPr>
          <w:rFonts w:hint="default" w:ascii="Arial" w:hAnsi="Arial" w:cs="Arial"/>
          <w:i/>
          <w:iCs/>
          <w:sz w:val="24"/>
          <w:szCs w:val="24"/>
        </w:rPr>
        <w:t xml:space="preserve">Huazhu Hotels plan - future is digital, but all stakeholders need to benefit </w:t>
      </w:r>
      <w:r>
        <w:rPr>
          <w:rFonts w:hint="default" w:ascii="Arial" w:hAnsi="Arial" w:cs="Arial"/>
          <w:sz w:val="24"/>
          <w:szCs w:val="24"/>
        </w:rPr>
        <w:t>. Available at: https://www.chinatravelnews.com/article/90007 (Accessed: 17 March 2022).</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Choi, M. and Choi, Y. (2021) ‘Employee perceptions of hotel CSR activities during the COVID-19 pandemic’, </w:t>
      </w:r>
      <w:r>
        <w:rPr>
          <w:rFonts w:hint="default" w:ascii="Arial" w:hAnsi="Arial" w:cs="Arial"/>
          <w:i/>
          <w:iCs/>
          <w:sz w:val="24"/>
          <w:szCs w:val="24"/>
        </w:rPr>
        <w:t>International Journal of Contemporary Hospitality Management</w:t>
      </w:r>
      <w:r>
        <w:rPr>
          <w:rFonts w:hint="default" w:ascii="Arial" w:hAnsi="Arial" w:cs="Arial"/>
          <w:sz w:val="24"/>
          <w:szCs w:val="24"/>
        </w:rPr>
        <w:t>, 33(10), pp. 3355–3378. doi: 10.1108/IJCHM-03-2021-0289.</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Cravens, D. W. and Piercy, N. (2006) </w:t>
      </w:r>
      <w:r>
        <w:rPr>
          <w:rFonts w:hint="default" w:ascii="Arial" w:hAnsi="Arial" w:cs="Arial"/>
          <w:i/>
          <w:iCs/>
          <w:sz w:val="24"/>
          <w:szCs w:val="24"/>
        </w:rPr>
        <w:t>Strategic marketing</w:t>
      </w:r>
      <w:r>
        <w:rPr>
          <w:rFonts w:hint="default" w:ascii="Arial" w:hAnsi="Arial" w:cs="Arial"/>
          <w:sz w:val="24"/>
          <w:szCs w:val="24"/>
        </w:rPr>
        <w:t>. McGraw-Hill New York.</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Deloitte (2022) ‘The future of hospitality’.</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Denizci Guillet, B. and Chu, A. M. C. (2021) ‘Managing hotel revenue amid the COVID-19 crisis’, </w:t>
      </w:r>
      <w:r>
        <w:rPr>
          <w:rFonts w:hint="default" w:ascii="Arial" w:hAnsi="Arial" w:cs="Arial"/>
          <w:i/>
          <w:iCs/>
          <w:sz w:val="24"/>
          <w:szCs w:val="24"/>
        </w:rPr>
        <w:t>International Journal of Contemporary Hospitality Management</w:t>
      </w:r>
      <w:r>
        <w:rPr>
          <w:rFonts w:hint="default" w:ascii="Arial" w:hAnsi="Arial" w:cs="Arial"/>
          <w:sz w:val="24"/>
          <w:szCs w:val="24"/>
        </w:rPr>
        <w:t>, 33(2), pp. 604–627. doi: 10.1108/IJCHM-06-2020-0623.</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Egger, P. H. and Zhu, J. (2022) ‘How COVID-19 travels in-and outside of value chains and then affects the stock market: Evidence from China’, </w:t>
      </w:r>
      <w:r>
        <w:rPr>
          <w:rFonts w:hint="default" w:ascii="Arial" w:hAnsi="Arial" w:cs="Arial"/>
          <w:i/>
          <w:iCs/>
          <w:sz w:val="24"/>
          <w:szCs w:val="24"/>
        </w:rPr>
        <w:t>The World Economy</w:t>
      </w:r>
      <w:r>
        <w:rPr>
          <w:rFonts w:hint="default" w:ascii="Arial" w:hAnsi="Arial" w:cs="Arial"/>
          <w:sz w:val="24"/>
          <w:szCs w:val="24"/>
        </w:rPr>
        <w:t>, 45(2), pp. 523–538.</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Feng, L. </w:t>
      </w:r>
      <w:r>
        <w:rPr>
          <w:rFonts w:hint="default" w:ascii="Arial" w:hAnsi="Arial" w:cs="Arial"/>
          <w:i/>
          <w:iCs/>
          <w:sz w:val="24"/>
          <w:szCs w:val="24"/>
        </w:rPr>
        <w:t>et al.</w:t>
      </w:r>
      <w:r>
        <w:rPr>
          <w:rFonts w:hint="default" w:ascii="Arial" w:hAnsi="Arial" w:cs="Arial"/>
          <w:sz w:val="24"/>
          <w:szCs w:val="24"/>
        </w:rPr>
        <w:t xml:space="preserve"> (2021) ‘Impact of COVID-19 outbreaks and interventions on influenza in China and the United States’, </w:t>
      </w:r>
      <w:r>
        <w:rPr>
          <w:rFonts w:hint="default" w:ascii="Arial" w:hAnsi="Arial" w:cs="Arial"/>
          <w:i/>
          <w:iCs/>
          <w:sz w:val="24"/>
          <w:szCs w:val="24"/>
        </w:rPr>
        <w:t>Nature communications</w:t>
      </w:r>
      <w:r>
        <w:rPr>
          <w:rFonts w:hint="default" w:ascii="Arial" w:hAnsi="Arial" w:cs="Arial"/>
          <w:sz w:val="24"/>
          <w:szCs w:val="24"/>
        </w:rPr>
        <w:t>, 12(1), pp. 1–8.</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Filimonau, V., Derqui, B. and Matute, J. (2020) ‘The COVID-19 pandemic and organisational commitment of senior hotel managers’, </w:t>
      </w:r>
      <w:r>
        <w:rPr>
          <w:rFonts w:hint="default" w:ascii="Arial" w:hAnsi="Arial" w:cs="Arial"/>
          <w:i/>
          <w:iCs/>
          <w:sz w:val="24"/>
          <w:szCs w:val="24"/>
        </w:rPr>
        <w:t>International Journal of Hospitality Management</w:t>
      </w:r>
      <w:r>
        <w:rPr>
          <w:rFonts w:hint="default" w:ascii="Arial" w:hAnsi="Arial" w:cs="Arial"/>
          <w:sz w:val="24"/>
          <w:szCs w:val="24"/>
        </w:rPr>
        <w:t>, 91. doi: 10.1016/j.ijhm.2020.102659.</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Global Travel Media (2021) </w:t>
      </w:r>
      <w:r>
        <w:rPr>
          <w:rFonts w:hint="default" w:ascii="Arial" w:hAnsi="Arial" w:cs="Arial"/>
          <w:i/>
          <w:iCs/>
          <w:sz w:val="24"/>
          <w:szCs w:val="24"/>
        </w:rPr>
        <w:t>Huazhu Group selects Sabre to power its distribution strategy and support its next chapter of growth | Global Travel Media</w:t>
      </w:r>
      <w:r>
        <w:rPr>
          <w:rFonts w:hint="default" w:ascii="Arial" w:hAnsi="Arial" w:cs="Arial"/>
          <w:sz w:val="24"/>
          <w:szCs w:val="24"/>
        </w:rPr>
        <w:t>. Available at: https://eglobaltravelmedia.com.au/huazhu-group-selects-sabre-to-power-its-distribution-strategy-and-support-its-next-chapter-of-growth/ (Accessed: 18 March 2022).</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Hameed, N., Mahomed, R. and Carvalho, I. (2021) ‘Measures to be implemented in the hotel buffets during the COVID-19 pandemic’, </w:t>
      </w:r>
      <w:r>
        <w:rPr>
          <w:rFonts w:hint="default" w:ascii="Arial" w:hAnsi="Arial" w:cs="Arial"/>
          <w:i/>
          <w:iCs/>
          <w:sz w:val="24"/>
          <w:szCs w:val="24"/>
        </w:rPr>
        <w:t>Anatolia</w:t>
      </w:r>
      <w:r>
        <w:rPr>
          <w:rFonts w:hint="default" w:ascii="Arial" w:hAnsi="Arial" w:cs="Arial"/>
          <w:sz w:val="24"/>
          <w:szCs w:val="24"/>
        </w:rPr>
        <w:t>, 32(1), pp. 172–175. doi: 10.1080/13032917.2020.1851553.</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Hospitality Net (2021) </w:t>
      </w:r>
      <w:r>
        <w:rPr>
          <w:rFonts w:hint="default" w:ascii="Arial" w:hAnsi="Arial" w:cs="Arial"/>
          <w:i/>
          <w:iCs/>
          <w:sz w:val="24"/>
          <w:szCs w:val="24"/>
        </w:rPr>
        <w:t>The role innovative technology will play in the hospitality industry post Covid</w:t>
      </w:r>
      <w:r>
        <w:rPr>
          <w:rFonts w:hint="default" w:ascii="Arial" w:hAnsi="Arial" w:cs="Arial"/>
          <w:sz w:val="24"/>
          <w:szCs w:val="24"/>
        </w:rPr>
        <w:t>. Available at: https://www.hospitalitynet.org/news/4104620.html (Accessed: 17 March 2022).</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Huazhu (2021) </w:t>
      </w:r>
      <w:r>
        <w:rPr>
          <w:rFonts w:hint="default" w:ascii="Arial" w:hAnsi="Arial" w:cs="Arial"/>
          <w:i/>
          <w:iCs/>
          <w:sz w:val="24"/>
          <w:szCs w:val="24"/>
        </w:rPr>
        <w:t>Huazhu annual report 2020</w:t>
      </w:r>
      <w:r>
        <w:rPr>
          <w:rFonts w:hint="default" w:ascii="Arial" w:hAnsi="Arial" w:cs="Arial"/>
          <w:sz w:val="24"/>
          <w:szCs w:val="24"/>
        </w:rPr>
        <w:t>.</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Jiang, Y. and Wen, J. (2020) ‘Effects of COVID-19 on hotel marketing and management: a perspective article’, </w:t>
      </w:r>
      <w:r>
        <w:rPr>
          <w:rFonts w:hint="default" w:ascii="Arial" w:hAnsi="Arial" w:cs="Arial"/>
          <w:i/>
          <w:iCs/>
          <w:sz w:val="24"/>
          <w:szCs w:val="24"/>
        </w:rPr>
        <w:t>International Journal of Contemporary Hospitality Management</w:t>
      </w:r>
      <w:r>
        <w:rPr>
          <w:rFonts w:hint="default" w:ascii="Arial" w:hAnsi="Arial" w:cs="Arial"/>
          <w:sz w:val="24"/>
          <w:szCs w:val="24"/>
        </w:rPr>
        <w:t>, 32(8), pp. 2563–2573. doi: 10.1108/IJCHM-03-2020-0237.</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Kim, S. S. </w:t>
      </w:r>
      <w:r>
        <w:rPr>
          <w:rFonts w:hint="default" w:ascii="Arial" w:hAnsi="Arial" w:cs="Arial"/>
          <w:i/>
          <w:iCs/>
          <w:sz w:val="24"/>
          <w:szCs w:val="24"/>
        </w:rPr>
        <w:t>et al.</w:t>
      </w:r>
      <w:r>
        <w:rPr>
          <w:rFonts w:hint="default" w:ascii="Arial" w:hAnsi="Arial" w:cs="Arial"/>
          <w:sz w:val="24"/>
          <w:szCs w:val="24"/>
        </w:rPr>
        <w:t xml:space="preserve"> (2021) ‘Preference for robot service or human s</w:t>
      </w:r>
      <w:bookmarkStart w:id="11" w:name="_GoBack"/>
      <w:bookmarkEnd w:id="11"/>
      <w:r>
        <w:rPr>
          <w:rFonts w:hint="default" w:ascii="Arial" w:hAnsi="Arial" w:cs="Arial"/>
          <w:sz w:val="24"/>
          <w:szCs w:val="24"/>
        </w:rPr>
        <w:t xml:space="preserve">ervice in hotels? Impacts of the COVID-19 pandemic’, </w:t>
      </w:r>
      <w:r>
        <w:rPr>
          <w:rFonts w:hint="default" w:ascii="Arial" w:hAnsi="Arial" w:cs="Arial"/>
          <w:i/>
          <w:iCs/>
          <w:sz w:val="24"/>
          <w:szCs w:val="24"/>
        </w:rPr>
        <w:t>International Journal of Hospitality Management</w:t>
      </w:r>
      <w:r>
        <w:rPr>
          <w:rFonts w:hint="default" w:ascii="Arial" w:hAnsi="Arial" w:cs="Arial"/>
          <w:sz w:val="24"/>
          <w:szCs w:val="24"/>
        </w:rPr>
        <w:t>, 93, p. 102795.</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NBC News (2022) </w:t>
      </w:r>
      <w:r>
        <w:rPr>
          <w:rFonts w:hint="default" w:ascii="Arial" w:hAnsi="Arial" w:cs="Arial"/>
          <w:i/>
          <w:iCs/>
          <w:sz w:val="24"/>
          <w:szCs w:val="24"/>
        </w:rPr>
        <w:t>Covid hit the hotel industry hard. Data shows it’s still missing a key part of its business.</w:t>
      </w:r>
      <w:r>
        <w:rPr>
          <w:rFonts w:hint="default" w:ascii="Arial" w:hAnsi="Arial" w:cs="Arial"/>
          <w:sz w:val="24"/>
          <w:szCs w:val="24"/>
        </w:rPr>
        <w:t xml:space="preserve"> Available at: https://www.nbcnews.com/news/us-news/covid-hit-hotel-industry-hard-data-shows-it-s-still-n1280061 (Accessed: 17 March 2022).</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Nhamo, G., Dube, K. and Chikodzi, D. (2020) ‘Impacts and implications of COVID-19 on the global hotel industry and Airbnb’, in </w:t>
      </w:r>
      <w:r>
        <w:rPr>
          <w:rFonts w:hint="default" w:ascii="Arial" w:hAnsi="Arial" w:cs="Arial"/>
          <w:i/>
          <w:iCs/>
          <w:sz w:val="24"/>
          <w:szCs w:val="24"/>
        </w:rPr>
        <w:t>Counting the cost of COVID-19 on the global tourism industry</w:t>
      </w:r>
      <w:r>
        <w:rPr>
          <w:rFonts w:hint="default" w:ascii="Arial" w:hAnsi="Arial" w:cs="Arial"/>
          <w:sz w:val="24"/>
          <w:szCs w:val="24"/>
        </w:rPr>
        <w:t>. Springer, pp. 183–204.</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Ran, L. </w:t>
      </w:r>
      <w:r>
        <w:rPr>
          <w:rFonts w:hint="default" w:ascii="Arial" w:hAnsi="Arial" w:cs="Arial"/>
          <w:i/>
          <w:iCs/>
          <w:sz w:val="24"/>
          <w:szCs w:val="24"/>
        </w:rPr>
        <w:t>et al.</w:t>
      </w:r>
      <w:r>
        <w:rPr>
          <w:rFonts w:hint="default" w:ascii="Arial" w:hAnsi="Arial" w:cs="Arial"/>
          <w:sz w:val="24"/>
          <w:szCs w:val="24"/>
        </w:rPr>
        <w:t xml:space="preserve"> (2021) ‘Marketing China to US travelers through electronic word-of-mouth and destination image: Taking Beijing as an example’, </w:t>
      </w:r>
      <w:r>
        <w:rPr>
          <w:rFonts w:hint="default" w:ascii="Arial" w:hAnsi="Arial" w:cs="Arial"/>
          <w:i/>
          <w:iCs/>
          <w:sz w:val="24"/>
          <w:szCs w:val="24"/>
        </w:rPr>
        <w:t>Journal of Vacation Marketing</w:t>
      </w:r>
      <w:r>
        <w:rPr>
          <w:rFonts w:hint="default" w:ascii="Arial" w:hAnsi="Arial" w:cs="Arial"/>
          <w:sz w:val="24"/>
          <w:szCs w:val="24"/>
        </w:rPr>
        <w:t>, 27(3), pp. 267–286.</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SHINE News (2021) </w:t>
      </w:r>
      <w:r>
        <w:rPr>
          <w:rFonts w:hint="default" w:ascii="Arial" w:hAnsi="Arial" w:cs="Arial"/>
          <w:i/>
          <w:iCs/>
          <w:sz w:val="24"/>
          <w:szCs w:val="24"/>
        </w:rPr>
        <w:t xml:space="preserve">Latest digitalization efforts on show at Exposition on China Indigenous Brands </w:t>
      </w:r>
      <w:r>
        <w:rPr>
          <w:rFonts w:hint="default" w:ascii="Arial" w:hAnsi="Arial" w:cs="Arial"/>
          <w:sz w:val="24"/>
          <w:szCs w:val="24"/>
        </w:rPr>
        <w:t>. Available at: https://www.shine.cn/biz/economy/2105098609/ (Accessed: 17 March 2022).</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Sun, S. </w:t>
      </w:r>
      <w:r>
        <w:rPr>
          <w:rFonts w:hint="default" w:ascii="Arial" w:hAnsi="Arial" w:cs="Arial"/>
          <w:i/>
          <w:iCs/>
          <w:sz w:val="24"/>
          <w:szCs w:val="24"/>
        </w:rPr>
        <w:t>et al.</w:t>
      </w:r>
      <w:r>
        <w:rPr>
          <w:rFonts w:hint="default" w:ascii="Arial" w:hAnsi="Arial" w:cs="Arial"/>
          <w:sz w:val="24"/>
          <w:szCs w:val="24"/>
        </w:rPr>
        <w:t xml:space="preserve"> (2021) ‘COVID-19 and healthcare system in China: challenges and progression for a sustainable future’, </w:t>
      </w:r>
      <w:r>
        <w:rPr>
          <w:rFonts w:hint="default" w:ascii="Arial" w:hAnsi="Arial" w:cs="Arial"/>
          <w:i/>
          <w:iCs/>
          <w:sz w:val="24"/>
          <w:szCs w:val="24"/>
        </w:rPr>
        <w:t>Globalization and Health</w:t>
      </w:r>
      <w:r>
        <w:rPr>
          <w:rFonts w:hint="default" w:ascii="Arial" w:hAnsi="Arial" w:cs="Arial"/>
          <w:sz w:val="24"/>
          <w:szCs w:val="24"/>
        </w:rPr>
        <w:t>, 17(1), pp. 1–8.</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Wang, C. </w:t>
      </w:r>
      <w:r>
        <w:rPr>
          <w:rFonts w:hint="default" w:ascii="Arial" w:hAnsi="Arial" w:cs="Arial"/>
          <w:i/>
          <w:iCs/>
          <w:sz w:val="24"/>
          <w:szCs w:val="24"/>
        </w:rPr>
        <w:t>et al.</w:t>
      </w:r>
      <w:r>
        <w:rPr>
          <w:rFonts w:hint="default" w:ascii="Arial" w:hAnsi="Arial" w:cs="Arial"/>
          <w:sz w:val="24"/>
          <w:szCs w:val="24"/>
        </w:rPr>
        <w:t xml:space="preserve"> (2021) ‘The impact of the COVID-19 pandemic on physical and mental health in the two largest economies in the world: a comparison between the United States and China’, </w:t>
      </w:r>
      <w:r>
        <w:rPr>
          <w:rFonts w:hint="default" w:ascii="Arial" w:hAnsi="Arial" w:cs="Arial"/>
          <w:i/>
          <w:iCs/>
          <w:sz w:val="24"/>
          <w:szCs w:val="24"/>
        </w:rPr>
        <w:t>Journal of behavioral medicine</w:t>
      </w:r>
      <w:r>
        <w:rPr>
          <w:rFonts w:hint="default" w:ascii="Arial" w:hAnsi="Arial" w:cs="Arial"/>
          <w:sz w:val="24"/>
          <w:szCs w:val="24"/>
        </w:rPr>
        <w:t>, 44(6), pp. 741–759.</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Wang, Y. </w:t>
      </w:r>
      <w:r>
        <w:rPr>
          <w:rFonts w:hint="default" w:ascii="Arial" w:hAnsi="Arial" w:cs="Arial"/>
          <w:i/>
          <w:iCs/>
          <w:sz w:val="24"/>
          <w:szCs w:val="24"/>
        </w:rPr>
        <w:t>et al.</w:t>
      </w:r>
      <w:r>
        <w:rPr>
          <w:rFonts w:hint="default" w:ascii="Arial" w:hAnsi="Arial" w:cs="Arial"/>
          <w:sz w:val="24"/>
          <w:szCs w:val="24"/>
        </w:rPr>
        <w:t xml:space="preserve"> (2021) ‘The impact of quarantine on mental health status among general population in China during the COVID-19 pandemic’, </w:t>
      </w:r>
      <w:r>
        <w:rPr>
          <w:rFonts w:hint="default" w:ascii="Arial" w:hAnsi="Arial" w:cs="Arial"/>
          <w:i/>
          <w:iCs/>
          <w:sz w:val="24"/>
          <w:szCs w:val="24"/>
        </w:rPr>
        <w:t>Molecular psychiatry</w:t>
      </w:r>
      <w:r>
        <w:rPr>
          <w:rFonts w:hint="default" w:ascii="Arial" w:hAnsi="Arial" w:cs="Arial"/>
          <w:sz w:val="24"/>
          <w:szCs w:val="24"/>
        </w:rPr>
        <w:t>, 26(9), pp. 4813–4822.</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szCs w:val="24"/>
        </w:rPr>
      </w:pPr>
      <w:r>
        <w:rPr>
          <w:rFonts w:hint="default" w:ascii="Arial" w:hAnsi="Arial" w:cs="Arial"/>
          <w:sz w:val="24"/>
          <w:szCs w:val="24"/>
        </w:rPr>
        <w:t xml:space="preserve">Woyo, E. and Nyamandi, C. (2022) ‘Application of virtual reality technologies in the comrades' marathon as a response to COVID-19 pandemic’, </w:t>
      </w:r>
      <w:r>
        <w:rPr>
          <w:rFonts w:hint="default" w:ascii="Arial" w:hAnsi="Arial" w:cs="Arial"/>
          <w:i/>
          <w:iCs/>
          <w:sz w:val="24"/>
          <w:szCs w:val="24"/>
        </w:rPr>
        <w:t>Development Southern Africa</w:t>
      </w:r>
      <w:r>
        <w:rPr>
          <w:rFonts w:hint="default" w:ascii="Arial" w:hAnsi="Arial" w:cs="Arial"/>
          <w:sz w:val="24"/>
          <w:szCs w:val="24"/>
        </w:rPr>
        <w:t>, 39(1), pp. 20–34.</w:t>
      </w:r>
    </w:p>
    <w:p>
      <w:pPr>
        <w:keepNext w:val="0"/>
        <w:keepLines w:val="0"/>
        <w:pageBreakBefore w:val="0"/>
        <w:widowControl/>
        <w:kinsoku/>
        <w:wordWrap/>
        <w:overflowPunct/>
        <w:topLinePunct w:val="0"/>
        <w:autoSpaceDE w:val="0"/>
        <w:autoSpaceDN w:val="0"/>
        <w:bidi w:val="0"/>
        <w:adjustRightInd w:val="0"/>
        <w:snapToGrid/>
        <w:spacing w:before="156" w:beforeLines="50" w:after="312" w:afterLines="100" w:line="480" w:lineRule="auto"/>
        <w:textAlignment w:val="auto"/>
        <w:rPr>
          <w:rFonts w:hint="default" w:ascii="Arial" w:hAnsi="Arial" w:cs="Arial"/>
          <w:sz w:val="24"/>
        </w:rPr>
      </w:pPr>
      <w:r>
        <w:rPr>
          <w:rFonts w:hint="default" w:ascii="Arial" w:hAnsi="Arial" w:cs="Arial"/>
          <w:sz w:val="24"/>
          <w:szCs w:val="24"/>
        </w:rPr>
        <w:t xml:space="preserve">YiCai Global (2020) </w:t>
      </w:r>
      <w:r>
        <w:rPr>
          <w:rFonts w:hint="default" w:ascii="Arial" w:hAnsi="Arial" w:cs="Arial"/>
          <w:i/>
          <w:iCs/>
          <w:sz w:val="24"/>
          <w:szCs w:val="24"/>
        </w:rPr>
        <w:t>China’s Huazhu Has 90% of Hotels Open Amid Covid-19 Battle</w:t>
      </w:r>
      <w:r>
        <w:rPr>
          <w:rFonts w:hint="default" w:ascii="Arial" w:hAnsi="Arial" w:cs="Arial"/>
          <w:sz w:val="24"/>
          <w:szCs w:val="24"/>
        </w:rPr>
        <w:t>. Available at: https://www.yicaiglobal.com/news/china-huazhu-has-90-of-hotels-open-amid-covid-19-battle (Accessed: 17 March 2022).</w:t>
      </w:r>
    </w:p>
    <w:p>
      <w:pPr>
        <w:keepNext w:val="0"/>
        <w:keepLines w:val="0"/>
        <w:pageBreakBefore w:val="0"/>
        <w:widowControl/>
        <w:kinsoku/>
        <w:wordWrap/>
        <w:overflowPunct/>
        <w:topLinePunct w:val="0"/>
        <w:bidi w:val="0"/>
        <w:snapToGrid/>
        <w:spacing w:before="156" w:beforeLines="50" w:after="312" w:afterLines="100" w:line="480" w:lineRule="auto"/>
        <w:jc w:val="both"/>
        <w:textAlignment w:val="auto"/>
        <w:rPr>
          <w:rFonts w:ascii="Times New Roman" w:hAnsi="Times New Roman" w:cs="Times New Roman"/>
        </w:rPr>
      </w:pPr>
      <w:r>
        <w:rPr>
          <w:rFonts w:hint="default" w:ascii="Arial" w:hAnsi="Arial" w:cs="Arial"/>
          <w:sz w:val="24"/>
          <w:szCs w:val="24"/>
        </w:rPr>
        <w:fldChar w:fldCharType="end"/>
      </w:r>
    </w:p>
    <w:p>
      <w:pPr>
        <w:spacing w:before="156" w:beforeLines="50" w:after="156" w:afterLines="50" w:line="360" w:lineRule="auto"/>
        <w:jc w:val="both"/>
        <w:rPr>
          <w:rFonts w:ascii="Times New Roman" w:hAnsi="Times New Roman" w:cs="Times New Roman"/>
        </w:rPr>
      </w:pPr>
    </w:p>
    <w:sectPr>
      <w:footerReference r:id="rId6" w:type="default"/>
      <w:pgSz w:w="11906" w:h="16838"/>
      <w:pgMar w:top="1440" w:right="1080" w:bottom="1440" w:left="108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180"/>
      <w:jc w:val="right"/>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84365787"/>
      <w:docPartObj>
        <w:docPartGallery w:val="autotext"/>
      </w:docPartObj>
    </w:sdtPr>
    <w:sdtContent>
      <w:p>
        <w:pPr>
          <w:pStyle w:val="13"/>
          <w:jc w:val="right"/>
        </w:pPr>
        <w:r>
          <w:fldChar w:fldCharType="begin"/>
        </w:r>
        <w:r>
          <w:instrText xml:space="preserve">PAGE   \* MERGEFORMAT</w:instrText>
        </w:r>
        <w:r>
          <w:fldChar w:fldCharType="separate"/>
        </w:r>
        <w:r>
          <w:rPr>
            <w:lang w:val="zh-CN"/>
          </w:rPr>
          <w:t>2</w:t>
        </w:r>
        <w:r>
          <w:fldChar w:fldCharType="end"/>
        </w:r>
      </w:p>
    </w:sdtContent>
  </w:sdt>
  <w:p>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12E6C"/>
    <w:multiLevelType w:val="multilevel"/>
    <w:tmpl w:val="04F12E6C"/>
    <w:lvl w:ilvl="0" w:tentative="0">
      <w:start w:val="2"/>
      <w:numFmt w:val="bullet"/>
      <w:lvlText w:val="-"/>
      <w:lvlJc w:val="left"/>
      <w:pPr>
        <w:ind w:left="360" w:hanging="360"/>
      </w:pPr>
      <w:rPr>
        <w:rFonts w:hint="eastAsia" w:ascii="等线" w:hAnsi="等线" w:eastAsia="等线" w:cstheme="minorBidi"/>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475E1786"/>
    <w:multiLevelType w:val="multilevel"/>
    <w:tmpl w:val="475E178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D2B1191"/>
    <w:multiLevelType w:val="multilevel"/>
    <w:tmpl w:val="5D2B119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6AF17DCA"/>
    <w:multiLevelType w:val="multilevel"/>
    <w:tmpl w:val="6AF17DCA"/>
    <w:lvl w:ilvl="0" w:tentative="0">
      <w:start w:val="3"/>
      <w:numFmt w:val="decimal"/>
      <w:lvlText w:val="%1."/>
      <w:lvlJc w:val="left"/>
      <w:pPr>
        <w:ind w:left="360" w:hanging="36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500"/>
    <w:rsid w:val="00022C24"/>
    <w:rsid w:val="000360E2"/>
    <w:rsid w:val="00036500"/>
    <w:rsid w:val="00045A74"/>
    <w:rsid w:val="000E5125"/>
    <w:rsid w:val="00130CFC"/>
    <w:rsid w:val="00144A60"/>
    <w:rsid w:val="0014575B"/>
    <w:rsid w:val="00190287"/>
    <w:rsid w:val="001D0128"/>
    <w:rsid w:val="002019C2"/>
    <w:rsid w:val="00241368"/>
    <w:rsid w:val="00260886"/>
    <w:rsid w:val="0026501F"/>
    <w:rsid w:val="002D2F28"/>
    <w:rsid w:val="002D562F"/>
    <w:rsid w:val="002E5E47"/>
    <w:rsid w:val="002F63CA"/>
    <w:rsid w:val="00300981"/>
    <w:rsid w:val="003B0840"/>
    <w:rsid w:val="004054E4"/>
    <w:rsid w:val="0043082D"/>
    <w:rsid w:val="00436B4F"/>
    <w:rsid w:val="00464300"/>
    <w:rsid w:val="0048108F"/>
    <w:rsid w:val="004817AA"/>
    <w:rsid w:val="0055442A"/>
    <w:rsid w:val="00573466"/>
    <w:rsid w:val="00575151"/>
    <w:rsid w:val="00583B6F"/>
    <w:rsid w:val="005B3E10"/>
    <w:rsid w:val="00611B2C"/>
    <w:rsid w:val="006645A9"/>
    <w:rsid w:val="00685CDF"/>
    <w:rsid w:val="00693E6C"/>
    <w:rsid w:val="006D16C7"/>
    <w:rsid w:val="006D5BAE"/>
    <w:rsid w:val="006E57F7"/>
    <w:rsid w:val="00711CB1"/>
    <w:rsid w:val="007238CB"/>
    <w:rsid w:val="00735A47"/>
    <w:rsid w:val="00745C4B"/>
    <w:rsid w:val="00750D08"/>
    <w:rsid w:val="007E477F"/>
    <w:rsid w:val="00824305"/>
    <w:rsid w:val="008A0AB7"/>
    <w:rsid w:val="008C6C39"/>
    <w:rsid w:val="00933F26"/>
    <w:rsid w:val="009554CA"/>
    <w:rsid w:val="00976261"/>
    <w:rsid w:val="00984B7A"/>
    <w:rsid w:val="009D3480"/>
    <w:rsid w:val="00A06A3D"/>
    <w:rsid w:val="00A23128"/>
    <w:rsid w:val="00A72729"/>
    <w:rsid w:val="00AD36B1"/>
    <w:rsid w:val="00AE6E71"/>
    <w:rsid w:val="00B06E31"/>
    <w:rsid w:val="00B2260F"/>
    <w:rsid w:val="00B2477C"/>
    <w:rsid w:val="00B6147B"/>
    <w:rsid w:val="00BA79E7"/>
    <w:rsid w:val="00BC1567"/>
    <w:rsid w:val="00BE535D"/>
    <w:rsid w:val="00BE771E"/>
    <w:rsid w:val="00C022B4"/>
    <w:rsid w:val="00C62485"/>
    <w:rsid w:val="00C73C16"/>
    <w:rsid w:val="00CE2AC3"/>
    <w:rsid w:val="00CE3324"/>
    <w:rsid w:val="00D13E49"/>
    <w:rsid w:val="00D17B05"/>
    <w:rsid w:val="00D57180"/>
    <w:rsid w:val="00DF767F"/>
    <w:rsid w:val="00E07F5D"/>
    <w:rsid w:val="00E43A47"/>
    <w:rsid w:val="00E51F80"/>
    <w:rsid w:val="00EF712B"/>
    <w:rsid w:val="00F05356"/>
    <w:rsid w:val="00F07B44"/>
    <w:rsid w:val="00F15F2A"/>
    <w:rsid w:val="00F365DF"/>
    <w:rsid w:val="00F63B70"/>
    <w:rsid w:val="00F73F55"/>
    <w:rsid w:val="00F833B6"/>
    <w:rsid w:val="00FC2A1D"/>
    <w:rsid w:val="017C6173"/>
    <w:rsid w:val="3D4A77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88" w:lineRule="auto"/>
    </w:pPr>
    <w:rPr>
      <w:rFonts w:asciiTheme="minorHAnsi" w:hAnsiTheme="minorHAnsi" w:eastAsiaTheme="minorEastAsia" w:cstheme="minorBidi"/>
      <w:sz w:val="21"/>
      <w:szCs w:val="21"/>
      <w:lang w:val="en-US" w:eastAsia="zh-CN" w:bidi="ar-SA"/>
    </w:rPr>
  </w:style>
  <w:style w:type="paragraph" w:styleId="2">
    <w:name w:val="heading 1"/>
    <w:basedOn w:val="1"/>
    <w:next w:val="1"/>
    <w:link w:val="27"/>
    <w:qFormat/>
    <w:uiPriority w:val="9"/>
    <w:pPr>
      <w:keepNext/>
      <w:keepLines/>
      <w:spacing w:before="360" w:after="40" w:line="240" w:lineRule="auto"/>
      <w:outlineLvl w:val="0"/>
    </w:pPr>
    <w:rPr>
      <w:rFonts w:asciiTheme="majorHAnsi" w:hAnsiTheme="majorHAnsi" w:eastAsiaTheme="majorEastAsia" w:cstheme="majorBidi"/>
      <w:color w:val="1D6295" w:themeColor="accent6" w:themeShade="BF"/>
      <w:sz w:val="40"/>
      <w:szCs w:val="40"/>
    </w:rPr>
  </w:style>
  <w:style w:type="paragraph" w:styleId="3">
    <w:name w:val="heading 2"/>
    <w:basedOn w:val="1"/>
    <w:next w:val="1"/>
    <w:link w:val="28"/>
    <w:unhideWhenUsed/>
    <w:qFormat/>
    <w:uiPriority w:val="9"/>
    <w:pPr>
      <w:keepNext/>
      <w:keepLines/>
      <w:spacing w:before="80" w:after="0" w:line="240" w:lineRule="auto"/>
      <w:outlineLvl w:val="1"/>
    </w:pPr>
    <w:rPr>
      <w:rFonts w:asciiTheme="majorHAnsi" w:hAnsiTheme="majorHAnsi" w:eastAsiaTheme="majorEastAsia" w:cstheme="majorBidi"/>
      <w:color w:val="1D6295" w:themeColor="accent6" w:themeShade="BF"/>
      <w:sz w:val="28"/>
      <w:szCs w:val="28"/>
    </w:rPr>
  </w:style>
  <w:style w:type="paragraph" w:styleId="4">
    <w:name w:val="heading 3"/>
    <w:basedOn w:val="1"/>
    <w:next w:val="1"/>
    <w:link w:val="29"/>
    <w:unhideWhenUsed/>
    <w:qFormat/>
    <w:uiPriority w:val="9"/>
    <w:pPr>
      <w:keepNext/>
      <w:keepLines/>
      <w:spacing w:before="80" w:after="0" w:line="240" w:lineRule="auto"/>
      <w:outlineLvl w:val="2"/>
    </w:pPr>
    <w:rPr>
      <w:rFonts w:asciiTheme="majorHAnsi" w:hAnsiTheme="majorHAnsi" w:eastAsiaTheme="majorEastAsia" w:cstheme="majorBidi"/>
      <w:color w:val="1D6295" w:themeColor="accent6" w:themeShade="BF"/>
      <w:sz w:val="24"/>
      <w:szCs w:val="24"/>
    </w:rPr>
  </w:style>
  <w:style w:type="paragraph" w:styleId="5">
    <w:name w:val="heading 4"/>
    <w:basedOn w:val="1"/>
    <w:next w:val="1"/>
    <w:link w:val="30"/>
    <w:semiHidden/>
    <w:unhideWhenUsed/>
    <w:qFormat/>
    <w:uiPriority w:val="9"/>
    <w:pPr>
      <w:keepNext/>
      <w:keepLines/>
      <w:spacing w:before="80" w:after="0"/>
      <w:outlineLvl w:val="3"/>
    </w:pPr>
    <w:rPr>
      <w:rFonts w:asciiTheme="majorHAnsi" w:hAnsiTheme="majorHAnsi" w:eastAsiaTheme="majorEastAsia" w:cstheme="majorBidi"/>
      <w:color w:val="2683C6" w:themeColor="accent6"/>
      <w:sz w:val="22"/>
      <w:szCs w:val="22"/>
      <w14:textFill>
        <w14:solidFill>
          <w14:schemeClr w14:val="accent6"/>
        </w14:solidFill>
      </w14:textFill>
    </w:rPr>
  </w:style>
  <w:style w:type="paragraph" w:styleId="6">
    <w:name w:val="heading 5"/>
    <w:basedOn w:val="1"/>
    <w:next w:val="1"/>
    <w:link w:val="31"/>
    <w:semiHidden/>
    <w:unhideWhenUsed/>
    <w:qFormat/>
    <w:uiPriority w:val="9"/>
    <w:pPr>
      <w:keepNext/>
      <w:keepLines/>
      <w:spacing w:before="40" w:after="0"/>
      <w:outlineLvl w:val="4"/>
    </w:pPr>
    <w:rPr>
      <w:rFonts w:asciiTheme="majorHAnsi" w:hAnsiTheme="majorHAnsi" w:eastAsiaTheme="majorEastAsia" w:cstheme="majorBidi"/>
      <w:i/>
      <w:iCs/>
      <w:color w:val="2683C6" w:themeColor="accent6"/>
      <w:sz w:val="22"/>
      <w:szCs w:val="22"/>
      <w14:textFill>
        <w14:solidFill>
          <w14:schemeClr w14:val="accent6"/>
        </w14:solidFill>
      </w14:textFill>
    </w:rPr>
  </w:style>
  <w:style w:type="paragraph" w:styleId="7">
    <w:name w:val="heading 6"/>
    <w:basedOn w:val="1"/>
    <w:next w:val="1"/>
    <w:link w:val="32"/>
    <w:semiHidden/>
    <w:unhideWhenUsed/>
    <w:qFormat/>
    <w:uiPriority w:val="9"/>
    <w:pPr>
      <w:keepNext/>
      <w:keepLines/>
      <w:spacing w:before="40" w:after="0"/>
      <w:outlineLvl w:val="5"/>
    </w:pPr>
    <w:rPr>
      <w:rFonts w:asciiTheme="majorHAnsi" w:hAnsiTheme="majorHAnsi" w:eastAsiaTheme="majorEastAsia" w:cstheme="majorBidi"/>
      <w:color w:val="2683C6" w:themeColor="accent6"/>
      <w14:textFill>
        <w14:solidFill>
          <w14:schemeClr w14:val="accent6"/>
        </w14:solidFill>
      </w14:textFill>
    </w:rPr>
  </w:style>
  <w:style w:type="paragraph" w:styleId="8">
    <w:name w:val="heading 7"/>
    <w:basedOn w:val="1"/>
    <w:next w:val="1"/>
    <w:link w:val="33"/>
    <w:semiHidden/>
    <w:unhideWhenUsed/>
    <w:qFormat/>
    <w:uiPriority w:val="9"/>
    <w:pPr>
      <w:keepNext/>
      <w:keepLines/>
      <w:spacing w:before="40" w:after="0"/>
      <w:outlineLvl w:val="6"/>
    </w:pPr>
    <w:rPr>
      <w:rFonts w:asciiTheme="majorHAnsi" w:hAnsiTheme="majorHAnsi" w:eastAsiaTheme="majorEastAsia" w:cstheme="majorBidi"/>
      <w:b/>
      <w:bCs/>
      <w:color w:val="2683C6" w:themeColor="accent6"/>
      <w14:textFill>
        <w14:solidFill>
          <w14:schemeClr w14:val="accent6"/>
        </w14:solidFill>
      </w14:textFill>
    </w:rPr>
  </w:style>
  <w:style w:type="paragraph" w:styleId="9">
    <w:name w:val="heading 8"/>
    <w:basedOn w:val="1"/>
    <w:next w:val="1"/>
    <w:link w:val="34"/>
    <w:semiHidden/>
    <w:unhideWhenUsed/>
    <w:qFormat/>
    <w:uiPriority w:val="9"/>
    <w:pPr>
      <w:keepNext/>
      <w:keepLines/>
      <w:spacing w:before="40" w:after="0"/>
      <w:outlineLvl w:val="7"/>
    </w:pPr>
    <w:rPr>
      <w:rFonts w:asciiTheme="majorHAnsi" w:hAnsiTheme="majorHAnsi" w:eastAsiaTheme="majorEastAsia" w:cstheme="majorBidi"/>
      <w:b/>
      <w:bCs/>
      <w:i/>
      <w:iCs/>
      <w:color w:val="2683C6" w:themeColor="accent6"/>
      <w:sz w:val="20"/>
      <w:szCs w:val="20"/>
      <w14:textFill>
        <w14:solidFill>
          <w14:schemeClr w14:val="accent6"/>
        </w14:solidFill>
      </w14:textFill>
    </w:rPr>
  </w:style>
  <w:style w:type="paragraph" w:styleId="10">
    <w:name w:val="heading 9"/>
    <w:basedOn w:val="1"/>
    <w:next w:val="1"/>
    <w:link w:val="35"/>
    <w:semiHidden/>
    <w:unhideWhenUsed/>
    <w:qFormat/>
    <w:uiPriority w:val="9"/>
    <w:pPr>
      <w:keepNext/>
      <w:keepLines/>
      <w:spacing w:before="40" w:after="0"/>
      <w:outlineLvl w:val="8"/>
    </w:pPr>
    <w:rPr>
      <w:rFonts w:asciiTheme="majorHAnsi" w:hAnsiTheme="majorHAnsi" w:eastAsiaTheme="majorEastAsia" w:cstheme="majorBidi"/>
      <w:i/>
      <w:iCs/>
      <w:color w:val="2683C6" w:themeColor="accent6"/>
      <w:sz w:val="20"/>
      <w:szCs w:val="20"/>
      <w14:textFill>
        <w14:solidFill>
          <w14:schemeClr w14:val="accent6"/>
        </w14:solidFill>
      </w14:textFill>
    </w:rPr>
  </w:style>
  <w:style w:type="character" w:default="1" w:styleId="22">
    <w:name w:val="Default Paragraph Font"/>
    <w:semiHidden/>
    <w:unhideWhenUsed/>
    <w:qFormat/>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pPr>
      <w:spacing w:line="240" w:lineRule="auto"/>
    </w:pPr>
    <w:rPr>
      <w:b/>
      <w:bCs/>
      <w:smallCaps/>
      <w:color w:val="595959" w:themeColor="text1" w:themeTint="A6"/>
      <w14:textFill>
        <w14:solidFill>
          <w14:schemeClr w14:val="tx1">
            <w14:lumMod w14:val="65000"/>
            <w14:lumOff w14:val="35000"/>
          </w14:schemeClr>
        </w14:solidFill>
      </w14:textFill>
    </w:rPr>
  </w:style>
  <w:style w:type="paragraph" w:styleId="12">
    <w:name w:val="toc 3"/>
    <w:basedOn w:val="1"/>
    <w:next w:val="1"/>
    <w:unhideWhenUsed/>
    <w:uiPriority w:val="39"/>
    <w:pPr>
      <w:ind w:left="840" w:leftChars="400"/>
    </w:pPr>
  </w:style>
  <w:style w:type="paragraph" w:styleId="13">
    <w:name w:val="footer"/>
    <w:basedOn w:val="1"/>
    <w:link w:val="52"/>
    <w:unhideWhenUsed/>
    <w:qFormat/>
    <w:uiPriority w:val="99"/>
    <w:pPr>
      <w:tabs>
        <w:tab w:val="center" w:pos="4153"/>
        <w:tab w:val="right" w:pos="8306"/>
      </w:tabs>
      <w:snapToGrid w:val="0"/>
      <w:spacing w:line="240" w:lineRule="auto"/>
    </w:pPr>
    <w:rPr>
      <w:sz w:val="18"/>
      <w:szCs w:val="18"/>
    </w:rPr>
  </w:style>
  <w:style w:type="paragraph" w:styleId="14">
    <w:name w:val="header"/>
    <w:basedOn w:val="1"/>
    <w:link w:val="5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5">
    <w:name w:val="toc 1"/>
    <w:basedOn w:val="1"/>
    <w:next w:val="1"/>
    <w:unhideWhenUsed/>
    <w:uiPriority w:val="39"/>
  </w:style>
  <w:style w:type="paragraph" w:styleId="16">
    <w:name w:val="Subtitle"/>
    <w:basedOn w:val="1"/>
    <w:next w:val="1"/>
    <w:link w:val="37"/>
    <w:qFormat/>
    <w:uiPriority w:val="11"/>
    <w:pPr>
      <w:spacing w:line="240" w:lineRule="auto"/>
    </w:pPr>
    <w:rPr>
      <w:rFonts w:asciiTheme="majorHAnsi" w:hAnsiTheme="majorHAnsi" w:eastAsiaTheme="majorEastAsia" w:cstheme="majorBidi"/>
      <w:sz w:val="30"/>
      <w:szCs w:val="30"/>
    </w:rPr>
  </w:style>
  <w:style w:type="paragraph" w:styleId="17">
    <w:name w:val="footnote text"/>
    <w:basedOn w:val="1"/>
    <w:link w:val="50"/>
    <w:semiHidden/>
    <w:unhideWhenUsed/>
    <w:qFormat/>
    <w:uiPriority w:val="99"/>
    <w:pPr>
      <w:snapToGrid w:val="0"/>
    </w:pPr>
    <w:rPr>
      <w:sz w:val="18"/>
      <w:szCs w:val="18"/>
    </w:rPr>
  </w:style>
  <w:style w:type="paragraph" w:styleId="18">
    <w:name w:val="toc 2"/>
    <w:basedOn w:val="1"/>
    <w:next w:val="1"/>
    <w:unhideWhenUsed/>
    <w:uiPriority w:val="39"/>
    <w:pPr>
      <w:ind w:left="420" w:leftChars="200"/>
    </w:pPr>
  </w:style>
  <w:style w:type="paragraph" w:styleId="19">
    <w:name w:val="Title"/>
    <w:basedOn w:val="1"/>
    <w:next w:val="1"/>
    <w:link w:val="36"/>
    <w:qFormat/>
    <w:uiPriority w:val="10"/>
    <w:pPr>
      <w:spacing w:after="0" w:line="240" w:lineRule="auto"/>
      <w:contextualSpacing/>
    </w:pPr>
    <w:rPr>
      <w:rFonts w:asciiTheme="majorHAnsi" w:hAnsiTheme="majorHAnsi" w:eastAsiaTheme="majorEastAsia" w:cstheme="majorBidi"/>
      <w:color w:val="262626" w:themeColor="text1" w:themeTint="D9"/>
      <w:spacing w:val="-15"/>
      <w:sz w:val="96"/>
      <w:szCs w:val="96"/>
      <w14:textFill>
        <w14:solidFill>
          <w14:schemeClr w14:val="tx1">
            <w14:lumMod w14:val="85000"/>
            <w14:lumOff w14:val="15000"/>
          </w14:schemeClr>
        </w14:solidFill>
      </w14:textFill>
    </w:rPr>
  </w:style>
  <w:style w:type="table" w:styleId="21">
    <w:name w:val="Table Grid"/>
    <w:basedOn w:val="2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Emphasis"/>
    <w:basedOn w:val="22"/>
    <w:qFormat/>
    <w:uiPriority w:val="20"/>
    <w:rPr>
      <w:i/>
      <w:iCs/>
      <w:color w:val="2683C6" w:themeColor="accent6"/>
      <w14:textFill>
        <w14:solidFill>
          <w14:schemeClr w14:val="accent6"/>
        </w14:solidFill>
      </w14:textFill>
    </w:rPr>
  </w:style>
  <w:style w:type="character" w:styleId="25">
    <w:name w:val="Hyperlink"/>
    <w:basedOn w:val="22"/>
    <w:unhideWhenUsed/>
    <w:qFormat/>
    <w:uiPriority w:val="99"/>
    <w:rPr>
      <w:color w:val="6B9F25" w:themeColor="hyperlink"/>
      <w:u w:val="single"/>
      <w14:textFill>
        <w14:solidFill>
          <w14:schemeClr w14:val="hlink"/>
        </w14:solidFill>
      </w14:textFill>
    </w:rPr>
  </w:style>
  <w:style w:type="character" w:styleId="26">
    <w:name w:val="footnote reference"/>
    <w:basedOn w:val="22"/>
    <w:semiHidden/>
    <w:unhideWhenUsed/>
    <w:uiPriority w:val="99"/>
    <w:rPr>
      <w:vertAlign w:val="superscript"/>
    </w:rPr>
  </w:style>
  <w:style w:type="character" w:customStyle="1" w:styleId="27">
    <w:name w:val="标题 1 字符"/>
    <w:basedOn w:val="22"/>
    <w:link w:val="2"/>
    <w:uiPriority w:val="9"/>
    <w:rPr>
      <w:rFonts w:asciiTheme="majorHAnsi" w:hAnsiTheme="majorHAnsi" w:eastAsiaTheme="majorEastAsia" w:cstheme="majorBidi"/>
      <w:color w:val="1D6295" w:themeColor="accent6" w:themeShade="BF"/>
      <w:sz w:val="40"/>
      <w:szCs w:val="40"/>
    </w:rPr>
  </w:style>
  <w:style w:type="character" w:customStyle="1" w:styleId="28">
    <w:name w:val="标题 2 字符"/>
    <w:basedOn w:val="22"/>
    <w:link w:val="3"/>
    <w:uiPriority w:val="9"/>
    <w:rPr>
      <w:rFonts w:asciiTheme="majorHAnsi" w:hAnsiTheme="majorHAnsi" w:eastAsiaTheme="majorEastAsia" w:cstheme="majorBidi"/>
      <w:color w:val="1D6295" w:themeColor="accent6" w:themeShade="BF"/>
      <w:sz w:val="28"/>
      <w:szCs w:val="28"/>
    </w:rPr>
  </w:style>
  <w:style w:type="character" w:customStyle="1" w:styleId="29">
    <w:name w:val="标题 3 字符"/>
    <w:basedOn w:val="22"/>
    <w:link w:val="4"/>
    <w:qFormat/>
    <w:uiPriority w:val="9"/>
    <w:rPr>
      <w:rFonts w:asciiTheme="majorHAnsi" w:hAnsiTheme="majorHAnsi" w:eastAsiaTheme="majorEastAsia" w:cstheme="majorBidi"/>
      <w:color w:val="1D6295" w:themeColor="accent6" w:themeShade="BF"/>
      <w:sz w:val="24"/>
      <w:szCs w:val="24"/>
    </w:rPr>
  </w:style>
  <w:style w:type="character" w:customStyle="1" w:styleId="30">
    <w:name w:val="标题 4 字符"/>
    <w:basedOn w:val="22"/>
    <w:link w:val="5"/>
    <w:semiHidden/>
    <w:uiPriority w:val="9"/>
    <w:rPr>
      <w:rFonts w:asciiTheme="majorHAnsi" w:hAnsiTheme="majorHAnsi" w:eastAsiaTheme="majorEastAsia" w:cstheme="majorBidi"/>
      <w:color w:val="2683C6" w:themeColor="accent6"/>
      <w:sz w:val="22"/>
      <w:szCs w:val="22"/>
      <w14:textFill>
        <w14:solidFill>
          <w14:schemeClr w14:val="accent6"/>
        </w14:solidFill>
      </w14:textFill>
    </w:rPr>
  </w:style>
  <w:style w:type="character" w:customStyle="1" w:styleId="31">
    <w:name w:val="标题 5 字符"/>
    <w:basedOn w:val="22"/>
    <w:link w:val="6"/>
    <w:semiHidden/>
    <w:uiPriority w:val="9"/>
    <w:rPr>
      <w:rFonts w:asciiTheme="majorHAnsi" w:hAnsiTheme="majorHAnsi" w:eastAsiaTheme="majorEastAsia" w:cstheme="majorBidi"/>
      <w:i/>
      <w:iCs/>
      <w:color w:val="2683C6" w:themeColor="accent6"/>
      <w:sz w:val="22"/>
      <w:szCs w:val="22"/>
      <w14:textFill>
        <w14:solidFill>
          <w14:schemeClr w14:val="accent6"/>
        </w14:solidFill>
      </w14:textFill>
    </w:rPr>
  </w:style>
  <w:style w:type="character" w:customStyle="1" w:styleId="32">
    <w:name w:val="标题 6 字符"/>
    <w:basedOn w:val="22"/>
    <w:link w:val="7"/>
    <w:semiHidden/>
    <w:uiPriority w:val="9"/>
    <w:rPr>
      <w:rFonts w:asciiTheme="majorHAnsi" w:hAnsiTheme="majorHAnsi" w:eastAsiaTheme="majorEastAsia" w:cstheme="majorBidi"/>
      <w:color w:val="2683C6" w:themeColor="accent6"/>
      <w14:textFill>
        <w14:solidFill>
          <w14:schemeClr w14:val="accent6"/>
        </w14:solidFill>
      </w14:textFill>
    </w:rPr>
  </w:style>
  <w:style w:type="character" w:customStyle="1" w:styleId="33">
    <w:name w:val="标题 7 字符"/>
    <w:basedOn w:val="22"/>
    <w:link w:val="8"/>
    <w:semiHidden/>
    <w:uiPriority w:val="9"/>
    <w:rPr>
      <w:rFonts w:asciiTheme="majorHAnsi" w:hAnsiTheme="majorHAnsi" w:eastAsiaTheme="majorEastAsia" w:cstheme="majorBidi"/>
      <w:b/>
      <w:bCs/>
      <w:color w:val="2683C6" w:themeColor="accent6"/>
      <w14:textFill>
        <w14:solidFill>
          <w14:schemeClr w14:val="accent6"/>
        </w14:solidFill>
      </w14:textFill>
    </w:rPr>
  </w:style>
  <w:style w:type="character" w:customStyle="1" w:styleId="34">
    <w:name w:val="标题 8 字符"/>
    <w:basedOn w:val="22"/>
    <w:link w:val="9"/>
    <w:semiHidden/>
    <w:uiPriority w:val="9"/>
    <w:rPr>
      <w:rFonts w:asciiTheme="majorHAnsi" w:hAnsiTheme="majorHAnsi" w:eastAsiaTheme="majorEastAsia" w:cstheme="majorBidi"/>
      <w:b/>
      <w:bCs/>
      <w:i/>
      <w:iCs/>
      <w:color w:val="2683C6" w:themeColor="accent6"/>
      <w:sz w:val="20"/>
      <w:szCs w:val="20"/>
      <w14:textFill>
        <w14:solidFill>
          <w14:schemeClr w14:val="accent6"/>
        </w14:solidFill>
      </w14:textFill>
    </w:rPr>
  </w:style>
  <w:style w:type="character" w:customStyle="1" w:styleId="35">
    <w:name w:val="标题 9 字符"/>
    <w:basedOn w:val="22"/>
    <w:link w:val="10"/>
    <w:semiHidden/>
    <w:uiPriority w:val="9"/>
    <w:rPr>
      <w:rFonts w:asciiTheme="majorHAnsi" w:hAnsiTheme="majorHAnsi" w:eastAsiaTheme="majorEastAsia" w:cstheme="majorBidi"/>
      <w:i/>
      <w:iCs/>
      <w:color w:val="2683C6" w:themeColor="accent6"/>
      <w:sz w:val="20"/>
      <w:szCs w:val="20"/>
      <w14:textFill>
        <w14:solidFill>
          <w14:schemeClr w14:val="accent6"/>
        </w14:solidFill>
      </w14:textFill>
    </w:rPr>
  </w:style>
  <w:style w:type="character" w:customStyle="1" w:styleId="36">
    <w:name w:val="标题 字符"/>
    <w:basedOn w:val="22"/>
    <w:link w:val="19"/>
    <w:uiPriority w:val="10"/>
    <w:rPr>
      <w:rFonts w:asciiTheme="majorHAnsi" w:hAnsiTheme="majorHAnsi" w:eastAsiaTheme="majorEastAsia" w:cstheme="majorBidi"/>
      <w:color w:val="262626" w:themeColor="text1" w:themeTint="D9"/>
      <w:spacing w:val="-15"/>
      <w:sz w:val="96"/>
      <w:szCs w:val="96"/>
      <w14:textFill>
        <w14:solidFill>
          <w14:schemeClr w14:val="tx1">
            <w14:lumMod w14:val="85000"/>
            <w14:lumOff w14:val="15000"/>
          </w14:schemeClr>
        </w14:solidFill>
      </w14:textFill>
    </w:rPr>
  </w:style>
  <w:style w:type="character" w:customStyle="1" w:styleId="37">
    <w:name w:val="副标题 字符"/>
    <w:basedOn w:val="22"/>
    <w:link w:val="16"/>
    <w:uiPriority w:val="11"/>
    <w:rPr>
      <w:rFonts w:asciiTheme="majorHAnsi" w:hAnsiTheme="majorHAnsi" w:eastAsiaTheme="majorEastAsia" w:cstheme="majorBidi"/>
      <w:sz w:val="30"/>
      <w:szCs w:val="30"/>
    </w:rPr>
  </w:style>
  <w:style w:type="paragraph" w:styleId="38">
    <w:name w:val="No Spacing"/>
    <w:qFormat/>
    <w:uiPriority w:val="1"/>
    <w:pPr>
      <w:spacing w:after="0" w:line="240" w:lineRule="auto"/>
    </w:pPr>
    <w:rPr>
      <w:rFonts w:asciiTheme="minorHAnsi" w:hAnsiTheme="minorHAnsi" w:eastAsiaTheme="minorEastAsia" w:cstheme="minorBidi"/>
      <w:sz w:val="21"/>
      <w:szCs w:val="21"/>
      <w:lang w:val="en-US" w:eastAsia="zh-CN" w:bidi="ar-SA"/>
    </w:rPr>
  </w:style>
  <w:style w:type="paragraph" w:styleId="39">
    <w:name w:val="Quote"/>
    <w:basedOn w:val="1"/>
    <w:next w:val="1"/>
    <w:link w:val="40"/>
    <w:qFormat/>
    <w:uiPriority w:val="29"/>
    <w:pPr>
      <w:spacing w:before="160"/>
      <w:ind w:left="720" w:right="720"/>
      <w:jc w:val="center"/>
    </w:pPr>
    <w:rPr>
      <w:i/>
      <w:iCs/>
      <w:color w:val="262626" w:themeColor="text1" w:themeTint="D9"/>
      <w14:textFill>
        <w14:solidFill>
          <w14:schemeClr w14:val="tx1">
            <w14:lumMod w14:val="85000"/>
            <w14:lumOff w14:val="15000"/>
          </w14:schemeClr>
        </w14:solidFill>
      </w14:textFill>
    </w:rPr>
  </w:style>
  <w:style w:type="character" w:customStyle="1" w:styleId="40">
    <w:name w:val="引用 字符"/>
    <w:basedOn w:val="22"/>
    <w:link w:val="39"/>
    <w:uiPriority w:val="29"/>
    <w:rPr>
      <w:i/>
      <w:iCs/>
      <w:color w:val="262626" w:themeColor="text1" w:themeTint="D9"/>
      <w14:textFill>
        <w14:solidFill>
          <w14:schemeClr w14:val="tx1">
            <w14:lumMod w14:val="85000"/>
            <w14:lumOff w14:val="15000"/>
          </w14:schemeClr>
        </w14:solidFill>
      </w14:textFill>
    </w:rPr>
  </w:style>
  <w:style w:type="paragraph" w:styleId="41">
    <w:name w:val="Intense Quote"/>
    <w:basedOn w:val="1"/>
    <w:next w:val="1"/>
    <w:link w:val="42"/>
    <w:qFormat/>
    <w:uiPriority w:val="30"/>
    <w:pPr>
      <w:spacing w:before="160" w:after="160" w:line="264" w:lineRule="auto"/>
      <w:ind w:left="720" w:right="720"/>
      <w:jc w:val="center"/>
    </w:pPr>
    <w:rPr>
      <w:rFonts w:asciiTheme="majorHAnsi" w:hAnsiTheme="majorHAnsi" w:eastAsiaTheme="majorEastAsia" w:cstheme="majorBidi"/>
      <w:i/>
      <w:iCs/>
      <w:color w:val="2683C6" w:themeColor="accent6"/>
      <w:sz w:val="32"/>
      <w:szCs w:val="32"/>
      <w14:textFill>
        <w14:solidFill>
          <w14:schemeClr w14:val="accent6"/>
        </w14:solidFill>
      </w14:textFill>
    </w:rPr>
  </w:style>
  <w:style w:type="character" w:customStyle="1" w:styleId="42">
    <w:name w:val="明显引用 字符"/>
    <w:basedOn w:val="22"/>
    <w:link w:val="41"/>
    <w:uiPriority w:val="30"/>
    <w:rPr>
      <w:rFonts w:asciiTheme="majorHAnsi" w:hAnsiTheme="majorHAnsi" w:eastAsiaTheme="majorEastAsia" w:cstheme="majorBidi"/>
      <w:i/>
      <w:iCs/>
      <w:color w:val="2683C6" w:themeColor="accent6"/>
      <w:sz w:val="32"/>
      <w:szCs w:val="32"/>
      <w14:textFill>
        <w14:solidFill>
          <w14:schemeClr w14:val="accent6"/>
        </w14:solidFill>
      </w14:textFill>
    </w:rPr>
  </w:style>
  <w:style w:type="character" w:customStyle="1" w:styleId="43">
    <w:name w:val="Subtle Emphasis"/>
    <w:basedOn w:val="22"/>
    <w:qFormat/>
    <w:uiPriority w:val="19"/>
    <w:rPr>
      <w:i/>
      <w:iCs/>
    </w:rPr>
  </w:style>
  <w:style w:type="character" w:customStyle="1" w:styleId="44">
    <w:name w:val="Intense Emphasis"/>
    <w:basedOn w:val="22"/>
    <w:qFormat/>
    <w:uiPriority w:val="21"/>
    <w:rPr>
      <w:b/>
      <w:bCs/>
      <w:i/>
      <w:iCs/>
    </w:rPr>
  </w:style>
  <w:style w:type="character" w:customStyle="1" w:styleId="45">
    <w:name w:val="Subtle Reference"/>
    <w:basedOn w:val="22"/>
    <w:qFormat/>
    <w:uiPriority w:val="31"/>
    <w:rPr>
      <w:smallCaps/>
      <w:color w:val="595959" w:themeColor="text1" w:themeTint="A6"/>
      <w14:textFill>
        <w14:solidFill>
          <w14:schemeClr w14:val="tx1">
            <w14:lumMod w14:val="65000"/>
            <w14:lumOff w14:val="35000"/>
          </w14:schemeClr>
        </w14:solidFill>
      </w14:textFill>
    </w:rPr>
  </w:style>
  <w:style w:type="character" w:customStyle="1" w:styleId="46">
    <w:name w:val="Intense Reference"/>
    <w:basedOn w:val="22"/>
    <w:qFormat/>
    <w:uiPriority w:val="32"/>
    <w:rPr>
      <w:b/>
      <w:bCs/>
      <w:smallCaps/>
      <w:color w:val="2683C6" w:themeColor="accent6"/>
      <w14:textFill>
        <w14:solidFill>
          <w14:schemeClr w14:val="accent6"/>
        </w14:solidFill>
      </w14:textFill>
    </w:rPr>
  </w:style>
  <w:style w:type="character" w:customStyle="1" w:styleId="47">
    <w:name w:val="Book Title"/>
    <w:basedOn w:val="22"/>
    <w:qFormat/>
    <w:uiPriority w:val="33"/>
    <w:rPr>
      <w:b/>
      <w:bCs/>
      <w:smallCaps/>
      <w:spacing w:val="7"/>
      <w:sz w:val="21"/>
      <w:szCs w:val="21"/>
    </w:rPr>
  </w:style>
  <w:style w:type="paragraph" w:customStyle="1" w:styleId="48">
    <w:name w:val="TOC Heading"/>
    <w:basedOn w:val="2"/>
    <w:next w:val="1"/>
    <w:unhideWhenUsed/>
    <w:qFormat/>
    <w:uiPriority w:val="39"/>
    <w:pPr>
      <w:outlineLvl w:val="9"/>
    </w:pPr>
  </w:style>
  <w:style w:type="paragraph" w:styleId="49">
    <w:name w:val="List Paragraph"/>
    <w:basedOn w:val="1"/>
    <w:qFormat/>
    <w:uiPriority w:val="34"/>
    <w:pPr>
      <w:ind w:firstLine="420" w:firstLineChars="200"/>
    </w:pPr>
  </w:style>
  <w:style w:type="character" w:customStyle="1" w:styleId="50">
    <w:name w:val="脚注文本 字符"/>
    <w:basedOn w:val="22"/>
    <w:link w:val="17"/>
    <w:semiHidden/>
    <w:qFormat/>
    <w:uiPriority w:val="99"/>
    <w:rPr>
      <w:sz w:val="18"/>
      <w:szCs w:val="18"/>
    </w:rPr>
  </w:style>
  <w:style w:type="character" w:customStyle="1" w:styleId="51">
    <w:name w:val="页眉 字符"/>
    <w:basedOn w:val="22"/>
    <w:link w:val="14"/>
    <w:uiPriority w:val="99"/>
    <w:rPr>
      <w:sz w:val="18"/>
      <w:szCs w:val="18"/>
    </w:rPr>
  </w:style>
  <w:style w:type="character" w:customStyle="1" w:styleId="52">
    <w:name w:val="页脚 字符"/>
    <w:basedOn w:val="22"/>
    <w:link w:val="13"/>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emf"/><Relationship Id="rId11" Type="http://schemas.openxmlformats.org/officeDocument/2006/relationships/image" Target="media/image4.emf"/><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蓝绿色">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97C02C-194B-46C1-B299-58DE07837DA5}">
  <ds:schemaRefs/>
</ds:datastoreItem>
</file>

<file path=docProps/app.xml><?xml version="1.0" encoding="utf-8"?>
<Properties xmlns="http://schemas.openxmlformats.org/officeDocument/2006/extended-properties" xmlns:vt="http://schemas.openxmlformats.org/officeDocument/2006/docPropsVTypes">
  <Template>Normal</Template>
  <Pages>16</Pages>
  <Words>10310</Words>
  <Characters>58771</Characters>
  <Lines>489</Lines>
  <Paragraphs>137</Paragraphs>
  <TotalTime>2</TotalTime>
  <ScaleCrop>false</ScaleCrop>
  <LinksUpToDate>false</LinksUpToDate>
  <CharactersWithSpaces>68944</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2022-03-18T08:56:00Z</dcterms:created>
  <dc:creator>admin admin</dc:creator>
  <cp:lastModifiedBy>Lenovo</cp:lastModifiedBy>
  <dcterms:modified xsi:type="dcterms:W3CDTF">2022-03-18T21:26:47Z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http://www.zotero.org/styles/chicago-fullnote-bibliography</vt:lpwstr>
  </property>
  <property fmtid="{D5CDD505-2E9C-101B-9397-08002B2CF9AE}" pid="9" name="Mendeley Recent Style Name 3_1">
    <vt:lpwstr>Chicago Manual of Style 17th edition (full note)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http://www.zotero.org/styles/harvard-coventry-university</vt:lpwstr>
  </property>
  <property fmtid="{D5CDD505-2E9C-101B-9397-08002B2CF9AE}" pid="13" name="Mendeley Recent Style Name 5_1">
    <vt:lpwstr>Coventry University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http://www.zotero.org/styles/harvard-university-of-leeds</vt:lpwstr>
  </property>
  <property fmtid="{D5CDD505-2E9C-101B-9397-08002B2CF9AE}" pid="19" name="Mendeley Recent Style Name 8_1">
    <vt:lpwstr>University of Leeds - Harvard</vt:lpwstr>
  </property>
  <property fmtid="{D5CDD505-2E9C-101B-9397-08002B2CF9AE}" pid="20" name="Mendeley Recent Style Id 9_1">
    <vt:lpwstr>http://www.zotero.org/styles/harvard-university-of-westminster</vt:lpwstr>
  </property>
  <property fmtid="{D5CDD505-2E9C-101B-9397-08002B2CF9AE}" pid="21" name="Mendeley Recent Style Name 9_1">
    <vt:lpwstr>University of Westminster - Harvard</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y fmtid="{D5CDD505-2E9C-101B-9397-08002B2CF9AE}" pid="25" name="KSOProductBuildVer">
    <vt:lpwstr>2052-11.1.0.11365</vt:lpwstr>
  </property>
  <property fmtid="{D5CDD505-2E9C-101B-9397-08002B2CF9AE}" pid="26" name="ICV">
    <vt:lpwstr>3371F0DF8CD94F4B8FBFBFCB851414A8</vt:lpwstr>
  </property>
</Properties>
</file>