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521E9A" w14:textId="77777777" w:rsidR="000F434A" w:rsidRPr="000F434A" w:rsidRDefault="000F434A" w:rsidP="000F434A">
      <w:pPr>
        <w:spacing w:before="240" w:after="240" w:line="240" w:lineRule="auto"/>
        <w:jc w:val="center"/>
        <w:rPr>
          <w:rFonts w:ascii="Times New Roman" w:eastAsia="Times New Roman" w:hAnsi="Times New Roman" w:cs="Times New Roman"/>
          <w:color w:val="auto"/>
          <w:spacing w:val="0"/>
          <w:sz w:val="24"/>
          <w:szCs w:val="24"/>
          <w:lang w:eastAsia="en-GB"/>
        </w:rPr>
      </w:pPr>
      <w:r w:rsidRPr="000F434A">
        <w:rPr>
          <w:rFonts w:ascii="Arial" w:eastAsia="Times New Roman" w:hAnsi="Arial"/>
          <w:color w:val="000000"/>
          <w:spacing w:val="0"/>
          <w:sz w:val="22"/>
          <w:szCs w:val="22"/>
          <w:u w:val="single"/>
          <w:lang w:eastAsia="en-GB"/>
        </w:rPr>
        <w:t>Agency and symbol in depictions of Anubis: Understanding Anubis through his dual depictions in myth and iconography (3500 words)</w:t>
      </w:r>
    </w:p>
    <w:p w14:paraId="3A6CBCDB" w14:textId="77777777" w:rsidR="000F434A" w:rsidRPr="000F434A" w:rsidRDefault="000F434A" w:rsidP="000F434A">
      <w:pPr>
        <w:spacing w:before="240" w:after="24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b/>
          <w:bCs/>
          <w:color w:val="000000"/>
          <w:spacing w:val="0"/>
          <w:sz w:val="22"/>
          <w:szCs w:val="22"/>
          <w:lang w:eastAsia="en-GB"/>
        </w:rPr>
        <w:t>Introduction</w:t>
      </w:r>
    </w:p>
    <w:p w14:paraId="7895FF43" w14:textId="06F3F1F6" w:rsidR="000F434A" w:rsidRPr="000F434A" w:rsidRDefault="000F434A" w:rsidP="000F434A">
      <w:pPr>
        <w:spacing w:before="240" w:after="24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color w:val="000000"/>
          <w:spacing w:val="0"/>
          <w:sz w:val="22"/>
          <w:szCs w:val="22"/>
          <w:lang w:eastAsia="en-GB"/>
        </w:rPr>
        <w:t>Anubis was the Ancient Egyptian jackal headed god of the dead.</w:t>
      </w:r>
      <w:r w:rsidR="006F7C27">
        <w:rPr>
          <w:rStyle w:val="FootnoteReference"/>
          <w:rFonts w:ascii="Arial" w:eastAsia="Times New Roman" w:hAnsi="Arial"/>
          <w:color w:val="000000"/>
          <w:spacing w:val="0"/>
          <w:sz w:val="22"/>
          <w:szCs w:val="22"/>
          <w:lang w:eastAsia="en-GB"/>
        </w:rPr>
        <w:footnoteReference w:id="1"/>
      </w:r>
      <w:r w:rsidRPr="000F434A">
        <w:rPr>
          <w:rFonts w:ascii="Arial" w:eastAsia="Times New Roman" w:hAnsi="Arial"/>
          <w:color w:val="000000"/>
          <w:spacing w:val="0"/>
          <w:sz w:val="22"/>
          <w:szCs w:val="22"/>
          <w:lang w:eastAsia="en-GB"/>
        </w:rPr>
        <w:t xml:space="preserve"> He was involved in the embalming process and guarded the gate to the underworld.</w:t>
      </w:r>
      <w:r w:rsidR="006F7C27">
        <w:rPr>
          <w:rStyle w:val="FootnoteReference"/>
          <w:rFonts w:ascii="Arial" w:eastAsia="Times New Roman" w:hAnsi="Arial"/>
          <w:color w:val="000000"/>
          <w:spacing w:val="0"/>
          <w:sz w:val="22"/>
          <w:szCs w:val="22"/>
          <w:lang w:eastAsia="en-GB"/>
        </w:rPr>
        <w:footnoteReference w:id="2"/>
      </w:r>
      <w:r w:rsidRPr="000F434A">
        <w:rPr>
          <w:rFonts w:ascii="Arial" w:eastAsia="Times New Roman" w:hAnsi="Arial"/>
          <w:color w:val="000000"/>
          <w:spacing w:val="0"/>
          <w:sz w:val="22"/>
          <w:szCs w:val="22"/>
          <w:lang w:eastAsia="en-GB"/>
        </w:rPr>
        <w:t xml:space="preserve"> He also judged the dead by weighing their heart against Ma’at, a feather representing the Ancient Egyptian concept of life.</w:t>
      </w:r>
      <w:r w:rsidR="006F7C27">
        <w:rPr>
          <w:rStyle w:val="FootnoteReference"/>
          <w:rFonts w:ascii="Arial" w:eastAsia="Times New Roman" w:hAnsi="Arial"/>
          <w:color w:val="000000"/>
          <w:spacing w:val="0"/>
          <w:sz w:val="22"/>
          <w:szCs w:val="22"/>
          <w:lang w:eastAsia="en-GB"/>
        </w:rPr>
        <w:footnoteReference w:id="3"/>
      </w:r>
      <w:r w:rsidRPr="000F434A">
        <w:rPr>
          <w:rFonts w:ascii="Arial" w:eastAsia="Times New Roman" w:hAnsi="Arial"/>
          <w:color w:val="000000"/>
          <w:spacing w:val="0"/>
          <w:sz w:val="22"/>
          <w:szCs w:val="22"/>
          <w:lang w:eastAsia="en-GB"/>
        </w:rPr>
        <w:t xml:space="preserve"> Dualism was key within Ancient Egyptian society as a way to understand the world. Ancient Egyptians placed the world into opposite, binary concepts.</w:t>
      </w:r>
      <w:r w:rsidR="006F7C27">
        <w:rPr>
          <w:rStyle w:val="FootnoteReference"/>
          <w:rFonts w:ascii="Arial" w:eastAsia="Times New Roman" w:hAnsi="Arial"/>
          <w:color w:val="000000"/>
          <w:spacing w:val="0"/>
          <w:sz w:val="22"/>
          <w:szCs w:val="22"/>
          <w:lang w:eastAsia="en-GB"/>
        </w:rPr>
        <w:footnoteReference w:id="4"/>
      </w:r>
      <w:r w:rsidRPr="000F434A">
        <w:rPr>
          <w:rFonts w:ascii="Arial" w:eastAsia="Times New Roman" w:hAnsi="Arial"/>
          <w:color w:val="000000"/>
          <w:spacing w:val="0"/>
          <w:sz w:val="22"/>
          <w:szCs w:val="22"/>
          <w:lang w:eastAsia="en-GB"/>
        </w:rPr>
        <w:t xml:space="preserve"> In order to understand how Anubis can help to explain duality within Ancient Egyptian religion one must first understand the animal-headed gods in the pantheon. The most important aspect to understand is why the gods would be shown with animal heads and what the significance of this was within the religion. Ancient Egyptians formed an understanding of their world from their experience of the environment that surrounded them. From observations of the landscape, there are a number of dual aspects that stand out such as the contrasting geography of the Nile as opposed to the desert, the yearly flood cycle of the Nile and the diurnal cycle of day and night. Ancient Egyptians saw the landscape in black and white, not in shades of grey. In the same way, Anubis and the other gods present and reflect these dual aspects that are a key feature of Ancient Egyptian belief systems. Depictions of Anubis in myth and iconography provide clues as to how to understand his role in the Ancient Egyptian belief system. Anubis is revealed as the guardian of the afterlife and gatekeeper between worlds. He oversees the journey undertaken by Ancient Egyptians in the ultimate rite of passage from death to the afterlife. He holds the power of judgement and therefore controls entry to the afterlife. Anubis is both human and animal, the same and different. He stands at the boundary between life and death. Anubis acts as an agent as part of a wider structure of beliefs. His repeated representations in </w:t>
      </w:r>
      <w:r w:rsidR="00DE2066" w:rsidRPr="000F434A">
        <w:rPr>
          <w:rFonts w:ascii="Arial" w:eastAsia="Times New Roman" w:hAnsi="Arial"/>
          <w:color w:val="000000"/>
          <w:spacing w:val="0"/>
          <w:sz w:val="22"/>
          <w:szCs w:val="22"/>
          <w:lang w:eastAsia="en-GB"/>
        </w:rPr>
        <w:t>statuary</w:t>
      </w:r>
      <w:r w:rsidRPr="000F434A">
        <w:rPr>
          <w:rFonts w:ascii="Arial" w:eastAsia="Times New Roman" w:hAnsi="Arial"/>
          <w:color w:val="000000"/>
          <w:spacing w:val="0"/>
          <w:sz w:val="22"/>
          <w:szCs w:val="22"/>
          <w:lang w:eastAsia="en-GB"/>
        </w:rPr>
        <w:t>, imagery and myths create, perpetuate</w:t>
      </w:r>
      <w:r w:rsidR="00DE2066">
        <w:rPr>
          <w:rFonts w:ascii="Arial" w:eastAsia="Times New Roman" w:hAnsi="Arial"/>
          <w:color w:val="000000"/>
          <w:spacing w:val="0"/>
          <w:sz w:val="22"/>
          <w:szCs w:val="22"/>
          <w:lang w:eastAsia="en-GB"/>
        </w:rPr>
        <w:t>,</w:t>
      </w:r>
      <w:r w:rsidRPr="000F434A">
        <w:rPr>
          <w:rFonts w:ascii="Arial" w:eastAsia="Times New Roman" w:hAnsi="Arial"/>
          <w:color w:val="000000"/>
          <w:spacing w:val="0"/>
          <w:sz w:val="22"/>
          <w:szCs w:val="22"/>
          <w:lang w:eastAsia="en-GB"/>
        </w:rPr>
        <w:t xml:space="preserve"> and reaffirm the belief system and cosmology of the Ancient Egyptians.</w:t>
      </w:r>
    </w:p>
    <w:p w14:paraId="2D6EA826" w14:textId="2ABF462D" w:rsidR="000F434A" w:rsidRPr="000F434A" w:rsidRDefault="000F434A" w:rsidP="000F434A">
      <w:pPr>
        <w:spacing w:before="240" w:after="24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color w:val="000000"/>
          <w:spacing w:val="0"/>
          <w:sz w:val="22"/>
          <w:szCs w:val="22"/>
          <w:lang w:eastAsia="en-GB"/>
        </w:rPr>
        <w:t>Anubis is part of a belief system that involves a rich cosmology, numerous deities and complex rights and forms of worship. It is important to have an understanding of his place within this system in order to address the questions about his role within the cosmology that this research asks. Baines, Lesko and Silverman have compiled research into Egyptian deities, cosmology and religious practises.</w:t>
      </w:r>
      <w:r w:rsidR="00D06FD3">
        <w:rPr>
          <w:rStyle w:val="FootnoteReference"/>
          <w:rFonts w:ascii="Arial" w:eastAsia="Times New Roman" w:hAnsi="Arial"/>
          <w:color w:val="000000"/>
          <w:spacing w:val="0"/>
          <w:sz w:val="22"/>
          <w:szCs w:val="22"/>
          <w:lang w:eastAsia="en-GB"/>
        </w:rPr>
        <w:footnoteReference w:id="5"/>
      </w:r>
      <w:r w:rsidRPr="000F434A">
        <w:rPr>
          <w:rFonts w:ascii="Arial" w:eastAsia="Times New Roman" w:hAnsi="Arial"/>
          <w:color w:val="000000"/>
          <w:spacing w:val="0"/>
          <w:sz w:val="22"/>
          <w:szCs w:val="22"/>
          <w:lang w:eastAsia="en-GB"/>
        </w:rPr>
        <w:t xml:space="preserve"> They argue that the gods of the Ancient </w:t>
      </w:r>
      <w:r w:rsidR="00DE2066" w:rsidRPr="000F434A">
        <w:rPr>
          <w:rFonts w:ascii="Arial" w:eastAsia="Times New Roman" w:hAnsi="Arial"/>
          <w:color w:val="000000"/>
          <w:spacing w:val="0"/>
          <w:sz w:val="22"/>
          <w:szCs w:val="22"/>
          <w:lang w:eastAsia="en-GB"/>
        </w:rPr>
        <w:t>Egyptian</w:t>
      </w:r>
      <w:r w:rsidRPr="000F434A">
        <w:rPr>
          <w:rFonts w:ascii="Arial" w:eastAsia="Times New Roman" w:hAnsi="Arial"/>
          <w:color w:val="000000"/>
          <w:spacing w:val="0"/>
          <w:sz w:val="22"/>
          <w:szCs w:val="22"/>
          <w:lang w:eastAsia="en-GB"/>
        </w:rPr>
        <w:t xml:space="preserve"> pantheon cannot be looked at individually without knowledge of the other deities. To understand one god, such as Anubis, the pantheon as a whole must be understood as the gods often overlap in their representations. A key insight from reading this work has been on the interconnectedness of the deities. </w:t>
      </w:r>
    </w:p>
    <w:p w14:paraId="0935888F" w14:textId="1DC7B11F" w:rsidR="000F434A" w:rsidRPr="000F434A" w:rsidRDefault="000F434A" w:rsidP="000F434A">
      <w:pPr>
        <w:spacing w:after="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color w:val="000000"/>
          <w:spacing w:val="0"/>
          <w:sz w:val="22"/>
          <w:szCs w:val="22"/>
          <w:lang w:eastAsia="en-GB"/>
        </w:rPr>
        <w:t xml:space="preserve">The origins of each god are </w:t>
      </w:r>
      <w:r w:rsidRPr="000F434A">
        <w:rPr>
          <w:rFonts w:ascii="Arial" w:eastAsia="Times New Roman" w:hAnsi="Arial"/>
          <w:color w:val="000000"/>
          <w:spacing w:val="0"/>
          <w:sz w:val="22"/>
          <w:szCs w:val="22"/>
          <w:lang w:eastAsia="en-GB"/>
        </w:rPr>
        <w:t>complex,</w:t>
      </w:r>
      <w:r w:rsidRPr="000F434A">
        <w:rPr>
          <w:rFonts w:ascii="Arial" w:eastAsia="Times New Roman" w:hAnsi="Arial"/>
          <w:color w:val="000000"/>
          <w:spacing w:val="0"/>
          <w:sz w:val="22"/>
          <w:szCs w:val="22"/>
          <w:lang w:eastAsia="en-GB"/>
        </w:rPr>
        <w:t xml:space="preserve"> and Pinch offers a rich knowledge of how each deity is linked to their roles through their origins.</w:t>
      </w:r>
      <w:r w:rsidR="00D06FD3">
        <w:rPr>
          <w:rStyle w:val="FootnoteReference"/>
          <w:rFonts w:ascii="Arial" w:eastAsia="Times New Roman" w:hAnsi="Arial"/>
          <w:color w:val="000000"/>
          <w:spacing w:val="0"/>
          <w:sz w:val="22"/>
          <w:szCs w:val="22"/>
          <w:lang w:eastAsia="en-GB"/>
        </w:rPr>
        <w:footnoteReference w:id="6"/>
      </w:r>
      <w:r w:rsidRPr="000F434A">
        <w:rPr>
          <w:rFonts w:ascii="Arial" w:eastAsia="Times New Roman" w:hAnsi="Arial"/>
          <w:color w:val="000000"/>
          <w:spacing w:val="0"/>
          <w:sz w:val="22"/>
          <w:szCs w:val="22"/>
          <w:lang w:eastAsia="en-GB"/>
        </w:rPr>
        <w:t xml:space="preserve"> In the case of </w:t>
      </w:r>
      <w:r w:rsidRPr="000F434A">
        <w:rPr>
          <w:rFonts w:ascii="Arial" w:eastAsia="Times New Roman" w:hAnsi="Arial"/>
          <w:color w:val="000000"/>
          <w:spacing w:val="0"/>
          <w:sz w:val="22"/>
          <w:szCs w:val="22"/>
          <w:lang w:eastAsia="en-GB"/>
        </w:rPr>
        <w:t>Anubis,</w:t>
      </w:r>
      <w:r w:rsidRPr="000F434A">
        <w:rPr>
          <w:rFonts w:ascii="Arial" w:eastAsia="Times New Roman" w:hAnsi="Arial"/>
          <w:color w:val="000000"/>
          <w:spacing w:val="0"/>
          <w:sz w:val="22"/>
          <w:szCs w:val="22"/>
          <w:lang w:eastAsia="en-GB"/>
        </w:rPr>
        <w:t xml:space="preserve"> she explains how the jackal representation was integral to his origin. The jackal is a carrion eater and would dig into shallow graves to eat the bodies buried there. Pinch explains that this was an issue for the Ancient Egyptians as this would destroy the bodies before they were able to move into the afterlife. As a way to combat this Anubis was given a jackal head, thus recruiting the jackal </w:t>
      </w:r>
      <w:r w:rsidRPr="000F434A">
        <w:rPr>
          <w:rFonts w:ascii="Arial" w:eastAsia="Times New Roman" w:hAnsi="Arial"/>
          <w:color w:val="000000"/>
          <w:spacing w:val="0"/>
          <w:sz w:val="22"/>
          <w:szCs w:val="22"/>
          <w:lang w:eastAsia="en-GB"/>
        </w:rPr>
        <w:lastRenderedPageBreak/>
        <w:t>as an agent for the ritual passage. This reasoning, Pinch suggests, could show how the concept of animal headed gods came into existence.</w:t>
      </w:r>
    </w:p>
    <w:p w14:paraId="65C485C0" w14:textId="77777777" w:rsidR="000F434A" w:rsidRPr="000F434A" w:rsidRDefault="000F434A" w:rsidP="000F434A">
      <w:pPr>
        <w:spacing w:after="0" w:line="240" w:lineRule="auto"/>
        <w:rPr>
          <w:rFonts w:ascii="Times New Roman" w:eastAsia="Times New Roman" w:hAnsi="Times New Roman" w:cs="Times New Roman"/>
          <w:color w:val="auto"/>
          <w:spacing w:val="0"/>
          <w:sz w:val="24"/>
          <w:szCs w:val="24"/>
          <w:lang w:eastAsia="en-GB"/>
        </w:rPr>
      </w:pPr>
    </w:p>
    <w:p w14:paraId="3F4C129B" w14:textId="09BB6C09" w:rsidR="000F434A" w:rsidRPr="000F434A" w:rsidRDefault="000F434A" w:rsidP="000F434A">
      <w:pPr>
        <w:spacing w:after="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color w:val="000000"/>
          <w:spacing w:val="0"/>
          <w:sz w:val="22"/>
          <w:szCs w:val="22"/>
          <w:lang w:eastAsia="en-GB"/>
        </w:rPr>
        <w:t xml:space="preserve">Concepts of duality and dualism are embedded in the iconography of Anubis. Lange, Meyers and Styers explain how the concept of dualism is used within religion of the ancient </w:t>
      </w:r>
      <w:r w:rsidR="00D06FD3">
        <w:rPr>
          <w:rFonts w:ascii="Arial" w:eastAsia="Times New Roman" w:hAnsi="Arial"/>
          <w:color w:val="000000"/>
          <w:spacing w:val="0"/>
          <w:sz w:val="22"/>
          <w:szCs w:val="22"/>
          <w:lang w:eastAsia="en-GB"/>
        </w:rPr>
        <w:t>M</w:t>
      </w:r>
      <w:r w:rsidRPr="000F434A">
        <w:rPr>
          <w:rFonts w:ascii="Arial" w:eastAsia="Times New Roman" w:hAnsi="Arial"/>
          <w:color w:val="000000"/>
          <w:spacing w:val="0"/>
          <w:sz w:val="22"/>
          <w:szCs w:val="22"/>
          <w:lang w:eastAsia="en-GB"/>
        </w:rPr>
        <w:t>editerranean.</w:t>
      </w:r>
      <w:r w:rsidR="00D06FD3">
        <w:rPr>
          <w:rStyle w:val="FootnoteReference"/>
          <w:rFonts w:ascii="Arial" w:eastAsia="Times New Roman" w:hAnsi="Arial"/>
          <w:color w:val="000000"/>
          <w:spacing w:val="0"/>
          <w:sz w:val="22"/>
          <w:szCs w:val="22"/>
          <w:lang w:eastAsia="en-GB"/>
        </w:rPr>
        <w:footnoteReference w:id="7"/>
      </w:r>
      <w:r w:rsidRPr="000F434A">
        <w:rPr>
          <w:rFonts w:ascii="Arial" w:eastAsia="Times New Roman" w:hAnsi="Arial"/>
          <w:color w:val="000000"/>
          <w:spacing w:val="0"/>
          <w:sz w:val="22"/>
          <w:szCs w:val="22"/>
          <w:lang w:eastAsia="en-GB"/>
        </w:rPr>
        <w:t xml:space="preserve"> Dualism is understood as two opposing concepts, for example good/evil, night/day. Within the context of Ancient Mediterranean religion dualism is seen in two ways. One is within each god and one is within the wider cosmology of the world. Each god has two sides within them, one that helps and one that hinders. These concepts are extended to the wider cosmology by having gods that primarily help and gods that primarily hinder. As well as this, the work looks into how depictions can show two aspects of a deity. When looking at Anubis this is helpful as it shows how his depictions show a dual representation of his jackal form and his human form rather than a single representation of a jackal headed man.</w:t>
      </w:r>
    </w:p>
    <w:p w14:paraId="6472A7D0" w14:textId="77777777" w:rsidR="000F434A" w:rsidRPr="000F434A" w:rsidRDefault="000F434A" w:rsidP="000F434A">
      <w:pPr>
        <w:spacing w:after="0" w:line="240" w:lineRule="auto"/>
        <w:rPr>
          <w:rFonts w:ascii="Times New Roman" w:eastAsia="Times New Roman" w:hAnsi="Times New Roman" w:cs="Times New Roman"/>
          <w:color w:val="auto"/>
          <w:spacing w:val="0"/>
          <w:sz w:val="24"/>
          <w:szCs w:val="24"/>
          <w:lang w:eastAsia="en-GB"/>
        </w:rPr>
      </w:pPr>
    </w:p>
    <w:p w14:paraId="1D9CB8CC" w14:textId="4280B458" w:rsidR="000F434A" w:rsidRPr="000F434A" w:rsidRDefault="000F434A" w:rsidP="000F434A">
      <w:pPr>
        <w:spacing w:after="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color w:val="000000"/>
          <w:spacing w:val="0"/>
          <w:sz w:val="22"/>
          <w:szCs w:val="22"/>
          <w:lang w:eastAsia="en-GB"/>
        </w:rPr>
        <w:t xml:space="preserve">The iconography of Anubis is laden with meanings and references to his role and characteristics. Gell’s work </w:t>
      </w:r>
      <w:r w:rsidRPr="000F434A">
        <w:rPr>
          <w:rFonts w:ascii="Arial" w:eastAsia="Times New Roman" w:hAnsi="Arial"/>
          <w:i/>
          <w:iCs/>
          <w:color w:val="000000"/>
          <w:spacing w:val="0"/>
          <w:sz w:val="22"/>
          <w:szCs w:val="22"/>
          <w:lang w:eastAsia="en-GB"/>
        </w:rPr>
        <w:t>Art and Agency</w:t>
      </w:r>
      <w:r w:rsidRPr="000F434A">
        <w:rPr>
          <w:rFonts w:ascii="Arial" w:eastAsia="Times New Roman" w:hAnsi="Arial"/>
          <w:color w:val="000000"/>
          <w:spacing w:val="0"/>
          <w:sz w:val="22"/>
          <w:szCs w:val="22"/>
          <w:lang w:eastAsia="en-GB"/>
        </w:rPr>
        <w:t xml:space="preserve"> explains how art can be ‘enchanting’ in two ways, in the process of making the art and in the final product.</w:t>
      </w:r>
      <w:r w:rsidR="00D06FD3">
        <w:rPr>
          <w:rStyle w:val="FootnoteReference"/>
          <w:rFonts w:ascii="Arial" w:eastAsia="Times New Roman" w:hAnsi="Arial"/>
          <w:color w:val="000000"/>
          <w:spacing w:val="0"/>
          <w:sz w:val="22"/>
          <w:szCs w:val="22"/>
          <w:lang w:eastAsia="en-GB"/>
        </w:rPr>
        <w:footnoteReference w:id="8"/>
      </w:r>
      <w:r w:rsidRPr="000F434A">
        <w:rPr>
          <w:rFonts w:ascii="Arial" w:eastAsia="Times New Roman" w:hAnsi="Arial"/>
          <w:color w:val="000000"/>
          <w:spacing w:val="0"/>
          <w:sz w:val="22"/>
          <w:szCs w:val="22"/>
          <w:lang w:eastAsia="en-GB"/>
        </w:rPr>
        <w:t xml:space="preserve"> Gell explains that art has an agency of its own. This agency gives the art power and presence over the viewer to instruct, to inform, to influence behaviour and actions in the world. In the context of Ancient Eygptian religion, artistic depictions of the gods hold a power over the worshippers. These depictions can be living representations of the god they show. They hold the power of the god depicted. Statues and figurines of gods could be seen as vessels for the god to enter when they are being praised and worshipped or called upon for assistance. Since these representations were seen to have this power, they themselves had agency. This agency means that the worshipped/worshipper relationship is able to be enacted. The worshipper can interact with their god in the presence of the statue. As a result of this enchantment, the statue embodies the relationship between the god and the worshipper. Gell’s work provides a way of interpreting the iconography of Anubis. It shows how imagery and statues of Anubis work within the Ancient Egyptian belief system to clarify and reinforce ideas about man's place within the cosmology.</w:t>
      </w:r>
    </w:p>
    <w:p w14:paraId="206A229C" w14:textId="459B87FF" w:rsidR="000F434A" w:rsidRPr="000F434A" w:rsidRDefault="000F434A" w:rsidP="000F434A">
      <w:pPr>
        <w:spacing w:before="240" w:after="24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color w:val="000000"/>
          <w:spacing w:val="0"/>
          <w:sz w:val="22"/>
          <w:szCs w:val="22"/>
          <w:lang w:eastAsia="en-GB"/>
        </w:rPr>
        <w:t>The theoretical perspective used within this research is Gell’s theory of agency. This theory analyses how both the process of creation and the artwork itself can enchant the viewer. Gell explains that in order to fully understand how art is enchanting, the viewer must change their mindset as to what art is. In the west there is a view that art is for aesthetic purposes, however Gell argues that we should suspend an artistic appreciation in order to understand the agency held by artistic representations in another culture.</w:t>
      </w:r>
      <w:r w:rsidR="00D06FD3">
        <w:rPr>
          <w:rStyle w:val="FootnoteReference"/>
          <w:rFonts w:ascii="Arial" w:eastAsia="Times New Roman" w:hAnsi="Arial"/>
          <w:color w:val="000000"/>
          <w:spacing w:val="0"/>
          <w:sz w:val="22"/>
          <w:szCs w:val="22"/>
          <w:lang w:eastAsia="en-GB"/>
        </w:rPr>
        <w:footnoteReference w:id="9"/>
      </w:r>
      <w:r w:rsidRPr="000F434A">
        <w:rPr>
          <w:rFonts w:ascii="Arial" w:eastAsia="Times New Roman" w:hAnsi="Arial"/>
          <w:color w:val="000000"/>
          <w:spacing w:val="0"/>
          <w:sz w:val="22"/>
          <w:szCs w:val="22"/>
          <w:lang w:eastAsia="en-GB"/>
        </w:rPr>
        <w:t xml:space="preserve"> Van Eck explores how Gell’s theory helps explain a person's response to art. She writes that a “living presence response” is to be understood as an experience.</w:t>
      </w:r>
      <w:r w:rsidR="00D06FD3">
        <w:rPr>
          <w:rStyle w:val="FootnoteReference"/>
          <w:rFonts w:ascii="Arial" w:eastAsia="Times New Roman" w:hAnsi="Arial"/>
          <w:color w:val="000000"/>
          <w:spacing w:val="0"/>
          <w:sz w:val="22"/>
          <w:szCs w:val="22"/>
          <w:lang w:eastAsia="en-GB"/>
        </w:rPr>
        <w:footnoteReference w:id="10"/>
      </w:r>
      <w:r w:rsidRPr="000F434A">
        <w:rPr>
          <w:rFonts w:ascii="Arial" w:eastAsia="Times New Roman" w:hAnsi="Arial"/>
          <w:color w:val="000000"/>
          <w:spacing w:val="0"/>
          <w:sz w:val="22"/>
          <w:szCs w:val="22"/>
          <w:lang w:eastAsia="en-GB"/>
        </w:rPr>
        <w:t xml:space="preserve"> As well as this she explains that agency “offers a new way of understanding living presence response because it singles out precisely that aspect of the interaction between works of art and their viewers that makes them similar to living beings: their agency, the power to influence their viewers, to make them act as if they are engaging, not with dead matter but with living persons”.</w:t>
      </w:r>
      <w:r w:rsidR="00D06FD3">
        <w:rPr>
          <w:rStyle w:val="FootnoteReference"/>
          <w:rFonts w:ascii="Arial" w:eastAsia="Times New Roman" w:hAnsi="Arial"/>
          <w:color w:val="000000"/>
          <w:spacing w:val="0"/>
          <w:sz w:val="22"/>
          <w:szCs w:val="22"/>
          <w:lang w:eastAsia="en-GB"/>
        </w:rPr>
        <w:footnoteReference w:id="11"/>
      </w:r>
      <w:r w:rsidRPr="000F434A">
        <w:rPr>
          <w:rFonts w:ascii="Arial" w:eastAsia="Times New Roman" w:hAnsi="Arial"/>
          <w:color w:val="000000"/>
          <w:spacing w:val="0"/>
          <w:sz w:val="22"/>
          <w:szCs w:val="22"/>
          <w:lang w:eastAsia="en-GB"/>
        </w:rPr>
        <w:t xml:space="preserve"> When Ancient Egyptians interact with Anubis, they do so within a whole structure of belief of which Anubis is a part. They recognise his divinity in his dual representation and the ankh that he carries, his links with death and the afterlife are shown with his jackal head and dark skin, and the journey between worlds is signified through the place he occupies as gatekeeper and judge. His </w:t>
      </w:r>
      <w:r w:rsidRPr="000F434A">
        <w:rPr>
          <w:rFonts w:ascii="Arial" w:eastAsia="Times New Roman" w:hAnsi="Arial"/>
          <w:color w:val="000000"/>
          <w:spacing w:val="0"/>
          <w:sz w:val="22"/>
          <w:szCs w:val="22"/>
          <w:lang w:eastAsia="en-GB"/>
        </w:rPr>
        <w:lastRenderedPageBreak/>
        <w:t>constant appearance within a funerary context in tomb painting, statuary, grave goods</w:t>
      </w:r>
      <w:r w:rsidR="00DE2066">
        <w:rPr>
          <w:rFonts w:ascii="Arial" w:eastAsia="Times New Roman" w:hAnsi="Arial"/>
          <w:color w:val="000000"/>
          <w:spacing w:val="0"/>
          <w:sz w:val="22"/>
          <w:szCs w:val="22"/>
          <w:lang w:eastAsia="en-GB"/>
        </w:rPr>
        <w:t>,</w:t>
      </w:r>
      <w:r w:rsidRPr="000F434A">
        <w:rPr>
          <w:rFonts w:ascii="Arial" w:eastAsia="Times New Roman" w:hAnsi="Arial"/>
          <w:color w:val="000000"/>
          <w:spacing w:val="0"/>
          <w:sz w:val="22"/>
          <w:szCs w:val="22"/>
          <w:lang w:eastAsia="en-GB"/>
        </w:rPr>
        <w:t xml:space="preserve"> and coffin texts reaffirms, reinforces and recreates those structures of belief.</w:t>
      </w:r>
    </w:p>
    <w:p w14:paraId="22BE6C80" w14:textId="45BED91A" w:rsidR="000F434A" w:rsidRPr="000F434A" w:rsidRDefault="00DE2066" w:rsidP="000F434A">
      <w:pPr>
        <w:spacing w:after="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color w:val="000000"/>
          <w:spacing w:val="0"/>
          <w:sz w:val="22"/>
          <w:szCs w:val="22"/>
          <w:lang w:eastAsia="en-GB"/>
        </w:rPr>
        <w:t>Egyptian</w:t>
      </w:r>
      <w:r w:rsidR="000F434A" w:rsidRPr="000F434A">
        <w:rPr>
          <w:rFonts w:ascii="Arial" w:eastAsia="Times New Roman" w:hAnsi="Arial"/>
          <w:color w:val="000000"/>
          <w:spacing w:val="0"/>
          <w:sz w:val="22"/>
          <w:szCs w:val="22"/>
          <w:lang w:eastAsia="en-GB"/>
        </w:rPr>
        <w:t xml:space="preserve"> beliefs in magic were pervasive and involved within all aspects of </w:t>
      </w:r>
      <w:r w:rsidRPr="000F434A">
        <w:rPr>
          <w:rFonts w:ascii="Arial" w:eastAsia="Times New Roman" w:hAnsi="Arial"/>
          <w:color w:val="000000"/>
          <w:spacing w:val="0"/>
          <w:sz w:val="22"/>
          <w:szCs w:val="22"/>
          <w:lang w:eastAsia="en-GB"/>
        </w:rPr>
        <w:t>Egyptian</w:t>
      </w:r>
      <w:r w:rsidR="000F434A" w:rsidRPr="000F434A">
        <w:rPr>
          <w:rFonts w:ascii="Arial" w:eastAsia="Times New Roman" w:hAnsi="Arial"/>
          <w:color w:val="000000"/>
          <w:spacing w:val="0"/>
          <w:sz w:val="22"/>
          <w:szCs w:val="22"/>
          <w:lang w:eastAsia="en-GB"/>
        </w:rPr>
        <w:t xml:space="preserve"> life. It is not surprising that aspects of these beliefs would be found within Egyptian art. Wilkinson discusses how Ancient Egyptian art was interpreted by the Ancient Egyptians as holding a magical power.</w:t>
      </w:r>
      <w:r w:rsidR="00D06FD3">
        <w:rPr>
          <w:rStyle w:val="FootnoteReference"/>
          <w:rFonts w:ascii="Arial" w:eastAsia="Times New Roman" w:hAnsi="Arial"/>
          <w:color w:val="000000"/>
          <w:spacing w:val="0"/>
          <w:sz w:val="22"/>
          <w:szCs w:val="22"/>
          <w:lang w:eastAsia="en-GB"/>
        </w:rPr>
        <w:footnoteReference w:id="12"/>
      </w:r>
      <w:r w:rsidR="000F434A" w:rsidRPr="000F434A">
        <w:rPr>
          <w:rFonts w:ascii="Arial" w:eastAsia="Times New Roman" w:hAnsi="Arial"/>
          <w:color w:val="000000"/>
          <w:spacing w:val="0"/>
          <w:sz w:val="22"/>
          <w:szCs w:val="22"/>
          <w:lang w:eastAsia="en-GB"/>
        </w:rPr>
        <w:t xml:space="preserve"> This interpretation of art holding magical power connects to Gell’s idea of art having agency over the viewer. Each artistic depiction is full of symbolism and meaning, for example the yellow of the gods’ skin shows that they are divine. This symbolism would have been obvious to a viewer within Ancient Egypt and they would have understood the importance behind each symbol. Anubis has numerous symbols within his depictions. Like all gods, his skin is painted yellow to represent its golden property.</w:t>
      </w:r>
      <w:r w:rsidR="00D06FD3">
        <w:rPr>
          <w:rStyle w:val="FootnoteReference"/>
          <w:rFonts w:ascii="Arial" w:eastAsia="Times New Roman" w:hAnsi="Arial"/>
          <w:color w:val="000000"/>
          <w:spacing w:val="0"/>
          <w:sz w:val="22"/>
          <w:szCs w:val="22"/>
          <w:lang w:eastAsia="en-GB"/>
        </w:rPr>
        <w:footnoteReference w:id="13"/>
      </w:r>
      <w:r w:rsidR="000F434A" w:rsidRPr="000F434A">
        <w:rPr>
          <w:rFonts w:ascii="Arial" w:eastAsia="Times New Roman" w:hAnsi="Arial"/>
          <w:color w:val="000000"/>
          <w:spacing w:val="0"/>
          <w:sz w:val="22"/>
          <w:szCs w:val="22"/>
          <w:lang w:eastAsia="en-GB"/>
        </w:rPr>
        <w:t xml:space="preserve"> As well as this, his jackal head is painted in black. The colour black represents both fertility and death.</w:t>
      </w:r>
      <w:r w:rsidR="00D06FD3">
        <w:rPr>
          <w:rStyle w:val="FootnoteReference"/>
          <w:rFonts w:ascii="Arial" w:eastAsia="Times New Roman" w:hAnsi="Arial"/>
          <w:color w:val="000000"/>
          <w:spacing w:val="0"/>
          <w:sz w:val="22"/>
          <w:szCs w:val="22"/>
          <w:lang w:eastAsia="en-GB"/>
        </w:rPr>
        <w:footnoteReference w:id="14"/>
      </w:r>
      <w:r w:rsidR="000F434A" w:rsidRPr="000F434A">
        <w:rPr>
          <w:rFonts w:ascii="Arial" w:eastAsia="Times New Roman" w:hAnsi="Arial"/>
          <w:color w:val="000000"/>
          <w:spacing w:val="0"/>
          <w:sz w:val="22"/>
          <w:szCs w:val="22"/>
          <w:lang w:eastAsia="en-GB"/>
        </w:rPr>
        <w:t xml:space="preserve"> In this symbolism is shown a dual aspect of Anubis, the idea of death and rebirth in the afterlife. His jackal head holds other symbolism within it such as his roles as devourer, </w:t>
      </w:r>
      <w:r w:rsidR="000F434A" w:rsidRPr="000F434A">
        <w:rPr>
          <w:rFonts w:ascii="Arial" w:eastAsia="Times New Roman" w:hAnsi="Arial"/>
          <w:color w:val="000000"/>
          <w:spacing w:val="0"/>
          <w:sz w:val="22"/>
          <w:szCs w:val="22"/>
          <w:lang w:eastAsia="en-GB"/>
        </w:rPr>
        <w:t>gatekeeper,</w:t>
      </w:r>
      <w:r w:rsidR="000F434A" w:rsidRPr="000F434A">
        <w:rPr>
          <w:rFonts w:ascii="Arial" w:eastAsia="Times New Roman" w:hAnsi="Arial"/>
          <w:color w:val="000000"/>
          <w:spacing w:val="0"/>
          <w:sz w:val="22"/>
          <w:szCs w:val="22"/>
          <w:lang w:eastAsia="en-GB"/>
        </w:rPr>
        <w:t xml:space="preserve"> and guardian of liminal space.</w:t>
      </w:r>
    </w:p>
    <w:p w14:paraId="7E553C51" w14:textId="0FD75825" w:rsidR="000F434A" w:rsidRPr="000F434A" w:rsidRDefault="000F434A" w:rsidP="000F434A">
      <w:pPr>
        <w:spacing w:after="240" w:line="240" w:lineRule="auto"/>
        <w:rPr>
          <w:rFonts w:ascii="Times New Roman" w:eastAsia="Times New Roman" w:hAnsi="Times New Roman" w:cs="Times New Roman"/>
          <w:color w:val="auto"/>
          <w:spacing w:val="0"/>
          <w:sz w:val="24"/>
          <w:szCs w:val="24"/>
          <w:lang w:eastAsia="en-GB"/>
        </w:rPr>
      </w:pPr>
    </w:p>
    <w:p w14:paraId="26F7FD1E" w14:textId="77777777" w:rsidR="000F434A" w:rsidRPr="000F434A" w:rsidRDefault="000F434A" w:rsidP="000F434A">
      <w:pPr>
        <w:spacing w:after="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b/>
          <w:bCs/>
          <w:color w:val="000000"/>
          <w:spacing w:val="0"/>
          <w:sz w:val="22"/>
          <w:szCs w:val="22"/>
          <w:lang w:eastAsia="en-GB"/>
        </w:rPr>
        <w:t>Section 1 – Anubis in Art and Links to the Pantheon</w:t>
      </w:r>
    </w:p>
    <w:p w14:paraId="12B62DF6" w14:textId="68F9E0E4" w:rsidR="000F434A" w:rsidRPr="000F434A" w:rsidRDefault="00CA6262" w:rsidP="000F434A">
      <w:pPr>
        <w:spacing w:before="240" w:after="240" w:line="240" w:lineRule="auto"/>
        <w:rPr>
          <w:rFonts w:ascii="Times New Roman" w:eastAsia="Times New Roman" w:hAnsi="Times New Roman" w:cs="Times New Roman"/>
          <w:color w:val="auto"/>
          <w:spacing w:val="0"/>
          <w:sz w:val="24"/>
          <w:szCs w:val="24"/>
          <w:lang w:eastAsia="en-GB"/>
        </w:rPr>
      </w:pPr>
      <w:r>
        <w:rPr>
          <w:noProof/>
        </w:rPr>
        <mc:AlternateContent>
          <mc:Choice Requires="wps">
            <w:drawing>
              <wp:anchor distT="0" distB="0" distL="114300" distR="114300" simplePos="0" relativeHeight="251662336" behindDoc="0" locked="0" layoutInCell="1" allowOverlap="1" wp14:anchorId="519B340B" wp14:editId="56461F0B">
                <wp:simplePos x="0" y="0"/>
                <wp:positionH relativeFrom="margin">
                  <wp:posOffset>76200</wp:posOffset>
                </wp:positionH>
                <wp:positionV relativeFrom="paragraph">
                  <wp:posOffset>2689225</wp:posOffset>
                </wp:positionV>
                <wp:extent cx="2628900" cy="36195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628900" cy="361950"/>
                        </a:xfrm>
                        <a:prstGeom prst="rect">
                          <a:avLst/>
                        </a:prstGeom>
                        <a:solidFill>
                          <a:prstClr val="white"/>
                        </a:solidFill>
                        <a:ln>
                          <a:noFill/>
                        </a:ln>
                      </wps:spPr>
                      <wps:txbx>
                        <w:txbxContent>
                          <w:p w14:paraId="1A975A96" w14:textId="48DC4BC7" w:rsidR="000F434A" w:rsidRPr="009E7E1D" w:rsidRDefault="000F434A" w:rsidP="000F434A">
                            <w:pPr>
                              <w:pStyle w:val="Caption"/>
                              <w:rPr>
                                <w:rFonts w:ascii="Times New Roman" w:eastAsia="Times New Roman" w:hAnsi="Times New Roman" w:cs="Times New Roman"/>
                                <w:noProof/>
                                <w:sz w:val="24"/>
                                <w:szCs w:val="24"/>
                                <w:bdr w:val="none" w:sz="0" w:space="0" w:color="auto" w:frame="1"/>
                              </w:rPr>
                            </w:pPr>
                            <w:r>
                              <w:t xml:space="preserve">Figure </w:t>
                            </w:r>
                            <w:fldSimple w:instr=" SEQ Figure \* ARABIC ">
                              <w:r>
                                <w:rPr>
                                  <w:noProof/>
                                </w:rPr>
                                <w:t>1</w:t>
                              </w:r>
                            </w:fldSimple>
                            <w:r>
                              <w:t xml:space="preserve"> Anubis Sets the Scales for Weighing, Book of the Dead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9B340B" id="_x0000_t202" coordsize="21600,21600" o:spt="202" path="m,l,21600r21600,l21600,xe">
                <v:stroke joinstyle="miter"/>
                <v:path gradientshapeok="t" o:connecttype="rect"/>
              </v:shapetype>
              <v:shape id="Text Box 1" o:spid="_x0000_s1026" type="#_x0000_t202" style="position:absolute;margin-left:6pt;margin-top:211.75pt;width:207pt;height:28.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" stroked="f">
                <v:textbox inset="0,0,0,0">
                  <w:txbxContent>
                    <w:p w14:paraId="1A975A96" w14:textId="48DC4BC7" w:rsidR="000F434A" w:rsidRPr="009E7E1D" w:rsidRDefault="000F434A" w:rsidP="000F434A">
                      <w:pPr>
                        <w:pStyle w:val="Caption"/>
                        <w:rPr>
                          <w:rFonts w:ascii="Times New Roman" w:eastAsia="Times New Roman" w:hAnsi="Times New Roman" w:cs="Times New Roman"/>
                          <w:noProof/>
                          <w:sz w:val="24"/>
                          <w:szCs w:val="24"/>
                          <w:bdr w:val="none" w:sz="0" w:space="0" w:color="auto" w:frame="1"/>
                        </w:rPr>
                      </w:pPr>
                      <w:r>
                        <w:t xml:space="preserve">Figure </w:t>
                      </w:r>
                      <w:fldSimple w:instr=" SEQ Figure \* ARABIC ">
                        <w:r>
                          <w:rPr>
                            <w:noProof/>
                          </w:rPr>
                          <w:t>1</w:t>
                        </w:r>
                      </w:fldSimple>
                      <w:r>
                        <w:t xml:space="preserve"> Anubis Sets the Scales for Weighing, Book of the Dead</w:t>
                      </w:r>
                    </w:p>
                  </w:txbxContent>
                </v:textbox>
                <w10:wrap type="square" anchorx="margin"/>
              </v:shape>
            </w:pict>
          </mc:Fallback>
        </mc:AlternateContent>
      </w:r>
      <w:r w:rsidRPr="000F434A">
        <w:rPr>
          <w:rFonts w:ascii="Times New Roman" w:eastAsia="Times New Roman" w:hAnsi="Times New Roman" w:cs="Times New Roman"/>
          <w:noProof/>
          <w:color w:val="auto"/>
          <w:spacing w:val="0"/>
          <w:sz w:val="24"/>
          <w:szCs w:val="24"/>
          <w:bdr w:val="none" w:sz="0" w:space="0" w:color="auto" w:frame="1"/>
          <w:lang w:eastAsia="en-GB"/>
        </w:rPr>
        <w:drawing>
          <wp:anchor distT="0" distB="0" distL="114300" distR="114300" simplePos="0" relativeHeight="251658240" behindDoc="0" locked="0" layoutInCell="1" allowOverlap="1" wp14:anchorId="7268ADB5" wp14:editId="01B255EF">
            <wp:simplePos x="0" y="0"/>
            <wp:positionH relativeFrom="column">
              <wp:posOffset>-133350</wp:posOffset>
            </wp:positionH>
            <wp:positionV relativeFrom="paragraph">
              <wp:posOffset>1226820</wp:posOffset>
            </wp:positionV>
            <wp:extent cx="2847975" cy="146685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1466850"/>
                    </a:xfrm>
                    <a:prstGeom prst="rect">
                      <a:avLst/>
                    </a:prstGeom>
                    <a:noFill/>
                    <a:ln>
                      <a:noFill/>
                    </a:ln>
                  </pic:spPr>
                </pic:pic>
              </a:graphicData>
            </a:graphic>
            <wp14:sizeRelH relativeFrom="page">
              <wp14:pctWidth>0</wp14:pctWidth>
            </wp14:sizeRelH>
            <wp14:sizeRelV relativeFrom="page">
              <wp14:pctHeight>0</wp14:pctHeight>
            </wp14:sizeRelV>
          </wp:anchor>
        </w:drawing>
      </w:r>
      <w:r w:rsidR="000F434A" w:rsidRPr="000F434A">
        <w:rPr>
          <w:rFonts w:ascii="Arial" w:eastAsia="Times New Roman" w:hAnsi="Arial"/>
          <w:color w:val="000000"/>
          <w:spacing w:val="0"/>
          <w:sz w:val="22"/>
          <w:szCs w:val="22"/>
          <w:lang w:eastAsia="en-GB"/>
        </w:rPr>
        <w:t>Anubis is instantly recognisable within the pantheon with his black skin and jackal head. Anubis is depicted holding a flail and an ankh.</w:t>
      </w:r>
      <w:r w:rsidR="00D06FD3">
        <w:rPr>
          <w:rStyle w:val="FootnoteReference"/>
          <w:rFonts w:ascii="Arial" w:eastAsia="Times New Roman" w:hAnsi="Arial"/>
          <w:color w:val="000000"/>
          <w:spacing w:val="0"/>
          <w:sz w:val="22"/>
          <w:szCs w:val="22"/>
          <w:lang w:eastAsia="en-GB"/>
        </w:rPr>
        <w:footnoteReference w:id="15"/>
      </w:r>
      <w:r w:rsidR="000F434A" w:rsidRPr="000F434A">
        <w:rPr>
          <w:rFonts w:ascii="Arial" w:eastAsia="Times New Roman" w:hAnsi="Arial"/>
          <w:color w:val="000000"/>
          <w:spacing w:val="0"/>
          <w:sz w:val="22"/>
          <w:szCs w:val="22"/>
          <w:lang w:eastAsia="en-GB"/>
        </w:rPr>
        <w:t xml:space="preserve"> The ankh shows that he is a god and divine rather than a demon or person in a mask. The flail he holds shows his role as judge. Anubis is usually found in temples, tomb paintings, coffin texts and papyrus. Within temples he is depicted in two ways, either in his role as embalmer or as a judge of the dead.</w:t>
      </w:r>
      <w:r w:rsidR="00D06FD3">
        <w:rPr>
          <w:rStyle w:val="FootnoteReference"/>
          <w:rFonts w:ascii="Arial" w:eastAsia="Times New Roman" w:hAnsi="Arial"/>
          <w:color w:val="000000"/>
          <w:spacing w:val="0"/>
          <w:sz w:val="22"/>
          <w:szCs w:val="22"/>
          <w:lang w:eastAsia="en-GB"/>
        </w:rPr>
        <w:footnoteReference w:id="16"/>
      </w:r>
      <w:r w:rsidR="000F434A" w:rsidRPr="000F434A">
        <w:rPr>
          <w:rFonts w:ascii="Arial" w:eastAsia="Times New Roman" w:hAnsi="Arial"/>
          <w:color w:val="000000"/>
          <w:spacing w:val="0"/>
          <w:sz w:val="22"/>
          <w:szCs w:val="22"/>
          <w:lang w:eastAsia="en-GB"/>
        </w:rPr>
        <w:t xml:space="preserve"> As well as this he is depicted for worship in temples. In tomb paintings he is shown guiding the deceased through the underworld and helping them on their journey. In papyrus he is depicted in his role alongside various spells for helping the dead pass into the underworld, a prime example of this is his depiction within the book of the dead. There are various forms of depiction that show Anubis. The two main forms of his depiction are statues and tomb paintings.</w:t>
      </w:r>
      <w:r w:rsidR="00D06FD3">
        <w:rPr>
          <w:rStyle w:val="FootnoteReference"/>
          <w:rFonts w:ascii="Arial" w:eastAsia="Times New Roman" w:hAnsi="Arial"/>
          <w:color w:val="000000"/>
          <w:spacing w:val="0"/>
          <w:sz w:val="22"/>
          <w:szCs w:val="22"/>
          <w:lang w:eastAsia="en-GB"/>
        </w:rPr>
        <w:footnoteReference w:id="17"/>
      </w:r>
      <w:r w:rsidR="000F434A" w:rsidRPr="000F434A">
        <w:rPr>
          <w:rFonts w:ascii="Arial" w:eastAsia="Times New Roman" w:hAnsi="Arial"/>
          <w:color w:val="000000"/>
          <w:spacing w:val="0"/>
          <w:sz w:val="22"/>
          <w:szCs w:val="22"/>
          <w:lang w:eastAsia="en-GB"/>
        </w:rPr>
        <w:t xml:space="preserve"> Statues made out of polished stone can be found in temples throughout Egypt. These statues are for the worship of Anubis and would have been used within ritual surrounding the dead. Smaller statues have been found within tombs, such as a full jackal depiction found in the tomb of Tutankhamen.</w:t>
      </w:r>
      <w:r w:rsidR="00D06FD3">
        <w:rPr>
          <w:rStyle w:val="FootnoteReference"/>
          <w:rFonts w:ascii="Arial" w:eastAsia="Times New Roman" w:hAnsi="Arial"/>
          <w:color w:val="000000"/>
          <w:spacing w:val="0"/>
          <w:sz w:val="22"/>
          <w:szCs w:val="22"/>
          <w:lang w:eastAsia="en-GB"/>
        </w:rPr>
        <w:footnoteReference w:id="18"/>
      </w:r>
      <w:r w:rsidR="000F434A" w:rsidRPr="000F434A">
        <w:rPr>
          <w:rFonts w:ascii="Arial" w:eastAsia="Times New Roman" w:hAnsi="Arial"/>
          <w:color w:val="000000"/>
          <w:spacing w:val="0"/>
          <w:sz w:val="22"/>
          <w:szCs w:val="22"/>
          <w:lang w:eastAsia="en-GB"/>
        </w:rPr>
        <w:t xml:space="preserve"> He is also seen in tombs in the form of paintings, he is shown taking the deceased through the underworld to the scales where their heart will be judged. This tells the story of the deceased as well as showing how Anubis is involved with the passage of the dead from the living world to the afterlife. </w:t>
      </w:r>
    </w:p>
    <w:p w14:paraId="720DE379" w14:textId="1549B276" w:rsidR="000F434A" w:rsidRPr="000F434A" w:rsidRDefault="000F434A" w:rsidP="000F434A">
      <w:pPr>
        <w:spacing w:after="0" w:line="240" w:lineRule="auto"/>
        <w:rPr>
          <w:rFonts w:ascii="Times New Roman" w:eastAsia="Times New Roman" w:hAnsi="Times New Roman" w:cs="Times New Roman"/>
          <w:color w:val="auto"/>
          <w:spacing w:val="0"/>
          <w:sz w:val="24"/>
          <w:szCs w:val="24"/>
          <w:lang w:eastAsia="en-GB"/>
        </w:rPr>
      </w:pPr>
      <w:r>
        <w:rPr>
          <w:rFonts w:ascii="Arial" w:eastAsia="Times New Roman" w:hAnsi="Arial"/>
          <w:color w:val="000000"/>
          <w:spacing w:val="0"/>
          <w:sz w:val="22"/>
          <w:szCs w:val="22"/>
          <w:lang w:eastAsia="en-GB"/>
        </w:rPr>
        <w:lastRenderedPageBreak/>
        <w:t>Figure</w:t>
      </w:r>
      <w:r w:rsidRPr="000F434A">
        <w:rPr>
          <w:rFonts w:ascii="Arial" w:eastAsia="Times New Roman" w:hAnsi="Arial"/>
          <w:color w:val="000000"/>
          <w:spacing w:val="0"/>
          <w:sz w:val="22"/>
          <w:szCs w:val="22"/>
          <w:lang w:eastAsia="en-GB"/>
        </w:rPr>
        <w:t xml:space="preserve"> 1 comes from the book of the dead.</w:t>
      </w:r>
      <w:r w:rsidR="00D06FD3">
        <w:rPr>
          <w:rStyle w:val="FootnoteReference"/>
          <w:rFonts w:ascii="Arial" w:eastAsia="Times New Roman" w:hAnsi="Arial"/>
          <w:color w:val="000000"/>
          <w:spacing w:val="0"/>
          <w:sz w:val="22"/>
          <w:szCs w:val="22"/>
          <w:lang w:eastAsia="en-GB"/>
        </w:rPr>
        <w:footnoteReference w:id="19"/>
      </w:r>
      <w:r w:rsidRPr="000F434A">
        <w:rPr>
          <w:rFonts w:ascii="Arial" w:eastAsia="Times New Roman" w:hAnsi="Arial"/>
          <w:color w:val="000000"/>
          <w:spacing w:val="0"/>
          <w:sz w:val="22"/>
          <w:szCs w:val="22"/>
          <w:lang w:eastAsia="en-GB"/>
        </w:rPr>
        <w:t xml:space="preserve"> In it he is setting the scales for the deceased heart to be weighed against the feather Ma’at. He is knee</w:t>
      </w:r>
      <w:r w:rsidR="00D06FD3">
        <w:rPr>
          <w:rFonts w:ascii="Arial" w:eastAsia="Times New Roman" w:hAnsi="Arial"/>
          <w:color w:val="000000"/>
          <w:spacing w:val="0"/>
          <w:sz w:val="22"/>
          <w:szCs w:val="22"/>
          <w:lang w:eastAsia="en-GB"/>
        </w:rPr>
        <w:t>l</w:t>
      </w:r>
      <w:r w:rsidRPr="000F434A">
        <w:rPr>
          <w:rFonts w:ascii="Arial" w:eastAsia="Times New Roman" w:hAnsi="Arial"/>
          <w:color w:val="000000"/>
          <w:spacing w:val="0"/>
          <w:sz w:val="22"/>
          <w:szCs w:val="22"/>
          <w:lang w:eastAsia="en-GB"/>
        </w:rPr>
        <w:t xml:space="preserve">ing below the scales to see if they are correctly balanced before he weighs the heart. On the scale closest to Anubis is Ma’at, the Ancient Egyptian concept of life. On the opposite scale is the deceased heart, next to an image of the deceased with his name written next to him. This image shows Anubis in one of his roles as guardian of the afterlife. By weighing the heart of the </w:t>
      </w:r>
      <w:r w:rsidRPr="000F434A">
        <w:rPr>
          <w:rFonts w:ascii="Arial" w:eastAsia="Times New Roman" w:hAnsi="Arial"/>
          <w:color w:val="000000"/>
          <w:spacing w:val="0"/>
          <w:sz w:val="22"/>
          <w:szCs w:val="22"/>
          <w:lang w:eastAsia="en-GB"/>
        </w:rPr>
        <w:t>deceased,</w:t>
      </w:r>
      <w:r w:rsidRPr="000F434A">
        <w:rPr>
          <w:rFonts w:ascii="Arial" w:eastAsia="Times New Roman" w:hAnsi="Arial"/>
          <w:color w:val="000000"/>
          <w:spacing w:val="0"/>
          <w:sz w:val="22"/>
          <w:szCs w:val="22"/>
          <w:lang w:eastAsia="en-GB"/>
        </w:rPr>
        <w:t xml:space="preserve"> he is ensuring that they are allowed to enter.</w:t>
      </w:r>
      <w:r w:rsidR="00D06FD3">
        <w:rPr>
          <w:rStyle w:val="FootnoteReference"/>
          <w:rFonts w:ascii="Arial" w:eastAsia="Times New Roman" w:hAnsi="Arial"/>
          <w:color w:val="000000"/>
          <w:spacing w:val="0"/>
          <w:sz w:val="22"/>
          <w:szCs w:val="22"/>
          <w:lang w:eastAsia="en-GB"/>
        </w:rPr>
        <w:footnoteReference w:id="20"/>
      </w:r>
      <w:r w:rsidRPr="000F434A">
        <w:rPr>
          <w:rFonts w:ascii="Arial" w:eastAsia="Times New Roman" w:hAnsi="Arial"/>
          <w:color w:val="000000"/>
          <w:spacing w:val="0"/>
          <w:sz w:val="22"/>
          <w:szCs w:val="22"/>
          <w:lang w:eastAsia="en-GB"/>
        </w:rPr>
        <w:t xml:space="preserve"> This is a necessary part of protecting the afterlife and making sure that everyone who enters is worthy of entering. The weighing of the heart is a test and ritual that shows if the individual is able to move onto their new form of life. Unlike most rituals, however, if their heart is not of equal weight to Ma’at they suffer the consequence of being devoured by Amm</w:t>
      </w:r>
      <w:r w:rsidR="00DE2066">
        <w:rPr>
          <w:rFonts w:ascii="Arial" w:eastAsia="Times New Roman" w:hAnsi="Arial"/>
          <w:color w:val="000000"/>
          <w:spacing w:val="0"/>
          <w:sz w:val="22"/>
          <w:szCs w:val="22"/>
          <w:lang w:eastAsia="en-GB"/>
        </w:rPr>
        <w:t>u</w:t>
      </w:r>
      <w:r w:rsidRPr="000F434A">
        <w:rPr>
          <w:rFonts w:ascii="Arial" w:eastAsia="Times New Roman" w:hAnsi="Arial"/>
          <w:color w:val="000000"/>
          <w:spacing w:val="0"/>
          <w:sz w:val="22"/>
          <w:szCs w:val="22"/>
          <w:lang w:eastAsia="en-GB"/>
        </w:rPr>
        <w:t>t.</w:t>
      </w:r>
      <w:r w:rsidR="00D06FD3">
        <w:rPr>
          <w:rStyle w:val="FootnoteReference"/>
          <w:rFonts w:ascii="Arial" w:eastAsia="Times New Roman" w:hAnsi="Arial"/>
          <w:color w:val="000000"/>
          <w:spacing w:val="0"/>
          <w:sz w:val="22"/>
          <w:szCs w:val="22"/>
          <w:lang w:eastAsia="en-GB"/>
        </w:rPr>
        <w:footnoteReference w:id="21"/>
      </w:r>
    </w:p>
    <w:p w14:paraId="19DC8023" w14:textId="1282AD84" w:rsidR="000F434A" w:rsidRPr="000F434A" w:rsidRDefault="000F434A" w:rsidP="000F434A">
      <w:pPr>
        <w:spacing w:after="0" w:line="240" w:lineRule="auto"/>
        <w:rPr>
          <w:rFonts w:ascii="Times New Roman" w:eastAsia="Times New Roman" w:hAnsi="Times New Roman" w:cs="Times New Roman"/>
          <w:color w:val="auto"/>
          <w:spacing w:val="0"/>
          <w:sz w:val="24"/>
          <w:szCs w:val="24"/>
          <w:lang w:eastAsia="en-GB"/>
        </w:rPr>
      </w:pPr>
    </w:p>
    <w:p w14:paraId="3B2C76D6" w14:textId="61F50E21" w:rsidR="000F434A" w:rsidRPr="000F434A" w:rsidRDefault="000F434A" w:rsidP="000F434A">
      <w:pPr>
        <w:spacing w:after="0" w:line="240" w:lineRule="auto"/>
        <w:rPr>
          <w:rFonts w:ascii="Times New Roman" w:eastAsia="Times New Roman" w:hAnsi="Times New Roman" w:cs="Times New Roman"/>
          <w:color w:val="auto"/>
          <w:spacing w:val="0"/>
          <w:sz w:val="24"/>
          <w:szCs w:val="24"/>
          <w:lang w:eastAsia="en-GB"/>
        </w:rPr>
      </w:pPr>
      <w:r>
        <w:rPr>
          <w:noProof/>
        </w:rPr>
        <mc:AlternateContent>
          <mc:Choice Requires="wps">
            <w:drawing>
              <wp:anchor distT="0" distB="0" distL="114300" distR="114300" simplePos="0" relativeHeight="251664384" behindDoc="0" locked="0" layoutInCell="1" allowOverlap="1" wp14:anchorId="57AA3FDB" wp14:editId="1235AC91">
                <wp:simplePos x="0" y="0"/>
                <wp:positionH relativeFrom="column">
                  <wp:posOffset>2667000</wp:posOffset>
                </wp:positionH>
                <wp:positionV relativeFrom="paragraph">
                  <wp:posOffset>1590040</wp:posOffset>
                </wp:positionV>
                <wp:extent cx="2924175" cy="190500"/>
                <wp:effectExtent l="0" t="0" r="9525" b="0"/>
                <wp:wrapSquare wrapText="bothSides"/>
                <wp:docPr id="7" name="Text Box 7"/>
                <wp:cNvGraphicFramePr/>
                <a:graphic xmlns:a="http://schemas.openxmlformats.org/drawingml/2006/main">
                  <a:graphicData uri="http://schemas.microsoft.com/office/word/2010/wordprocessingShape">
                    <wps:wsp>
                      <wps:cNvSpPr txBox="1"/>
                      <wps:spPr>
                        <a:xfrm>
                          <a:off x="0" y="0"/>
                          <a:ext cx="2924175" cy="190500"/>
                        </a:xfrm>
                        <a:prstGeom prst="rect">
                          <a:avLst/>
                        </a:prstGeom>
                        <a:solidFill>
                          <a:prstClr val="white"/>
                        </a:solidFill>
                        <a:ln>
                          <a:noFill/>
                        </a:ln>
                      </wps:spPr>
                      <wps:txbx>
                        <w:txbxContent>
                          <w:p w14:paraId="44461CFF" w14:textId="27DD4AF9" w:rsidR="000F434A" w:rsidRPr="006F06DA" w:rsidRDefault="000F434A" w:rsidP="000F434A">
                            <w:pPr>
                              <w:pStyle w:val="Caption"/>
                              <w:rPr>
                                <w:rFonts w:ascii="Times New Roman" w:eastAsia="Times New Roman" w:hAnsi="Times New Roman" w:cs="Times New Roman"/>
                                <w:noProof/>
                                <w:sz w:val="24"/>
                                <w:szCs w:val="24"/>
                                <w:bdr w:val="none" w:sz="0" w:space="0" w:color="auto" w:frame="1"/>
                              </w:rPr>
                            </w:pPr>
                            <w:r>
                              <w:t xml:space="preserve">Figure </w:t>
                            </w:r>
                            <w:fldSimple w:instr=" SEQ Figure \* ARABIC ">
                              <w:r>
                                <w:rPr>
                                  <w:noProof/>
                                </w:rPr>
                                <w:t>2</w:t>
                              </w:r>
                            </w:fldSimple>
                            <w:r>
                              <w:t xml:space="preserve"> Image of Amulets, British Museum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AA3FDB" id="Text Box 7" o:spid="_x0000_s1027" type="#_x0000_t202" style="position:absolute;margin-left:210pt;margin-top:125.2pt;width:230.25pt;height: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" stroked="f">
                <v:textbox inset="0,0,0,0">
                  <w:txbxContent>
                    <w:p w14:paraId="44461CFF" w14:textId="27DD4AF9" w:rsidR="000F434A" w:rsidRPr="006F06DA" w:rsidRDefault="000F434A" w:rsidP="000F434A">
                      <w:pPr>
                        <w:pStyle w:val="Caption"/>
                        <w:rPr>
                          <w:rFonts w:ascii="Times New Roman" w:eastAsia="Times New Roman" w:hAnsi="Times New Roman" w:cs="Times New Roman"/>
                          <w:noProof/>
                          <w:sz w:val="24"/>
                          <w:szCs w:val="24"/>
                          <w:bdr w:val="none" w:sz="0" w:space="0" w:color="auto" w:frame="1"/>
                        </w:rPr>
                      </w:pPr>
                      <w:r>
                        <w:t xml:space="preserve">Figure </w:t>
                      </w:r>
                      <w:fldSimple w:instr=" SEQ Figure \* ARABIC ">
                        <w:r>
                          <w:rPr>
                            <w:noProof/>
                          </w:rPr>
                          <w:t>2</w:t>
                        </w:r>
                      </w:fldSimple>
                      <w:r>
                        <w:t xml:space="preserve"> Image of Amulets, British Museum</w:t>
                      </w:r>
                    </w:p>
                  </w:txbxContent>
                </v:textbox>
                <w10:wrap type="square"/>
              </v:shape>
            </w:pict>
          </mc:Fallback>
        </mc:AlternateContent>
      </w:r>
      <w:r w:rsidRPr="000F434A">
        <w:rPr>
          <w:rFonts w:ascii="Times New Roman" w:eastAsia="Times New Roman" w:hAnsi="Times New Roman" w:cs="Times New Roman"/>
          <w:noProof/>
          <w:color w:val="auto"/>
          <w:spacing w:val="0"/>
          <w:sz w:val="24"/>
          <w:szCs w:val="24"/>
          <w:bdr w:val="none" w:sz="0" w:space="0" w:color="auto" w:frame="1"/>
          <w:lang w:eastAsia="en-GB"/>
        </w:rPr>
        <w:drawing>
          <wp:anchor distT="0" distB="0" distL="114300" distR="114300" simplePos="0" relativeHeight="251659264" behindDoc="0" locked="0" layoutInCell="1" allowOverlap="1" wp14:anchorId="34DCE82C" wp14:editId="272BEB28">
            <wp:simplePos x="0" y="0"/>
            <wp:positionH relativeFrom="margin">
              <wp:posOffset>2416810</wp:posOffset>
            </wp:positionH>
            <wp:positionV relativeFrom="paragraph">
              <wp:posOffset>7620</wp:posOffset>
            </wp:positionV>
            <wp:extent cx="3533775" cy="159067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33775" cy="1590675"/>
                    </a:xfrm>
                    <a:prstGeom prst="rect">
                      <a:avLst/>
                    </a:prstGeom>
                    <a:noFill/>
                    <a:ln>
                      <a:noFill/>
                    </a:ln>
                  </pic:spPr>
                </pic:pic>
              </a:graphicData>
            </a:graphic>
          </wp:anchor>
        </w:drawing>
      </w:r>
      <w:r>
        <w:rPr>
          <w:rFonts w:ascii="Arial" w:eastAsia="Times New Roman" w:hAnsi="Arial"/>
          <w:color w:val="000000"/>
          <w:spacing w:val="0"/>
          <w:sz w:val="22"/>
          <w:szCs w:val="22"/>
          <w:lang w:eastAsia="en-GB"/>
        </w:rPr>
        <w:t>Figure</w:t>
      </w:r>
      <w:r w:rsidRPr="000F434A">
        <w:rPr>
          <w:rFonts w:ascii="Arial" w:eastAsia="Times New Roman" w:hAnsi="Arial"/>
          <w:color w:val="000000"/>
          <w:spacing w:val="0"/>
          <w:sz w:val="22"/>
          <w:szCs w:val="22"/>
          <w:lang w:eastAsia="en-GB"/>
        </w:rPr>
        <w:t xml:space="preserve"> 2 shows various amulets of deities from Ancient Egypt.</w:t>
      </w:r>
      <w:r w:rsidR="00D06FD3">
        <w:rPr>
          <w:rStyle w:val="FootnoteReference"/>
          <w:rFonts w:ascii="Arial" w:eastAsia="Times New Roman" w:hAnsi="Arial"/>
          <w:color w:val="000000"/>
          <w:spacing w:val="0"/>
          <w:sz w:val="22"/>
          <w:szCs w:val="22"/>
          <w:lang w:eastAsia="en-GB"/>
        </w:rPr>
        <w:footnoteReference w:id="22"/>
      </w:r>
      <w:r w:rsidRPr="000F434A">
        <w:rPr>
          <w:rFonts w:ascii="Arial" w:eastAsia="Times New Roman" w:hAnsi="Arial"/>
          <w:color w:val="000000"/>
          <w:spacing w:val="0"/>
          <w:sz w:val="22"/>
          <w:szCs w:val="22"/>
          <w:lang w:eastAsia="en-GB"/>
        </w:rPr>
        <w:t xml:space="preserve"> The second amulet is one of Anubis. He is standing within one leg in front of the other and his arms are by his sides. His human aspect is wearing typical clothing for men of the time and on his jackal head he wears a crown. This amulet could have three possible </w:t>
      </w:r>
      <w:r w:rsidRPr="000F434A">
        <w:rPr>
          <w:rFonts w:ascii="Arial" w:eastAsia="Times New Roman" w:hAnsi="Arial"/>
          <w:color w:val="000000"/>
          <w:spacing w:val="0"/>
          <w:sz w:val="22"/>
          <w:szCs w:val="22"/>
          <w:lang w:eastAsia="en-GB"/>
        </w:rPr>
        <w:t>uses:</w:t>
      </w:r>
      <w:r w:rsidRPr="000F434A">
        <w:rPr>
          <w:rFonts w:ascii="Arial" w:eastAsia="Times New Roman" w:hAnsi="Arial"/>
          <w:color w:val="000000"/>
          <w:spacing w:val="0"/>
          <w:sz w:val="22"/>
          <w:szCs w:val="22"/>
          <w:lang w:eastAsia="en-GB"/>
        </w:rPr>
        <w:t xml:space="preserve"> ritual, </w:t>
      </w:r>
      <w:r w:rsidR="00C20E40" w:rsidRPr="000F434A">
        <w:rPr>
          <w:rFonts w:ascii="Arial" w:eastAsia="Times New Roman" w:hAnsi="Arial"/>
          <w:color w:val="000000"/>
          <w:spacing w:val="0"/>
          <w:sz w:val="22"/>
          <w:szCs w:val="22"/>
          <w:lang w:eastAsia="en-GB"/>
        </w:rPr>
        <w:t>worship,</w:t>
      </w:r>
      <w:r w:rsidRPr="000F434A">
        <w:rPr>
          <w:rFonts w:ascii="Arial" w:eastAsia="Times New Roman" w:hAnsi="Arial"/>
          <w:color w:val="000000"/>
          <w:spacing w:val="0"/>
          <w:sz w:val="22"/>
          <w:szCs w:val="22"/>
          <w:lang w:eastAsia="en-GB"/>
        </w:rPr>
        <w:t xml:space="preserve"> or protection. Since the amulet is in one piece it may be less likely to have been used in ritual as amulets used for this purpose usually have some form of ritual breaking.</w:t>
      </w:r>
      <w:r w:rsidR="00D06FD3">
        <w:rPr>
          <w:rStyle w:val="FootnoteReference"/>
          <w:rFonts w:ascii="Arial" w:eastAsia="Times New Roman" w:hAnsi="Arial"/>
          <w:color w:val="000000"/>
          <w:spacing w:val="0"/>
          <w:sz w:val="22"/>
          <w:szCs w:val="22"/>
          <w:lang w:eastAsia="en-GB"/>
        </w:rPr>
        <w:footnoteReference w:id="23"/>
      </w:r>
      <w:r w:rsidRPr="000F434A">
        <w:rPr>
          <w:rFonts w:ascii="Arial" w:eastAsia="Times New Roman" w:hAnsi="Arial"/>
          <w:color w:val="000000"/>
          <w:spacing w:val="0"/>
          <w:sz w:val="22"/>
          <w:szCs w:val="22"/>
          <w:lang w:eastAsia="en-GB"/>
        </w:rPr>
        <w:t xml:space="preserve"> This would mean worship or protection are the most likely candidates for use. In these situations, Anubis would have been prayed to and asked for help in whatever way it was needed along with offerings. From this image is it difficult to see if the amulet has a hole at the top.</w:t>
      </w:r>
      <w:r w:rsidR="00FF58D1">
        <w:rPr>
          <w:rStyle w:val="FootnoteReference"/>
          <w:rFonts w:ascii="Arial" w:eastAsia="Times New Roman" w:hAnsi="Arial"/>
          <w:color w:val="000000"/>
          <w:spacing w:val="0"/>
          <w:sz w:val="22"/>
          <w:szCs w:val="22"/>
          <w:lang w:eastAsia="en-GB"/>
        </w:rPr>
        <w:footnoteReference w:id="24"/>
      </w:r>
      <w:r w:rsidRPr="000F434A">
        <w:rPr>
          <w:rFonts w:ascii="Arial" w:eastAsia="Times New Roman" w:hAnsi="Arial"/>
          <w:color w:val="000000"/>
          <w:spacing w:val="0"/>
          <w:sz w:val="22"/>
          <w:szCs w:val="22"/>
          <w:lang w:eastAsia="en-GB"/>
        </w:rPr>
        <w:t xml:space="preserve"> If it did then one could assume that this amulet was worn for protection on a piece of string or cord. However, since this cannot be seen it is difficult to say if this is how it was used.</w:t>
      </w:r>
    </w:p>
    <w:p w14:paraId="33D7CB75" w14:textId="7BBAA04E" w:rsidR="000F434A" w:rsidRPr="000F434A" w:rsidRDefault="000F434A" w:rsidP="000F434A">
      <w:pPr>
        <w:spacing w:before="240" w:after="24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color w:val="000000"/>
          <w:spacing w:val="0"/>
          <w:sz w:val="22"/>
          <w:szCs w:val="22"/>
          <w:lang w:eastAsia="en-GB"/>
        </w:rPr>
        <w:t>The wider narrative of which Anubis is a part demonstrates a cosmology involving an afterlife for which humans must prepare and journey to when they die.</w:t>
      </w:r>
      <w:r w:rsidRPr="000F434A">
        <w:rPr>
          <w:rFonts w:ascii="Arial" w:eastAsia="Times New Roman" w:hAnsi="Arial"/>
          <w:b/>
          <w:bCs/>
          <w:color w:val="000000"/>
          <w:spacing w:val="0"/>
          <w:sz w:val="22"/>
          <w:szCs w:val="22"/>
          <w:lang w:eastAsia="en-GB"/>
        </w:rPr>
        <w:t xml:space="preserve"> </w:t>
      </w:r>
      <w:r w:rsidRPr="000F434A">
        <w:rPr>
          <w:rFonts w:ascii="Arial" w:eastAsia="Times New Roman" w:hAnsi="Arial"/>
          <w:color w:val="000000"/>
          <w:spacing w:val="0"/>
          <w:sz w:val="22"/>
          <w:szCs w:val="22"/>
          <w:lang w:eastAsia="en-GB"/>
        </w:rPr>
        <w:t>The cosmology of Ancient Egypt consists of many overlapping concepts and ideas. Within these are the ideas that surround the afterlife and how to successfully get into it. Not much is known about how exactly a person should live in order to get into the afterlife but, from imagery depicting the weighing of the heart, it can be seen that fulfilling the Ancient Egyptian concept of life is necessary.</w:t>
      </w:r>
      <w:r w:rsidR="00D06FD3">
        <w:rPr>
          <w:rStyle w:val="FootnoteReference"/>
          <w:rFonts w:ascii="Arial" w:eastAsia="Times New Roman" w:hAnsi="Arial"/>
          <w:color w:val="000000"/>
          <w:spacing w:val="0"/>
          <w:sz w:val="22"/>
          <w:szCs w:val="22"/>
          <w:lang w:eastAsia="en-GB"/>
        </w:rPr>
        <w:footnoteReference w:id="25"/>
      </w:r>
      <w:r w:rsidRPr="000F434A">
        <w:rPr>
          <w:rFonts w:ascii="Arial" w:eastAsia="Times New Roman" w:hAnsi="Arial"/>
          <w:color w:val="000000"/>
          <w:spacing w:val="0"/>
          <w:sz w:val="22"/>
          <w:szCs w:val="22"/>
          <w:lang w:eastAsia="en-GB"/>
        </w:rPr>
        <w:t xml:space="preserve"> One way to prepare for the afterlife is having figurines made to serve the dead. These figurines have been found in numerous tomb excavations</w:t>
      </w:r>
      <w:r w:rsidR="00D06FD3">
        <w:rPr>
          <w:rStyle w:val="FootnoteReference"/>
          <w:rFonts w:ascii="Arial" w:eastAsia="Times New Roman" w:hAnsi="Arial"/>
          <w:color w:val="000000"/>
          <w:spacing w:val="0"/>
          <w:sz w:val="22"/>
          <w:szCs w:val="22"/>
          <w:lang w:eastAsia="en-GB"/>
        </w:rPr>
        <w:footnoteReference w:id="26"/>
      </w:r>
      <w:r w:rsidRPr="000F434A">
        <w:rPr>
          <w:rFonts w:ascii="Arial" w:eastAsia="Times New Roman" w:hAnsi="Arial"/>
          <w:color w:val="000000"/>
          <w:spacing w:val="0"/>
          <w:sz w:val="22"/>
          <w:szCs w:val="22"/>
          <w:lang w:eastAsia="en-GB"/>
        </w:rPr>
        <w:t xml:space="preserve"> and reflect not only how the deceased would have lived in the afterlife but also how they would have lived in life. A process for preparing the body, which is overseen by Anubis, is the embalming of the body </w:t>
      </w:r>
      <w:r w:rsidRPr="000F434A">
        <w:rPr>
          <w:rFonts w:ascii="Arial" w:eastAsia="Times New Roman" w:hAnsi="Arial"/>
          <w:color w:val="000000"/>
          <w:spacing w:val="0"/>
          <w:sz w:val="22"/>
          <w:szCs w:val="22"/>
          <w:lang w:eastAsia="en-GB"/>
        </w:rPr>
        <w:lastRenderedPageBreak/>
        <w:t xml:space="preserve">and removal of certain organs. These organs each hold a specific meaning and are placed within </w:t>
      </w:r>
      <w:r w:rsidR="00911BD6">
        <w:rPr>
          <w:rFonts w:ascii="Arial" w:eastAsia="Times New Roman" w:hAnsi="Arial"/>
          <w:color w:val="000000"/>
          <w:spacing w:val="0"/>
          <w:sz w:val="22"/>
          <w:szCs w:val="22"/>
          <w:lang w:eastAsia="en-GB"/>
        </w:rPr>
        <w:t xml:space="preserve">canopic </w:t>
      </w:r>
      <w:r w:rsidRPr="000F434A">
        <w:rPr>
          <w:rFonts w:ascii="Arial" w:eastAsia="Times New Roman" w:hAnsi="Arial"/>
          <w:color w:val="000000"/>
          <w:spacing w:val="0"/>
          <w:sz w:val="22"/>
          <w:szCs w:val="22"/>
          <w:lang w:eastAsia="en-GB"/>
        </w:rPr>
        <w:t>jars lidded with the head of chthonic deities for protection.</w:t>
      </w:r>
      <w:r w:rsidR="00D06FD3">
        <w:rPr>
          <w:rStyle w:val="FootnoteReference"/>
          <w:rFonts w:ascii="Arial" w:eastAsia="Times New Roman" w:hAnsi="Arial"/>
          <w:color w:val="000000"/>
          <w:spacing w:val="0"/>
          <w:sz w:val="22"/>
          <w:szCs w:val="22"/>
          <w:lang w:eastAsia="en-GB"/>
        </w:rPr>
        <w:footnoteReference w:id="27"/>
      </w:r>
      <w:r w:rsidRPr="000F434A">
        <w:rPr>
          <w:rFonts w:ascii="Arial" w:eastAsia="Times New Roman" w:hAnsi="Arial"/>
          <w:color w:val="000000"/>
          <w:spacing w:val="0"/>
          <w:sz w:val="22"/>
          <w:szCs w:val="22"/>
          <w:lang w:eastAsia="en-GB"/>
        </w:rPr>
        <w:t xml:space="preserve"> This removal of soft tissue and preserving of the body shows both Anubis’ jackal side (consuming the dead meat as Pinch observed</w:t>
      </w:r>
      <w:r w:rsidR="00D06FD3">
        <w:rPr>
          <w:rStyle w:val="FootnoteReference"/>
          <w:rFonts w:ascii="Arial" w:eastAsia="Times New Roman" w:hAnsi="Arial"/>
          <w:color w:val="000000"/>
          <w:spacing w:val="0"/>
          <w:sz w:val="22"/>
          <w:szCs w:val="22"/>
          <w:lang w:eastAsia="en-GB"/>
        </w:rPr>
        <w:footnoteReference w:id="28"/>
      </w:r>
      <w:r w:rsidRPr="000F434A">
        <w:rPr>
          <w:rFonts w:ascii="Arial" w:eastAsia="Times New Roman" w:hAnsi="Arial"/>
          <w:color w:val="000000"/>
          <w:spacing w:val="0"/>
          <w:sz w:val="22"/>
          <w:szCs w:val="22"/>
          <w:lang w:eastAsia="en-GB"/>
        </w:rPr>
        <w:t>) and his human side (completing the ritual).</w:t>
      </w:r>
    </w:p>
    <w:p w14:paraId="78A50791" w14:textId="38FF2DB9" w:rsidR="000F434A" w:rsidRPr="000F434A" w:rsidRDefault="000F434A" w:rsidP="000F434A">
      <w:pPr>
        <w:spacing w:before="240" w:after="24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color w:val="000000"/>
          <w:spacing w:val="0"/>
          <w:sz w:val="22"/>
          <w:szCs w:val="22"/>
          <w:lang w:eastAsia="en-GB"/>
        </w:rPr>
        <w:t>The origin of Anubis’ features within the iconography can be found within the stories and myths. One of the stories about Anubis introduces his role as judge of the dead. In this role he must weigh the heart of a deceased person against a feather that is Ma’at, the Ancient Egyptian concept of life. If the heart is balanced with the feather the person is allowed to continue their journey to the afterlife. Anubis is not alone when judging the dead. Alongside him in this role are Seth and Amm</w:t>
      </w:r>
      <w:r w:rsidR="00DE2066">
        <w:rPr>
          <w:rFonts w:ascii="Arial" w:eastAsia="Times New Roman" w:hAnsi="Arial"/>
          <w:color w:val="000000"/>
          <w:spacing w:val="0"/>
          <w:sz w:val="22"/>
          <w:szCs w:val="22"/>
          <w:lang w:eastAsia="en-GB"/>
        </w:rPr>
        <w:t>u</w:t>
      </w:r>
      <w:r w:rsidRPr="000F434A">
        <w:rPr>
          <w:rFonts w:ascii="Arial" w:eastAsia="Times New Roman" w:hAnsi="Arial"/>
          <w:color w:val="000000"/>
          <w:spacing w:val="0"/>
          <w:sz w:val="22"/>
          <w:szCs w:val="22"/>
          <w:lang w:eastAsia="en-GB"/>
        </w:rPr>
        <w:t>t. Seth is a god of knowledge and his role is to document the life and death of the deceased.</w:t>
      </w:r>
      <w:r w:rsidR="00746C77">
        <w:rPr>
          <w:rStyle w:val="FootnoteReference"/>
          <w:rFonts w:ascii="Arial" w:eastAsia="Times New Roman" w:hAnsi="Arial"/>
          <w:color w:val="000000"/>
          <w:spacing w:val="0"/>
          <w:sz w:val="22"/>
          <w:szCs w:val="22"/>
          <w:lang w:eastAsia="en-GB"/>
        </w:rPr>
        <w:footnoteReference w:id="29"/>
      </w:r>
      <w:r w:rsidRPr="000F434A">
        <w:rPr>
          <w:rFonts w:ascii="Arial" w:eastAsia="Times New Roman" w:hAnsi="Arial"/>
          <w:color w:val="000000"/>
          <w:spacing w:val="0"/>
          <w:sz w:val="22"/>
          <w:szCs w:val="22"/>
          <w:lang w:eastAsia="en-GB"/>
        </w:rPr>
        <w:t xml:space="preserve"> Amm</w:t>
      </w:r>
      <w:r w:rsidR="00DE2066">
        <w:rPr>
          <w:rFonts w:ascii="Arial" w:eastAsia="Times New Roman" w:hAnsi="Arial"/>
          <w:color w:val="000000"/>
          <w:spacing w:val="0"/>
          <w:sz w:val="22"/>
          <w:szCs w:val="22"/>
          <w:lang w:eastAsia="en-GB"/>
        </w:rPr>
        <w:t>u</w:t>
      </w:r>
      <w:r w:rsidRPr="000F434A">
        <w:rPr>
          <w:rFonts w:ascii="Arial" w:eastAsia="Times New Roman" w:hAnsi="Arial"/>
          <w:color w:val="000000"/>
          <w:spacing w:val="0"/>
          <w:sz w:val="22"/>
          <w:szCs w:val="22"/>
          <w:lang w:eastAsia="en-GB"/>
        </w:rPr>
        <w:t>t is a demoness, part crocodile, part lion and part hippopotamus.</w:t>
      </w:r>
      <w:r w:rsidR="00746C77">
        <w:rPr>
          <w:rStyle w:val="FootnoteReference"/>
          <w:rFonts w:ascii="Arial" w:eastAsia="Times New Roman" w:hAnsi="Arial"/>
          <w:color w:val="000000"/>
          <w:spacing w:val="0"/>
          <w:sz w:val="22"/>
          <w:szCs w:val="22"/>
          <w:lang w:eastAsia="en-GB"/>
        </w:rPr>
        <w:footnoteReference w:id="30"/>
      </w:r>
      <w:r w:rsidRPr="000F434A">
        <w:rPr>
          <w:rFonts w:ascii="Arial" w:eastAsia="Times New Roman" w:hAnsi="Arial"/>
          <w:color w:val="000000"/>
          <w:spacing w:val="0"/>
          <w:sz w:val="22"/>
          <w:szCs w:val="22"/>
          <w:lang w:eastAsia="en-GB"/>
        </w:rPr>
        <w:t xml:space="preserve"> Her name translates to “devourer of the dead” and suggests her role of eating the dead that do not pass judgement.</w:t>
      </w:r>
      <w:r w:rsidR="00746C77">
        <w:rPr>
          <w:rStyle w:val="FootnoteReference"/>
          <w:rFonts w:ascii="Arial" w:eastAsia="Times New Roman" w:hAnsi="Arial"/>
          <w:color w:val="000000"/>
          <w:spacing w:val="0"/>
          <w:sz w:val="22"/>
          <w:szCs w:val="22"/>
          <w:lang w:eastAsia="en-GB"/>
        </w:rPr>
        <w:footnoteReference w:id="31"/>
      </w:r>
      <w:r w:rsidRPr="000F434A">
        <w:rPr>
          <w:rFonts w:ascii="Arial" w:eastAsia="Times New Roman" w:hAnsi="Arial"/>
          <w:color w:val="000000"/>
          <w:spacing w:val="0"/>
          <w:sz w:val="22"/>
          <w:szCs w:val="22"/>
          <w:lang w:eastAsia="en-GB"/>
        </w:rPr>
        <w:t xml:space="preserve"> The animals chosen for the chthonic deities are all dangerous animals. They are able to kill a person with ease and would consume the remains. Therefore, the use of these animals when depicting chthonic deities not only fits into the concept of animals doing what the god they represent would do but also the fear that would come with death.</w:t>
      </w:r>
    </w:p>
    <w:p w14:paraId="6E202B20" w14:textId="4211CCF3" w:rsidR="000F434A" w:rsidRPr="000F434A" w:rsidRDefault="000F434A" w:rsidP="000F434A">
      <w:pPr>
        <w:spacing w:before="240" w:after="24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color w:val="000000"/>
          <w:spacing w:val="0"/>
          <w:sz w:val="22"/>
          <w:szCs w:val="22"/>
          <w:lang w:eastAsia="en-GB"/>
        </w:rPr>
        <w:t>Anubis is the gatekeeper between this world and the next. The jackal is a carrion eating animal, meaning it will eat any dead meat it comes across.</w:t>
      </w:r>
      <w:r w:rsidR="00746C77">
        <w:rPr>
          <w:rStyle w:val="FootnoteReference"/>
          <w:rFonts w:ascii="Arial" w:eastAsia="Times New Roman" w:hAnsi="Arial"/>
          <w:color w:val="000000"/>
          <w:spacing w:val="0"/>
          <w:sz w:val="22"/>
          <w:szCs w:val="22"/>
          <w:lang w:eastAsia="en-GB"/>
        </w:rPr>
        <w:footnoteReference w:id="32"/>
      </w:r>
      <w:r w:rsidRPr="000F434A">
        <w:rPr>
          <w:rFonts w:ascii="Arial" w:eastAsia="Times New Roman" w:hAnsi="Arial"/>
          <w:color w:val="000000"/>
          <w:spacing w:val="0"/>
          <w:sz w:val="22"/>
          <w:szCs w:val="22"/>
          <w:lang w:eastAsia="en-GB"/>
        </w:rPr>
        <w:t xml:space="preserve"> This would include any corpses that were buried too shallow.</w:t>
      </w:r>
      <w:r w:rsidR="00746C77">
        <w:rPr>
          <w:rStyle w:val="FootnoteReference"/>
          <w:rFonts w:ascii="Arial" w:eastAsia="Times New Roman" w:hAnsi="Arial"/>
          <w:color w:val="000000"/>
          <w:spacing w:val="0"/>
          <w:sz w:val="22"/>
          <w:szCs w:val="22"/>
          <w:lang w:eastAsia="en-GB"/>
        </w:rPr>
        <w:footnoteReference w:id="33"/>
      </w:r>
      <w:r w:rsidRPr="000F434A">
        <w:rPr>
          <w:rFonts w:ascii="Arial" w:eastAsia="Times New Roman" w:hAnsi="Arial"/>
          <w:color w:val="000000"/>
          <w:spacing w:val="0"/>
          <w:sz w:val="22"/>
          <w:szCs w:val="22"/>
          <w:lang w:eastAsia="en-GB"/>
        </w:rPr>
        <w:t xml:space="preserve"> To combat this Anubis was made as "the dog who swallows millions".</w:t>
      </w:r>
      <w:r w:rsidR="00746C77">
        <w:rPr>
          <w:rStyle w:val="FootnoteReference"/>
          <w:rFonts w:ascii="Arial" w:eastAsia="Times New Roman" w:hAnsi="Arial"/>
          <w:color w:val="000000"/>
          <w:spacing w:val="0"/>
          <w:sz w:val="22"/>
          <w:szCs w:val="22"/>
          <w:lang w:eastAsia="en-GB"/>
        </w:rPr>
        <w:footnoteReference w:id="34"/>
      </w:r>
      <w:r w:rsidRPr="000F434A">
        <w:rPr>
          <w:rFonts w:ascii="Arial" w:eastAsia="Times New Roman" w:hAnsi="Arial"/>
          <w:color w:val="000000"/>
          <w:spacing w:val="0"/>
          <w:sz w:val="22"/>
          <w:szCs w:val="22"/>
          <w:lang w:eastAsia="en-GB"/>
        </w:rPr>
        <w:t xml:space="preserve"> Anubis is also known as "the lord of the sacred land" which refers to the desert cemeteries where the jackal would most likely scavenge.</w:t>
      </w:r>
      <w:r w:rsidR="00746C77">
        <w:rPr>
          <w:rStyle w:val="FootnoteReference"/>
          <w:rFonts w:ascii="Arial" w:eastAsia="Times New Roman" w:hAnsi="Arial"/>
          <w:color w:val="000000"/>
          <w:spacing w:val="0"/>
          <w:sz w:val="22"/>
          <w:szCs w:val="22"/>
          <w:lang w:eastAsia="en-GB"/>
        </w:rPr>
        <w:footnoteReference w:id="35"/>
      </w:r>
      <w:r w:rsidRPr="000F434A">
        <w:rPr>
          <w:rFonts w:ascii="Arial" w:eastAsia="Times New Roman" w:hAnsi="Arial"/>
          <w:color w:val="000000"/>
          <w:spacing w:val="0"/>
          <w:sz w:val="22"/>
          <w:szCs w:val="22"/>
          <w:lang w:eastAsia="en-GB"/>
        </w:rPr>
        <w:t xml:space="preserve"> As well as this the jackal eating dead meat is mirrored in the embalming process with the removal of the organs as the jackal would most likely start by eating the soft tissues. This means that the jackal head is an important aspect of Anubis’ depictions. It shows his position as guardian of the gate to the afterlife. His letting people into the afterlife is symbolic of his ‘swallowing’ them in the same way that the jackal eats dead meat. Anubis is present between two worlds, the world of the living and the world of the dead. This part of him going between the two worlds demonstrates his dual aspects. Anubis’ placement at the entrance of t</w:t>
      </w:r>
      <w:r w:rsidR="00C20E40">
        <w:rPr>
          <w:rFonts w:ascii="Arial" w:eastAsia="Times New Roman" w:hAnsi="Arial"/>
          <w:color w:val="000000"/>
          <w:spacing w:val="0"/>
          <w:sz w:val="22"/>
          <w:szCs w:val="22"/>
          <w:lang w:eastAsia="en-GB"/>
        </w:rPr>
        <w:t>ombs</w:t>
      </w:r>
      <w:r w:rsidRPr="000F434A">
        <w:rPr>
          <w:rFonts w:ascii="Arial" w:eastAsia="Times New Roman" w:hAnsi="Arial"/>
          <w:color w:val="000000"/>
          <w:spacing w:val="0"/>
          <w:sz w:val="22"/>
          <w:szCs w:val="22"/>
          <w:lang w:eastAsia="en-GB"/>
        </w:rPr>
        <w:t xml:space="preserve"> shows his role as a protector of boundaries.</w:t>
      </w:r>
      <w:r w:rsidR="00746C77">
        <w:rPr>
          <w:rStyle w:val="FootnoteReference"/>
          <w:rFonts w:ascii="Arial" w:eastAsia="Times New Roman" w:hAnsi="Arial"/>
          <w:color w:val="000000"/>
          <w:spacing w:val="0"/>
          <w:sz w:val="22"/>
          <w:szCs w:val="22"/>
          <w:lang w:eastAsia="en-GB"/>
        </w:rPr>
        <w:footnoteReference w:id="36"/>
      </w:r>
      <w:r w:rsidRPr="000F434A">
        <w:rPr>
          <w:rFonts w:ascii="Arial" w:eastAsia="Times New Roman" w:hAnsi="Arial"/>
          <w:color w:val="000000"/>
          <w:spacing w:val="0"/>
          <w:sz w:val="22"/>
          <w:szCs w:val="22"/>
          <w:lang w:eastAsia="en-GB"/>
        </w:rPr>
        <w:t xml:space="preserve"> This gatekeeper symbolism represents his role of controlling the passing of the boundary to the afterlife, both from when the deceased begins their journey and when their heart is being weighed. Anubis is the guardian to the underworld and controls the passing over the boundary between the living world and the next. He is a ritual authority in this ultimate rite of passage; death.</w:t>
      </w:r>
    </w:p>
    <w:p w14:paraId="632368BA" w14:textId="7B4B591C" w:rsidR="000F434A" w:rsidRPr="000F434A" w:rsidRDefault="000F434A" w:rsidP="000F434A">
      <w:pPr>
        <w:spacing w:before="240" w:after="24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color w:val="000000"/>
          <w:spacing w:val="0"/>
          <w:sz w:val="22"/>
          <w:szCs w:val="22"/>
          <w:lang w:eastAsia="en-GB"/>
        </w:rPr>
        <w:t xml:space="preserve">Anubis’ dual representation as half human, half jackal represents him as divine. The depiction as half jackal and half human is to show the two forms that represent Anubis, a jackal </w:t>
      </w:r>
      <w:r w:rsidRPr="000F434A">
        <w:rPr>
          <w:rFonts w:ascii="Arial" w:eastAsia="Times New Roman" w:hAnsi="Arial"/>
          <w:color w:val="000000"/>
          <w:spacing w:val="0"/>
          <w:sz w:val="22"/>
          <w:szCs w:val="22"/>
          <w:lang w:eastAsia="en-GB"/>
        </w:rPr>
        <w:t>form,</w:t>
      </w:r>
      <w:r w:rsidRPr="000F434A">
        <w:rPr>
          <w:rFonts w:ascii="Arial" w:eastAsia="Times New Roman" w:hAnsi="Arial"/>
          <w:color w:val="000000"/>
          <w:spacing w:val="0"/>
          <w:sz w:val="22"/>
          <w:szCs w:val="22"/>
          <w:lang w:eastAsia="en-GB"/>
        </w:rPr>
        <w:t xml:space="preserve"> and a human form.</w:t>
      </w:r>
      <w:r w:rsidR="00746C77">
        <w:rPr>
          <w:rStyle w:val="FootnoteReference"/>
          <w:rFonts w:ascii="Arial" w:eastAsia="Times New Roman" w:hAnsi="Arial"/>
          <w:color w:val="000000"/>
          <w:spacing w:val="0"/>
          <w:sz w:val="22"/>
          <w:szCs w:val="22"/>
          <w:lang w:eastAsia="en-GB"/>
        </w:rPr>
        <w:footnoteReference w:id="37"/>
      </w:r>
      <w:r w:rsidRPr="000F434A">
        <w:rPr>
          <w:rFonts w:ascii="Arial" w:eastAsia="Times New Roman" w:hAnsi="Arial"/>
          <w:color w:val="000000"/>
          <w:spacing w:val="0"/>
          <w:sz w:val="22"/>
          <w:szCs w:val="22"/>
          <w:lang w:eastAsia="en-GB"/>
        </w:rPr>
        <w:t xml:space="preserve"> This depiction shows the two aspects of the god in one image. For Ancient Egyptians it would be understood easily and interpreted in this way. The significance of the jackal head can be seen in the previous points raised in the essay. His </w:t>
      </w:r>
      <w:r w:rsidRPr="000F434A">
        <w:rPr>
          <w:rFonts w:ascii="Arial" w:eastAsia="Times New Roman" w:hAnsi="Arial"/>
          <w:color w:val="000000"/>
          <w:spacing w:val="0"/>
          <w:sz w:val="22"/>
          <w:szCs w:val="22"/>
          <w:lang w:eastAsia="en-GB"/>
        </w:rPr>
        <w:lastRenderedPageBreak/>
        <w:t>roles in ritual, as a gatekeeper, as a scavenger and as a guardian of liminal space are all represented within this jackal head. This representation makes Anubis a fearful figure to look upon. This could be interpreted with a number of meanings. Anubis represents moving into the afterlife. This journey is full of tests and trials that the deceased has to endure.</w:t>
      </w:r>
      <w:r w:rsidR="00746C77">
        <w:rPr>
          <w:rStyle w:val="FootnoteReference"/>
          <w:rFonts w:ascii="Arial" w:eastAsia="Times New Roman" w:hAnsi="Arial"/>
          <w:color w:val="000000"/>
          <w:spacing w:val="0"/>
          <w:sz w:val="22"/>
          <w:szCs w:val="22"/>
          <w:lang w:eastAsia="en-GB"/>
        </w:rPr>
        <w:footnoteReference w:id="38"/>
      </w:r>
      <w:r w:rsidRPr="000F434A">
        <w:rPr>
          <w:rFonts w:ascii="Arial" w:eastAsia="Times New Roman" w:hAnsi="Arial"/>
          <w:color w:val="000000"/>
          <w:spacing w:val="0"/>
          <w:sz w:val="22"/>
          <w:szCs w:val="22"/>
          <w:lang w:eastAsia="en-GB"/>
        </w:rPr>
        <w:t xml:space="preserve"> This treacherous journey along with the oncoming unknown of what the afterlife would hold would put fear into the heart of the deceased. His full jackal representation shows his animal form </w:t>
      </w:r>
      <w:r w:rsidRPr="000F434A">
        <w:rPr>
          <w:rFonts w:ascii="Times New Roman" w:eastAsia="Times New Roman" w:hAnsi="Times New Roman" w:cs="Times New Roman"/>
          <w:noProof/>
          <w:color w:val="auto"/>
          <w:spacing w:val="0"/>
          <w:sz w:val="24"/>
          <w:szCs w:val="24"/>
          <w:bdr w:val="none" w:sz="0" w:space="0" w:color="auto" w:frame="1"/>
          <w:lang w:eastAsia="en-GB"/>
        </w:rPr>
        <w:drawing>
          <wp:anchor distT="0" distB="0" distL="114300" distR="114300" simplePos="0" relativeHeight="251660288" behindDoc="0" locked="0" layoutInCell="1" allowOverlap="1" wp14:anchorId="19C3BDB9" wp14:editId="66A59AFC">
            <wp:simplePos x="0" y="0"/>
            <wp:positionH relativeFrom="margin">
              <wp:align>left</wp:align>
            </wp:positionH>
            <wp:positionV relativeFrom="paragraph">
              <wp:posOffset>1095375</wp:posOffset>
            </wp:positionV>
            <wp:extent cx="2895600" cy="22288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95600" cy="2228850"/>
                    </a:xfrm>
                    <a:prstGeom prst="rect">
                      <a:avLst/>
                    </a:prstGeom>
                    <a:noFill/>
                    <a:ln>
                      <a:noFill/>
                    </a:ln>
                  </pic:spPr>
                </pic:pic>
              </a:graphicData>
            </a:graphic>
          </wp:anchor>
        </w:drawing>
      </w:r>
      <w:r w:rsidRPr="000F434A">
        <w:rPr>
          <w:rFonts w:ascii="Arial" w:eastAsia="Times New Roman" w:hAnsi="Arial"/>
          <w:color w:val="000000"/>
          <w:spacing w:val="0"/>
          <w:sz w:val="22"/>
          <w:szCs w:val="22"/>
          <w:lang w:eastAsia="en-GB"/>
        </w:rPr>
        <w:t>and is a representation of his role as transporter of the dead.</w:t>
      </w:r>
      <w:r w:rsidRPr="000F434A">
        <w:rPr>
          <w:rFonts w:ascii="Arial" w:eastAsia="Times New Roman" w:hAnsi="Arial"/>
          <w:b/>
          <w:bCs/>
          <w:color w:val="000000"/>
          <w:spacing w:val="0"/>
          <w:sz w:val="22"/>
          <w:szCs w:val="22"/>
          <w:lang w:eastAsia="en-GB"/>
        </w:rPr>
        <w:t xml:space="preserve"> </w:t>
      </w:r>
      <w:r w:rsidRPr="000F434A">
        <w:rPr>
          <w:rFonts w:ascii="Arial" w:eastAsia="Times New Roman" w:hAnsi="Arial"/>
          <w:color w:val="000000"/>
          <w:spacing w:val="0"/>
          <w:sz w:val="22"/>
          <w:szCs w:val="22"/>
          <w:lang w:eastAsia="en-GB"/>
        </w:rPr>
        <w:t>An example of his transporter role can be seen in a full jackal statue that was found in Tutankhamun’s tomb which was placed on a box with four rods to carry it into the tomb.</w:t>
      </w:r>
      <w:r w:rsidR="00746C77">
        <w:rPr>
          <w:rStyle w:val="FootnoteReference"/>
          <w:rFonts w:ascii="Arial" w:eastAsia="Times New Roman" w:hAnsi="Arial"/>
          <w:color w:val="000000"/>
          <w:spacing w:val="0"/>
          <w:sz w:val="22"/>
          <w:szCs w:val="22"/>
          <w:lang w:eastAsia="en-GB"/>
        </w:rPr>
        <w:footnoteReference w:id="39"/>
      </w:r>
      <w:r w:rsidRPr="000F434A">
        <w:rPr>
          <w:rFonts w:ascii="Arial" w:eastAsia="Times New Roman" w:hAnsi="Arial"/>
          <w:color w:val="000000"/>
          <w:spacing w:val="0"/>
          <w:sz w:val="22"/>
          <w:szCs w:val="22"/>
          <w:lang w:eastAsia="en-GB"/>
        </w:rPr>
        <w:t xml:space="preserve"> </w:t>
      </w:r>
      <w:r>
        <w:rPr>
          <w:rFonts w:ascii="Arial" w:eastAsia="Times New Roman" w:hAnsi="Arial"/>
          <w:color w:val="000000"/>
          <w:spacing w:val="0"/>
          <w:sz w:val="22"/>
          <w:szCs w:val="22"/>
          <w:lang w:eastAsia="en-GB"/>
        </w:rPr>
        <w:t>Figure</w:t>
      </w:r>
      <w:r w:rsidRPr="000F434A">
        <w:rPr>
          <w:rFonts w:ascii="Arial" w:eastAsia="Times New Roman" w:hAnsi="Arial"/>
          <w:color w:val="000000"/>
          <w:spacing w:val="0"/>
          <w:sz w:val="22"/>
          <w:szCs w:val="22"/>
          <w:lang w:eastAsia="en-GB"/>
        </w:rPr>
        <w:t xml:space="preserve"> 3 is another example of the full jackal depiction although it is slightly different from the Tutankhamun statue. This statue shows Anubis in his full jackal form and was found in a tomb.</w:t>
      </w:r>
      <w:r w:rsidR="00746C77">
        <w:rPr>
          <w:rStyle w:val="FootnoteReference"/>
          <w:rFonts w:ascii="Arial" w:eastAsia="Times New Roman" w:hAnsi="Arial"/>
          <w:color w:val="000000"/>
          <w:spacing w:val="0"/>
          <w:sz w:val="22"/>
          <w:szCs w:val="22"/>
          <w:lang w:eastAsia="en-GB"/>
        </w:rPr>
        <w:footnoteReference w:id="40"/>
      </w:r>
      <w:r w:rsidRPr="000F434A">
        <w:rPr>
          <w:rFonts w:ascii="Arial" w:eastAsia="Times New Roman" w:hAnsi="Arial"/>
          <w:color w:val="000000"/>
          <w:spacing w:val="0"/>
          <w:sz w:val="22"/>
          <w:szCs w:val="22"/>
          <w:lang w:eastAsia="en-GB"/>
        </w:rPr>
        <w:t xml:space="preserve"> This </w:t>
      </w:r>
      <w:r>
        <w:rPr>
          <w:noProof/>
        </w:rPr>
        <mc:AlternateContent>
          <mc:Choice Requires="wps">
            <w:drawing>
              <wp:anchor distT="0" distB="0" distL="114300" distR="114300" simplePos="0" relativeHeight="251666432" behindDoc="0" locked="0" layoutInCell="1" allowOverlap="1" wp14:anchorId="50D3151C" wp14:editId="6AD5C5BA">
                <wp:simplePos x="0" y="0"/>
                <wp:positionH relativeFrom="margin">
                  <wp:align>left</wp:align>
                </wp:positionH>
                <wp:positionV relativeFrom="paragraph">
                  <wp:posOffset>3381375</wp:posOffset>
                </wp:positionV>
                <wp:extent cx="2895600" cy="200025"/>
                <wp:effectExtent l="0" t="0" r="0" b="9525"/>
                <wp:wrapSquare wrapText="bothSides"/>
                <wp:docPr id="8" name="Text Box 8"/>
                <wp:cNvGraphicFramePr/>
                <a:graphic xmlns:a="http://schemas.openxmlformats.org/drawingml/2006/main">
                  <a:graphicData uri="http://schemas.microsoft.com/office/word/2010/wordprocessingShape">
                    <wps:wsp>
                      <wps:cNvSpPr txBox="1"/>
                      <wps:spPr>
                        <a:xfrm>
                          <a:off x="0" y="0"/>
                          <a:ext cx="2895600" cy="200025"/>
                        </a:xfrm>
                        <a:prstGeom prst="rect">
                          <a:avLst/>
                        </a:prstGeom>
                        <a:solidFill>
                          <a:prstClr val="white"/>
                        </a:solidFill>
                        <a:ln>
                          <a:noFill/>
                        </a:ln>
                      </wps:spPr>
                      <wps:txbx>
                        <w:txbxContent>
                          <w:p w14:paraId="445B24A5" w14:textId="3254006C" w:rsidR="000F434A" w:rsidRPr="0042663E" w:rsidRDefault="000F434A" w:rsidP="000F434A">
                            <w:pPr>
                              <w:pStyle w:val="Caption"/>
                              <w:rPr>
                                <w:rFonts w:ascii="Arial" w:eastAsia="Times New Roman" w:hAnsi="Arial"/>
                                <w:color w:val="000000"/>
                              </w:rPr>
                            </w:pPr>
                            <w:r>
                              <w:t xml:space="preserve">Figure </w:t>
                            </w:r>
                            <w:fldSimple w:instr=" SEQ Figure \* ARABIC ">
                              <w:r>
                                <w:rPr>
                                  <w:noProof/>
                                </w:rPr>
                                <w:t>3</w:t>
                              </w:r>
                            </w:fldSimple>
                            <w:r>
                              <w:t xml:space="preserve"> Statue of Anubis, British Museum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D3151C" id="Text Box 8" o:spid="_x0000_s1028" type="#_x0000_t202" style="position:absolute;margin-left:0;margin-top:266.25pt;width:228pt;height:15.75pt;z-index:2516664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" stroked="f">
                <v:textbox inset="0,0,0,0">
                  <w:txbxContent>
                    <w:p w14:paraId="445B24A5" w14:textId="3254006C" w:rsidR="000F434A" w:rsidRPr="0042663E" w:rsidRDefault="000F434A" w:rsidP="000F434A">
                      <w:pPr>
                        <w:pStyle w:val="Caption"/>
                        <w:rPr>
                          <w:rFonts w:ascii="Arial" w:eastAsia="Times New Roman" w:hAnsi="Arial"/>
                          <w:color w:val="000000"/>
                        </w:rPr>
                      </w:pPr>
                      <w:r>
                        <w:t xml:space="preserve">Figure </w:t>
                      </w:r>
                      <w:fldSimple w:instr=" SEQ Figure \* ARABIC ">
                        <w:r>
                          <w:rPr>
                            <w:noProof/>
                          </w:rPr>
                          <w:t>3</w:t>
                        </w:r>
                      </w:fldSimple>
                      <w:r>
                        <w:t xml:space="preserve"> Statue of Anubis, British Museum</w:t>
                      </w:r>
                    </w:p>
                  </w:txbxContent>
                </v:textbox>
                <w10:wrap type="square" anchorx="margin"/>
              </v:shape>
            </w:pict>
          </mc:Fallback>
        </mc:AlternateContent>
      </w:r>
      <w:r w:rsidRPr="000F434A">
        <w:rPr>
          <w:rFonts w:ascii="Arial" w:eastAsia="Times New Roman" w:hAnsi="Arial"/>
          <w:color w:val="000000"/>
          <w:spacing w:val="0"/>
          <w:sz w:val="22"/>
          <w:szCs w:val="22"/>
          <w:lang w:eastAsia="en-GB"/>
        </w:rPr>
        <w:t xml:space="preserve">funerary placement of this statue shows how Anubis protects the afterlife. He stands guard in the tomb, like a guard dog, protecting the deceased from all that might come. The placing of Anubis in the tomb could also represent the jackals who dig up shallow graves to get to the dead meat inside. As Anubis is in the </w:t>
      </w:r>
      <w:r w:rsidRPr="000F434A">
        <w:rPr>
          <w:rFonts w:ascii="Arial" w:eastAsia="Times New Roman" w:hAnsi="Arial"/>
          <w:color w:val="000000"/>
          <w:spacing w:val="0"/>
          <w:sz w:val="22"/>
          <w:szCs w:val="22"/>
          <w:lang w:eastAsia="en-GB"/>
        </w:rPr>
        <w:t>tomb,</w:t>
      </w:r>
      <w:r w:rsidRPr="000F434A">
        <w:rPr>
          <w:rFonts w:ascii="Arial" w:eastAsia="Times New Roman" w:hAnsi="Arial"/>
          <w:color w:val="000000"/>
          <w:spacing w:val="0"/>
          <w:sz w:val="22"/>
          <w:szCs w:val="22"/>
          <w:lang w:eastAsia="en-GB"/>
        </w:rPr>
        <w:t xml:space="preserve"> he consumes the dead meat that is in there and takes the deceased to the afterlife. He swallows the dead and takes them to the afterlife, much in the same way that the jackal eats the dead buried in shallow graves.</w:t>
      </w:r>
      <w:r w:rsidR="00746C77">
        <w:rPr>
          <w:rStyle w:val="FootnoteReference"/>
          <w:rFonts w:ascii="Arial" w:eastAsia="Times New Roman" w:hAnsi="Arial"/>
          <w:color w:val="000000"/>
          <w:spacing w:val="0"/>
          <w:sz w:val="22"/>
          <w:szCs w:val="22"/>
          <w:lang w:eastAsia="en-GB"/>
        </w:rPr>
        <w:footnoteReference w:id="41"/>
      </w:r>
      <w:r w:rsidRPr="000F434A">
        <w:rPr>
          <w:rFonts w:ascii="Arial" w:eastAsia="Times New Roman" w:hAnsi="Arial"/>
          <w:color w:val="000000"/>
          <w:spacing w:val="0"/>
          <w:sz w:val="22"/>
          <w:szCs w:val="22"/>
          <w:lang w:eastAsia="en-GB"/>
        </w:rPr>
        <w:t xml:space="preserve"> Unlike other gods, Anubis has no known fully human depictions. Perhaps this relates to the fact that his presence in Egyptian belief is solely in the context of the sphere of death and the journey to the afterlife. He does not have other functions outside of this role where his jackal head would not be important.</w:t>
      </w:r>
    </w:p>
    <w:p w14:paraId="60759C62" w14:textId="77777777" w:rsidR="000F434A" w:rsidRPr="000F434A" w:rsidRDefault="000F434A" w:rsidP="000F434A">
      <w:pPr>
        <w:spacing w:after="0" w:line="240" w:lineRule="auto"/>
        <w:rPr>
          <w:rFonts w:ascii="Times New Roman" w:eastAsia="Times New Roman" w:hAnsi="Times New Roman" w:cs="Times New Roman"/>
          <w:color w:val="auto"/>
          <w:spacing w:val="0"/>
          <w:sz w:val="24"/>
          <w:szCs w:val="24"/>
          <w:lang w:eastAsia="en-GB"/>
        </w:rPr>
      </w:pPr>
    </w:p>
    <w:p w14:paraId="1AFD3C43" w14:textId="77777777" w:rsidR="000F434A" w:rsidRPr="000F434A" w:rsidRDefault="000F434A" w:rsidP="000F434A">
      <w:pPr>
        <w:spacing w:before="240" w:after="24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b/>
          <w:bCs/>
          <w:color w:val="000000"/>
          <w:spacing w:val="0"/>
          <w:sz w:val="22"/>
          <w:szCs w:val="22"/>
          <w:lang w:eastAsia="en-GB"/>
        </w:rPr>
        <w:t>Section 2 – Duality/Dualism</w:t>
      </w:r>
    </w:p>
    <w:p w14:paraId="7FFD95F3" w14:textId="258BDD97" w:rsidR="000F434A" w:rsidRPr="000F434A" w:rsidRDefault="000F434A" w:rsidP="000F434A">
      <w:pPr>
        <w:spacing w:before="240" w:after="24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color w:val="000000"/>
          <w:spacing w:val="0"/>
          <w:sz w:val="22"/>
          <w:szCs w:val="22"/>
          <w:lang w:eastAsia="en-GB"/>
        </w:rPr>
        <w:t>Dualism can be understood as a binary concept of opposites. In order to apply the concept of dualism to Egyptian religion it must be seen as the existence of two opposite forces. The "Pharaonic ethnic group" viewed the universe through violent contrasts.</w:t>
      </w:r>
      <w:r w:rsidR="00746C77">
        <w:rPr>
          <w:rStyle w:val="FootnoteReference"/>
          <w:rFonts w:ascii="Arial" w:eastAsia="Times New Roman" w:hAnsi="Arial"/>
          <w:color w:val="000000"/>
          <w:spacing w:val="0"/>
          <w:sz w:val="22"/>
          <w:szCs w:val="22"/>
          <w:lang w:eastAsia="en-GB"/>
        </w:rPr>
        <w:footnoteReference w:id="42"/>
      </w:r>
      <w:r w:rsidRPr="000F434A">
        <w:rPr>
          <w:rFonts w:ascii="Arial" w:eastAsia="Times New Roman" w:hAnsi="Arial"/>
          <w:color w:val="000000"/>
          <w:spacing w:val="0"/>
          <w:sz w:val="22"/>
          <w:szCs w:val="22"/>
          <w:lang w:eastAsia="en-GB"/>
        </w:rPr>
        <w:t xml:space="preserve"> As a result of this, Egyptian cosmology was made into a series of polar concepts so it could exist in the bipolar world. The universe exists as a struggle between opposites. A key example of this is the concepts of day and night representing the fight between light/good (Ra) and darkness/evil (Apophis).</w:t>
      </w:r>
      <w:r w:rsidR="00746C77">
        <w:rPr>
          <w:rStyle w:val="FootnoteReference"/>
          <w:rFonts w:ascii="Arial" w:eastAsia="Times New Roman" w:hAnsi="Arial"/>
          <w:color w:val="000000"/>
          <w:spacing w:val="0"/>
          <w:sz w:val="22"/>
          <w:szCs w:val="22"/>
          <w:lang w:eastAsia="en-GB"/>
        </w:rPr>
        <w:footnoteReference w:id="43"/>
      </w:r>
      <w:r w:rsidRPr="000F434A">
        <w:rPr>
          <w:rFonts w:ascii="Arial" w:eastAsia="Times New Roman" w:hAnsi="Arial"/>
          <w:color w:val="000000"/>
          <w:spacing w:val="0"/>
          <w:sz w:val="22"/>
          <w:szCs w:val="22"/>
          <w:lang w:eastAsia="en-GB"/>
        </w:rPr>
        <w:t xml:space="preserve"> Fontaine explains dualism as two opposites that are so far apart or extreme that they can not blend at any point.</w:t>
      </w:r>
      <w:r w:rsidR="00746C77">
        <w:rPr>
          <w:rStyle w:val="FootnoteReference"/>
          <w:rFonts w:ascii="Arial" w:eastAsia="Times New Roman" w:hAnsi="Arial"/>
          <w:color w:val="000000"/>
          <w:spacing w:val="0"/>
          <w:sz w:val="22"/>
          <w:szCs w:val="22"/>
          <w:lang w:eastAsia="en-GB"/>
        </w:rPr>
        <w:footnoteReference w:id="44"/>
      </w:r>
      <w:r w:rsidRPr="000F434A">
        <w:rPr>
          <w:rFonts w:ascii="Arial" w:eastAsia="Times New Roman" w:hAnsi="Arial"/>
          <w:color w:val="000000"/>
          <w:spacing w:val="0"/>
          <w:sz w:val="22"/>
          <w:szCs w:val="22"/>
          <w:lang w:eastAsia="en-GB"/>
        </w:rPr>
        <w:t xml:space="preserve"> The connection between the two terms is no longer </w:t>
      </w:r>
      <w:r w:rsidRPr="000F434A">
        <w:rPr>
          <w:rFonts w:ascii="Arial" w:eastAsia="Times New Roman" w:hAnsi="Arial"/>
          <w:color w:val="000000"/>
          <w:spacing w:val="0"/>
          <w:sz w:val="22"/>
          <w:szCs w:val="22"/>
          <w:lang w:eastAsia="en-GB"/>
        </w:rPr>
        <w:lastRenderedPageBreak/>
        <w:t>existent. This concept is known as “radical dualism”, in which the terms of opposition exist in their own right as equals such as that between good and evil.</w:t>
      </w:r>
      <w:r w:rsidR="00746C77">
        <w:rPr>
          <w:rStyle w:val="FootnoteReference"/>
          <w:rFonts w:ascii="Arial" w:eastAsia="Times New Roman" w:hAnsi="Arial"/>
          <w:color w:val="000000"/>
          <w:spacing w:val="0"/>
          <w:sz w:val="22"/>
          <w:szCs w:val="22"/>
          <w:lang w:eastAsia="en-GB"/>
        </w:rPr>
        <w:footnoteReference w:id="45"/>
      </w:r>
    </w:p>
    <w:p w14:paraId="3E6E93A6" w14:textId="4B26E442" w:rsidR="000F434A" w:rsidRPr="000F434A" w:rsidRDefault="000F434A" w:rsidP="000F434A">
      <w:pPr>
        <w:spacing w:before="240" w:after="24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color w:val="000000"/>
          <w:spacing w:val="0"/>
          <w:sz w:val="22"/>
          <w:szCs w:val="22"/>
          <w:lang w:eastAsia="en-GB"/>
        </w:rPr>
        <w:t>Duality and concepts of dualism are found throughout many aspects of Ancient Egyptian thinking. These concepts are significant when trying to understand aspects of Ancient Egyptian society as they show the basis for Ancient Egyptian views.</w:t>
      </w:r>
      <w:r w:rsidR="00746C77">
        <w:rPr>
          <w:rStyle w:val="FootnoteReference"/>
          <w:rFonts w:ascii="Arial" w:eastAsia="Times New Roman" w:hAnsi="Arial"/>
          <w:color w:val="000000"/>
          <w:spacing w:val="0"/>
          <w:sz w:val="22"/>
          <w:szCs w:val="22"/>
          <w:lang w:eastAsia="en-GB"/>
        </w:rPr>
        <w:footnoteReference w:id="46"/>
      </w:r>
      <w:r w:rsidRPr="000F434A">
        <w:rPr>
          <w:rFonts w:ascii="Arial" w:eastAsia="Times New Roman" w:hAnsi="Arial"/>
          <w:color w:val="000000"/>
          <w:spacing w:val="0"/>
          <w:sz w:val="22"/>
          <w:szCs w:val="22"/>
          <w:lang w:eastAsia="en-GB"/>
        </w:rPr>
        <w:t xml:space="preserve"> There are several key dual concepts within Ancient Egyptian society. The most significant of these oppositions is the Nile and the desert. An extension of this is the flood season and no flood season. This is directly linked to the Nile as it is the Nile that would cause the flood season. Ancient Egyptian society also had more general dual aspects such as day/night, good/evil and life/death. These concepts can be understood through the cosmology of Ancient Egyptian religion. The dual aspect of the </w:t>
      </w:r>
      <w:r w:rsidRPr="000F434A">
        <w:rPr>
          <w:rFonts w:ascii="Arial" w:eastAsia="Times New Roman" w:hAnsi="Arial"/>
          <w:color w:val="000000"/>
          <w:spacing w:val="0"/>
          <w:sz w:val="22"/>
          <w:szCs w:val="22"/>
          <w:lang w:eastAsia="en-GB"/>
        </w:rPr>
        <w:t>Nile</w:t>
      </w:r>
      <w:r w:rsidRPr="000F434A">
        <w:rPr>
          <w:rFonts w:ascii="Arial" w:eastAsia="Times New Roman" w:hAnsi="Arial"/>
          <w:color w:val="000000"/>
          <w:spacing w:val="0"/>
          <w:sz w:val="22"/>
          <w:szCs w:val="22"/>
          <w:lang w:eastAsia="en-GB"/>
        </w:rPr>
        <w:t xml:space="preserve"> and the desert is central to Ancient Egyptian thinking.</w:t>
      </w:r>
      <w:r w:rsidRPr="000F434A">
        <w:rPr>
          <w:rFonts w:ascii="Arial" w:eastAsia="Times New Roman" w:hAnsi="Arial"/>
          <w:b/>
          <w:bCs/>
          <w:color w:val="000000"/>
          <w:spacing w:val="0"/>
          <w:sz w:val="22"/>
          <w:szCs w:val="22"/>
          <w:lang w:eastAsia="en-GB"/>
        </w:rPr>
        <w:t xml:space="preserve"> </w:t>
      </w:r>
      <w:r w:rsidRPr="000F434A">
        <w:rPr>
          <w:rFonts w:ascii="Arial" w:eastAsia="Times New Roman" w:hAnsi="Arial"/>
          <w:color w:val="000000"/>
          <w:spacing w:val="0"/>
          <w:sz w:val="22"/>
          <w:szCs w:val="22"/>
          <w:lang w:eastAsia="en-GB"/>
        </w:rPr>
        <w:t xml:space="preserve">The contrast of the </w:t>
      </w:r>
      <w:r w:rsidRPr="000F434A">
        <w:rPr>
          <w:rFonts w:ascii="Arial" w:eastAsia="Times New Roman" w:hAnsi="Arial"/>
          <w:color w:val="000000"/>
          <w:spacing w:val="0"/>
          <w:sz w:val="22"/>
          <w:szCs w:val="22"/>
          <w:lang w:eastAsia="en-GB"/>
        </w:rPr>
        <w:t>Nile</w:t>
      </w:r>
      <w:r w:rsidRPr="000F434A">
        <w:rPr>
          <w:rFonts w:ascii="Arial" w:eastAsia="Times New Roman" w:hAnsi="Arial"/>
          <w:color w:val="000000"/>
          <w:spacing w:val="0"/>
          <w:sz w:val="22"/>
          <w:szCs w:val="22"/>
          <w:lang w:eastAsia="en-GB"/>
        </w:rPr>
        <w:t xml:space="preserve"> and the desert is one that can be obviously seen when looking at the landscape of Egypt. The clear opposites show the two sides of the Egyptian geography, the sand of the desert and the water of the </w:t>
      </w:r>
      <w:r>
        <w:rPr>
          <w:rFonts w:ascii="Arial" w:eastAsia="Times New Roman" w:hAnsi="Arial"/>
          <w:color w:val="000000"/>
          <w:spacing w:val="0"/>
          <w:sz w:val="22"/>
          <w:szCs w:val="22"/>
          <w:lang w:eastAsia="en-GB"/>
        </w:rPr>
        <w:t>N</w:t>
      </w:r>
      <w:r w:rsidRPr="000F434A">
        <w:rPr>
          <w:rFonts w:ascii="Arial" w:eastAsia="Times New Roman" w:hAnsi="Arial"/>
          <w:color w:val="000000"/>
          <w:spacing w:val="0"/>
          <w:sz w:val="22"/>
          <w:szCs w:val="22"/>
          <w:lang w:eastAsia="en-GB"/>
        </w:rPr>
        <w:t>ile. </w:t>
      </w:r>
    </w:p>
    <w:p w14:paraId="33231143" w14:textId="6C2053B6" w:rsidR="000F434A" w:rsidRPr="000F434A" w:rsidRDefault="000F434A" w:rsidP="000F434A">
      <w:pPr>
        <w:spacing w:before="240" w:after="24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color w:val="000000"/>
          <w:spacing w:val="0"/>
          <w:sz w:val="22"/>
          <w:szCs w:val="22"/>
          <w:lang w:eastAsia="en-GB"/>
        </w:rPr>
        <w:t>Anubis represents the opposite concepts of life and death simultaneously. Depictions of Anubis show him to have similar attributes to humans.</w:t>
      </w:r>
      <w:r w:rsidR="00746C77">
        <w:rPr>
          <w:rStyle w:val="FootnoteReference"/>
          <w:rFonts w:ascii="Arial" w:eastAsia="Times New Roman" w:hAnsi="Arial"/>
          <w:color w:val="000000"/>
          <w:spacing w:val="0"/>
          <w:sz w:val="22"/>
          <w:szCs w:val="22"/>
          <w:lang w:eastAsia="en-GB"/>
        </w:rPr>
        <w:footnoteReference w:id="47"/>
      </w:r>
      <w:r w:rsidRPr="000F434A">
        <w:rPr>
          <w:rFonts w:ascii="Arial" w:eastAsia="Times New Roman" w:hAnsi="Arial"/>
          <w:color w:val="000000"/>
          <w:spacing w:val="0"/>
          <w:sz w:val="22"/>
          <w:szCs w:val="22"/>
          <w:lang w:eastAsia="en-GB"/>
        </w:rPr>
        <w:t xml:space="preserve"> He has the body of a human and his behaviour can be seen as quite humanistic. As a result of this the </w:t>
      </w:r>
      <w:r w:rsidRPr="000F434A">
        <w:rPr>
          <w:rFonts w:ascii="Arial" w:eastAsia="Times New Roman" w:hAnsi="Arial"/>
          <w:color w:val="000000"/>
          <w:spacing w:val="0"/>
          <w:sz w:val="22"/>
          <w:szCs w:val="22"/>
          <w:lang w:eastAsia="en-GB"/>
        </w:rPr>
        <w:t>populous</w:t>
      </w:r>
      <w:r w:rsidRPr="000F434A">
        <w:rPr>
          <w:rFonts w:ascii="Arial" w:eastAsia="Times New Roman" w:hAnsi="Arial"/>
          <w:color w:val="000000"/>
          <w:spacing w:val="0"/>
          <w:sz w:val="22"/>
          <w:szCs w:val="22"/>
          <w:lang w:eastAsia="en-GB"/>
        </w:rPr>
        <w:t xml:space="preserve"> of Ancient Egypt would have seen recognisable aspects and reflection of their society within Anubis. Some of his aspects are, however, very different. His jackal head and golden skin in his depictions show his divinity.</w:t>
      </w:r>
      <w:r w:rsidR="00746C77">
        <w:rPr>
          <w:rStyle w:val="FootnoteReference"/>
          <w:rFonts w:ascii="Arial" w:eastAsia="Times New Roman" w:hAnsi="Arial"/>
          <w:color w:val="000000"/>
          <w:spacing w:val="0"/>
          <w:sz w:val="22"/>
          <w:szCs w:val="22"/>
          <w:lang w:eastAsia="en-GB"/>
        </w:rPr>
        <w:footnoteReference w:id="48"/>
      </w:r>
      <w:r w:rsidRPr="000F434A">
        <w:rPr>
          <w:rFonts w:ascii="Arial" w:eastAsia="Times New Roman" w:hAnsi="Arial"/>
          <w:color w:val="000000"/>
          <w:spacing w:val="0"/>
          <w:sz w:val="22"/>
          <w:szCs w:val="22"/>
          <w:lang w:eastAsia="en-GB"/>
        </w:rPr>
        <w:t xml:space="preserve"> This shows that he is not a human, but a god. The dual aspects of Anubis show that his otherness. Within his representation it is also possible to see a grey area between the two binary concepts. He is the transition from life to death, the moving from one concept to the other. The animal/human representation could be interpreted as this grey conceptual area.</w:t>
      </w:r>
    </w:p>
    <w:p w14:paraId="6359F587" w14:textId="77777777" w:rsidR="000F434A" w:rsidRPr="000F434A" w:rsidRDefault="000F434A" w:rsidP="000F434A">
      <w:pPr>
        <w:spacing w:after="0" w:line="240" w:lineRule="auto"/>
        <w:rPr>
          <w:rFonts w:ascii="Times New Roman" w:eastAsia="Times New Roman" w:hAnsi="Times New Roman" w:cs="Times New Roman"/>
          <w:color w:val="auto"/>
          <w:spacing w:val="0"/>
          <w:sz w:val="24"/>
          <w:szCs w:val="24"/>
          <w:lang w:eastAsia="en-GB"/>
        </w:rPr>
      </w:pPr>
    </w:p>
    <w:p w14:paraId="0D2D331C" w14:textId="77777777" w:rsidR="000F434A" w:rsidRPr="000F434A" w:rsidRDefault="000F434A" w:rsidP="000F434A">
      <w:pPr>
        <w:spacing w:before="240" w:after="240" w:line="240" w:lineRule="auto"/>
        <w:rPr>
          <w:rFonts w:ascii="Times New Roman" w:eastAsia="Times New Roman" w:hAnsi="Times New Roman" w:cs="Times New Roman"/>
          <w:color w:val="auto"/>
          <w:spacing w:val="0"/>
          <w:sz w:val="24"/>
          <w:szCs w:val="24"/>
          <w:lang w:eastAsia="en-GB"/>
        </w:rPr>
      </w:pPr>
      <w:r w:rsidRPr="000F434A">
        <w:rPr>
          <w:rFonts w:ascii="Arial" w:eastAsia="Times New Roman" w:hAnsi="Arial"/>
          <w:b/>
          <w:bCs/>
          <w:color w:val="000000"/>
          <w:spacing w:val="0"/>
          <w:sz w:val="22"/>
          <w:szCs w:val="22"/>
          <w:lang w:eastAsia="en-GB"/>
        </w:rPr>
        <w:t>Conclusion</w:t>
      </w:r>
    </w:p>
    <w:p w14:paraId="65D1E4F2" w14:textId="5C24DC60" w:rsidR="007168C1" w:rsidRDefault="000F434A" w:rsidP="000F434A">
      <w:pPr>
        <w:spacing w:before="240" w:after="240" w:line="240" w:lineRule="auto"/>
        <w:rPr>
          <w:rFonts w:ascii="Arial" w:eastAsia="Times New Roman" w:hAnsi="Arial"/>
          <w:color w:val="000000"/>
          <w:spacing w:val="0"/>
          <w:sz w:val="22"/>
          <w:szCs w:val="22"/>
          <w:lang w:eastAsia="en-GB"/>
        </w:rPr>
      </w:pPr>
      <w:r w:rsidRPr="000F434A">
        <w:rPr>
          <w:rFonts w:ascii="Arial" w:eastAsia="Times New Roman" w:hAnsi="Arial"/>
          <w:color w:val="000000"/>
          <w:spacing w:val="0"/>
          <w:sz w:val="22"/>
          <w:szCs w:val="22"/>
          <w:lang w:eastAsia="en-GB"/>
        </w:rPr>
        <w:t xml:space="preserve">Anubis is an important part of the Ancient Egyptian world and his representations demonstrate a number of ideas and concepts embedded in their systems and beliefs. He acts as a key component of a rich system of belief involving magic, a large pantheon of deities and otherworldly beings; and a cosmological system in which humans travel to an afterlife after death. Anubis’ appearance is distinct and </w:t>
      </w:r>
      <w:r w:rsidRPr="000F434A">
        <w:rPr>
          <w:rFonts w:ascii="Arial" w:eastAsia="Times New Roman" w:hAnsi="Arial"/>
          <w:color w:val="000000"/>
          <w:spacing w:val="0"/>
          <w:sz w:val="22"/>
          <w:szCs w:val="22"/>
          <w:lang w:eastAsia="en-GB"/>
        </w:rPr>
        <w:t>recognisable,</w:t>
      </w:r>
      <w:r w:rsidRPr="000F434A">
        <w:rPr>
          <w:rFonts w:ascii="Arial" w:eastAsia="Times New Roman" w:hAnsi="Arial"/>
          <w:color w:val="000000"/>
          <w:spacing w:val="0"/>
          <w:sz w:val="22"/>
          <w:szCs w:val="22"/>
          <w:lang w:eastAsia="en-GB"/>
        </w:rPr>
        <w:t xml:space="preserve"> and he carries with him emblems that indicate his role within the wider narrative. His appearance confirms the existence of the afterlife and the journey that must be made to get there. His origin and role are contextualised within the mythic accounts that appear in the book of the dead and in the coffin texts. He guards entry into the afterlife, prepares the body through embalming and passes the final judgement. His dual appearance as half jackal and half man represents him as divine and gives him authority. Anubis’ dual representation reflects the concept of duality that is embedded in many aspects of Ancient Egyptian thinking and simultaneously highlights his position between animal and human, life and death, same and different, this world and the afterlife.</w:t>
      </w:r>
    </w:p>
    <w:p w14:paraId="288B9290" w14:textId="77777777" w:rsidR="0065481F" w:rsidRDefault="0065481F" w:rsidP="000F434A">
      <w:pPr>
        <w:spacing w:before="240" w:after="240" w:line="240" w:lineRule="auto"/>
        <w:rPr>
          <w:rFonts w:ascii="Arial" w:eastAsia="Times New Roman" w:hAnsi="Arial"/>
          <w:color w:val="000000"/>
          <w:spacing w:val="0"/>
          <w:sz w:val="22"/>
          <w:szCs w:val="22"/>
          <w:lang w:eastAsia="en-GB"/>
        </w:rPr>
      </w:pPr>
    </w:p>
    <w:p w14:paraId="21896BBC" w14:textId="093A9C51" w:rsidR="000F434A" w:rsidRDefault="000F434A" w:rsidP="000F434A">
      <w:pPr>
        <w:spacing w:before="240" w:after="240" w:line="240" w:lineRule="auto"/>
        <w:rPr>
          <w:rFonts w:ascii="Arial" w:eastAsia="Times New Roman" w:hAnsi="Arial"/>
          <w:color w:val="000000"/>
          <w:spacing w:val="0"/>
          <w:sz w:val="22"/>
          <w:szCs w:val="22"/>
          <w:u w:val="single"/>
          <w:lang w:eastAsia="en-GB"/>
        </w:rPr>
      </w:pPr>
      <w:r w:rsidRPr="000F434A">
        <w:rPr>
          <w:rFonts w:ascii="Arial" w:eastAsia="Times New Roman" w:hAnsi="Arial"/>
          <w:color w:val="000000"/>
          <w:spacing w:val="0"/>
          <w:sz w:val="22"/>
          <w:szCs w:val="22"/>
          <w:u w:val="single"/>
          <w:lang w:eastAsia="en-GB"/>
        </w:rPr>
        <w:lastRenderedPageBreak/>
        <w:t>Image Bibliography</w:t>
      </w:r>
    </w:p>
    <w:p w14:paraId="57E335AD" w14:textId="77777777" w:rsidR="006B7384" w:rsidRPr="00B87783" w:rsidRDefault="006B7384" w:rsidP="00B87783">
      <w:pPr>
        <w:spacing w:before="240" w:after="240" w:line="240" w:lineRule="auto"/>
        <w:rPr>
          <w:rFonts w:ascii="Arial" w:eastAsia="Times New Roman" w:hAnsi="Arial"/>
          <w:color w:val="000000"/>
          <w:spacing w:val="0"/>
          <w:sz w:val="22"/>
          <w:szCs w:val="22"/>
          <w:lang w:eastAsia="en-GB"/>
        </w:rPr>
      </w:pPr>
      <w:r w:rsidRPr="00B87783">
        <w:rPr>
          <w:rFonts w:ascii="Arial" w:eastAsia="Times New Roman" w:hAnsi="Arial"/>
          <w:color w:val="000000"/>
          <w:spacing w:val="0"/>
          <w:sz w:val="22"/>
          <w:szCs w:val="22"/>
          <w:lang w:eastAsia="en-GB"/>
        </w:rPr>
        <w:t>British Museum</w:t>
      </w:r>
      <w:r>
        <w:rPr>
          <w:rFonts w:ascii="Arial" w:eastAsia="Times New Roman" w:hAnsi="Arial"/>
          <w:color w:val="000000"/>
          <w:spacing w:val="0"/>
          <w:sz w:val="22"/>
          <w:szCs w:val="22"/>
          <w:lang w:eastAsia="en-GB"/>
        </w:rPr>
        <w:t>, 2011,</w:t>
      </w:r>
      <w:r w:rsidRPr="00B87783">
        <w:rPr>
          <w:rFonts w:ascii="Arial" w:eastAsia="Times New Roman" w:hAnsi="Arial"/>
          <w:color w:val="000000"/>
          <w:spacing w:val="0"/>
          <w:sz w:val="22"/>
          <w:szCs w:val="22"/>
          <w:lang w:eastAsia="en-GB"/>
        </w:rPr>
        <w:t xml:space="preserve"> </w:t>
      </w:r>
      <w:r w:rsidRPr="005E6D2D">
        <w:rPr>
          <w:rFonts w:ascii="Arial" w:eastAsia="Times New Roman" w:hAnsi="Arial"/>
          <w:i/>
          <w:iCs/>
          <w:color w:val="000000"/>
          <w:spacing w:val="0"/>
          <w:sz w:val="22"/>
          <w:szCs w:val="22"/>
          <w:lang w:eastAsia="en-GB"/>
        </w:rPr>
        <w:t>Book of the Dead</w:t>
      </w:r>
      <w:r>
        <w:rPr>
          <w:rFonts w:ascii="Arial" w:eastAsia="Times New Roman" w:hAnsi="Arial"/>
          <w:i/>
          <w:iCs/>
          <w:color w:val="000000"/>
          <w:spacing w:val="0"/>
          <w:sz w:val="22"/>
          <w:szCs w:val="22"/>
          <w:lang w:eastAsia="en-GB"/>
        </w:rPr>
        <w:t>,</w:t>
      </w:r>
      <w:r>
        <w:rPr>
          <w:rFonts w:ascii="Arial" w:eastAsia="Times New Roman" w:hAnsi="Arial"/>
          <w:color w:val="000000"/>
          <w:spacing w:val="0"/>
          <w:sz w:val="22"/>
          <w:szCs w:val="22"/>
          <w:lang w:eastAsia="en-GB"/>
        </w:rPr>
        <w:t xml:space="preserve"> Available at:</w:t>
      </w:r>
      <w:r w:rsidRPr="00B87783">
        <w:rPr>
          <w:rFonts w:ascii="Arial" w:eastAsia="Times New Roman" w:hAnsi="Arial"/>
          <w:color w:val="000000"/>
          <w:spacing w:val="0"/>
          <w:sz w:val="22"/>
          <w:szCs w:val="22"/>
          <w:lang w:eastAsia="en-GB"/>
        </w:rPr>
        <w:t xml:space="preserve"> https://www.britishmuseum.org/whats_on/all_current_exhibitions/book_of_the_dead.aspx (</w:t>
      </w:r>
      <w:r>
        <w:rPr>
          <w:rFonts w:ascii="Arial" w:eastAsia="Times New Roman" w:hAnsi="Arial"/>
          <w:color w:val="000000"/>
          <w:spacing w:val="0"/>
          <w:sz w:val="22"/>
          <w:szCs w:val="22"/>
          <w:lang w:eastAsia="en-GB"/>
        </w:rPr>
        <w:t>A</w:t>
      </w:r>
      <w:r w:rsidRPr="00B87783">
        <w:rPr>
          <w:rFonts w:ascii="Arial" w:eastAsia="Times New Roman" w:hAnsi="Arial"/>
          <w:color w:val="000000"/>
          <w:spacing w:val="0"/>
          <w:sz w:val="22"/>
          <w:szCs w:val="22"/>
          <w:lang w:eastAsia="en-GB"/>
        </w:rPr>
        <w:t xml:space="preserve">ccessed </w:t>
      </w:r>
      <w:r>
        <w:rPr>
          <w:rFonts w:ascii="Arial" w:eastAsia="Times New Roman" w:hAnsi="Arial"/>
          <w:color w:val="000000"/>
          <w:spacing w:val="0"/>
          <w:sz w:val="22"/>
          <w:szCs w:val="22"/>
          <w:lang w:eastAsia="en-GB"/>
        </w:rPr>
        <w:t>0</w:t>
      </w:r>
      <w:r w:rsidRPr="00B87783">
        <w:rPr>
          <w:rFonts w:ascii="Arial" w:eastAsia="Times New Roman" w:hAnsi="Arial"/>
          <w:color w:val="000000"/>
          <w:spacing w:val="0"/>
          <w:sz w:val="22"/>
          <w:szCs w:val="22"/>
          <w:lang w:eastAsia="en-GB"/>
        </w:rPr>
        <w:t>1.1</w:t>
      </w:r>
      <w:r>
        <w:rPr>
          <w:rFonts w:ascii="Arial" w:eastAsia="Times New Roman" w:hAnsi="Arial"/>
          <w:color w:val="000000"/>
          <w:spacing w:val="0"/>
          <w:sz w:val="22"/>
          <w:szCs w:val="22"/>
          <w:lang w:eastAsia="en-GB"/>
        </w:rPr>
        <w:t>0</w:t>
      </w:r>
      <w:r w:rsidRPr="00B87783">
        <w:rPr>
          <w:rFonts w:ascii="Arial" w:eastAsia="Times New Roman" w:hAnsi="Arial"/>
          <w:color w:val="000000"/>
          <w:spacing w:val="0"/>
          <w:sz w:val="22"/>
          <w:szCs w:val="22"/>
          <w:lang w:eastAsia="en-GB"/>
        </w:rPr>
        <w:t>.</w:t>
      </w:r>
      <w:r>
        <w:rPr>
          <w:rFonts w:ascii="Arial" w:eastAsia="Times New Roman" w:hAnsi="Arial"/>
          <w:color w:val="000000"/>
          <w:spacing w:val="0"/>
          <w:sz w:val="22"/>
          <w:szCs w:val="22"/>
          <w:lang w:eastAsia="en-GB"/>
        </w:rPr>
        <w:t>20</w:t>
      </w:r>
      <w:r w:rsidRPr="00B87783">
        <w:rPr>
          <w:rFonts w:ascii="Arial" w:eastAsia="Times New Roman" w:hAnsi="Arial"/>
          <w:color w:val="000000"/>
          <w:spacing w:val="0"/>
          <w:sz w:val="22"/>
          <w:szCs w:val="22"/>
          <w:lang w:eastAsia="en-GB"/>
        </w:rPr>
        <w:t>19).</w:t>
      </w:r>
    </w:p>
    <w:p w14:paraId="428F16F9" w14:textId="77777777" w:rsidR="006B7384" w:rsidRPr="00B87783" w:rsidRDefault="006B7384" w:rsidP="00B87783">
      <w:pPr>
        <w:spacing w:before="240" w:after="240" w:line="240" w:lineRule="auto"/>
        <w:rPr>
          <w:rFonts w:ascii="Arial" w:eastAsia="Times New Roman" w:hAnsi="Arial"/>
          <w:color w:val="000000"/>
          <w:spacing w:val="0"/>
          <w:sz w:val="22"/>
          <w:szCs w:val="22"/>
          <w:lang w:eastAsia="en-GB"/>
        </w:rPr>
      </w:pPr>
      <w:r w:rsidRPr="00B87783">
        <w:rPr>
          <w:rFonts w:ascii="Arial" w:eastAsia="Times New Roman" w:hAnsi="Arial"/>
          <w:color w:val="000000"/>
          <w:spacing w:val="0"/>
          <w:sz w:val="22"/>
          <w:szCs w:val="22"/>
          <w:lang w:eastAsia="en-GB"/>
        </w:rPr>
        <w:t>British Museum</w:t>
      </w:r>
      <w:r>
        <w:rPr>
          <w:rFonts w:ascii="Arial" w:eastAsia="Times New Roman" w:hAnsi="Arial"/>
          <w:color w:val="000000"/>
          <w:spacing w:val="0"/>
          <w:sz w:val="22"/>
          <w:szCs w:val="22"/>
          <w:lang w:eastAsia="en-GB"/>
        </w:rPr>
        <w:t>, 2019,</w:t>
      </w:r>
      <w:r w:rsidRPr="00B87783">
        <w:rPr>
          <w:rFonts w:ascii="Arial" w:eastAsia="Times New Roman" w:hAnsi="Arial"/>
          <w:color w:val="000000"/>
          <w:spacing w:val="0"/>
          <w:sz w:val="22"/>
          <w:szCs w:val="22"/>
          <w:lang w:eastAsia="en-GB"/>
        </w:rPr>
        <w:t xml:space="preserve"> </w:t>
      </w:r>
      <w:r w:rsidRPr="006B7384">
        <w:rPr>
          <w:rFonts w:ascii="Arial" w:eastAsia="Times New Roman" w:hAnsi="Arial"/>
          <w:i/>
          <w:iCs/>
          <w:color w:val="000000"/>
          <w:spacing w:val="0"/>
          <w:sz w:val="22"/>
          <w:szCs w:val="22"/>
          <w:lang w:eastAsia="en-GB"/>
        </w:rPr>
        <w:t>figure / amulet</w:t>
      </w:r>
      <w:r>
        <w:rPr>
          <w:rFonts w:ascii="Arial" w:eastAsia="Times New Roman" w:hAnsi="Arial"/>
          <w:color w:val="000000"/>
          <w:spacing w:val="0"/>
          <w:sz w:val="22"/>
          <w:szCs w:val="22"/>
          <w:lang w:eastAsia="en-GB"/>
        </w:rPr>
        <w:t>,</w:t>
      </w:r>
      <w:r>
        <w:rPr>
          <w:rFonts w:ascii="Arial" w:eastAsia="Times New Roman" w:hAnsi="Arial"/>
          <w:i/>
          <w:iCs/>
          <w:color w:val="000000"/>
          <w:spacing w:val="0"/>
          <w:sz w:val="22"/>
          <w:szCs w:val="22"/>
          <w:lang w:eastAsia="en-GB"/>
        </w:rPr>
        <w:t xml:space="preserve"> </w:t>
      </w:r>
      <w:r>
        <w:rPr>
          <w:rFonts w:ascii="Arial" w:eastAsia="Times New Roman" w:hAnsi="Arial"/>
          <w:color w:val="000000"/>
          <w:spacing w:val="0"/>
          <w:sz w:val="22"/>
          <w:szCs w:val="22"/>
          <w:lang w:eastAsia="en-GB"/>
        </w:rPr>
        <w:t xml:space="preserve">Available at: </w:t>
      </w:r>
      <w:r w:rsidRPr="00B87783">
        <w:rPr>
          <w:rFonts w:ascii="Arial" w:eastAsia="Times New Roman" w:hAnsi="Arial"/>
          <w:color w:val="000000"/>
          <w:spacing w:val="0"/>
          <w:sz w:val="22"/>
          <w:szCs w:val="22"/>
          <w:lang w:eastAsia="en-GB"/>
        </w:rPr>
        <w:t>https://www.britishmuseum.org/research/collection_online/collection_object_details/collection_image_gallery.aspx?assetId=561299001&amp;objectId=129984&amp;partId=1 (</w:t>
      </w:r>
      <w:r>
        <w:rPr>
          <w:rFonts w:ascii="Arial" w:eastAsia="Times New Roman" w:hAnsi="Arial"/>
          <w:color w:val="000000"/>
          <w:spacing w:val="0"/>
          <w:sz w:val="22"/>
          <w:szCs w:val="22"/>
          <w:lang w:eastAsia="en-GB"/>
        </w:rPr>
        <w:t>A</w:t>
      </w:r>
      <w:r w:rsidRPr="00B87783">
        <w:rPr>
          <w:rFonts w:ascii="Arial" w:eastAsia="Times New Roman" w:hAnsi="Arial"/>
          <w:color w:val="000000"/>
          <w:spacing w:val="0"/>
          <w:sz w:val="22"/>
          <w:szCs w:val="22"/>
          <w:lang w:eastAsia="en-GB"/>
        </w:rPr>
        <w:t>ccessed 0</w:t>
      </w:r>
      <w:r>
        <w:rPr>
          <w:rFonts w:ascii="Arial" w:eastAsia="Times New Roman" w:hAnsi="Arial"/>
          <w:color w:val="000000"/>
          <w:spacing w:val="0"/>
          <w:sz w:val="22"/>
          <w:szCs w:val="22"/>
          <w:lang w:eastAsia="en-GB"/>
        </w:rPr>
        <w:t>1</w:t>
      </w:r>
      <w:r w:rsidRPr="00B87783">
        <w:rPr>
          <w:rFonts w:ascii="Arial" w:eastAsia="Times New Roman" w:hAnsi="Arial"/>
          <w:color w:val="000000"/>
          <w:spacing w:val="0"/>
          <w:sz w:val="22"/>
          <w:szCs w:val="22"/>
          <w:lang w:eastAsia="en-GB"/>
        </w:rPr>
        <w:t>.1</w:t>
      </w:r>
      <w:r>
        <w:rPr>
          <w:rFonts w:ascii="Arial" w:eastAsia="Times New Roman" w:hAnsi="Arial"/>
          <w:color w:val="000000"/>
          <w:spacing w:val="0"/>
          <w:sz w:val="22"/>
          <w:szCs w:val="22"/>
          <w:lang w:eastAsia="en-GB"/>
        </w:rPr>
        <w:t>0</w:t>
      </w:r>
      <w:r w:rsidRPr="00B87783">
        <w:rPr>
          <w:rFonts w:ascii="Arial" w:eastAsia="Times New Roman" w:hAnsi="Arial"/>
          <w:color w:val="000000"/>
          <w:spacing w:val="0"/>
          <w:sz w:val="22"/>
          <w:szCs w:val="22"/>
          <w:lang w:eastAsia="en-GB"/>
        </w:rPr>
        <w:t>.</w:t>
      </w:r>
      <w:r>
        <w:rPr>
          <w:rFonts w:ascii="Arial" w:eastAsia="Times New Roman" w:hAnsi="Arial"/>
          <w:color w:val="000000"/>
          <w:spacing w:val="0"/>
          <w:sz w:val="22"/>
          <w:szCs w:val="22"/>
          <w:lang w:eastAsia="en-GB"/>
        </w:rPr>
        <w:t>20</w:t>
      </w:r>
      <w:r w:rsidRPr="00B87783">
        <w:rPr>
          <w:rFonts w:ascii="Arial" w:eastAsia="Times New Roman" w:hAnsi="Arial"/>
          <w:color w:val="000000"/>
          <w:spacing w:val="0"/>
          <w:sz w:val="22"/>
          <w:szCs w:val="22"/>
          <w:lang w:eastAsia="en-GB"/>
        </w:rPr>
        <w:t>19).</w:t>
      </w:r>
    </w:p>
    <w:p w14:paraId="0671223B" w14:textId="77777777" w:rsidR="006B7384" w:rsidRPr="00B87783" w:rsidRDefault="006B7384" w:rsidP="00B87783">
      <w:pPr>
        <w:spacing w:before="240" w:after="240" w:line="240" w:lineRule="auto"/>
        <w:rPr>
          <w:rFonts w:ascii="Arial" w:eastAsia="Times New Roman" w:hAnsi="Arial"/>
          <w:color w:val="000000"/>
          <w:spacing w:val="0"/>
          <w:sz w:val="22"/>
          <w:szCs w:val="22"/>
          <w:lang w:eastAsia="en-GB"/>
        </w:rPr>
      </w:pPr>
      <w:r w:rsidRPr="00B87783">
        <w:rPr>
          <w:rFonts w:ascii="Arial" w:eastAsia="Times New Roman" w:hAnsi="Arial"/>
          <w:color w:val="000000"/>
          <w:spacing w:val="0"/>
          <w:sz w:val="22"/>
          <w:szCs w:val="22"/>
          <w:lang w:eastAsia="en-GB"/>
        </w:rPr>
        <w:t>British Museum</w:t>
      </w:r>
      <w:r>
        <w:rPr>
          <w:rFonts w:ascii="Arial" w:eastAsia="Times New Roman" w:hAnsi="Arial"/>
          <w:color w:val="000000"/>
          <w:spacing w:val="0"/>
          <w:sz w:val="22"/>
          <w:szCs w:val="22"/>
          <w:lang w:eastAsia="en-GB"/>
        </w:rPr>
        <w:t xml:space="preserve">, 2019, </w:t>
      </w:r>
      <w:r w:rsidRPr="005E6D2D">
        <w:rPr>
          <w:rFonts w:ascii="Arial" w:eastAsia="Times New Roman" w:hAnsi="Arial"/>
          <w:i/>
          <w:iCs/>
          <w:color w:val="000000"/>
          <w:spacing w:val="0"/>
          <w:sz w:val="22"/>
          <w:szCs w:val="22"/>
          <w:lang w:eastAsia="en-GB"/>
        </w:rPr>
        <w:t>figure</w:t>
      </w:r>
      <w:r>
        <w:rPr>
          <w:rFonts w:ascii="Arial" w:eastAsia="Times New Roman" w:hAnsi="Arial"/>
          <w:i/>
          <w:iCs/>
          <w:color w:val="000000"/>
          <w:spacing w:val="0"/>
          <w:sz w:val="22"/>
          <w:szCs w:val="22"/>
          <w:lang w:eastAsia="en-GB"/>
        </w:rPr>
        <w:t xml:space="preserve">, </w:t>
      </w:r>
      <w:r>
        <w:rPr>
          <w:rFonts w:ascii="Arial" w:eastAsia="Times New Roman" w:hAnsi="Arial"/>
          <w:color w:val="000000"/>
          <w:spacing w:val="0"/>
          <w:sz w:val="22"/>
          <w:szCs w:val="22"/>
          <w:lang w:eastAsia="en-GB"/>
        </w:rPr>
        <w:t xml:space="preserve">Available at: </w:t>
      </w:r>
      <w:r w:rsidRPr="00B87783">
        <w:rPr>
          <w:rFonts w:ascii="Arial" w:eastAsia="Times New Roman" w:hAnsi="Arial"/>
          <w:color w:val="000000"/>
          <w:spacing w:val="0"/>
          <w:sz w:val="22"/>
          <w:szCs w:val="22"/>
          <w:lang w:eastAsia="en-GB"/>
        </w:rPr>
        <w:t>https://www.britishmuseum.org/research/collection_online/collection_object_details.aspx?objectId=154591&amp;partId=1&amp;searchText=anubis&amp;page=2 (</w:t>
      </w:r>
      <w:r>
        <w:rPr>
          <w:rFonts w:ascii="Arial" w:eastAsia="Times New Roman" w:hAnsi="Arial"/>
          <w:color w:val="000000"/>
          <w:spacing w:val="0"/>
          <w:sz w:val="22"/>
          <w:szCs w:val="22"/>
          <w:lang w:eastAsia="en-GB"/>
        </w:rPr>
        <w:t>A</w:t>
      </w:r>
      <w:r w:rsidRPr="00B87783">
        <w:rPr>
          <w:rFonts w:ascii="Arial" w:eastAsia="Times New Roman" w:hAnsi="Arial"/>
          <w:color w:val="000000"/>
          <w:spacing w:val="0"/>
          <w:sz w:val="22"/>
          <w:szCs w:val="22"/>
          <w:lang w:eastAsia="en-GB"/>
        </w:rPr>
        <w:t xml:space="preserve">ccessed </w:t>
      </w:r>
      <w:r>
        <w:rPr>
          <w:rFonts w:ascii="Arial" w:eastAsia="Times New Roman" w:hAnsi="Arial"/>
          <w:color w:val="000000"/>
          <w:spacing w:val="0"/>
          <w:sz w:val="22"/>
          <w:szCs w:val="22"/>
          <w:lang w:eastAsia="en-GB"/>
        </w:rPr>
        <w:t>0</w:t>
      </w:r>
      <w:r w:rsidRPr="00B87783">
        <w:rPr>
          <w:rFonts w:ascii="Arial" w:eastAsia="Times New Roman" w:hAnsi="Arial"/>
          <w:color w:val="000000"/>
          <w:spacing w:val="0"/>
          <w:sz w:val="22"/>
          <w:szCs w:val="22"/>
          <w:lang w:eastAsia="en-GB"/>
        </w:rPr>
        <w:t>1.</w:t>
      </w:r>
      <w:r>
        <w:rPr>
          <w:rFonts w:ascii="Arial" w:eastAsia="Times New Roman" w:hAnsi="Arial"/>
          <w:color w:val="000000"/>
          <w:spacing w:val="0"/>
          <w:sz w:val="22"/>
          <w:szCs w:val="22"/>
          <w:lang w:eastAsia="en-GB"/>
        </w:rPr>
        <w:t>10</w:t>
      </w:r>
      <w:r w:rsidRPr="00B87783">
        <w:rPr>
          <w:rFonts w:ascii="Arial" w:eastAsia="Times New Roman" w:hAnsi="Arial"/>
          <w:color w:val="000000"/>
          <w:spacing w:val="0"/>
          <w:sz w:val="22"/>
          <w:szCs w:val="22"/>
          <w:lang w:eastAsia="en-GB"/>
        </w:rPr>
        <w:t>.</w:t>
      </w:r>
      <w:r>
        <w:rPr>
          <w:rFonts w:ascii="Arial" w:eastAsia="Times New Roman" w:hAnsi="Arial"/>
          <w:color w:val="000000"/>
          <w:spacing w:val="0"/>
          <w:sz w:val="22"/>
          <w:szCs w:val="22"/>
          <w:lang w:eastAsia="en-GB"/>
        </w:rPr>
        <w:t>20</w:t>
      </w:r>
      <w:r w:rsidRPr="00B87783">
        <w:rPr>
          <w:rFonts w:ascii="Arial" w:eastAsia="Times New Roman" w:hAnsi="Arial"/>
          <w:color w:val="000000"/>
          <w:spacing w:val="0"/>
          <w:sz w:val="22"/>
          <w:szCs w:val="22"/>
          <w:lang w:eastAsia="en-GB"/>
        </w:rPr>
        <w:t>19).</w:t>
      </w:r>
    </w:p>
    <w:p w14:paraId="70DB3B69" w14:textId="77777777" w:rsidR="000F434A" w:rsidRPr="000F434A" w:rsidRDefault="000F434A" w:rsidP="000F434A">
      <w:pPr>
        <w:spacing w:before="240" w:after="240" w:line="240" w:lineRule="auto"/>
        <w:rPr>
          <w:rFonts w:ascii="Arial" w:eastAsia="Times New Roman" w:hAnsi="Arial"/>
          <w:color w:val="000000"/>
          <w:spacing w:val="0"/>
          <w:sz w:val="22"/>
          <w:szCs w:val="22"/>
          <w:u w:val="single"/>
          <w:lang w:eastAsia="en-GB"/>
        </w:rPr>
      </w:pPr>
    </w:p>
    <w:p w14:paraId="4B3D9A30" w14:textId="084CDD39" w:rsidR="000F434A" w:rsidRDefault="000F434A" w:rsidP="000F434A">
      <w:pPr>
        <w:spacing w:before="240" w:after="240" w:line="240" w:lineRule="auto"/>
        <w:rPr>
          <w:rFonts w:ascii="Arial" w:eastAsia="Times New Roman" w:hAnsi="Arial"/>
          <w:color w:val="000000"/>
          <w:spacing w:val="0"/>
          <w:sz w:val="22"/>
          <w:szCs w:val="22"/>
          <w:u w:val="single"/>
          <w:lang w:eastAsia="en-GB"/>
        </w:rPr>
      </w:pPr>
      <w:r w:rsidRPr="000F434A">
        <w:rPr>
          <w:rFonts w:ascii="Arial" w:eastAsia="Times New Roman" w:hAnsi="Arial"/>
          <w:color w:val="000000"/>
          <w:spacing w:val="0"/>
          <w:sz w:val="22"/>
          <w:szCs w:val="22"/>
          <w:u w:val="single"/>
          <w:lang w:eastAsia="en-GB"/>
        </w:rPr>
        <w:t>Bibliography</w:t>
      </w:r>
    </w:p>
    <w:p w14:paraId="6DE47AB9" w14:textId="388B25BF" w:rsidR="005F6519" w:rsidRDefault="005F6519" w:rsidP="00653EA8">
      <w:pPr>
        <w:spacing w:before="240" w:after="240" w:line="240" w:lineRule="auto"/>
        <w:rPr>
          <w:rFonts w:ascii="Arial" w:eastAsia="Times New Roman" w:hAnsi="Arial"/>
          <w:color w:val="000000"/>
          <w:spacing w:val="0"/>
          <w:sz w:val="22"/>
          <w:szCs w:val="22"/>
          <w:lang w:eastAsia="en-GB"/>
        </w:rPr>
      </w:pPr>
      <w:r>
        <w:rPr>
          <w:rFonts w:ascii="Arial" w:eastAsia="Times New Roman" w:hAnsi="Arial"/>
          <w:color w:val="000000"/>
          <w:spacing w:val="0"/>
          <w:sz w:val="22"/>
          <w:szCs w:val="22"/>
          <w:lang w:eastAsia="en-GB"/>
        </w:rPr>
        <w:t xml:space="preserve">Aufrere, </w:t>
      </w:r>
      <w:r w:rsidR="00653EA8">
        <w:rPr>
          <w:rFonts w:ascii="Arial" w:eastAsia="Times New Roman" w:hAnsi="Arial"/>
          <w:color w:val="000000"/>
          <w:spacing w:val="0"/>
          <w:sz w:val="22"/>
          <w:szCs w:val="22"/>
          <w:lang w:eastAsia="en-GB"/>
        </w:rPr>
        <w:t xml:space="preserve">S. (2010) ‘Dualism and Focalization in Alexandrian Religious Thought in Egypt at the Beginning of the Ptolemaic Period: Manetho of Sebennytos and the Argive Myth’ in </w:t>
      </w:r>
      <w:r w:rsidR="00653EA8" w:rsidRPr="00B87783">
        <w:rPr>
          <w:rFonts w:ascii="Arial" w:eastAsia="Times New Roman" w:hAnsi="Arial"/>
          <w:color w:val="000000"/>
          <w:spacing w:val="0"/>
          <w:sz w:val="22"/>
          <w:szCs w:val="22"/>
          <w:lang w:eastAsia="en-GB"/>
        </w:rPr>
        <w:t>Lange, A., Meyers, E.M., Styers, R.</w:t>
      </w:r>
      <w:r w:rsidR="00653EA8">
        <w:rPr>
          <w:rFonts w:ascii="Arial" w:eastAsia="Times New Roman" w:hAnsi="Arial"/>
          <w:color w:val="000000"/>
          <w:spacing w:val="0"/>
          <w:sz w:val="22"/>
          <w:szCs w:val="22"/>
          <w:lang w:eastAsia="en-GB"/>
        </w:rPr>
        <w:t xml:space="preserve"> (ed.)</w:t>
      </w:r>
      <w:r w:rsidR="00653EA8" w:rsidRPr="00B87783">
        <w:rPr>
          <w:rFonts w:ascii="Arial" w:eastAsia="Times New Roman" w:hAnsi="Arial"/>
          <w:color w:val="000000"/>
          <w:spacing w:val="0"/>
          <w:sz w:val="22"/>
          <w:szCs w:val="22"/>
          <w:lang w:eastAsia="en-GB"/>
        </w:rPr>
        <w:t xml:space="preserve"> </w:t>
      </w:r>
      <w:r w:rsidR="00653EA8" w:rsidRPr="00326347">
        <w:rPr>
          <w:rFonts w:ascii="Arial" w:eastAsia="Times New Roman" w:hAnsi="Arial"/>
          <w:i/>
          <w:iCs/>
          <w:color w:val="000000"/>
          <w:spacing w:val="0"/>
          <w:sz w:val="22"/>
          <w:szCs w:val="22"/>
          <w:lang w:eastAsia="en-GB"/>
        </w:rPr>
        <w:t>Light Against Darkness: Dualism in Ancient Mediterranean Religion and the Contemporary World</w:t>
      </w:r>
      <w:r w:rsidR="00653EA8">
        <w:rPr>
          <w:rFonts w:ascii="Arial" w:eastAsia="Times New Roman" w:hAnsi="Arial"/>
          <w:color w:val="000000"/>
          <w:spacing w:val="0"/>
          <w:sz w:val="22"/>
          <w:szCs w:val="22"/>
          <w:lang w:eastAsia="en-GB"/>
        </w:rPr>
        <w:t>,</w:t>
      </w:r>
      <w:r w:rsidR="00653EA8" w:rsidRPr="00B87783">
        <w:rPr>
          <w:rFonts w:ascii="Arial" w:eastAsia="Times New Roman" w:hAnsi="Arial"/>
          <w:color w:val="000000"/>
          <w:spacing w:val="0"/>
          <w:sz w:val="22"/>
          <w:szCs w:val="22"/>
          <w:lang w:eastAsia="en-GB"/>
        </w:rPr>
        <w:t xml:space="preserve"> </w:t>
      </w:r>
      <w:r w:rsidR="00653EA8">
        <w:rPr>
          <w:rFonts w:ascii="Arial" w:eastAsia="Times New Roman" w:hAnsi="Arial"/>
          <w:color w:val="000000"/>
          <w:spacing w:val="0"/>
          <w:sz w:val="22"/>
          <w:szCs w:val="22"/>
          <w:lang w:eastAsia="en-GB"/>
        </w:rPr>
        <w:t xml:space="preserve">Göttingen: </w:t>
      </w:r>
      <w:r w:rsidR="00653EA8" w:rsidRPr="00B87783">
        <w:rPr>
          <w:rFonts w:ascii="Arial" w:eastAsia="Times New Roman" w:hAnsi="Arial"/>
          <w:color w:val="000000"/>
          <w:spacing w:val="0"/>
          <w:sz w:val="22"/>
          <w:szCs w:val="22"/>
          <w:lang w:eastAsia="en-GB"/>
        </w:rPr>
        <w:t>Vandenhoeck &amp; Ruprecht</w:t>
      </w:r>
    </w:p>
    <w:p w14:paraId="2EE9326C" w14:textId="4742EF55" w:rsidR="006B7384" w:rsidRDefault="006B7384" w:rsidP="00B87783">
      <w:pPr>
        <w:spacing w:before="240" w:after="240" w:line="240" w:lineRule="auto"/>
        <w:rPr>
          <w:rFonts w:ascii="Arial" w:eastAsia="Times New Roman" w:hAnsi="Arial"/>
          <w:color w:val="000000"/>
          <w:spacing w:val="0"/>
          <w:sz w:val="22"/>
          <w:szCs w:val="22"/>
          <w:lang w:eastAsia="en-GB"/>
        </w:rPr>
      </w:pPr>
      <w:r w:rsidRPr="00B87783">
        <w:rPr>
          <w:rFonts w:ascii="Arial" w:eastAsia="Times New Roman" w:hAnsi="Arial"/>
          <w:color w:val="000000"/>
          <w:spacing w:val="0"/>
          <w:sz w:val="22"/>
          <w:szCs w:val="22"/>
          <w:lang w:eastAsia="en-GB"/>
        </w:rPr>
        <w:t>Baines, J., Lesko, L., Silverman, D.</w:t>
      </w:r>
      <w:r>
        <w:rPr>
          <w:rFonts w:ascii="Arial" w:eastAsia="Times New Roman" w:hAnsi="Arial"/>
          <w:color w:val="000000"/>
          <w:spacing w:val="0"/>
          <w:sz w:val="22"/>
          <w:szCs w:val="22"/>
          <w:lang w:eastAsia="en-GB"/>
        </w:rPr>
        <w:t xml:space="preserve"> (</w:t>
      </w:r>
      <w:r w:rsidRPr="00B87783">
        <w:rPr>
          <w:rFonts w:ascii="Arial" w:eastAsia="Times New Roman" w:hAnsi="Arial"/>
          <w:color w:val="000000"/>
          <w:spacing w:val="0"/>
          <w:sz w:val="22"/>
          <w:szCs w:val="22"/>
          <w:lang w:eastAsia="en-GB"/>
        </w:rPr>
        <w:t>1991</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sidRPr="00B87783">
        <w:rPr>
          <w:rFonts w:ascii="Arial" w:eastAsia="Times New Roman" w:hAnsi="Arial"/>
          <w:i/>
          <w:iCs/>
          <w:color w:val="000000"/>
          <w:spacing w:val="0"/>
          <w:sz w:val="22"/>
          <w:szCs w:val="22"/>
          <w:lang w:eastAsia="en-GB"/>
        </w:rPr>
        <w:t>Religion in Ancient Egypt: Gods, Myths, and Personal Practice</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New York</w:t>
      </w:r>
      <w:r>
        <w:rPr>
          <w:rFonts w:ascii="Arial" w:eastAsia="Times New Roman" w:hAnsi="Arial"/>
          <w:color w:val="000000"/>
          <w:spacing w:val="0"/>
          <w:sz w:val="22"/>
          <w:szCs w:val="22"/>
          <w:lang w:eastAsia="en-GB"/>
        </w:rPr>
        <w:t>: Cornell University Press</w:t>
      </w:r>
    </w:p>
    <w:p w14:paraId="43401900" w14:textId="77777777" w:rsidR="006B7384" w:rsidRDefault="006B7384" w:rsidP="00B87783">
      <w:pPr>
        <w:spacing w:before="240" w:after="240" w:line="240" w:lineRule="auto"/>
        <w:rPr>
          <w:rFonts w:ascii="Arial" w:eastAsia="Times New Roman" w:hAnsi="Arial"/>
          <w:color w:val="000000"/>
          <w:spacing w:val="0"/>
          <w:sz w:val="22"/>
          <w:szCs w:val="22"/>
          <w:lang w:eastAsia="en-GB"/>
        </w:rPr>
      </w:pPr>
      <w:r>
        <w:rPr>
          <w:rFonts w:ascii="Arial" w:eastAsia="Times New Roman" w:hAnsi="Arial"/>
          <w:color w:val="000000"/>
          <w:spacing w:val="0"/>
          <w:sz w:val="22"/>
          <w:szCs w:val="22"/>
          <w:lang w:eastAsia="en-GB"/>
        </w:rPr>
        <w:t xml:space="preserve">British Museum, 2019, </w:t>
      </w:r>
      <w:r>
        <w:rPr>
          <w:rFonts w:ascii="Arial" w:eastAsia="Times New Roman" w:hAnsi="Arial"/>
          <w:i/>
          <w:iCs/>
          <w:color w:val="000000"/>
          <w:spacing w:val="0"/>
          <w:sz w:val="22"/>
          <w:szCs w:val="22"/>
          <w:lang w:eastAsia="en-GB"/>
        </w:rPr>
        <w:t xml:space="preserve">amulet; figure, </w:t>
      </w:r>
      <w:r>
        <w:rPr>
          <w:rFonts w:ascii="Arial" w:eastAsia="Times New Roman" w:hAnsi="Arial"/>
          <w:color w:val="000000"/>
          <w:spacing w:val="0"/>
          <w:sz w:val="22"/>
          <w:szCs w:val="22"/>
          <w:lang w:eastAsia="en-GB"/>
        </w:rPr>
        <w:t xml:space="preserve">Available at: </w:t>
      </w:r>
      <w:hyperlink r:id="rId11" w:history="1">
        <w:r w:rsidRPr="00373014">
          <w:rPr>
            <w:rStyle w:val="Hyperlink"/>
            <w:rFonts w:ascii="Arial" w:eastAsia="Times New Roman" w:hAnsi="Arial"/>
            <w:spacing w:val="0"/>
            <w:sz w:val="22"/>
            <w:szCs w:val="22"/>
            <w:lang w:eastAsia="en-GB"/>
          </w:rPr>
          <w:t>http://www.britishmuseum.org/collection/object/X_670</w:t>
        </w:r>
      </w:hyperlink>
      <w:r>
        <w:rPr>
          <w:rFonts w:ascii="Arial" w:eastAsia="Times New Roman" w:hAnsi="Arial"/>
          <w:color w:val="000000"/>
          <w:spacing w:val="0"/>
          <w:sz w:val="22"/>
          <w:szCs w:val="22"/>
          <w:lang w:eastAsia="en-GB"/>
        </w:rPr>
        <w:t xml:space="preserve"> (Accessed: 10.05.2020)</w:t>
      </w:r>
    </w:p>
    <w:p w14:paraId="0D0BDE95" w14:textId="77777777" w:rsidR="006B7384" w:rsidRPr="006B7384" w:rsidRDefault="006B7384" w:rsidP="00B87783">
      <w:pPr>
        <w:spacing w:before="240" w:after="240" w:line="240" w:lineRule="auto"/>
        <w:rPr>
          <w:rFonts w:ascii="Arial" w:eastAsia="Times New Roman" w:hAnsi="Arial"/>
          <w:color w:val="000000"/>
          <w:spacing w:val="0"/>
          <w:sz w:val="22"/>
          <w:szCs w:val="22"/>
          <w:lang w:eastAsia="en-GB"/>
        </w:rPr>
      </w:pPr>
      <w:r>
        <w:rPr>
          <w:rFonts w:ascii="Arial" w:eastAsia="Times New Roman" w:hAnsi="Arial"/>
          <w:color w:val="000000"/>
          <w:spacing w:val="0"/>
          <w:sz w:val="22"/>
          <w:szCs w:val="22"/>
          <w:lang w:eastAsia="en-GB"/>
        </w:rPr>
        <w:t xml:space="preserve">British Museum, 2019, </w:t>
      </w:r>
      <w:r>
        <w:rPr>
          <w:rFonts w:ascii="Arial" w:eastAsia="Times New Roman" w:hAnsi="Arial"/>
          <w:i/>
          <w:iCs/>
          <w:color w:val="000000"/>
          <w:spacing w:val="0"/>
          <w:sz w:val="22"/>
          <w:szCs w:val="22"/>
          <w:lang w:eastAsia="en-GB"/>
        </w:rPr>
        <w:t xml:space="preserve">amulet; figure, </w:t>
      </w:r>
      <w:r>
        <w:rPr>
          <w:rFonts w:ascii="Arial" w:eastAsia="Times New Roman" w:hAnsi="Arial"/>
          <w:color w:val="000000"/>
          <w:spacing w:val="0"/>
          <w:sz w:val="22"/>
          <w:szCs w:val="22"/>
          <w:lang w:eastAsia="en-GB"/>
        </w:rPr>
        <w:t xml:space="preserve">Available at: </w:t>
      </w:r>
      <w:hyperlink r:id="rId12" w:history="1">
        <w:r w:rsidRPr="00373014">
          <w:rPr>
            <w:rStyle w:val="Hyperlink"/>
            <w:rFonts w:ascii="Arial" w:eastAsia="Times New Roman" w:hAnsi="Arial"/>
            <w:spacing w:val="0"/>
            <w:sz w:val="22"/>
            <w:szCs w:val="22"/>
            <w:lang w:eastAsia="en-GB"/>
          </w:rPr>
          <w:t>http://www.britishmuseum.org/collection/object/Y_EA27545</w:t>
        </w:r>
      </w:hyperlink>
      <w:r>
        <w:rPr>
          <w:rFonts w:ascii="Arial" w:eastAsia="Times New Roman" w:hAnsi="Arial"/>
          <w:color w:val="000000"/>
          <w:spacing w:val="0"/>
          <w:sz w:val="22"/>
          <w:szCs w:val="22"/>
          <w:lang w:eastAsia="en-GB"/>
        </w:rPr>
        <w:t xml:space="preserve"> (Accessed: 10.05.2020)</w:t>
      </w:r>
    </w:p>
    <w:p w14:paraId="1B66BBD8" w14:textId="373A725A" w:rsidR="006B7384" w:rsidRDefault="006B7384" w:rsidP="00B87783">
      <w:pPr>
        <w:spacing w:before="240" w:after="240" w:line="240" w:lineRule="auto"/>
        <w:rPr>
          <w:rFonts w:ascii="Arial" w:eastAsia="Times New Roman" w:hAnsi="Arial"/>
          <w:color w:val="000000"/>
          <w:spacing w:val="0"/>
          <w:sz w:val="22"/>
          <w:szCs w:val="22"/>
          <w:lang w:eastAsia="en-GB"/>
        </w:rPr>
      </w:pPr>
      <w:r>
        <w:rPr>
          <w:rFonts w:ascii="Arial" w:eastAsia="Times New Roman" w:hAnsi="Arial"/>
          <w:color w:val="000000"/>
          <w:spacing w:val="0"/>
          <w:sz w:val="22"/>
          <w:szCs w:val="22"/>
          <w:lang w:eastAsia="en-GB"/>
        </w:rPr>
        <w:t>Carter, H</w:t>
      </w:r>
      <w:r w:rsidR="00653EA8">
        <w:rPr>
          <w:rFonts w:ascii="Arial" w:eastAsia="Times New Roman" w:hAnsi="Arial"/>
          <w:color w:val="000000"/>
          <w:spacing w:val="0"/>
          <w:sz w:val="22"/>
          <w:szCs w:val="22"/>
          <w:lang w:eastAsia="en-GB"/>
        </w:rPr>
        <w:t>.</w:t>
      </w:r>
      <w:r>
        <w:rPr>
          <w:rFonts w:ascii="Arial" w:eastAsia="Times New Roman" w:hAnsi="Arial"/>
          <w:color w:val="000000"/>
          <w:spacing w:val="0"/>
          <w:sz w:val="22"/>
          <w:szCs w:val="22"/>
          <w:lang w:eastAsia="en-GB"/>
        </w:rPr>
        <w:t xml:space="preserve"> (1927) </w:t>
      </w:r>
      <w:r>
        <w:rPr>
          <w:rFonts w:ascii="Arial" w:eastAsia="Times New Roman" w:hAnsi="Arial"/>
          <w:i/>
          <w:iCs/>
          <w:color w:val="000000"/>
          <w:spacing w:val="0"/>
          <w:sz w:val="22"/>
          <w:szCs w:val="22"/>
          <w:lang w:eastAsia="en-GB"/>
        </w:rPr>
        <w:t xml:space="preserve">The Tomb of Tut-Ankh-Amen: Discovered by the Late Earl of Carnarvon and Sir Howard Carter: Volume 2, </w:t>
      </w:r>
      <w:r>
        <w:rPr>
          <w:rFonts w:ascii="Arial" w:eastAsia="Times New Roman" w:hAnsi="Arial"/>
          <w:color w:val="000000"/>
          <w:spacing w:val="0"/>
          <w:sz w:val="22"/>
          <w:szCs w:val="22"/>
          <w:lang w:eastAsia="en-GB"/>
        </w:rPr>
        <w:t>Cambridge: Cambridge University Press</w:t>
      </w:r>
    </w:p>
    <w:p w14:paraId="5B37AA0B" w14:textId="00650EEF" w:rsidR="00653EA8" w:rsidRPr="005E6D2D" w:rsidRDefault="00653EA8" w:rsidP="00B87783">
      <w:pPr>
        <w:spacing w:before="240" w:after="240" w:line="240" w:lineRule="auto"/>
        <w:rPr>
          <w:rFonts w:ascii="Arial" w:eastAsia="Times New Roman" w:hAnsi="Arial"/>
          <w:color w:val="000000"/>
          <w:spacing w:val="0"/>
          <w:sz w:val="22"/>
          <w:szCs w:val="22"/>
          <w:lang w:eastAsia="en-GB"/>
        </w:rPr>
      </w:pPr>
      <w:r>
        <w:rPr>
          <w:rFonts w:ascii="Arial" w:eastAsia="Times New Roman" w:hAnsi="Arial"/>
          <w:color w:val="000000"/>
          <w:spacing w:val="0"/>
          <w:sz w:val="22"/>
          <w:szCs w:val="22"/>
          <w:lang w:eastAsia="en-GB"/>
        </w:rPr>
        <w:t xml:space="preserve">Fontaine, P. (2010) ‘What Is Dualism, and What Is It Not?’ in </w:t>
      </w:r>
      <w:r w:rsidRPr="00B87783">
        <w:rPr>
          <w:rFonts w:ascii="Arial" w:eastAsia="Times New Roman" w:hAnsi="Arial"/>
          <w:color w:val="000000"/>
          <w:spacing w:val="0"/>
          <w:sz w:val="22"/>
          <w:szCs w:val="22"/>
          <w:lang w:eastAsia="en-GB"/>
        </w:rPr>
        <w:t>Lange, A., Meyers, E.M., Styers, R.</w:t>
      </w:r>
      <w:r>
        <w:rPr>
          <w:rFonts w:ascii="Arial" w:eastAsia="Times New Roman" w:hAnsi="Arial"/>
          <w:color w:val="000000"/>
          <w:spacing w:val="0"/>
          <w:sz w:val="22"/>
          <w:szCs w:val="22"/>
          <w:lang w:eastAsia="en-GB"/>
        </w:rPr>
        <w:t xml:space="preserve"> (ed.)</w:t>
      </w:r>
      <w:r w:rsidRPr="00B87783">
        <w:rPr>
          <w:rFonts w:ascii="Arial" w:eastAsia="Times New Roman" w:hAnsi="Arial"/>
          <w:color w:val="000000"/>
          <w:spacing w:val="0"/>
          <w:sz w:val="22"/>
          <w:szCs w:val="22"/>
          <w:lang w:eastAsia="en-GB"/>
        </w:rPr>
        <w:t xml:space="preserve"> </w:t>
      </w:r>
      <w:r w:rsidRPr="00326347">
        <w:rPr>
          <w:rFonts w:ascii="Arial" w:eastAsia="Times New Roman" w:hAnsi="Arial"/>
          <w:i/>
          <w:iCs/>
          <w:color w:val="000000"/>
          <w:spacing w:val="0"/>
          <w:sz w:val="22"/>
          <w:szCs w:val="22"/>
          <w:lang w:eastAsia="en-GB"/>
        </w:rPr>
        <w:t>Light Against Darkness: Dualism in Ancient Mediterranean Religion and the Contemporary World</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Pr>
          <w:rFonts w:ascii="Arial" w:eastAsia="Times New Roman" w:hAnsi="Arial"/>
          <w:color w:val="000000"/>
          <w:spacing w:val="0"/>
          <w:sz w:val="22"/>
          <w:szCs w:val="22"/>
          <w:lang w:eastAsia="en-GB"/>
        </w:rPr>
        <w:t xml:space="preserve">Göttingen: </w:t>
      </w:r>
      <w:r w:rsidRPr="00B87783">
        <w:rPr>
          <w:rFonts w:ascii="Arial" w:eastAsia="Times New Roman" w:hAnsi="Arial"/>
          <w:color w:val="000000"/>
          <w:spacing w:val="0"/>
          <w:sz w:val="22"/>
          <w:szCs w:val="22"/>
          <w:lang w:eastAsia="en-GB"/>
        </w:rPr>
        <w:t>Vandenhoeck &amp; Ruprecht</w:t>
      </w:r>
    </w:p>
    <w:p w14:paraId="4F410C68" w14:textId="77777777" w:rsidR="006B7384" w:rsidRPr="00B87783" w:rsidRDefault="006B7384" w:rsidP="00B87783">
      <w:pPr>
        <w:spacing w:before="240" w:after="240" w:line="240" w:lineRule="auto"/>
        <w:rPr>
          <w:rFonts w:ascii="Arial" w:eastAsia="Times New Roman" w:hAnsi="Arial"/>
          <w:color w:val="000000"/>
          <w:spacing w:val="0"/>
          <w:sz w:val="22"/>
          <w:szCs w:val="22"/>
          <w:lang w:eastAsia="en-GB"/>
        </w:rPr>
      </w:pPr>
      <w:r w:rsidRPr="00B87783">
        <w:rPr>
          <w:rFonts w:ascii="Arial" w:eastAsia="Times New Roman" w:hAnsi="Arial"/>
          <w:color w:val="000000"/>
          <w:spacing w:val="0"/>
          <w:sz w:val="22"/>
          <w:szCs w:val="22"/>
          <w:lang w:eastAsia="en-GB"/>
        </w:rPr>
        <w:t>Gell, A.</w:t>
      </w:r>
      <w:r>
        <w:rPr>
          <w:rFonts w:ascii="Arial" w:eastAsia="Times New Roman" w:hAnsi="Arial"/>
          <w:color w:val="000000"/>
          <w:spacing w:val="0"/>
          <w:sz w:val="22"/>
          <w:szCs w:val="22"/>
          <w:lang w:eastAsia="en-GB"/>
        </w:rPr>
        <w:t xml:space="preserve"> (</w:t>
      </w:r>
      <w:r w:rsidRPr="00B87783">
        <w:rPr>
          <w:rFonts w:ascii="Arial" w:eastAsia="Times New Roman" w:hAnsi="Arial"/>
          <w:color w:val="000000"/>
          <w:spacing w:val="0"/>
          <w:sz w:val="22"/>
          <w:szCs w:val="22"/>
          <w:lang w:eastAsia="en-GB"/>
        </w:rPr>
        <w:t>1998</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sidRPr="00B87783">
        <w:rPr>
          <w:rFonts w:ascii="Arial" w:eastAsia="Times New Roman" w:hAnsi="Arial"/>
          <w:i/>
          <w:iCs/>
          <w:color w:val="000000"/>
          <w:spacing w:val="0"/>
          <w:sz w:val="22"/>
          <w:szCs w:val="22"/>
          <w:lang w:eastAsia="en-GB"/>
        </w:rPr>
        <w:t>Art and Agency: An Anthropological Theory</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Oxford</w:t>
      </w:r>
      <w:r>
        <w:rPr>
          <w:rFonts w:ascii="Arial" w:eastAsia="Times New Roman" w:hAnsi="Arial"/>
          <w:color w:val="000000"/>
          <w:spacing w:val="0"/>
          <w:sz w:val="22"/>
          <w:szCs w:val="22"/>
          <w:lang w:eastAsia="en-GB"/>
        </w:rPr>
        <w:t>: Oxford University Press</w:t>
      </w:r>
    </w:p>
    <w:p w14:paraId="0D85E1CD" w14:textId="77777777" w:rsidR="006B7384" w:rsidRPr="00B87783" w:rsidRDefault="006B7384" w:rsidP="00B87783">
      <w:pPr>
        <w:spacing w:before="240" w:after="240" w:line="240" w:lineRule="auto"/>
        <w:rPr>
          <w:rFonts w:ascii="Arial" w:eastAsia="Times New Roman" w:hAnsi="Arial"/>
          <w:color w:val="000000"/>
          <w:spacing w:val="0"/>
          <w:sz w:val="22"/>
          <w:szCs w:val="22"/>
          <w:lang w:eastAsia="en-GB"/>
        </w:rPr>
      </w:pPr>
      <w:r w:rsidRPr="00B87783">
        <w:rPr>
          <w:rFonts w:ascii="Arial" w:eastAsia="Times New Roman" w:hAnsi="Arial"/>
          <w:color w:val="000000"/>
          <w:spacing w:val="0"/>
          <w:sz w:val="22"/>
          <w:szCs w:val="22"/>
          <w:lang w:eastAsia="en-GB"/>
        </w:rPr>
        <w:t>Grinsell, L.V.</w:t>
      </w:r>
      <w:r>
        <w:rPr>
          <w:rFonts w:ascii="Arial" w:eastAsia="Times New Roman" w:hAnsi="Arial"/>
          <w:color w:val="000000"/>
          <w:spacing w:val="0"/>
          <w:sz w:val="22"/>
          <w:szCs w:val="22"/>
          <w:lang w:eastAsia="en-GB"/>
        </w:rPr>
        <w:t xml:space="preserve"> (</w:t>
      </w:r>
      <w:r w:rsidRPr="00B87783">
        <w:rPr>
          <w:rFonts w:ascii="Arial" w:eastAsia="Times New Roman" w:hAnsi="Arial"/>
          <w:color w:val="000000"/>
          <w:spacing w:val="0"/>
          <w:sz w:val="22"/>
          <w:szCs w:val="22"/>
          <w:lang w:eastAsia="en-GB"/>
        </w:rPr>
        <w:t>1961</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The Breaking of Objects as a Funerary Rite</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sidRPr="005E6D2D">
        <w:rPr>
          <w:rFonts w:ascii="Arial" w:eastAsia="Times New Roman" w:hAnsi="Arial"/>
          <w:i/>
          <w:iCs/>
          <w:color w:val="000000"/>
          <w:spacing w:val="0"/>
          <w:sz w:val="22"/>
          <w:szCs w:val="22"/>
          <w:lang w:eastAsia="en-GB"/>
        </w:rPr>
        <w:t>Folklore</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72, </w:t>
      </w:r>
      <w:r>
        <w:rPr>
          <w:rFonts w:ascii="Arial" w:eastAsia="Times New Roman" w:hAnsi="Arial"/>
          <w:color w:val="000000"/>
          <w:spacing w:val="0"/>
          <w:sz w:val="22"/>
          <w:szCs w:val="22"/>
          <w:lang w:eastAsia="en-GB"/>
        </w:rPr>
        <w:t>pp.</w:t>
      </w:r>
      <w:r w:rsidRPr="00B87783">
        <w:rPr>
          <w:rFonts w:ascii="Arial" w:eastAsia="Times New Roman" w:hAnsi="Arial"/>
          <w:color w:val="000000"/>
          <w:spacing w:val="0"/>
          <w:sz w:val="22"/>
          <w:szCs w:val="22"/>
          <w:lang w:eastAsia="en-GB"/>
        </w:rPr>
        <w:t>475–491.</w:t>
      </w:r>
    </w:p>
    <w:p w14:paraId="64343E27" w14:textId="77777777" w:rsidR="006B7384" w:rsidRPr="00B87783" w:rsidRDefault="006B7384" w:rsidP="00B87783">
      <w:pPr>
        <w:spacing w:before="240" w:after="240" w:line="240" w:lineRule="auto"/>
        <w:rPr>
          <w:rFonts w:ascii="Arial" w:eastAsia="Times New Roman" w:hAnsi="Arial"/>
          <w:color w:val="000000"/>
          <w:spacing w:val="0"/>
          <w:sz w:val="22"/>
          <w:szCs w:val="22"/>
          <w:lang w:eastAsia="en-GB"/>
        </w:rPr>
      </w:pPr>
      <w:r w:rsidRPr="00B87783">
        <w:rPr>
          <w:rFonts w:ascii="Arial" w:eastAsia="Times New Roman" w:hAnsi="Arial"/>
          <w:color w:val="000000"/>
          <w:spacing w:val="0"/>
          <w:sz w:val="22"/>
          <w:szCs w:val="22"/>
          <w:lang w:eastAsia="en-GB"/>
        </w:rPr>
        <w:t>Hornung,</w:t>
      </w:r>
      <w:r>
        <w:rPr>
          <w:rFonts w:ascii="Arial" w:eastAsia="Times New Roman" w:hAnsi="Arial"/>
          <w:color w:val="000000"/>
          <w:spacing w:val="0"/>
          <w:sz w:val="22"/>
          <w:szCs w:val="22"/>
          <w:lang w:eastAsia="en-GB"/>
        </w:rPr>
        <w:t xml:space="preserve"> E.</w:t>
      </w:r>
      <w:r w:rsidRPr="00B87783">
        <w:rPr>
          <w:rFonts w:ascii="Arial" w:eastAsia="Times New Roman" w:hAnsi="Arial"/>
          <w:color w:val="000000"/>
          <w:spacing w:val="0"/>
          <w:sz w:val="22"/>
          <w:szCs w:val="22"/>
          <w:lang w:eastAsia="en-GB"/>
        </w:rPr>
        <w:t xml:space="preserve"> </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1996</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sidRPr="00B87783">
        <w:rPr>
          <w:rFonts w:ascii="Arial" w:eastAsia="Times New Roman" w:hAnsi="Arial"/>
          <w:i/>
          <w:iCs/>
          <w:color w:val="000000"/>
          <w:spacing w:val="0"/>
          <w:sz w:val="22"/>
          <w:szCs w:val="22"/>
          <w:lang w:eastAsia="en-GB"/>
        </w:rPr>
        <w:t>Conceptions of God in ancient Egypt: the one and the many</w:t>
      </w:r>
      <w:r>
        <w:rPr>
          <w:rFonts w:ascii="Arial" w:eastAsia="Times New Roman" w:hAnsi="Arial"/>
          <w:color w:val="000000"/>
          <w:spacing w:val="0"/>
          <w:sz w:val="22"/>
          <w:szCs w:val="22"/>
          <w:lang w:eastAsia="en-GB"/>
        </w:rPr>
        <w:t>, New York:</w:t>
      </w:r>
      <w:r w:rsidRPr="00B87783">
        <w:rPr>
          <w:rFonts w:ascii="Arial" w:eastAsia="Times New Roman" w:hAnsi="Arial"/>
          <w:color w:val="000000"/>
          <w:spacing w:val="0"/>
          <w:sz w:val="22"/>
          <w:szCs w:val="22"/>
          <w:lang w:eastAsia="en-GB"/>
        </w:rPr>
        <w:t xml:space="preserve"> Cornell University Press</w:t>
      </w:r>
    </w:p>
    <w:p w14:paraId="43413F5A" w14:textId="77777777" w:rsidR="006B7384" w:rsidRPr="00B87783" w:rsidRDefault="006B7384" w:rsidP="00B87783">
      <w:pPr>
        <w:spacing w:before="240" w:after="240" w:line="240" w:lineRule="auto"/>
        <w:rPr>
          <w:rFonts w:ascii="Arial" w:eastAsia="Times New Roman" w:hAnsi="Arial"/>
          <w:color w:val="000000"/>
          <w:spacing w:val="0"/>
          <w:sz w:val="22"/>
          <w:szCs w:val="22"/>
          <w:lang w:eastAsia="en-GB"/>
        </w:rPr>
      </w:pPr>
      <w:r w:rsidRPr="00B87783">
        <w:rPr>
          <w:rFonts w:ascii="Arial" w:eastAsia="Times New Roman" w:hAnsi="Arial"/>
          <w:color w:val="000000"/>
          <w:spacing w:val="0"/>
          <w:sz w:val="22"/>
          <w:szCs w:val="22"/>
          <w:lang w:eastAsia="en-GB"/>
        </w:rPr>
        <w:t xml:space="preserve">Kaelin, O. </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2016</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sidRPr="005E6D2D">
        <w:rPr>
          <w:rFonts w:ascii="Arial" w:eastAsia="Times New Roman" w:hAnsi="Arial"/>
          <w:i/>
          <w:iCs/>
          <w:color w:val="000000"/>
          <w:spacing w:val="0"/>
          <w:sz w:val="22"/>
          <w:szCs w:val="22"/>
          <w:lang w:eastAsia="en-GB"/>
        </w:rPr>
        <w:t>Gods in Ancient Egypt</w:t>
      </w:r>
      <w:r>
        <w:rPr>
          <w:rFonts w:ascii="Arial" w:eastAsia="Times New Roman" w:hAnsi="Arial"/>
          <w:color w:val="000000"/>
          <w:spacing w:val="0"/>
          <w:sz w:val="22"/>
          <w:szCs w:val="22"/>
          <w:lang w:eastAsia="en-GB"/>
        </w:rPr>
        <w:t xml:space="preserve"> Avaible at: </w:t>
      </w:r>
      <w:r w:rsidRPr="00B87783">
        <w:rPr>
          <w:rFonts w:ascii="Arial" w:eastAsia="Times New Roman" w:hAnsi="Arial"/>
          <w:color w:val="000000"/>
          <w:spacing w:val="0"/>
          <w:sz w:val="22"/>
          <w:szCs w:val="22"/>
          <w:lang w:eastAsia="en-GB"/>
        </w:rPr>
        <w:t>https://oxfordre.com/religion/view/10.1093/acrefore/9780199340378.001.0001/acrefore-9780199340378-e-244 (</w:t>
      </w:r>
      <w:r>
        <w:rPr>
          <w:rFonts w:ascii="Arial" w:eastAsia="Times New Roman" w:hAnsi="Arial"/>
          <w:color w:val="000000"/>
          <w:spacing w:val="0"/>
          <w:sz w:val="22"/>
          <w:szCs w:val="22"/>
          <w:lang w:eastAsia="en-GB"/>
        </w:rPr>
        <w:t>A</w:t>
      </w:r>
      <w:r w:rsidRPr="00B87783">
        <w:rPr>
          <w:rFonts w:ascii="Arial" w:eastAsia="Times New Roman" w:hAnsi="Arial"/>
          <w:color w:val="000000"/>
          <w:spacing w:val="0"/>
          <w:sz w:val="22"/>
          <w:szCs w:val="22"/>
          <w:lang w:eastAsia="en-GB"/>
        </w:rPr>
        <w:t>ccessed</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1</w:t>
      </w:r>
      <w:r>
        <w:rPr>
          <w:rFonts w:ascii="Arial" w:eastAsia="Times New Roman" w:hAnsi="Arial"/>
          <w:color w:val="000000"/>
          <w:spacing w:val="0"/>
          <w:sz w:val="22"/>
          <w:szCs w:val="22"/>
          <w:lang w:eastAsia="en-GB"/>
        </w:rPr>
        <w:t>1</w:t>
      </w:r>
      <w:r w:rsidRPr="00B87783">
        <w:rPr>
          <w:rFonts w:ascii="Arial" w:eastAsia="Times New Roman" w:hAnsi="Arial"/>
          <w:color w:val="000000"/>
          <w:spacing w:val="0"/>
          <w:sz w:val="22"/>
          <w:szCs w:val="22"/>
          <w:lang w:eastAsia="en-GB"/>
        </w:rPr>
        <w:t>.1</w:t>
      </w:r>
      <w:r>
        <w:rPr>
          <w:rFonts w:ascii="Arial" w:eastAsia="Times New Roman" w:hAnsi="Arial"/>
          <w:color w:val="000000"/>
          <w:spacing w:val="0"/>
          <w:sz w:val="22"/>
          <w:szCs w:val="22"/>
          <w:lang w:eastAsia="en-GB"/>
        </w:rPr>
        <w:t>0</w:t>
      </w:r>
      <w:r w:rsidRPr="00B87783">
        <w:rPr>
          <w:rFonts w:ascii="Arial" w:eastAsia="Times New Roman" w:hAnsi="Arial"/>
          <w:color w:val="000000"/>
          <w:spacing w:val="0"/>
          <w:sz w:val="22"/>
          <w:szCs w:val="22"/>
          <w:lang w:eastAsia="en-GB"/>
        </w:rPr>
        <w:t>.19).</w:t>
      </w:r>
    </w:p>
    <w:p w14:paraId="392829BA" w14:textId="77777777" w:rsidR="006B7384" w:rsidRPr="00B87783" w:rsidRDefault="006B7384" w:rsidP="00B87783">
      <w:pPr>
        <w:spacing w:before="240" w:after="240" w:line="240" w:lineRule="auto"/>
        <w:rPr>
          <w:rFonts w:ascii="Arial" w:eastAsia="Times New Roman" w:hAnsi="Arial"/>
          <w:color w:val="000000"/>
          <w:spacing w:val="0"/>
          <w:sz w:val="22"/>
          <w:szCs w:val="22"/>
          <w:lang w:eastAsia="en-GB"/>
        </w:rPr>
      </w:pPr>
      <w:r w:rsidRPr="00B87783">
        <w:rPr>
          <w:rFonts w:ascii="Arial" w:eastAsia="Times New Roman" w:hAnsi="Arial"/>
          <w:color w:val="000000"/>
          <w:spacing w:val="0"/>
          <w:sz w:val="22"/>
          <w:szCs w:val="22"/>
          <w:lang w:eastAsia="en-GB"/>
        </w:rPr>
        <w:t>Lange, A., Meyers, E.M., Styers, R.</w:t>
      </w:r>
      <w:r>
        <w:rPr>
          <w:rFonts w:ascii="Arial" w:eastAsia="Times New Roman" w:hAnsi="Arial"/>
          <w:color w:val="000000"/>
          <w:spacing w:val="0"/>
          <w:sz w:val="22"/>
          <w:szCs w:val="22"/>
          <w:lang w:eastAsia="en-GB"/>
        </w:rPr>
        <w:t xml:space="preserve"> (</w:t>
      </w:r>
      <w:r w:rsidRPr="00B87783">
        <w:rPr>
          <w:rFonts w:ascii="Arial" w:eastAsia="Times New Roman" w:hAnsi="Arial"/>
          <w:color w:val="000000"/>
          <w:spacing w:val="0"/>
          <w:sz w:val="22"/>
          <w:szCs w:val="22"/>
          <w:lang w:eastAsia="en-GB"/>
        </w:rPr>
        <w:t>2010</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sidRPr="00326347">
        <w:rPr>
          <w:rFonts w:ascii="Arial" w:eastAsia="Times New Roman" w:hAnsi="Arial"/>
          <w:i/>
          <w:iCs/>
          <w:color w:val="000000"/>
          <w:spacing w:val="0"/>
          <w:sz w:val="22"/>
          <w:szCs w:val="22"/>
          <w:lang w:eastAsia="en-GB"/>
        </w:rPr>
        <w:t>Light Against Darkness: Dualism in Ancient Mediterranean Religion and the Contemporary World</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Pr>
          <w:rFonts w:ascii="Arial" w:eastAsia="Times New Roman" w:hAnsi="Arial"/>
          <w:color w:val="000000"/>
          <w:spacing w:val="0"/>
          <w:sz w:val="22"/>
          <w:szCs w:val="22"/>
          <w:lang w:eastAsia="en-GB"/>
        </w:rPr>
        <w:t xml:space="preserve">Göttingen: </w:t>
      </w:r>
      <w:r w:rsidRPr="00B87783">
        <w:rPr>
          <w:rFonts w:ascii="Arial" w:eastAsia="Times New Roman" w:hAnsi="Arial"/>
          <w:color w:val="000000"/>
          <w:spacing w:val="0"/>
          <w:sz w:val="22"/>
          <w:szCs w:val="22"/>
          <w:lang w:eastAsia="en-GB"/>
        </w:rPr>
        <w:t>Vandenhoeck &amp; Ruprecht</w:t>
      </w:r>
    </w:p>
    <w:p w14:paraId="54D589BA" w14:textId="77777777" w:rsidR="006B7384" w:rsidRPr="00B87783" w:rsidRDefault="006B7384" w:rsidP="00B87783">
      <w:pPr>
        <w:spacing w:before="240" w:after="240" w:line="240" w:lineRule="auto"/>
        <w:rPr>
          <w:rFonts w:ascii="Arial" w:eastAsia="Times New Roman" w:hAnsi="Arial"/>
          <w:color w:val="000000"/>
          <w:spacing w:val="0"/>
          <w:sz w:val="22"/>
          <w:szCs w:val="22"/>
          <w:lang w:eastAsia="en-GB"/>
        </w:rPr>
      </w:pPr>
      <w:r w:rsidRPr="00B87783">
        <w:rPr>
          <w:rFonts w:ascii="Arial" w:eastAsia="Times New Roman" w:hAnsi="Arial"/>
          <w:color w:val="000000"/>
          <w:spacing w:val="0"/>
          <w:sz w:val="22"/>
          <w:szCs w:val="22"/>
          <w:lang w:eastAsia="en-GB"/>
        </w:rPr>
        <w:t>Lilyquist, C.</w:t>
      </w:r>
      <w:r>
        <w:rPr>
          <w:rFonts w:ascii="Arial" w:eastAsia="Times New Roman" w:hAnsi="Arial"/>
          <w:color w:val="000000"/>
          <w:spacing w:val="0"/>
          <w:sz w:val="22"/>
          <w:szCs w:val="22"/>
          <w:lang w:eastAsia="en-GB"/>
        </w:rPr>
        <w:t xml:space="preserve"> (</w:t>
      </w:r>
      <w:r w:rsidRPr="00B87783">
        <w:rPr>
          <w:rFonts w:ascii="Arial" w:eastAsia="Times New Roman" w:hAnsi="Arial"/>
          <w:color w:val="000000"/>
          <w:spacing w:val="0"/>
          <w:sz w:val="22"/>
          <w:szCs w:val="22"/>
          <w:lang w:eastAsia="en-GB"/>
        </w:rPr>
        <w:t>1993</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Some Dynasty 18 Canopic Jars from Royal Burials in the Cairo Museum</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sidRPr="005E6D2D">
        <w:rPr>
          <w:rFonts w:ascii="Arial" w:eastAsia="Times New Roman" w:hAnsi="Arial"/>
          <w:i/>
          <w:iCs/>
          <w:color w:val="000000"/>
          <w:spacing w:val="0"/>
          <w:sz w:val="22"/>
          <w:szCs w:val="22"/>
          <w:lang w:eastAsia="en-GB"/>
        </w:rPr>
        <w:t>Journal of the American Research Center in Egypt</w:t>
      </w:r>
      <w:r>
        <w:rPr>
          <w:rFonts w:ascii="Arial" w:eastAsia="Times New Roman" w:hAnsi="Arial"/>
          <w:i/>
          <w:iCs/>
          <w:color w:val="000000"/>
          <w:spacing w:val="0"/>
          <w:sz w:val="22"/>
          <w:szCs w:val="22"/>
          <w:lang w:eastAsia="en-GB"/>
        </w:rPr>
        <w:t>,</w:t>
      </w:r>
      <w:r w:rsidRPr="00B87783">
        <w:rPr>
          <w:rFonts w:ascii="Arial" w:eastAsia="Times New Roman" w:hAnsi="Arial"/>
          <w:color w:val="000000"/>
          <w:spacing w:val="0"/>
          <w:sz w:val="22"/>
          <w:szCs w:val="22"/>
          <w:lang w:eastAsia="en-GB"/>
        </w:rPr>
        <w:t xml:space="preserve"> 30, </w:t>
      </w:r>
      <w:r>
        <w:rPr>
          <w:rFonts w:ascii="Arial" w:eastAsia="Times New Roman" w:hAnsi="Arial"/>
          <w:color w:val="000000"/>
          <w:spacing w:val="0"/>
          <w:sz w:val="22"/>
          <w:szCs w:val="22"/>
          <w:lang w:eastAsia="en-GB"/>
        </w:rPr>
        <w:t>pp.</w:t>
      </w:r>
      <w:r w:rsidRPr="00B87783">
        <w:rPr>
          <w:rFonts w:ascii="Arial" w:eastAsia="Times New Roman" w:hAnsi="Arial"/>
          <w:color w:val="000000"/>
          <w:spacing w:val="0"/>
          <w:sz w:val="22"/>
          <w:szCs w:val="22"/>
          <w:lang w:eastAsia="en-GB"/>
        </w:rPr>
        <w:t>111–116.</w:t>
      </w:r>
    </w:p>
    <w:p w14:paraId="1F119783" w14:textId="77777777" w:rsidR="006B7384" w:rsidRPr="00B87783" w:rsidRDefault="006B7384" w:rsidP="00B87783">
      <w:pPr>
        <w:spacing w:before="240" w:after="240" w:line="240" w:lineRule="auto"/>
        <w:rPr>
          <w:rFonts w:ascii="Arial" w:eastAsia="Times New Roman" w:hAnsi="Arial"/>
          <w:color w:val="000000"/>
          <w:spacing w:val="0"/>
          <w:sz w:val="22"/>
          <w:szCs w:val="22"/>
          <w:lang w:eastAsia="en-GB"/>
        </w:rPr>
      </w:pPr>
      <w:r w:rsidRPr="00B87783">
        <w:rPr>
          <w:rFonts w:ascii="Arial" w:eastAsia="Times New Roman" w:hAnsi="Arial"/>
          <w:color w:val="000000"/>
          <w:spacing w:val="0"/>
          <w:sz w:val="22"/>
          <w:szCs w:val="22"/>
          <w:lang w:eastAsia="en-GB"/>
        </w:rPr>
        <w:lastRenderedPageBreak/>
        <w:t xml:space="preserve">Pinch, G. </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2002</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sidRPr="00326347">
        <w:rPr>
          <w:rFonts w:ascii="Arial" w:eastAsia="Times New Roman" w:hAnsi="Arial"/>
          <w:i/>
          <w:iCs/>
          <w:color w:val="000000"/>
          <w:spacing w:val="0"/>
          <w:sz w:val="22"/>
          <w:szCs w:val="22"/>
          <w:lang w:eastAsia="en-GB"/>
        </w:rPr>
        <w:t>Egyptian Mythology: A Guide to the Gods, Goddesses and Traditi</w:t>
      </w:r>
      <w:r>
        <w:rPr>
          <w:rFonts w:ascii="Arial" w:eastAsia="Times New Roman" w:hAnsi="Arial"/>
          <w:i/>
          <w:iCs/>
          <w:color w:val="000000"/>
          <w:spacing w:val="0"/>
          <w:sz w:val="22"/>
          <w:szCs w:val="22"/>
          <w:lang w:eastAsia="en-GB"/>
        </w:rPr>
        <w:t>o</w:t>
      </w:r>
      <w:r w:rsidRPr="00326347">
        <w:rPr>
          <w:rFonts w:ascii="Arial" w:eastAsia="Times New Roman" w:hAnsi="Arial"/>
          <w:i/>
          <w:iCs/>
          <w:color w:val="000000"/>
          <w:spacing w:val="0"/>
          <w:sz w:val="22"/>
          <w:szCs w:val="22"/>
          <w:lang w:eastAsia="en-GB"/>
        </w:rPr>
        <w:t>ns of Ancient Egypt</w:t>
      </w:r>
      <w:r>
        <w:rPr>
          <w:rFonts w:ascii="Arial" w:eastAsia="Times New Roman" w:hAnsi="Arial"/>
          <w:color w:val="000000"/>
          <w:spacing w:val="0"/>
          <w:sz w:val="22"/>
          <w:szCs w:val="22"/>
          <w:lang w:eastAsia="en-GB"/>
        </w:rPr>
        <w:t xml:space="preserve">, </w:t>
      </w:r>
      <w:r w:rsidRPr="00B87783">
        <w:rPr>
          <w:rFonts w:ascii="Arial" w:eastAsia="Times New Roman" w:hAnsi="Arial"/>
          <w:color w:val="000000"/>
          <w:spacing w:val="0"/>
          <w:sz w:val="22"/>
          <w:szCs w:val="22"/>
          <w:lang w:eastAsia="en-GB"/>
        </w:rPr>
        <w:t>Oxford</w:t>
      </w:r>
      <w:r>
        <w:rPr>
          <w:rFonts w:ascii="Arial" w:eastAsia="Times New Roman" w:hAnsi="Arial"/>
          <w:color w:val="000000"/>
          <w:spacing w:val="0"/>
          <w:sz w:val="22"/>
          <w:szCs w:val="22"/>
          <w:lang w:eastAsia="en-GB"/>
        </w:rPr>
        <w:t>: Oxford University Press</w:t>
      </w:r>
    </w:p>
    <w:p w14:paraId="00EE487F" w14:textId="77777777" w:rsidR="006B7384" w:rsidRPr="00B87783" w:rsidRDefault="006B7384" w:rsidP="00B87783">
      <w:pPr>
        <w:spacing w:before="240" w:after="240" w:line="240" w:lineRule="auto"/>
        <w:rPr>
          <w:rFonts w:ascii="Arial" w:eastAsia="Times New Roman" w:hAnsi="Arial"/>
          <w:color w:val="000000"/>
          <w:spacing w:val="0"/>
          <w:sz w:val="22"/>
          <w:szCs w:val="22"/>
          <w:lang w:eastAsia="en-GB"/>
        </w:rPr>
      </w:pPr>
      <w:r w:rsidRPr="00B87783">
        <w:rPr>
          <w:rFonts w:ascii="Arial" w:eastAsia="Times New Roman" w:hAnsi="Arial"/>
          <w:color w:val="000000"/>
          <w:spacing w:val="0"/>
          <w:sz w:val="22"/>
          <w:szCs w:val="22"/>
          <w:lang w:eastAsia="en-GB"/>
        </w:rPr>
        <w:t>Redford, D.</w:t>
      </w:r>
      <w:r>
        <w:rPr>
          <w:rFonts w:ascii="Arial" w:eastAsia="Times New Roman" w:hAnsi="Arial"/>
          <w:color w:val="000000"/>
          <w:spacing w:val="0"/>
          <w:sz w:val="22"/>
          <w:szCs w:val="22"/>
          <w:lang w:eastAsia="en-GB"/>
        </w:rPr>
        <w:t xml:space="preserve"> (</w:t>
      </w:r>
      <w:r w:rsidRPr="00B87783">
        <w:rPr>
          <w:rFonts w:ascii="Arial" w:eastAsia="Times New Roman" w:hAnsi="Arial"/>
          <w:color w:val="000000"/>
          <w:spacing w:val="0"/>
          <w:sz w:val="22"/>
          <w:szCs w:val="22"/>
          <w:lang w:eastAsia="en-GB"/>
        </w:rPr>
        <w:t>2002</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sidRPr="00326347">
        <w:rPr>
          <w:rFonts w:ascii="Arial" w:eastAsia="Times New Roman" w:hAnsi="Arial"/>
          <w:i/>
          <w:iCs/>
          <w:color w:val="000000"/>
          <w:spacing w:val="0"/>
          <w:sz w:val="22"/>
          <w:szCs w:val="22"/>
          <w:lang w:eastAsia="en-GB"/>
        </w:rPr>
        <w:t>The Ancient Gods Speak: A Guide to Egyptian Religion</w:t>
      </w:r>
      <w:r>
        <w:rPr>
          <w:rFonts w:ascii="Arial" w:eastAsia="Times New Roman" w:hAnsi="Arial"/>
          <w:color w:val="000000"/>
          <w:spacing w:val="0"/>
          <w:sz w:val="22"/>
          <w:szCs w:val="22"/>
          <w:lang w:eastAsia="en-GB"/>
        </w:rPr>
        <w:t>, Oxford: Oxford University Press</w:t>
      </w:r>
    </w:p>
    <w:p w14:paraId="505FE3B0" w14:textId="77777777" w:rsidR="006B7384" w:rsidRPr="00326347" w:rsidRDefault="006B7384" w:rsidP="00B87783">
      <w:pPr>
        <w:spacing w:before="240" w:after="240" w:line="240" w:lineRule="auto"/>
        <w:rPr>
          <w:rFonts w:ascii="Arial" w:eastAsia="Times New Roman" w:hAnsi="Arial"/>
          <w:color w:val="000000"/>
          <w:spacing w:val="0"/>
          <w:sz w:val="22"/>
          <w:szCs w:val="22"/>
          <w:lang w:eastAsia="en-GB"/>
        </w:rPr>
      </w:pPr>
      <w:r w:rsidRPr="00B87783">
        <w:rPr>
          <w:rFonts w:ascii="Arial" w:eastAsia="Times New Roman" w:hAnsi="Arial"/>
          <w:color w:val="000000"/>
          <w:spacing w:val="0"/>
          <w:sz w:val="22"/>
          <w:szCs w:val="22"/>
          <w:lang w:eastAsia="en-GB"/>
        </w:rPr>
        <w:t>Roth, A.M.</w:t>
      </w:r>
      <w:r>
        <w:rPr>
          <w:rFonts w:ascii="Arial" w:eastAsia="Times New Roman" w:hAnsi="Arial"/>
          <w:color w:val="000000"/>
          <w:spacing w:val="0"/>
          <w:sz w:val="22"/>
          <w:szCs w:val="22"/>
          <w:lang w:eastAsia="en-GB"/>
        </w:rPr>
        <w:t xml:space="preserve"> (</w:t>
      </w:r>
      <w:r w:rsidRPr="00B87783">
        <w:rPr>
          <w:rFonts w:ascii="Arial" w:eastAsia="Times New Roman" w:hAnsi="Arial"/>
          <w:color w:val="000000"/>
          <w:spacing w:val="0"/>
          <w:sz w:val="22"/>
          <w:szCs w:val="22"/>
          <w:lang w:eastAsia="en-GB"/>
        </w:rPr>
        <w:t>2006</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The Representation of the Divine in Ancient Egypt</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Pr>
          <w:rFonts w:ascii="Arial" w:eastAsia="Times New Roman" w:hAnsi="Arial"/>
          <w:color w:val="000000"/>
          <w:spacing w:val="0"/>
          <w:sz w:val="22"/>
          <w:szCs w:val="22"/>
          <w:lang w:eastAsia="en-GB"/>
        </w:rPr>
        <w:t xml:space="preserve">in Beckman, G. and Lewis, T. (ed.) </w:t>
      </w:r>
      <w:r w:rsidRPr="00326347">
        <w:rPr>
          <w:rFonts w:ascii="Arial" w:eastAsia="Times New Roman" w:hAnsi="Arial"/>
          <w:i/>
          <w:iCs/>
          <w:color w:val="000000"/>
          <w:spacing w:val="0"/>
          <w:sz w:val="22"/>
          <w:szCs w:val="22"/>
          <w:lang w:eastAsia="en-GB"/>
        </w:rPr>
        <w:t>Text, Artifact, and Image: Revealing Ancient Israelite Religion</w:t>
      </w:r>
      <w:r>
        <w:rPr>
          <w:rFonts w:ascii="Arial" w:eastAsia="Times New Roman" w:hAnsi="Arial"/>
          <w:i/>
          <w:iCs/>
          <w:color w:val="000000"/>
          <w:spacing w:val="0"/>
          <w:sz w:val="22"/>
          <w:szCs w:val="22"/>
          <w:lang w:eastAsia="en-GB"/>
        </w:rPr>
        <w:t xml:space="preserve">, </w:t>
      </w:r>
      <w:r>
        <w:rPr>
          <w:rFonts w:ascii="Arial" w:eastAsia="Times New Roman" w:hAnsi="Arial"/>
          <w:color w:val="000000"/>
          <w:spacing w:val="0"/>
          <w:sz w:val="22"/>
          <w:szCs w:val="22"/>
          <w:lang w:eastAsia="en-GB"/>
        </w:rPr>
        <w:t>Providence: Brown Judaic Studies, pp.24-37</w:t>
      </w:r>
    </w:p>
    <w:p w14:paraId="09AEAF95" w14:textId="77777777" w:rsidR="006B7384" w:rsidRPr="00B87783" w:rsidRDefault="006B7384" w:rsidP="00B87783">
      <w:pPr>
        <w:spacing w:before="240" w:after="240" w:line="240" w:lineRule="auto"/>
        <w:rPr>
          <w:rFonts w:ascii="Arial" w:eastAsia="Times New Roman" w:hAnsi="Arial"/>
          <w:color w:val="000000"/>
          <w:spacing w:val="0"/>
          <w:sz w:val="22"/>
          <w:szCs w:val="22"/>
          <w:lang w:eastAsia="en-GB"/>
        </w:rPr>
      </w:pPr>
      <w:r w:rsidRPr="00B87783">
        <w:rPr>
          <w:rFonts w:ascii="Arial" w:eastAsia="Times New Roman" w:hAnsi="Arial"/>
          <w:color w:val="000000"/>
          <w:spacing w:val="0"/>
          <w:sz w:val="22"/>
          <w:szCs w:val="22"/>
          <w:lang w:eastAsia="en-GB"/>
        </w:rPr>
        <w:t>Shafer, B., Arnold, D., Bell, L., Finnestad, R.B., Haeny, G.</w:t>
      </w:r>
      <w:r>
        <w:rPr>
          <w:rFonts w:ascii="Arial" w:eastAsia="Times New Roman" w:hAnsi="Arial"/>
          <w:color w:val="000000"/>
          <w:spacing w:val="0"/>
          <w:sz w:val="22"/>
          <w:szCs w:val="22"/>
          <w:lang w:eastAsia="en-GB"/>
        </w:rPr>
        <w:t xml:space="preserve"> (</w:t>
      </w:r>
      <w:r w:rsidRPr="00B87783">
        <w:rPr>
          <w:rFonts w:ascii="Arial" w:eastAsia="Times New Roman" w:hAnsi="Arial"/>
          <w:color w:val="000000"/>
          <w:spacing w:val="0"/>
          <w:sz w:val="22"/>
          <w:szCs w:val="22"/>
          <w:lang w:eastAsia="en-GB"/>
        </w:rPr>
        <w:t>2005</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sidRPr="00326347">
        <w:rPr>
          <w:rFonts w:ascii="Arial" w:eastAsia="Times New Roman" w:hAnsi="Arial"/>
          <w:i/>
          <w:iCs/>
          <w:color w:val="000000"/>
          <w:spacing w:val="0"/>
          <w:sz w:val="22"/>
          <w:szCs w:val="22"/>
          <w:lang w:eastAsia="en-GB"/>
        </w:rPr>
        <w:t>Temples of Ancient Egypt</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Pr>
          <w:rFonts w:ascii="Arial" w:eastAsia="Times New Roman" w:hAnsi="Arial"/>
          <w:color w:val="000000"/>
          <w:spacing w:val="0"/>
          <w:sz w:val="22"/>
          <w:szCs w:val="22"/>
          <w:lang w:eastAsia="en-GB"/>
        </w:rPr>
        <w:t xml:space="preserve">London: </w:t>
      </w:r>
      <w:r w:rsidRPr="00B87783">
        <w:rPr>
          <w:rFonts w:ascii="Arial" w:eastAsia="Times New Roman" w:hAnsi="Arial"/>
          <w:color w:val="000000"/>
          <w:spacing w:val="0"/>
          <w:sz w:val="22"/>
          <w:szCs w:val="22"/>
          <w:lang w:eastAsia="en-GB"/>
        </w:rPr>
        <w:t>I. B. Tauris &amp; Co Ltd</w:t>
      </w:r>
    </w:p>
    <w:p w14:paraId="0D92A180" w14:textId="77777777" w:rsidR="006B7384" w:rsidRPr="00B87783" w:rsidRDefault="006B7384" w:rsidP="00B87783">
      <w:pPr>
        <w:spacing w:before="240" w:after="240" w:line="240" w:lineRule="auto"/>
        <w:rPr>
          <w:rFonts w:ascii="Arial" w:eastAsia="Times New Roman" w:hAnsi="Arial"/>
          <w:color w:val="000000"/>
          <w:spacing w:val="0"/>
          <w:sz w:val="22"/>
          <w:szCs w:val="22"/>
          <w:lang w:eastAsia="en-GB"/>
        </w:rPr>
      </w:pPr>
      <w:r w:rsidRPr="00B87783">
        <w:rPr>
          <w:rFonts w:ascii="Arial" w:eastAsia="Times New Roman" w:hAnsi="Arial"/>
          <w:color w:val="000000"/>
          <w:spacing w:val="0"/>
          <w:sz w:val="22"/>
          <w:szCs w:val="22"/>
          <w:lang w:eastAsia="en-GB"/>
        </w:rPr>
        <w:t xml:space="preserve">Taylor, J.H. </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2010</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sidRPr="00326347">
        <w:rPr>
          <w:rFonts w:ascii="Arial" w:eastAsia="Times New Roman" w:hAnsi="Arial"/>
          <w:i/>
          <w:iCs/>
          <w:color w:val="000000"/>
          <w:spacing w:val="0"/>
          <w:sz w:val="22"/>
          <w:szCs w:val="22"/>
          <w:lang w:eastAsia="en-GB"/>
        </w:rPr>
        <w:t>Journey Through the Afterlife: Ancient Egyptian Book of the Dead</w:t>
      </w:r>
      <w:r>
        <w:rPr>
          <w:rFonts w:ascii="Arial" w:eastAsia="Times New Roman" w:hAnsi="Arial"/>
          <w:i/>
          <w:iCs/>
          <w:color w:val="000000"/>
          <w:spacing w:val="0"/>
          <w:sz w:val="22"/>
          <w:szCs w:val="22"/>
          <w:lang w:eastAsia="en-GB"/>
        </w:rPr>
        <w:t xml:space="preserve">, </w:t>
      </w:r>
      <w:r>
        <w:rPr>
          <w:rFonts w:ascii="Arial" w:eastAsia="Times New Roman" w:hAnsi="Arial"/>
          <w:color w:val="000000"/>
          <w:spacing w:val="0"/>
          <w:sz w:val="22"/>
          <w:szCs w:val="22"/>
          <w:lang w:eastAsia="en-GB"/>
        </w:rPr>
        <w:t>Boston:</w:t>
      </w:r>
      <w:r w:rsidRPr="00B87783">
        <w:rPr>
          <w:rFonts w:ascii="Arial" w:eastAsia="Times New Roman" w:hAnsi="Arial"/>
          <w:color w:val="000000"/>
          <w:spacing w:val="0"/>
          <w:sz w:val="22"/>
          <w:szCs w:val="22"/>
          <w:lang w:eastAsia="en-GB"/>
        </w:rPr>
        <w:t xml:space="preserve"> Harvard University Press</w:t>
      </w:r>
    </w:p>
    <w:p w14:paraId="4D4A7215" w14:textId="77777777" w:rsidR="006B7384" w:rsidRPr="00B87783" w:rsidRDefault="006B7384" w:rsidP="00B87783">
      <w:pPr>
        <w:spacing w:before="240" w:after="240" w:line="240" w:lineRule="auto"/>
        <w:rPr>
          <w:rFonts w:ascii="Arial" w:eastAsia="Times New Roman" w:hAnsi="Arial"/>
          <w:color w:val="000000"/>
          <w:spacing w:val="0"/>
          <w:sz w:val="22"/>
          <w:szCs w:val="22"/>
          <w:lang w:eastAsia="en-GB"/>
        </w:rPr>
      </w:pPr>
      <w:r w:rsidRPr="00B87783">
        <w:rPr>
          <w:rFonts w:ascii="Arial" w:eastAsia="Times New Roman" w:hAnsi="Arial"/>
          <w:color w:val="000000"/>
          <w:spacing w:val="0"/>
          <w:sz w:val="22"/>
          <w:szCs w:val="22"/>
          <w:lang w:eastAsia="en-GB"/>
        </w:rPr>
        <w:t>van Eck, C.</w:t>
      </w:r>
      <w:r>
        <w:rPr>
          <w:rFonts w:ascii="Arial" w:eastAsia="Times New Roman" w:hAnsi="Arial"/>
          <w:color w:val="000000"/>
          <w:spacing w:val="0"/>
          <w:sz w:val="22"/>
          <w:szCs w:val="22"/>
          <w:lang w:eastAsia="en-GB"/>
        </w:rPr>
        <w:t xml:space="preserve"> (</w:t>
      </w:r>
      <w:r w:rsidRPr="00B87783">
        <w:rPr>
          <w:rFonts w:ascii="Arial" w:eastAsia="Times New Roman" w:hAnsi="Arial"/>
          <w:color w:val="000000"/>
          <w:spacing w:val="0"/>
          <w:sz w:val="22"/>
          <w:szCs w:val="22"/>
          <w:lang w:eastAsia="en-GB"/>
        </w:rPr>
        <w:t>2010</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Living Statues: Alfred Gell’s Art and Agency</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Living Presence Response and the Sublime</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sidRPr="00326347">
        <w:rPr>
          <w:rFonts w:ascii="Arial" w:eastAsia="Times New Roman" w:hAnsi="Arial"/>
          <w:i/>
          <w:iCs/>
          <w:color w:val="000000"/>
          <w:spacing w:val="0"/>
          <w:sz w:val="22"/>
          <w:szCs w:val="22"/>
          <w:lang w:eastAsia="en-GB"/>
        </w:rPr>
        <w:t>Art History</w:t>
      </w:r>
      <w:r>
        <w:rPr>
          <w:rFonts w:ascii="Arial" w:eastAsia="Times New Roman" w:hAnsi="Arial"/>
          <w:i/>
          <w:iCs/>
          <w:color w:val="000000"/>
          <w:spacing w:val="0"/>
          <w:sz w:val="22"/>
          <w:szCs w:val="22"/>
          <w:lang w:eastAsia="en-GB"/>
        </w:rPr>
        <w:t>,</w:t>
      </w:r>
      <w:r w:rsidRPr="00B87783">
        <w:rPr>
          <w:rFonts w:ascii="Arial" w:eastAsia="Times New Roman" w:hAnsi="Arial"/>
          <w:color w:val="000000"/>
          <w:spacing w:val="0"/>
          <w:sz w:val="22"/>
          <w:szCs w:val="22"/>
          <w:lang w:eastAsia="en-GB"/>
        </w:rPr>
        <w:t xml:space="preserve"> 33, </w:t>
      </w:r>
      <w:r>
        <w:rPr>
          <w:rFonts w:ascii="Arial" w:eastAsia="Times New Roman" w:hAnsi="Arial"/>
          <w:color w:val="000000"/>
          <w:spacing w:val="0"/>
          <w:sz w:val="22"/>
          <w:szCs w:val="22"/>
          <w:lang w:eastAsia="en-GB"/>
        </w:rPr>
        <w:t>pp.</w:t>
      </w:r>
      <w:r w:rsidRPr="00B87783">
        <w:rPr>
          <w:rFonts w:ascii="Arial" w:eastAsia="Times New Roman" w:hAnsi="Arial"/>
          <w:color w:val="000000"/>
          <w:spacing w:val="0"/>
          <w:sz w:val="22"/>
          <w:szCs w:val="22"/>
          <w:lang w:eastAsia="en-GB"/>
        </w:rPr>
        <w:t>642–659</w:t>
      </w:r>
    </w:p>
    <w:p w14:paraId="3C076D84" w14:textId="77777777" w:rsidR="006B7384" w:rsidRPr="00B87783" w:rsidRDefault="006B7384" w:rsidP="00B87783">
      <w:pPr>
        <w:spacing w:before="240" w:after="240" w:line="240" w:lineRule="auto"/>
        <w:rPr>
          <w:rFonts w:ascii="Arial" w:eastAsia="Times New Roman" w:hAnsi="Arial"/>
          <w:color w:val="000000"/>
          <w:spacing w:val="0"/>
          <w:sz w:val="22"/>
          <w:szCs w:val="22"/>
          <w:lang w:eastAsia="en-GB"/>
        </w:rPr>
      </w:pPr>
      <w:r w:rsidRPr="00B87783">
        <w:rPr>
          <w:rFonts w:ascii="Arial" w:eastAsia="Times New Roman" w:hAnsi="Arial"/>
          <w:color w:val="000000"/>
          <w:spacing w:val="0"/>
          <w:sz w:val="22"/>
          <w:szCs w:val="22"/>
          <w:lang w:eastAsia="en-GB"/>
        </w:rPr>
        <w:t xml:space="preserve">Wilkinson, R. </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1994</w:t>
      </w:r>
      <w:r>
        <w:rPr>
          <w:rFonts w:ascii="Arial" w:eastAsia="Times New Roman" w:hAnsi="Arial"/>
          <w:color w:val="000000"/>
          <w:spacing w:val="0"/>
          <w:sz w:val="22"/>
          <w:szCs w:val="22"/>
          <w:lang w:eastAsia="en-GB"/>
        </w:rPr>
        <w:t>)</w:t>
      </w:r>
      <w:r w:rsidRPr="00B87783">
        <w:rPr>
          <w:rFonts w:ascii="Arial" w:eastAsia="Times New Roman" w:hAnsi="Arial"/>
          <w:color w:val="000000"/>
          <w:spacing w:val="0"/>
          <w:sz w:val="22"/>
          <w:szCs w:val="22"/>
          <w:lang w:eastAsia="en-GB"/>
        </w:rPr>
        <w:t xml:space="preserve"> </w:t>
      </w:r>
      <w:r w:rsidRPr="00326347">
        <w:rPr>
          <w:rFonts w:ascii="Arial" w:eastAsia="Times New Roman" w:hAnsi="Arial"/>
          <w:i/>
          <w:iCs/>
          <w:color w:val="000000"/>
          <w:spacing w:val="0"/>
          <w:sz w:val="22"/>
          <w:szCs w:val="22"/>
          <w:lang w:eastAsia="en-GB"/>
        </w:rPr>
        <w:t>Symbol and Magic in Egyptian Art</w:t>
      </w:r>
      <w:r>
        <w:rPr>
          <w:rFonts w:ascii="Arial" w:eastAsia="Times New Roman" w:hAnsi="Arial"/>
          <w:color w:val="000000"/>
          <w:spacing w:val="0"/>
          <w:sz w:val="22"/>
          <w:szCs w:val="22"/>
          <w:lang w:eastAsia="en-GB"/>
        </w:rPr>
        <w:t>, London:</w:t>
      </w:r>
      <w:r w:rsidRPr="00B87783">
        <w:rPr>
          <w:rFonts w:ascii="Arial" w:eastAsia="Times New Roman" w:hAnsi="Arial"/>
          <w:color w:val="000000"/>
          <w:spacing w:val="0"/>
          <w:sz w:val="22"/>
          <w:szCs w:val="22"/>
          <w:lang w:eastAsia="en-GB"/>
        </w:rPr>
        <w:t xml:space="preserve"> Thames &amp; Hudson</w:t>
      </w:r>
    </w:p>
    <w:sectPr w:rsidR="006B7384" w:rsidRPr="00B877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AF170C" w14:textId="77777777" w:rsidR="00240DC2" w:rsidRDefault="00240DC2" w:rsidP="00D93A0B">
      <w:pPr>
        <w:spacing w:after="0" w:line="240" w:lineRule="auto"/>
      </w:pPr>
      <w:r>
        <w:separator/>
      </w:r>
    </w:p>
  </w:endnote>
  <w:endnote w:type="continuationSeparator" w:id="0">
    <w:p w14:paraId="16EC39CC" w14:textId="77777777" w:rsidR="00240DC2" w:rsidRDefault="00240DC2" w:rsidP="00D93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136048" w14:textId="77777777" w:rsidR="00240DC2" w:rsidRDefault="00240DC2" w:rsidP="00D93A0B">
      <w:pPr>
        <w:spacing w:after="0" w:line="240" w:lineRule="auto"/>
      </w:pPr>
      <w:r>
        <w:separator/>
      </w:r>
    </w:p>
  </w:footnote>
  <w:footnote w:type="continuationSeparator" w:id="0">
    <w:p w14:paraId="529556D4" w14:textId="77777777" w:rsidR="00240DC2" w:rsidRDefault="00240DC2" w:rsidP="00D93A0B">
      <w:pPr>
        <w:spacing w:after="0" w:line="240" w:lineRule="auto"/>
      </w:pPr>
      <w:r>
        <w:continuationSeparator/>
      </w:r>
    </w:p>
  </w:footnote>
  <w:footnote w:id="1">
    <w:p w14:paraId="7D8935C7" w14:textId="506F279B" w:rsidR="006F7C27" w:rsidRDefault="006F7C27">
      <w:pPr>
        <w:pStyle w:val="FootnoteText"/>
      </w:pPr>
      <w:r>
        <w:rPr>
          <w:rStyle w:val="FootnoteReference"/>
        </w:rPr>
        <w:footnoteRef/>
      </w:r>
      <w:r>
        <w:t xml:space="preserve"> Pinch</w:t>
      </w:r>
      <w:r w:rsidR="00C20E40">
        <w:t>, 2002</w:t>
      </w:r>
    </w:p>
  </w:footnote>
  <w:footnote w:id="2">
    <w:p w14:paraId="311898D5" w14:textId="2A343575" w:rsidR="006F7C27" w:rsidRDefault="006F7C27">
      <w:pPr>
        <w:pStyle w:val="FootnoteText"/>
      </w:pPr>
      <w:r>
        <w:rPr>
          <w:rStyle w:val="FootnoteReference"/>
        </w:rPr>
        <w:footnoteRef/>
      </w:r>
      <w:r>
        <w:t xml:space="preserve"> </w:t>
      </w:r>
      <w:r w:rsidR="00C20E40">
        <w:t>Pinch, 2002</w:t>
      </w:r>
    </w:p>
  </w:footnote>
  <w:footnote w:id="3">
    <w:p w14:paraId="3AEC239D" w14:textId="20544790" w:rsidR="006F7C27" w:rsidRDefault="006F7C27">
      <w:pPr>
        <w:pStyle w:val="FootnoteText"/>
      </w:pPr>
      <w:r>
        <w:rPr>
          <w:rStyle w:val="FootnoteReference"/>
        </w:rPr>
        <w:footnoteRef/>
      </w:r>
      <w:r>
        <w:t xml:space="preserve"> </w:t>
      </w:r>
      <w:r w:rsidR="00911BD6">
        <w:t>Redford</w:t>
      </w:r>
      <w:r w:rsidR="00D86ADC">
        <w:t>, 2002</w:t>
      </w:r>
    </w:p>
  </w:footnote>
  <w:footnote w:id="4">
    <w:p w14:paraId="132CD614" w14:textId="216EA664" w:rsidR="006F7C27" w:rsidRDefault="006F7C27">
      <w:pPr>
        <w:pStyle w:val="FootnoteText"/>
      </w:pPr>
      <w:r>
        <w:rPr>
          <w:rStyle w:val="FootnoteReference"/>
        </w:rPr>
        <w:footnoteRef/>
      </w:r>
      <w:r>
        <w:t xml:space="preserve"> Lange, Meyers and Styers</w:t>
      </w:r>
      <w:r w:rsidR="00D86ADC">
        <w:t>, 2010</w:t>
      </w:r>
    </w:p>
  </w:footnote>
  <w:footnote w:id="5">
    <w:p w14:paraId="44F0BD9F" w14:textId="34788439" w:rsidR="00D06FD3" w:rsidRDefault="00D06FD3">
      <w:pPr>
        <w:pStyle w:val="FootnoteText"/>
      </w:pPr>
      <w:r>
        <w:rPr>
          <w:rStyle w:val="FootnoteReference"/>
        </w:rPr>
        <w:footnoteRef/>
      </w:r>
      <w:r>
        <w:t xml:space="preserve"> Baines, Lesko and Silverman</w:t>
      </w:r>
      <w:r w:rsidR="00D86ADC">
        <w:t>, 1991</w:t>
      </w:r>
    </w:p>
  </w:footnote>
  <w:footnote w:id="6">
    <w:p w14:paraId="10E2A358" w14:textId="08849425" w:rsidR="00D06FD3" w:rsidRDefault="00D06FD3">
      <w:pPr>
        <w:pStyle w:val="FootnoteText"/>
      </w:pPr>
      <w:r>
        <w:rPr>
          <w:rStyle w:val="FootnoteReference"/>
        </w:rPr>
        <w:footnoteRef/>
      </w:r>
      <w:r>
        <w:t xml:space="preserve"> Pinch</w:t>
      </w:r>
      <w:r w:rsidR="00C20E40">
        <w:t>, 2002</w:t>
      </w:r>
    </w:p>
  </w:footnote>
  <w:footnote w:id="7">
    <w:p w14:paraId="762C3E67" w14:textId="4D65A347" w:rsidR="00D06FD3" w:rsidRDefault="00D06FD3">
      <w:pPr>
        <w:pStyle w:val="FootnoteText"/>
      </w:pPr>
      <w:r>
        <w:rPr>
          <w:rStyle w:val="FootnoteReference"/>
        </w:rPr>
        <w:footnoteRef/>
      </w:r>
      <w:r>
        <w:t xml:space="preserve"> Lange, Meyers and Styers</w:t>
      </w:r>
      <w:r w:rsidR="00D86ADC">
        <w:t>, 2010</w:t>
      </w:r>
    </w:p>
  </w:footnote>
  <w:footnote w:id="8">
    <w:p w14:paraId="5E9359BA" w14:textId="2D7283CE" w:rsidR="00D06FD3" w:rsidRDefault="00D06FD3">
      <w:pPr>
        <w:pStyle w:val="FootnoteText"/>
      </w:pPr>
      <w:r>
        <w:rPr>
          <w:rStyle w:val="FootnoteReference"/>
        </w:rPr>
        <w:footnoteRef/>
      </w:r>
      <w:r>
        <w:t xml:space="preserve"> Gell</w:t>
      </w:r>
      <w:r w:rsidR="00D86ADC">
        <w:t>, 1998</w:t>
      </w:r>
    </w:p>
  </w:footnote>
  <w:footnote w:id="9">
    <w:p w14:paraId="0A1FE9CB" w14:textId="54F5C44D" w:rsidR="00D06FD3" w:rsidRDefault="00D06FD3">
      <w:pPr>
        <w:pStyle w:val="FootnoteText"/>
      </w:pPr>
      <w:r>
        <w:rPr>
          <w:rStyle w:val="FootnoteReference"/>
        </w:rPr>
        <w:footnoteRef/>
      </w:r>
      <w:r>
        <w:t xml:space="preserve"> Gell</w:t>
      </w:r>
      <w:r w:rsidR="00D86ADC">
        <w:t>, 1998</w:t>
      </w:r>
    </w:p>
  </w:footnote>
  <w:footnote w:id="10">
    <w:p w14:paraId="2F2C520D" w14:textId="0F1561EF" w:rsidR="00D06FD3" w:rsidRDefault="00D06FD3">
      <w:pPr>
        <w:pStyle w:val="FootnoteText"/>
      </w:pPr>
      <w:r>
        <w:rPr>
          <w:rStyle w:val="FootnoteReference"/>
        </w:rPr>
        <w:footnoteRef/>
      </w:r>
      <w:r>
        <w:t xml:space="preserve"> Van Eck</w:t>
      </w:r>
      <w:r w:rsidR="00D86ADC">
        <w:t>, 2010, p.643</w:t>
      </w:r>
    </w:p>
  </w:footnote>
  <w:footnote w:id="11">
    <w:p w14:paraId="59EDE078" w14:textId="56FF0091" w:rsidR="00D06FD3" w:rsidRDefault="00D06FD3">
      <w:pPr>
        <w:pStyle w:val="FootnoteText"/>
      </w:pPr>
      <w:r>
        <w:rPr>
          <w:rStyle w:val="FootnoteReference"/>
        </w:rPr>
        <w:footnoteRef/>
      </w:r>
      <w:r>
        <w:t xml:space="preserve"> Van Eck</w:t>
      </w:r>
      <w:r w:rsidR="00D86ADC">
        <w:t>, 2010, p.644</w:t>
      </w:r>
    </w:p>
  </w:footnote>
  <w:footnote w:id="12">
    <w:p w14:paraId="3E9BFEB0" w14:textId="121BDDB5" w:rsidR="00D06FD3" w:rsidRDefault="00D06FD3">
      <w:pPr>
        <w:pStyle w:val="FootnoteText"/>
      </w:pPr>
      <w:r>
        <w:rPr>
          <w:rStyle w:val="FootnoteReference"/>
        </w:rPr>
        <w:footnoteRef/>
      </w:r>
      <w:r>
        <w:t xml:space="preserve"> Wilkinson</w:t>
      </w:r>
      <w:r w:rsidR="00D86ADC">
        <w:t>, 1994</w:t>
      </w:r>
    </w:p>
  </w:footnote>
  <w:footnote w:id="13">
    <w:p w14:paraId="45ED3771" w14:textId="48BE8007" w:rsidR="00D06FD3" w:rsidRDefault="00D06FD3">
      <w:pPr>
        <w:pStyle w:val="FootnoteText"/>
      </w:pPr>
      <w:r>
        <w:rPr>
          <w:rStyle w:val="FootnoteReference"/>
        </w:rPr>
        <w:footnoteRef/>
      </w:r>
      <w:r>
        <w:t xml:space="preserve"> Wilkinson</w:t>
      </w:r>
      <w:r w:rsidR="00D86ADC">
        <w:t>, 1994</w:t>
      </w:r>
    </w:p>
  </w:footnote>
  <w:footnote w:id="14">
    <w:p w14:paraId="7F9FE1F2" w14:textId="164D5807" w:rsidR="00D06FD3" w:rsidRDefault="00D06FD3">
      <w:pPr>
        <w:pStyle w:val="FootnoteText"/>
      </w:pPr>
      <w:r>
        <w:rPr>
          <w:rStyle w:val="FootnoteReference"/>
        </w:rPr>
        <w:footnoteRef/>
      </w:r>
      <w:r>
        <w:t xml:space="preserve"> Wilkinson</w:t>
      </w:r>
      <w:r w:rsidR="00D86ADC">
        <w:t>, 1994</w:t>
      </w:r>
    </w:p>
  </w:footnote>
  <w:footnote w:id="15">
    <w:p w14:paraId="0A8987C9" w14:textId="17C83446" w:rsidR="00D06FD3" w:rsidRDefault="00D06FD3">
      <w:pPr>
        <w:pStyle w:val="FootnoteText"/>
      </w:pPr>
      <w:r>
        <w:rPr>
          <w:rStyle w:val="FootnoteReference"/>
        </w:rPr>
        <w:footnoteRef/>
      </w:r>
      <w:r>
        <w:t xml:space="preserve"> Roth</w:t>
      </w:r>
      <w:r w:rsidR="00D86ADC">
        <w:t>, 2006</w:t>
      </w:r>
    </w:p>
  </w:footnote>
  <w:footnote w:id="16">
    <w:p w14:paraId="7C152097" w14:textId="0308F7C1" w:rsidR="00D06FD3" w:rsidRDefault="00D06FD3">
      <w:pPr>
        <w:pStyle w:val="FootnoteText"/>
      </w:pPr>
      <w:r>
        <w:rPr>
          <w:rStyle w:val="FootnoteReference"/>
        </w:rPr>
        <w:footnoteRef/>
      </w:r>
      <w:r>
        <w:t xml:space="preserve"> </w:t>
      </w:r>
      <w:r w:rsidR="00C20E40">
        <w:t>Schafer et al.</w:t>
      </w:r>
      <w:r w:rsidR="00DE2066">
        <w:t>, 2005</w:t>
      </w:r>
    </w:p>
  </w:footnote>
  <w:footnote w:id="17">
    <w:p w14:paraId="1AE344D4" w14:textId="23893D95" w:rsidR="00D06FD3" w:rsidRDefault="00D06FD3">
      <w:pPr>
        <w:pStyle w:val="FootnoteText"/>
      </w:pPr>
      <w:r>
        <w:rPr>
          <w:rStyle w:val="FootnoteReference"/>
        </w:rPr>
        <w:footnoteRef/>
      </w:r>
      <w:r>
        <w:t xml:space="preserve"> </w:t>
      </w:r>
      <w:r w:rsidR="00FF58D1">
        <w:t>Figure 3</w:t>
      </w:r>
    </w:p>
  </w:footnote>
  <w:footnote w:id="18">
    <w:p w14:paraId="5B515273" w14:textId="52B9FE73" w:rsidR="00D06FD3" w:rsidRDefault="00D06FD3">
      <w:pPr>
        <w:pStyle w:val="FootnoteText"/>
      </w:pPr>
      <w:r>
        <w:rPr>
          <w:rStyle w:val="FootnoteReference"/>
        </w:rPr>
        <w:footnoteRef/>
      </w:r>
      <w:r>
        <w:t xml:space="preserve"> Carter</w:t>
      </w:r>
      <w:r w:rsidR="00DE2066">
        <w:t>, 1927</w:t>
      </w:r>
    </w:p>
  </w:footnote>
  <w:footnote w:id="19">
    <w:p w14:paraId="2E531451" w14:textId="265D1EF1" w:rsidR="00D06FD3" w:rsidRDefault="00D06FD3">
      <w:pPr>
        <w:pStyle w:val="FootnoteText"/>
      </w:pPr>
      <w:r>
        <w:rPr>
          <w:rStyle w:val="FootnoteReference"/>
        </w:rPr>
        <w:footnoteRef/>
      </w:r>
      <w:r>
        <w:t xml:space="preserve"> British Museum</w:t>
      </w:r>
      <w:r w:rsidR="00DE2066">
        <w:t xml:space="preserve">, </w:t>
      </w:r>
      <w:r w:rsidR="00FF58D1">
        <w:t>2011</w:t>
      </w:r>
    </w:p>
  </w:footnote>
  <w:footnote w:id="20">
    <w:p w14:paraId="4DCC5F17" w14:textId="1E13CCEB" w:rsidR="00D06FD3" w:rsidRDefault="00D06FD3">
      <w:pPr>
        <w:pStyle w:val="FootnoteText"/>
      </w:pPr>
      <w:r>
        <w:rPr>
          <w:rStyle w:val="FootnoteReference"/>
        </w:rPr>
        <w:footnoteRef/>
      </w:r>
      <w:r>
        <w:t xml:space="preserve"> </w:t>
      </w:r>
      <w:r w:rsidR="00C20E40">
        <w:t>Taylor</w:t>
      </w:r>
      <w:r w:rsidR="00DE2066">
        <w:t>, 2010</w:t>
      </w:r>
    </w:p>
  </w:footnote>
  <w:footnote w:id="21">
    <w:p w14:paraId="537E9E1F" w14:textId="61642938" w:rsidR="00D06FD3" w:rsidRDefault="00D06FD3">
      <w:pPr>
        <w:pStyle w:val="FootnoteText"/>
      </w:pPr>
      <w:r>
        <w:rPr>
          <w:rStyle w:val="FootnoteReference"/>
        </w:rPr>
        <w:footnoteRef/>
      </w:r>
      <w:r>
        <w:t xml:space="preserve"> </w:t>
      </w:r>
      <w:r w:rsidR="00C20E40">
        <w:t>Taylor</w:t>
      </w:r>
      <w:r w:rsidR="00DE2066">
        <w:t>, 2010</w:t>
      </w:r>
    </w:p>
  </w:footnote>
  <w:footnote w:id="22">
    <w:p w14:paraId="78F24EF8" w14:textId="16160051" w:rsidR="00D06FD3" w:rsidRDefault="00D06FD3">
      <w:pPr>
        <w:pStyle w:val="FootnoteText"/>
      </w:pPr>
      <w:r>
        <w:rPr>
          <w:rStyle w:val="FootnoteReference"/>
        </w:rPr>
        <w:footnoteRef/>
      </w:r>
      <w:r>
        <w:t xml:space="preserve"> British Museum</w:t>
      </w:r>
      <w:r w:rsidR="00FF58D1">
        <w:t>, 2019</w:t>
      </w:r>
    </w:p>
  </w:footnote>
  <w:footnote w:id="23">
    <w:p w14:paraId="45399C11" w14:textId="72B2569C" w:rsidR="00D06FD3" w:rsidRDefault="00D06FD3">
      <w:pPr>
        <w:pStyle w:val="FootnoteText"/>
      </w:pPr>
      <w:r>
        <w:rPr>
          <w:rStyle w:val="FootnoteReference"/>
        </w:rPr>
        <w:footnoteRef/>
      </w:r>
      <w:r>
        <w:t xml:space="preserve"> </w:t>
      </w:r>
      <w:r w:rsidR="00911BD6">
        <w:t>Grinsell</w:t>
      </w:r>
      <w:r w:rsidR="00DE2066">
        <w:t>, 1961, p.476-478</w:t>
      </w:r>
    </w:p>
  </w:footnote>
  <w:footnote w:id="24">
    <w:p w14:paraId="112BE44E" w14:textId="40FC059E" w:rsidR="00FF58D1" w:rsidRDefault="00FF58D1">
      <w:pPr>
        <w:pStyle w:val="FootnoteText"/>
      </w:pPr>
      <w:r>
        <w:rPr>
          <w:rStyle w:val="FootnoteReference"/>
        </w:rPr>
        <w:footnoteRef/>
      </w:r>
      <w:r>
        <w:t xml:space="preserve"> </w:t>
      </w:r>
      <w:r w:rsidRPr="006B7384">
        <w:t>https://www.britishmuseum.org/collection/objec</w:t>
      </w:r>
      <w:r w:rsidRPr="006B7384">
        <w:t>t/X__670</w:t>
      </w:r>
      <w:r>
        <w:t xml:space="preserve"> </w:t>
      </w:r>
      <w:r w:rsidR="00B87783">
        <w:t>shows an example of an amulet with a hole for string</w:t>
      </w:r>
    </w:p>
  </w:footnote>
  <w:footnote w:id="25">
    <w:p w14:paraId="01789D90" w14:textId="71159CA8" w:rsidR="00D06FD3" w:rsidRDefault="00D06FD3">
      <w:pPr>
        <w:pStyle w:val="FootnoteText"/>
      </w:pPr>
      <w:r>
        <w:rPr>
          <w:rStyle w:val="FootnoteReference"/>
        </w:rPr>
        <w:footnoteRef/>
      </w:r>
      <w:r>
        <w:t xml:space="preserve"> </w:t>
      </w:r>
      <w:r w:rsidR="00B87783">
        <w:t>Figure 1</w:t>
      </w:r>
    </w:p>
  </w:footnote>
  <w:footnote w:id="26">
    <w:p w14:paraId="05639BD6" w14:textId="322CE265" w:rsidR="00D06FD3" w:rsidRDefault="00D06FD3">
      <w:pPr>
        <w:pStyle w:val="FootnoteText"/>
      </w:pPr>
      <w:r>
        <w:rPr>
          <w:rStyle w:val="FootnoteReference"/>
        </w:rPr>
        <w:footnoteRef/>
      </w:r>
      <w:r>
        <w:t xml:space="preserve"> </w:t>
      </w:r>
      <w:r w:rsidR="00B87783" w:rsidRPr="006B7384">
        <w:t>https://www.britishmuseum.org</w:t>
      </w:r>
      <w:r w:rsidR="00B87783" w:rsidRPr="006B7384">
        <w:t>/</w:t>
      </w:r>
      <w:r w:rsidR="00B87783" w:rsidRPr="006B7384">
        <w:t>collection/object/Y_EA27545</w:t>
      </w:r>
      <w:r w:rsidR="00B87783">
        <w:t xml:space="preserve"> shows an example of a figurine found in a funerary setting</w:t>
      </w:r>
    </w:p>
  </w:footnote>
  <w:footnote w:id="27">
    <w:p w14:paraId="6D403AE6" w14:textId="6A6AA110" w:rsidR="00D06FD3" w:rsidRDefault="00D06FD3">
      <w:pPr>
        <w:pStyle w:val="FootnoteText"/>
      </w:pPr>
      <w:r>
        <w:rPr>
          <w:rStyle w:val="FootnoteReference"/>
        </w:rPr>
        <w:footnoteRef/>
      </w:r>
      <w:r>
        <w:t xml:space="preserve"> </w:t>
      </w:r>
      <w:r w:rsidR="00911BD6">
        <w:t>Lilyquist</w:t>
      </w:r>
      <w:r w:rsidR="00DE2066">
        <w:t>, 1993 shows examples of the canopic jars that would have been used</w:t>
      </w:r>
    </w:p>
  </w:footnote>
  <w:footnote w:id="28">
    <w:p w14:paraId="43021BB3" w14:textId="190098E0" w:rsidR="00D06FD3" w:rsidRDefault="00D06FD3">
      <w:pPr>
        <w:pStyle w:val="FootnoteText"/>
      </w:pPr>
      <w:r>
        <w:rPr>
          <w:rStyle w:val="FootnoteReference"/>
        </w:rPr>
        <w:footnoteRef/>
      </w:r>
      <w:r>
        <w:t xml:space="preserve"> Pinch</w:t>
      </w:r>
      <w:r w:rsidR="00C20E40">
        <w:t>, 2002</w:t>
      </w:r>
    </w:p>
  </w:footnote>
  <w:footnote w:id="29">
    <w:p w14:paraId="6B9A72EC" w14:textId="5F2F3030" w:rsidR="00746C77" w:rsidRDefault="00746C77">
      <w:pPr>
        <w:pStyle w:val="FootnoteText"/>
      </w:pPr>
      <w:r>
        <w:rPr>
          <w:rStyle w:val="FootnoteReference"/>
        </w:rPr>
        <w:footnoteRef/>
      </w:r>
      <w:r>
        <w:t xml:space="preserve"> </w:t>
      </w:r>
      <w:r w:rsidR="00C20E40">
        <w:t>Hornung,</w:t>
      </w:r>
      <w:r w:rsidR="00D86ADC">
        <w:t xml:space="preserve"> 1996</w:t>
      </w:r>
    </w:p>
  </w:footnote>
  <w:footnote w:id="30">
    <w:p w14:paraId="331FEB4D" w14:textId="76E1C336" w:rsidR="00746C77" w:rsidRDefault="00746C77">
      <w:pPr>
        <w:pStyle w:val="FootnoteText"/>
      </w:pPr>
      <w:r>
        <w:rPr>
          <w:rStyle w:val="FootnoteReference"/>
        </w:rPr>
        <w:footnoteRef/>
      </w:r>
      <w:r>
        <w:t xml:space="preserve"> </w:t>
      </w:r>
      <w:r w:rsidR="00C20E40">
        <w:t>Hornung,</w:t>
      </w:r>
      <w:r w:rsidR="00D86ADC">
        <w:t xml:space="preserve"> 1996</w:t>
      </w:r>
    </w:p>
  </w:footnote>
  <w:footnote w:id="31">
    <w:p w14:paraId="05CB1DD5" w14:textId="04B0BA10" w:rsidR="00746C77" w:rsidRDefault="00746C77">
      <w:pPr>
        <w:pStyle w:val="FootnoteText"/>
      </w:pPr>
      <w:r>
        <w:rPr>
          <w:rStyle w:val="FootnoteReference"/>
        </w:rPr>
        <w:footnoteRef/>
      </w:r>
      <w:r>
        <w:t xml:space="preserve"> </w:t>
      </w:r>
      <w:r w:rsidR="00911BD6">
        <w:t>Kaelin</w:t>
      </w:r>
      <w:r w:rsidR="00DE2066">
        <w:t>, 2016, p.9</w:t>
      </w:r>
    </w:p>
  </w:footnote>
  <w:footnote w:id="32">
    <w:p w14:paraId="351656C9" w14:textId="4DA7C179" w:rsidR="00746C77" w:rsidRDefault="00746C77">
      <w:pPr>
        <w:pStyle w:val="FootnoteText"/>
      </w:pPr>
      <w:r>
        <w:rPr>
          <w:rStyle w:val="FootnoteReference"/>
        </w:rPr>
        <w:footnoteRef/>
      </w:r>
      <w:r>
        <w:t xml:space="preserve"> Pinch</w:t>
      </w:r>
      <w:r w:rsidR="00C20E40">
        <w:t>, 2002</w:t>
      </w:r>
    </w:p>
  </w:footnote>
  <w:footnote w:id="33">
    <w:p w14:paraId="07B0F2FF" w14:textId="3C5029E0" w:rsidR="00746C77" w:rsidRDefault="00746C77">
      <w:pPr>
        <w:pStyle w:val="FootnoteText"/>
      </w:pPr>
      <w:r>
        <w:rPr>
          <w:rStyle w:val="FootnoteReference"/>
        </w:rPr>
        <w:footnoteRef/>
      </w:r>
      <w:r>
        <w:t xml:space="preserve"> Pinch</w:t>
      </w:r>
      <w:r w:rsidR="00C20E40">
        <w:t>, 2002</w:t>
      </w:r>
    </w:p>
  </w:footnote>
  <w:footnote w:id="34">
    <w:p w14:paraId="2C4160F4" w14:textId="291E4689" w:rsidR="00746C77" w:rsidRDefault="00746C77">
      <w:pPr>
        <w:pStyle w:val="FootnoteText"/>
      </w:pPr>
      <w:r>
        <w:rPr>
          <w:rStyle w:val="FootnoteReference"/>
        </w:rPr>
        <w:footnoteRef/>
      </w:r>
      <w:r>
        <w:t xml:space="preserve"> Pinch</w:t>
      </w:r>
      <w:r w:rsidR="00C20E40">
        <w:t>, 2002</w:t>
      </w:r>
    </w:p>
  </w:footnote>
  <w:footnote w:id="35">
    <w:p w14:paraId="2774142A" w14:textId="05887FB4" w:rsidR="00746C77" w:rsidRDefault="00746C77">
      <w:pPr>
        <w:pStyle w:val="FootnoteText"/>
      </w:pPr>
      <w:r>
        <w:rPr>
          <w:rStyle w:val="FootnoteReference"/>
        </w:rPr>
        <w:footnoteRef/>
      </w:r>
      <w:r>
        <w:t xml:space="preserve"> Pinch</w:t>
      </w:r>
      <w:r w:rsidR="00C20E40">
        <w:t>, 2002</w:t>
      </w:r>
    </w:p>
  </w:footnote>
  <w:footnote w:id="36">
    <w:p w14:paraId="33744511" w14:textId="35D79D2D" w:rsidR="00746C77" w:rsidRDefault="00746C77">
      <w:pPr>
        <w:pStyle w:val="FootnoteText"/>
      </w:pPr>
      <w:r>
        <w:rPr>
          <w:rStyle w:val="FootnoteReference"/>
        </w:rPr>
        <w:footnoteRef/>
      </w:r>
      <w:r>
        <w:t xml:space="preserve"> </w:t>
      </w:r>
      <w:r w:rsidR="00C20E40">
        <w:t>Pinch, 2002</w:t>
      </w:r>
    </w:p>
  </w:footnote>
  <w:footnote w:id="37">
    <w:p w14:paraId="579B7A12" w14:textId="659C75E9" w:rsidR="00746C77" w:rsidRDefault="00746C77">
      <w:pPr>
        <w:pStyle w:val="FootnoteText"/>
      </w:pPr>
      <w:r>
        <w:rPr>
          <w:rStyle w:val="FootnoteReference"/>
        </w:rPr>
        <w:footnoteRef/>
      </w:r>
      <w:r>
        <w:t xml:space="preserve"> Baines</w:t>
      </w:r>
      <w:r w:rsidR="00D86ADC">
        <w:t>, Lesko and Silverman, 1991</w:t>
      </w:r>
    </w:p>
  </w:footnote>
  <w:footnote w:id="38">
    <w:p w14:paraId="1BF6623F" w14:textId="064FB01A" w:rsidR="00746C77" w:rsidRDefault="00746C77">
      <w:pPr>
        <w:pStyle w:val="FootnoteText"/>
      </w:pPr>
      <w:r>
        <w:rPr>
          <w:rStyle w:val="FootnoteReference"/>
        </w:rPr>
        <w:footnoteRef/>
      </w:r>
      <w:r>
        <w:t xml:space="preserve"> </w:t>
      </w:r>
      <w:r w:rsidR="00C20E40">
        <w:t>Taylor</w:t>
      </w:r>
      <w:r w:rsidR="00DE2066">
        <w:t>, 2010</w:t>
      </w:r>
    </w:p>
  </w:footnote>
  <w:footnote w:id="39">
    <w:p w14:paraId="38A122C6" w14:textId="008AFF5B" w:rsidR="00746C77" w:rsidRDefault="00746C77">
      <w:pPr>
        <w:pStyle w:val="FootnoteText"/>
      </w:pPr>
      <w:r>
        <w:rPr>
          <w:rStyle w:val="FootnoteReference"/>
        </w:rPr>
        <w:footnoteRef/>
      </w:r>
      <w:r>
        <w:t xml:space="preserve"> Carter</w:t>
      </w:r>
      <w:r w:rsidR="00DE2066">
        <w:t>, 1927</w:t>
      </w:r>
    </w:p>
  </w:footnote>
  <w:footnote w:id="40">
    <w:p w14:paraId="51DD839F" w14:textId="17568A7B" w:rsidR="00746C77" w:rsidRDefault="00746C77">
      <w:pPr>
        <w:pStyle w:val="FootnoteText"/>
      </w:pPr>
      <w:r>
        <w:rPr>
          <w:rStyle w:val="FootnoteReference"/>
        </w:rPr>
        <w:footnoteRef/>
      </w:r>
      <w:r>
        <w:t xml:space="preserve"> British Museum</w:t>
      </w:r>
      <w:r w:rsidR="00B87783">
        <w:t>, 2019</w:t>
      </w:r>
    </w:p>
  </w:footnote>
  <w:footnote w:id="41">
    <w:p w14:paraId="14A67ADD" w14:textId="6BC1C366" w:rsidR="00746C77" w:rsidRDefault="00746C77">
      <w:pPr>
        <w:pStyle w:val="FootnoteText"/>
      </w:pPr>
      <w:r>
        <w:rPr>
          <w:rStyle w:val="FootnoteReference"/>
        </w:rPr>
        <w:footnoteRef/>
      </w:r>
      <w:r>
        <w:t xml:space="preserve"> Pinch</w:t>
      </w:r>
      <w:r w:rsidR="00C20E40">
        <w:t>, 2002</w:t>
      </w:r>
    </w:p>
  </w:footnote>
  <w:footnote w:id="42">
    <w:p w14:paraId="2F3C97D4" w14:textId="54E3B277" w:rsidR="00746C77" w:rsidRDefault="00746C77">
      <w:pPr>
        <w:pStyle w:val="FootnoteText"/>
      </w:pPr>
      <w:r>
        <w:rPr>
          <w:rStyle w:val="FootnoteReference"/>
        </w:rPr>
        <w:footnoteRef/>
      </w:r>
      <w:r>
        <w:t xml:space="preserve"> Aufrere</w:t>
      </w:r>
      <w:r w:rsidR="00DE2066">
        <w:t>, 2010</w:t>
      </w:r>
    </w:p>
  </w:footnote>
  <w:footnote w:id="43">
    <w:p w14:paraId="6DE9EF99" w14:textId="6A0E4E70" w:rsidR="00746C77" w:rsidRDefault="00746C77">
      <w:pPr>
        <w:pStyle w:val="FootnoteText"/>
      </w:pPr>
      <w:r>
        <w:rPr>
          <w:rStyle w:val="FootnoteReference"/>
        </w:rPr>
        <w:footnoteRef/>
      </w:r>
      <w:r>
        <w:t xml:space="preserve"> Aufrere</w:t>
      </w:r>
      <w:r w:rsidR="00DE2066">
        <w:t>, 2010</w:t>
      </w:r>
    </w:p>
  </w:footnote>
  <w:footnote w:id="44">
    <w:p w14:paraId="43766B64" w14:textId="607CF5EB" w:rsidR="00746C77" w:rsidRDefault="00746C77">
      <w:pPr>
        <w:pStyle w:val="FootnoteText"/>
      </w:pPr>
      <w:r>
        <w:rPr>
          <w:rStyle w:val="FootnoteReference"/>
        </w:rPr>
        <w:footnoteRef/>
      </w:r>
      <w:r>
        <w:t xml:space="preserve"> Fontaine</w:t>
      </w:r>
      <w:r w:rsidR="00DE2066">
        <w:t>, 2010</w:t>
      </w:r>
    </w:p>
  </w:footnote>
  <w:footnote w:id="45">
    <w:p w14:paraId="01C0A760" w14:textId="069F57CE" w:rsidR="00746C77" w:rsidRDefault="00746C77">
      <w:pPr>
        <w:pStyle w:val="FootnoteText"/>
      </w:pPr>
      <w:r>
        <w:rPr>
          <w:rStyle w:val="FootnoteReference"/>
        </w:rPr>
        <w:footnoteRef/>
      </w:r>
      <w:r>
        <w:t xml:space="preserve"> Fontaine</w:t>
      </w:r>
      <w:r w:rsidR="00DE2066">
        <w:t>, 2010</w:t>
      </w:r>
    </w:p>
  </w:footnote>
  <w:footnote w:id="46">
    <w:p w14:paraId="2E0FA7C5" w14:textId="61527048" w:rsidR="00746C77" w:rsidRDefault="00746C77">
      <w:pPr>
        <w:pStyle w:val="FootnoteText"/>
      </w:pPr>
      <w:r>
        <w:rPr>
          <w:rStyle w:val="FootnoteReference"/>
        </w:rPr>
        <w:footnoteRef/>
      </w:r>
      <w:r>
        <w:t xml:space="preserve"> Baines</w:t>
      </w:r>
      <w:r w:rsidR="00D86ADC">
        <w:t>, Lesko and Silverman, 1991</w:t>
      </w:r>
    </w:p>
  </w:footnote>
  <w:footnote w:id="47">
    <w:p w14:paraId="562B65CE" w14:textId="0121C9F1" w:rsidR="00746C77" w:rsidRDefault="00746C77">
      <w:pPr>
        <w:pStyle w:val="FootnoteText"/>
      </w:pPr>
      <w:r>
        <w:rPr>
          <w:rStyle w:val="FootnoteReference"/>
        </w:rPr>
        <w:footnoteRef/>
      </w:r>
      <w:r>
        <w:t xml:space="preserve"> </w:t>
      </w:r>
      <w:r w:rsidR="00B87783">
        <w:t>Figure 1, Figure 2</w:t>
      </w:r>
    </w:p>
  </w:footnote>
  <w:footnote w:id="48">
    <w:p w14:paraId="2F385BF0" w14:textId="20367720" w:rsidR="00746C77" w:rsidRDefault="00746C77">
      <w:pPr>
        <w:pStyle w:val="FootnoteText"/>
      </w:pPr>
      <w:r>
        <w:rPr>
          <w:rStyle w:val="FootnoteReference"/>
        </w:rPr>
        <w:footnoteRef/>
      </w:r>
      <w:r>
        <w:t xml:space="preserve"> Wilkinson</w:t>
      </w:r>
      <w:r w:rsidR="00D86ADC">
        <w:t>, 1994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30E58"/>
    <w:multiLevelType w:val="multilevel"/>
    <w:tmpl w:val="13589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EC4577"/>
    <w:multiLevelType w:val="multilevel"/>
    <w:tmpl w:val="76447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3A2A63"/>
    <w:multiLevelType w:val="multilevel"/>
    <w:tmpl w:val="B8844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A0B"/>
    <w:rsid w:val="000F434A"/>
    <w:rsid w:val="00126199"/>
    <w:rsid w:val="00240DC2"/>
    <w:rsid w:val="00326347"/>
    <w:rsid w:val="003E7535"/>
    <w:rsid w:val="005E6D2D"/>
    <w:rsid w:val="005F6519"/>
    <w:rsid w:val="00653EA8"/>
    <w:rsid w:val="0065481F"/>
    <w:rsid w:val="006B7384"/>
    <w:rsid w:val="006F7C27"/>
    <w:rsid w:val="007168C1"/>
    <w:rsid w:val="00746C77"/>
    <w:rsid w:val="00911BD6"/>
    <w:rsid w:val="00B87783"/>
    <w:rsid w:val="00C20E40"/>
    <w:rsid w:val="00CA6262"/>
    <w:rsid w:val="00D06FD3"/>
    <w:rsid w:val="00D86ADC"/>
    <w:rsid w:val="00D93A0B"/>
    <w:rsid w:val="00DE2066"/>
    <w:rsid w:val="00E32128"/>
    <w:rsid w:val="00EA1480"/>
    <w:rsid w:val="00F305FF"/>
    <w:rsid w:val="00FF5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D25BB"/>
  <w15:chartTrackingRefBased/>
  <w15:docId w15:val="{8F0C51D2-EDD0-4DE3-BE1E-A3616F473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omic Sans MS" w:eastAsiaTheme="minorHAnsi" w:hAnsi="Comic Sans MS" w:cs="Arial"/>
        <w:color w:val="222222"/>
        <w:spacing w:val="20"/>
        <w:sz w:val="21"/>
        <w:szCs w:val="21"/>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93A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3A0B"/>
    <w:rPr>
      <w:sz w:val="20"/>
      <w:szCs w:val="20"/>
    </w:rPr>
  </w:style>
  <w:style w:type="character" w:styleId="FootnoteReference">
    <w:name w:val="footnote reference"/>
    <w:basedOn w:val="DefaultParagraphFont"/>
    <w:uiPriority w:val="99"/>
    <w:semiHidden/>
    <w:unhideWhenUsed/>
    <w:rsid w:val="00D93A0B"/>
    <w:rPr>
      <w:vertAlign w:val="superscript"/>
    </w:rPr>
  </w:style>
  <w:style w:type="paragraph" w:styleId="NormalWeb">
    <w:name w:val="Normal (Web)"/>
    <w:basedOn w:val="Normal"/>
    <w:uiPriority w:val="99"/>
    <w:semiHidden/>
    <w:unhideWhenUsed/>
    <w:rsid w:val="007168C1"/>
    <w:pPr>
      <w:spacing w:before="100" w:beforeAutospacing="1" w:after="100" w:afterAutospacing="1" w:line="240" w:lineRule="auto"/>
    </w:pPr>
    <w:rPr>
      <w:rFonts w:ascii="Times New Roman" w:eastAsia="Times New Roman" w:hAnsi="Times New Roman" w:cs="Times New Roman"/>
      <w:color w:val="auto"/>
      <w:spacing w:val="0"/>
      <w:sz w:val="24"/>
      <w:szCs w:val="24"/>
      <w:lang w:eastAsia="en-GB"/>
    </w:rPr>
  </w:style>
  <w:style w:type="character" w:styleId="Hyperlink">
    <w:name w:val="Hyperlink"/>
    <w:basedOn w:val="DefaultParagraphFont"/>
    <w:uiPriority w:val="99"/>
    <w:unhideWhenUsed/>
    <w:rsid w:val="007168C1"/>
    <w:rPr>
      <w:color w:val="0000FF"/>
      <w:u w:val="single"/>
    </w:rPr>
  </w:style>
  <w:style w:type="paragraph" w:styleId="Caption">
    <w:name w:val="caption"/>
    <w:basedOn w:val="Normal"/>
    <w:next w:val="Normal"/>
    <w:uiPriority w:val="35"/>
    <w:unhideWhenUsed/>
    <w:qFormat/>
    <w:rsid w:val="000F434A"/>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6B7384"/>
    <w:rPr>
      <w:color w:val="954F72" w:themeColor="followedHyperlink"/>
      <w:u w:val="single"/>
    </w:rPr>
  </w:style>
  <w:style w:type="character" w:styleId="UnresolvedMention">
    <w:name w:val="Unresolved Mention"/>
    <w:basedOn w:val="DefaultParagraphFont"/>
    <w:uiPriority w:val="99"/>
    <w:semiHidden/>
    <w:unhideWhenUsed/>
    <w:rsid w:val="006B73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1746118">
      <w:bodyDiv w:val="1"/>
      <w:marLeft w:val="0"/>
      <w:marRight w:val="0"/>
      <w:marTop w:val="0"/>
      <w:marBottom w:val="0"/>
      <w:divBdr>
        <w:top w:val="none" w:sz="0" w:space="0" w:color="auto"/>
        <w:left w:val="none" w:sz="0" w:space="0" w:color="auto"/>
        <w:bottom w:val="none" w:sz="0" w:space="0" w:color="auto"/>
        <w:right w:val="none" w:sz="0" w:space="0" w:color="auto"/>
      </w:divBdr>
    </w:div>
    <w:div w:id="768157742">
      <w:bodyDiv w:val="1"/>
      <w:marLeft w:val="0"/>
      <w:marRight w:val="0"/>
      <w:marTop w:val="0"/>
      <w:marBottom w:val="0"/>
      <w:divBdr>
        <w:top w:val="none" w:sz="0" w:space="0" w:color="auto"/>
        <w:left w:val="none" w:sz="0" w:space="0" w:color="auto"/>
        <w:bottom w:val="none" w:sz="0" w:space="0" w:color="auto"/>
        <w:right w:val="none" w:sz="0" w:space="0" w:color="auto"/>
      </w:divBdr>
      <w:divsChild>
        <w:div w:id="918635272">
          <w:marLeft w:val="480"/>
          <w:marRight w:val="0"/>
          <w:marTop w:val="0"/>
          <w:marBottom w:val="0"/>
          <w:divBdr>
            <w:top w:val="none" w:sz="0" w:space="0" w:color="auto"/>
            <w:left w:val="none" w:sz="0" w:space="0" w:color="auto"/>
            <w:bottom w:val="none" w:sz="0" w:space="0" w:color="auto"/>
            <w:right w:val="none" w:sz="0" w:space="0" w:color="auto"/>
          </w:divBdr>
          <w:divsChild>
            <w:div w:id="39478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292794">
      <w:bodyDiv w:val="1"/>
      <w:marLeft w:val="0"/>
      <w:marRight w:val="0"/>
      <w:marTop w:val="0"/>
      <w:marBottom w:val="0"/>
      <w:divBdr>
        <w:top w:val="none" w:sz="0" w:space="0" w:color="auto"/>
        <w:left w:val="none" w:sz="0" w:space="0" w:color="auto"/>
        <w:bottom w:val="none" w:sz="0" w:space="0" w:color="auto"/>
        <w:right w:val="none" w:sz="0" w:space="0" w:color="auto"/>
      </w:divBdr>
    </w:div>
    <w:div w:id="1102142893">
      <w:bodyDiv w:val="1"/>
      <w:marLeft w:val="0"/>
      <w:marRight w:val="0"/>
      <w:marTop w:val="0"/>
      <w:marBottom w:val="0"/>
      <w:divBdr>
        <w:top w:val="none" w:sz="0" w:space="0" w:color="auto"/>
        <w:left w:val="none" w:sz="0" w:space="0" w:color="auto"/>
        <w:bottom w:val="none" w:sz="0" w:space="0" w:color="auto"/>
        <w:right w:val="none" w:sz="0" w:space="0" w:color="auto"/>
      </w:divBdr>
      <w:divsChild>
        <w:div w:id="1033261597">
          <w:marLeft w:val="480"/>
          <w:marRight w:val="0"/>
          <w:marTop w:val="0"/>
          <w:marBottom w:val="0"/>
          <w:divBdr>
            <w:top w:val="none" w:sz="0" w:space="0" w:color="auto"/>
            <w:left w:val="none" w:sz="0" w:space="0" w:color="auto"/>
            <w:bottom w:val="none" w:sz="0" w:space="0" w:color="auto"/>
            <w:right w:val="none" w:sz="0" w:space="0" w:color="auto"/>
          </w:divBdr>
          <w:divsChild>
            <w:div w:id="188247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358128">
      <w:bodyDiv w:val="1"/>
      <w:marLeft w:val="0"/>
      <w:marRight w:val="0"/>
      <w:marTop w:val="0"/>
      <w:marBottom w:val="0"/>
      <w:divBdr>
        <w:top w:val="none" w:sz="0" w:space="0" w:color="auto"/>
        <w:left w:val="none" w:sz="0" w:space="0" w:color="auto"/>
        <w:bottom w:val="none" w:sz="0" w:space="0" w:color="auto"/>
        <w:right w:val="none" w:sz="0" w:space="0" w:color="auto"/>
      </w:divBdr>
    </w:div>
    <w:div w:id="1943412662">
      <w:bodyDiv w:val="1"/>
      <w:marLeft w:val="0"/>
      <w:marRight w:val="0"/>
      <w:marTop w:val="0"/>
      <w:marBottom w:val="0"/>
      <w:divBdr>
        <w:top w:val="none" w:sz="0" w:space="0" w:color="auto"/>
        <w:left w:val="none" w:sz="0" w:space="0" w:color="auto"/>
        <w:bottom w:val="none" w:sz="0" w:space="0" w:color="auto"/>
        <w:right w:val="none" w:sz="0" w:space="0" w:color="auto"/>
      </w:divBdr>
    </w:div>
    <w:div w:id="2014338608">
      <w:bodyDiv w:val="1"/>
      <w:marLeft w:val="0"/>
      <w:marRight w:val="0"/>
      <w:marTop w:val="0"/>
      <w:marBottom w:val="0"/>
      <w:divBdr>
        <w:top w:val="none" w:sz="0" w:space="0" w:color="auto"/>
        <w:left w:val="none" w:sz="0" w:space="0" w:color="auto"/>
        <w:bottom w:val="none" w:sz="0" w:space="0" w:color="auto"/>
        <w:right w:val="none" w:sz="0" w:space="0" w:color="auto"/>
      </w:divBdr>
      <w:divsChild>
        <w:div w:id="643587515">
          <w:marLeft w:val="480"/>
          <w:marRight w:val="0"/>
          <w:marTop w:val="0"/>
          <w:marBottom w:val="0"/>
          <w:divBdr>
            <w:top w:val="none" w:sz="0" w:space="0" w:color="auto"/>
            <w:left w:val="none" w:sz="0" w:space="0" w:color="auto"/>
            <w:bottom w:val="none" w:sz="0" w:space="0" w:color="auto"/>
            <w:right w:val="none" w:sz="0" w:space="0" w:color="auto"/>
          </w:divBdr>
          <w:divsChild>
            <w:div w:id="23142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britishmuseum.org/collection/object/Y_EA2754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ritishmuseum.org/collection/object/X_670"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A55941-DFF4-4510-99FC-871C4023E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9</Pages>
  <Words>3875</Words>
  <Characters>22094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Watts-robinson (1801842)</dc:creator>
  <cp:keywords/>
  <dc:description/>
  <cp:lastModifiedBy>Rhiannon Watts-robinson (1801842)</cp:lastModifiedBy>
  <cp:revision>8</cp:revision>
  <dcterms:created xsi:type="dcterms:W3CDTF">2019-10-18T15:09:00Z</dcterms:created>
  <dcterms:modified xsi:type="dcterms:W3CDTF">2020-05-15T17:24:00Z</dcterms:modified>
</cp:coreProperties>
</file>