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E86DD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B72D9">
              <w:rPr>
                <w:rFonts w:ascii="Times New Roman" w:hAnsi="Times New Roman" w:cs="Times New Roman"/>
                <w:b/>
                <w:color w:val="auto"/>
                <w:sz w:val="48"/>
              </w:rPr>
              <w:t>Karen Ward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C70113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B72D9">
              <w:rPr>
                <w:rFonts w:ascii="Times New Roman" w:hAnsi="Times New Roman" w:cs="Times New Roman"/>
                <w:b/>
                <w:color w:val="auto"/>
                <w:sz w:val="48"/>
              </w:rPr>
              <w:t xml:space="preserve"> karen.ward1@conwy.gov.uk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9160B60" w:rsidR="0085230E" w:rsidRPr="005D3F07" w:rsidRDefault="00CC12B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2421407</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293360FD" w14:textId="77777777" w:rsidR="000954D2" w:rsidRPr="00EB613A" w:rsidRDefault="000954D2" w:rsidP="000954D2">
            <w:pPr>
              <w:spacing w:after="160" w:line="360" w:lineRule="auto"/>
              <w:rPr>
                <w:sz w:val="24"/>
                <w:szCs w:val="24"/>
              </w:rPr>
            </w:pPr>
            <w:r w:rsidRPr="00EB613A">
              <w:rPr>
                <w:sz w:val="24"/>
                <w:szCs w:val="24"/>
              </w:rPr>
              <w:t>Child safeguarding in Wales is governed by the Social Services and Well-being (Wales) Act 2014 (SSWBA) and the Children Act 1989, which establish duties for local authorities and partner agencies to assess, protect, and support children at risk. These duties are further detailed in policy through Working Together to Safeguard People</w:t>
            </w:r>
            <w:r w:rsidRPr="00915DF2">
              <w:rPr>
                <w:sz w:val="24"/>
                <w:szCs w:val="24"/>
              </w:rPr>
              <w:t xml:space="preserve"> (Welsh Government 2018)</w:t>
            </w:r>
            <w:r w:rsidRPr="00EB613A">
              <w:rPr>
                <w:sz w:val="24"/>
                <w:szCs w:val="24"/>
              </w:rPr>
              <w:t>, the Wales Safeguarding Procedures</w:t>
            </w:r>
            <w:r w:rsidRPr="00915DF2">
              <w:rPr>
                <w:sz w:val="24"/>
                <w:szCs w:val="24"/>
              </w:rPr>
              <w:t xml:space="preserve"> (Social Care Wales)</w:t>
            </w:r>
            <w:r w:rsidRPr="00EB613A">
              <w:rPr>
                <w:sz w:val="24"/>
                <w:szCs w:val="24"/>
              </w:rPr>
              <w:t>, and guidance from local safeguarding boards.</w:t>
            </w:r>
          </w:p>
          <w:p w14:paraId="331C8B19" w14:textId="77777777" w:rsidR="000954D2" w:rsidRPr="00EB613A" w:rsidRDefault="000954D2" w:rsidP="000954D2">
            <w:pPr>
              <w:spacing w:after="160" w:line="360" w:lineRule="auto"/>
              <w:rPr>
                <w:sz w:val="24"/>
                <w:szCs w:val="24"/>
              </w:rPr>
            </w:pPr>
            <w:r w:rsidRPr="00EB613A">
              <w:rPr>
                <w:sz w:val="24"/>
                <w:szCs w:val="24"/>
              </w:rPr>
              <w:t xml:space="preserve">Under the Children Act, the welfare of the child is paramount. Part 7 of the SSWBA outlines the duty to report concerns about children at risk, applying to professionals, relevant partners, and members of the public. Organisations must ensure staff are trained to recognise signs of abuse or neglect and have clear </w:t>
            </w:r>
            <w:r w:rsidRPr="00915DF2">
              <w:rPr>
                <w:sz w:val="24"/>
                <w:szCs w:val="24"/>
              </w:rPr>
              <w:t>reporting policies</w:t>
            </w:r>
            <w:r w:rsidRPr="00EB613A">
              <w:rPr>
                <w:sz w:val="24"/>
                <w:szCs w:val="24"/>
              </w:rPr>
              <w:t xml:space="preserve"> (Welsh Government, 2018).</w:t>
            </w:r>
          </w:p>
          <w:p w14:paraId="691118F8" w14:textId="6F7AF31F" w:rsidR="000954D2" w:rsidRPr="00EB613A" w:rsidRDefault="000954D2" w:rsidP="000954D2">
            <w:pPr>
              <w:spacing w:after="160" w:line="360" w:lineRule="auto"/>
              <w:rPr>
                <w:sz w:val="24"/>
                <w:szCs w:val="24"/>
              </w:rPr>
            </w:pPr>
            <w:r w:rsidRPr="00EB613A">
              <w:rPr>
                <w:sz w:val="24"/>
                <w:szCs w:val="24"/>
              </w:rPr>
              <w:t xml:space="preserve">Reports must be shared with partner agencies within one working day, typically via a Multi-Agency Strategy Hub (MASH) meeting. If risk is identified, a strategy meeting </w:t>
            </w:r>
            <w:r w:rsidRPr="00915DF2">
              <w:rPr>
                <w:sz w:val="24"/>
                <w:szCs w:val="24"/>
              </w:rPr>
              <w:t xml:space="preserve">will </w:t>
            </w:r>
            <w:r w:rsidRPr="00EB613A">
              <w:rPr>
                <w:sz w:val="24"/>
                <w:szCs w:val="24"/>
              </w:rPr>
              <w:t>plan further assessments, including Section 47 enquiries under the Children Act. Even if no immediate risk is found, the child may still have care and support needs, triggering a duty to assess under Sections 21 and 24 of the SSWBA</w:t>
            </w:r>
            <w:r w:rsidR="00106E8E">
              <w:rPr>
                <w:sz w:val="24"/>
                <w:szCs w:val="24"/>
              </w:rPr>
              <w:t>.</w:t>
            </w:r>
          </w:p>
          <w:p w14:paraId="4FF7C898" w14:textId="3E9BEE8B" w:rsidR="000954D2" w:rsidRPr="00EB613A" w:rsidRDefault="000954D2" w:rsidP="000954D2">
            <w:pPr>
              <w:spacing w:after="160" w:line="360" w:lineRule="auto"/>
              <w:rPr>
                <w:sz w:val="24"/>
                <w:szCs w:val="24"/>
              </w:rPr>
            </w:pPr>
            <w:r w:rsidRPr="00EB613A">
              <w:rPr>
                <w:sz w:val="24"/>
                <w:szCs w:val="24"/>
              </w:rPr>
              <w:lastRenderedPageBreak/>
              <w:t>Where a child is suspected to be at risk, the local authority must complete a care and support assessment within 42 working days, alongside any Section 47 enquiries. In cases of risk, this leads to a Care and Support Protection Plan, outlining steps to safeguard the child. The assessment must include the views of the child and family and gather input from agencies such as health and educatio</w:t>
            </w:r>
            <w:r w:rsidR="001532C6">
              <w:rPr>
                <w:sz w:val="24"/>
                <w:szCs w:val="24"/>
              </w:rPr>
              <w:t>n who are obliged, under S</w:t>
            </w:r>
            <w:r w:rsidR="003D2D11">
              <w:rPr>
                <w:sz w:val="24"/>
                <w:szCs w:val="24"/>
              </w:rPr>
              <w:t xml:space="preserve">ection 164 of SSWB Act to respond to such requests.  </w:t>
            </w:r>
            <w:r w:rsidRPr="00EB613A">
              <w:rPr>
                <w:sz w:val="24"/>
                <w:szCs w:val="24"/>
              </w:rPr>
              <w:t>If concerns persist, a review after three months may initiate the Public Law Outline (PLO) process and legal orders such as Emergency Protection Orders (Section 44), Care Orders, or Supervision Orders.</w:t>
            </w:r>
          </w:p>
          <w:p w14:paraId="6FD75BA3" w14:textId="19D71E4C" w:rsidR="000954D2" w:rsidRPr="00EB613A" w:rsidRDefault="000954D2" w:rsidP="000954D2">
            <w:pPr>
              <w:spacing w:after="160" w:line="360" w:lineRule="auto"/>
              <w:rPr>
                <w:sz w:val="24"/>
                <w:szCs w:val="24"/>
              </w:rPr>
            </w:pPr>
            <w:r w:rsidRPr="00915DF2">
              <w:rPr>
                <w:sz w:val="24"/>
                <w:szCs w:val="24"/>
              </w:rPr>
              <w:t>S</w:t>
            </w:r>
            <w:r w:rsidRPr="00EB613A">
              <w:rPr>
                <w:sz w:val="24"/>
                <w:szCs w:val="24"/>
              </w:rPr>
              <w:t>afeguarding duties apply equally to looked-after children, accommodated under Section 76 of the SSWBA or subject to Care Orders under Section 31 of the Children Act. A Section 47 enquiry may also be triggered during a care and support assessment if risks of abuse or neglect are identified.</w:t>
            </w:r>
          </w:p>
          <w:p w14:paraId="33E3760D" w14:textId="77777777" w:rsidR="000954D2" w:rsidRPr="00EB613A" w:rsidRDefault="000954D2" w:rsidP="000954D2">
            <w:pPr>
              <w:spacing w:after="160" w:line="360" w:lineRule="auto"/>
              <w:rPr>
                <w:sz w:val="24"/>
                <w:szCs w:val="24"/>
              </w:rPr>
            </w:pPr>
            <w:r w:rsidRPr="00EB613A">
              <w:rPr>
                <w:sz w:val="24"/>
                <w:szCs w:val="24"/>
              </w:rPr>
              <w:t xml:space="preserve">Both Acts recognise abuse and neglect as significant threats to a child’s well-being. Types of abuse include physical, emotional, sexual, and financial abuse, as well as neglect—the failure to meet a child’s basic needs. Female Genital Mutilation </w:t>
            </w:r>
            <w:r w:rsidRPr="00915DF2">
              <w:rPr>
                <w:sz w:val="24"/>
                <w:szCs w:val="24"/>
              </w:rPr>
              <w:t xml:space="preserve">also </w:t>
            </w:r>
            <w:r w:rsidRPr="00EB613A">
              <w:rPr>
                <w:sz w:val="24"/>
                <w:szCs w:val="24"/>
              </w:rPr>
              <w:t>meets the threshold of significant harm under Section 31 of the Children Act. Indicators may be physical (e.g. unexplained injuries), emotional (e.g. low self-esteem), or behavioural (e.g. withdrawal, aggression).</w:t>
            </w:r>
          </w:p>
          <w:p w14:paraId="383491B0" w14:textId="77777777" w:rsidR="000954D2" w:rsidRPr="00EB613A" w:rsidRDefault="000954D2" w:rsidP="000954D2">
            <w:pPr>
              <w:spacing w:after="160" w:line="360" w:lineRule="auto"/>
              <w:rPr>
                <w:sz w:val="24"/>
                <w:szCs w:val="24"/>
              </w:rPr>
            </w:pPr>
            <w:r w:rsidRPr="00EB613A">
              <w:rPr>
                <w:sz w:val="24"/>
                <w:szCs w:val="24"/>
              </w:rPr>
              <w:t>Children may be at increased risk due to individual factors (e.g. age, disability, communication difficulties), family circumstances (e.g. substance misuse, domestic violence, poverty), and environmental conditions (e.g. poor housing, high-crime areas, limited access to services) (NICE, 2023).</w:t>
            </w:r>
          </w:p>
          <w:p w14:paraId="53C5D2EB" w14:textId="77777777" w:rsidR="000954D2" w:rsidRPr="00EB613A" w:rsidRDefault="000954D2" w:rsidP="000954D2">
            <w:pPr>
              <w:spacing w:after="160" w:line="360" w:lineRule="auto"/>
              <w:rPr>
                <w:sz w:val="24"/>
                <w:szCs w:val="24"/>
              </w:rPr>
            </w:pPr>
            <w:r w:rsidRPr="00EB613A">
              <w:rPr>
                <w:sz w:val="24"/>
                <w:szCs w:val="24"/>
              </w:rPr>
              <w:t>Additional legislation includes the Violence against Women, Domestic Abuse and Sexual Violence (Wales) Act 2015, which strengthens responses to domestic abuse and its impact on children, and the Modern Slavery Act 2015, which addresses child trafficking.</w:t>
            </w:r>
          </w:p>
          <w:p w14:paraId="6739743C" w14:textId="04FAC059" w:rsidR="000954D2" w:rsidRPr="00EB613A" w:rsidRDefault="000954D2" w:rsidP="000954D2">
            <w:pPr>
              <w:spacing w:after="160" w:line="360" w:lineRule="auto"/>
              <w:rPr>
                <w:sz w:val="24"/>
                <w:szCs w:val="24"/>
              </w:rPr>
            </w:pPr>
            <w:r w:rsidRPr="00EB613A">
              <w:rPr>
                <w:sz w:val="24"/>
                <w:szCs w:val="24"/>
              </w:rPr>
              <w:t xml:space="preserve">Safeguarding interventions must be tailored to the child’s unique needs. The SSWBA promotes a person-centred approach, emphasising preferred outcomes such as safety, stability, and access to support. Involving children and families in planning builds trust, improves engagement, and supports long-term resilience. Communication must be proactive </w:t>
            </w:r>
            <w:r w:rsidRPr="00EB613A">
              <w:rPr>
                <w:sz w:val="24"/>
                <w:szCs w:val="24"/>
              </w:rPr>
              <w:lastRenderedPageBreak/>
              <w:t xml:space="preserve">and inclusive, including </w:t>
            </w:r>
            <w:r w:rsidR="00A471AE">
              <w:rPr>
                <w:sz w:val="24"/>
                <w:szCs w:val="24"/>
              </w:rPr>
              <w:t>communication in</w:t>
            </w:r>
            <w:r w:rsidRPr="00EB613A">
              <w:rPr>
                <w:sz w:val="24"/>
                <w:szCs w:val="24"/>
              </w:rPr>
              <w:t xml:space="preserve"> Welsh where preferred (Welsh Government, 2022).</w:t>
            </w:r>
          </w:p>
          <w:p w14:paraId="222D0D19" w14:textId="77777777" w:rsidR="000954D2" w:rsidRPr="00134162" w:rsidRDefault="000954D2" w:rsidP="000954D2"/>
          <w:p w14:paraId="6D8CB8AF" w14:textId="1B134ACD" w:rsidR="00FC0334" w:rsidRDefault="00AD4F1D" w:rsidP="00FF7EBB">
            <w:pPr>
              <w:jc w:val="both"/>
              <w:rPr>
                <w:sz w:val="24"/>
                <w:szCs w:val="24"/>
              </w:rPr>
            </w:pPr>
            <w:r>
              <w:rPr>
                <w:sz w:val="24"/>
                <w:szCs w:val="24"/>
              </w:rPr>
              <w:t>54</w:t>
            </w:r>
            <w:r w:rsidR="00A471AE">
              <w:rPr>
                <w:sz w:val="24"/>
                <w:szCs w:val="24"/>
              </w:rPr>
              <w:t>9</w:t>
            </w:r>
            <w:r>
              <w:rPr>
                <w:sz w:val="24"/>
                <w:szCs w:val="24"/>
              </w:rPr>
              <w:t xml:space="preserve"> words</w:t>
            </w:r>
          </w:p>
          <w:p w14:paraId="4A95F4DB"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18A1C9FC" w14:textId="77777777" w:rsidR="00D35338" w:rsidRPr="00D35338" w:rsidRDefault="00D35338" w:rsidP="00D35338">
            <w:pPr>
              <w:jc w:val="both"/>
              <w:rPr>
                <w:sz w:val="24"/>
                <w:szCs w:val="24"/>
              </w:rPr>
            </w:pPr>
          </w:p>
          <w:p w14:paraId="11CE82C5" w14:textId="0B4F36DC" w:rsidR="00D35338" w:rsidRDefault="00D35338" w:rsidP="00CA0364">
            <w:pPr>
              <w:spacing w:line="360" w:lineRule="auto"/>
              <w:jc w:val="both"/>
              <w:rPr>
                <w:sz w:val="24"/>
                <w:szCs w:val="24"/>
              </w:rPr>
            </w:pPr>
            <w:r w:rsidRPr="00D35338">
              <w:rPr>
                <w:sz w:val="24"/>
                <w:szCs w:val="24"/>
              </w:rPr>
              <w:t>The Social Services and Well-being (Wales) Act 2014</w:t>
            </w:r>
            <w:r w:rsidR="00563B7F">
              <w:rPr>
                <w:sz w:val="24"/>
                <w:szCs w:val="24"/>
              </w:rPr>
              <w:t xml:space="preserve"> (SSWBA)</w:t>
            </w:r>
            <w:r w:rsidRPr="00D35338">
              <w:rPr>
                <w:sz w:val="24"/>
                <w:szCs w:val="24"/>
              </w:rPr>
              <w:t xml:space="preserve"> outlines duties to protect </w:t>
            </w:r>
            <w:r w:rsidR="00BA6F49">
              <w:rPr>
                <w:sz w:val="24"/>
                <w:szCs w:val="24"/>
              </w:rPr>
              <w:t xml:space="preserve">both </w:t>
            </w:r>
            <w:r w:rsidRPr="00D35338">
              <w:rPr>
                <w:sz w:val="24"/>
                <w:szCs w:val="24"/>
              </w:rPr>
              <w:t xml:space="preserve">adults and children at risk </w:t>
            </w:r>
            <w:r w:rsidR="00825CAB">
              <w:rPr>
                <w:sz w:val="24"/>
                <w:szCs w:val="24"/>
              </w:rPr>
              <w:t>with</w:t>
            </w:r>
            <w:r w:rsidRPr="00D35338">
              <w:rPr>
                <w:sz w:val="24"/>
                <w:szCs w:val="24"/>
              </w:rPr>
              <w:t xml:space="preserve"> child safeguarding additionally governed by the Children Act 1989 </w:t>
            </w:r>
            <w:r w:rsidR="00084888">
              <w:rPr>
                <w:sz w:val="24"/>
                <w:szCs w:val="24"/>
              </w:rPr>
              <w:t>with</w:t>
            </w:r>
            <w:r w:rsidRPr="00D35338">
              <w:rPr>
                <w:sz w:val="24"/>
                <w:szCs w:val="24"/>
              </w:rPr>
              <w:t xml:space="preserve"> a proactive framework for protection, with the child’s welfare as the central principle. </w:t>
            </w:r>
          </w:p>
          <w:p w14:paraId="4A4BA326" w14:textId="77777777" w:rsidR="00BA6F49" w:rsidRPr="00D35338" w:rsidRDefault="00BA6F49" w:rsidP="00CA0364">
            <w:pPr>
              <w:spacing w:line="360" w:lineRule="auto"/>
              <w:jc w:val="both"/>
              <w:rPr>
                <w:sz w:val="24"/>
                <w:szCs w:val="24"/>
              </w:rPr>
            </w:pPr>
          </w:p>
          <w:p w14:paraId="3A7B7836" w14:textId="1D4FEA4A" w:rsidR="00D35338" w:rsidRPr="00D35338" w:rsidRDefault="00D35338" w:rsidP="00CA0364">
            <w:pPr>
              <w:spacing w:line="360" w:lineRule="auto"/>
              <w:jc w:val="both"/>
              <w:rPr>
                <w:sz w:val="24"/>
                <w:szCs w:val="24"/>
              </w:rPr>
            </w:pPr>
            <w:r w:rsidRPr="00D35338">
              <w:rPr>
                <w:sz w:val="24"/>
                <w:szCs w:val="24"/>
              </w:rPr>
              <w:t xml:space="preserve">For adults, the duty to safeguard </w:t>
            </w:r>
            <w:r w:rsidR="004E0741">
              <w:rPr>
                <w:sz w:val="24"/>
                <w:szCs w:val="24"/>
              </w:rPr>
              <w:t xml:space="preserve">in not universal </w:t>
            </w:r>
            <w:r w:rsidR="00173C0E">
              <w:rPr>
                <w:sz w:val="24"/>
                <w:szCs w:val="24"/>
              </w:rPr>
              <w:t>only</w:t>
            </w:r>
            <w:r w:rsidR="004E0741">
              <w:rPr>
                <w:sz w:val="24"/>
                <w:szCs w:val="24"/>
              </w:rPr>
              <w:t xml:space="preserve"> </w:t>
            </w:r>
            <w:r w:rsidRPr="00D35338">
              <w:rPr>
                <w:sz w:val="24"/>
                <w:szCs w:val="24"/>
              </w:rPr>
              <w:t>app</w:t>
            </w:r>
            <w:r w:rsidR="00173C0E">
              <w:rPr>
                <w:sz w:val="24"/>
                <w:szCs w:val="24"/>
              </w:rPr>
              <w:t>lying</w:t>
            </w:r>
            <w:r w:rsidRPr="00D35338">
              <w:rPr>
                <w:sz w:val="24"/>
                <w:szCs w:val="24"/>
              </w:rPr>
              <w:t xml:space="preserve"> </w:t>
            </w:r>
            <w:r w:rsidR="00173C0E">
              <w:rPr>
                <w:sz w:val="24"/>
                <w:szCs w:val="24"/>
              </w:rPr>
              <w:t>to vulnerable individuals</w:t>
            </w:r>
            <w:r w:rsidR="00BD04E0">
              <w:rPr>
                <w:sz w:val="24"/>
                <w:szCs w:val="24"/>
              </w:rPr>
              <w:t xml:space="preserve">, </w:t>
            </w:r>
            <w:r w:rsidR="005B62F8">
              <w:rPr>
                <w:sz w:val="24"/>
                <w:szCs w:val="24"/>
              </w:rPr>
              <w:t>defined in Section 7 of SSWBA</w:t>
            </w:r>
            <w:r w:rsidR="00FA55A6">
              <w:rPr>
                <w:sz w:val="24"/>
                <w:szCs w:val="24"/>
              </w:rPr>
              <w:t xml:space="preserve"> </w:t>
            </w:r>
            <w:r w:rsidR="005B62F8">
              <w:rPr>
                <w:sz w:val="24"/>
                <w:szCs w:val="24"/>
              </w:rPr>
              <w:t xml:space="preserve">as </w:t>
            </w:r>
            <w:r w:rsidR="00847335">
              <w:rPr>
                <w:sz w:val="24"/>
                <w:szCs w:val="24"/>
              </w:rPr>
              <w:t>unable to protect themselves due to needs for care and support</w:t>
            </w:r>
            <w:r w:rsidR="0074660F">
              <w:rPr>
                <w:sz w:val="24"/>
                <w:szCs w:val="24"/>
              </w:rPr>
              <w:t xml:space="preserve">.  </w:t>
            </w:r>
            <w:r w:rsidR="00D50ABC">
              <w:rPr>
                <w:sz w:val="24"/>
                <w:szCs w:val="24"/>
              </w:rPr>
              <w:t xml:space="preserve"> </w:t>
            </w:r>
            <w:r w:rsidR="00C146C0">
              <w:rPr>
                <w:sz w:val="24"/>
                <w:szCs w:val="24"/>
              </w:rPr>
              <w:t>For children, this duty is universal</w:t>
            </w:r>
            <w:r w:rsidR="008244CF">
              <w:rPr>
                <w:sz w:val="24"/>
                <w:szCs w:val="24"/>
              </w:rPr>
              <w:t xml:space="preserve">: </w:t>
            </w:r>
            <w:r w:rsidR="00C146C0">
              <w:rPr>
                <w:sz w:val="24"/>
                <w:szCs w:val="24"/>
              </w:rPr>
              <w:t>all children at risk require intervention.  Authorities</w:t>
            </w:r>
            <w:r w:rsidRPr="00D35338">
              <w:rPr>
                <w:sz w:val="24"/>
                <w:szCs w:val="24"/>
              </w:rPr>
              <w:t xml:space="preserve"> must act if a child or their parent behaves in a way likely to cause harm</w:t>
            </w:r>
            <w:r w:rsidR="00D56ACF">
              <w:rPr>
                <w:sz w:val="24"/>
                <w:szCs w:val="24"/>
              </w:rPr>
              <w:t xml:space="preserve">. </w:t>
            </w:r>
            <w:r w:rsidRPr="00D35338">
              <w:rPr>
                <w:sz w:val="24"/>
                <w:szCs w:val="24"/>
              </w:rPr>
              <w:t xml:space="preserve"> </w:t>
            </w:r>
          </w:p>
          <w:p w14:paraId="2DBF95BF" w14:textId="77777777" w:rsidR="00D35338" w:rsidRPr="00D35338" w:rsidRDefault="00D35338" w:rsidP="00CA0364">
            <w:pPr>
              <w:spacing w:line="360" w:lineRule="auto"/>
              <w:jc w:val="both"/>
              <w:rPr>
                <w:sz w:val="24"/>
                <w:szCs w:val="24"/>
              </w:rPr>
            </w:pPr>
          </w:p>
          <w:p w14:paraId="784A8744" w14:textId="36EA3B1F" w:rsidR="007574BE" w:rsidRDefault="001D575A" w:rsidP="00CA0364">
            <w:pPr>
              <w:spacing w:line="360" w:lineRule="auto"/>
              <w:jc w:val="both"/>
              <w:rPr>
                <w:sz w:val="24"/>
                <w:szCs w:val="24"/>
              </w:rPr>
            </w:pPr>
            <w:r>
              <w:rPr>
                <w:sz w:val="24"/>
                <w:szCs w:val="24"/>
              </w:rPr>
              <w:t xml:space="preserve">This </w:t>
            </w:r>
            <w:r w:rsidR="00FA55A6">
              <w:rPr>
                <w:sz w:val="24"/>
                <w:szCs w:val="24"/>
              </w:rPr>
              <w:t xml:space="preserve">difference </w:t>
            </w:r>
            <w:r>
              <w:rPr>
                <w:sz w:val="24"/>
                <w:szCs w:val="24"/>
              </w:rPr>
              <w:t xml:space="preserve">causes grey areas </w:t>
            </w:r>
            <w:r w:rsidR="00FA55A6">
              <w:rPr>
                <w:sz w:val="24"/>
                <w:szCs w:val="24"/>
              </w:rPr>
              <w:t>i</w:t>
            </w:r>
            <w:r>
              <w:rPr>
                <w:sz w:val="24"/>
                <w:szCs w:val="24"/>
              </w:rPr>
              <w:t>n adult safeguarding, where</w:t>
            </w:r>
            <w:r w:rsidR="006E563E">
              <w:rPr>
                <w:sz w:val="24"/>
                <w:szCs w:val="24"/>
              </w:rPr>
              <w:t xml:space="preserve"> </w:t>
            </w:r>
            <w:r>
              <w:rPr>
                <w:sz w:val="24"/>
                <w:szCs w:val="24"/>
              </w:rPr>
              <w:t xml:space="preserve">risks are evident but the rationale for interventions </w:t>
            </w:r>
            <w:r w:rsidR="00643058">
              <w:rPr>
                <w:sz w:val="24"/>
                <w:szCs w:val="24"/>
              </w:rPr>
              <w:t xml:space="preserve">harder to define. </w:t>
            </w:r>
            <w:r w:rsidR="005F7428">
              <w:rPr>
                <w:sz w:val="24"/>
                <w:szCs w:val="24"/>
              </w:rPr>
              <w:t xml:space="preserve">  Safeguarding adults is determined by </w:t>
            </w:r>
            <w:r w:rsidR="008E1C07">
              <w:rPr>
                <w:sz w:val="24"/>
                <w:szCs w:val="24"/>
              </w:rPr>
              <w:t>the balance of</w:t>
            </w:r>
            <w:r w:rsidR="007574BE" w:rsidRPr="00D35338">
              <w:rPr>
                <w:sz w:val="24"/>
                <w:szCs w:val="24"/>
              </w:rPr>
              <w:t xml:space="preserve"> </w:t>
            </w:r>
            <w:r w:rsidR="007574BE" w:rsidRPr="00D35338">
              <w:rPr>
                <w:sz w:val="24"/>
                <w:szCs w:val="24"/>
              </w:rPr>
              <w:t>the European Convention on Human Rights (</w:t>
            </w:r>
            <w:proofErr w:type="gramStart"/>
            <w:r w:rsidR="007574BE" w:rsidRPr="00D35338">
              <w:rPr>
                <w:sz w:val="24"/>
                <w:szCs w:val="24"/>
              </w:rPr>
              <w:t>ECHR</w:t>
            </w:r>
            <w:r w:rsidR="008E1C07">
              <w:rPr>
                <w:sz w:val="24"/>
                <w:szCs w:val="24"/>
              </w:rPr>
              <w:t xml:space="preserve">) </w:t>
            </w:r>
            <w:r w:rsidR="007574BE" w:rsidRPr="00D35338">
              <w:rPr>
                <w:sz w:val="24"/>
                <w:szCs w:val="24"/>
              </w:rPr>
              <w:t xml:space="preserve"> Article</w:t>
            </w:r>
            <w:proofErr w:type="gramEnd"/>
            <w:r w:rsidR="007574BE" w:rsidRPr="00D35338">
              <w:rPr>
                <w:sz w:val="24"/>
                <w:szCs w:val="24"/>
              </w:rPr>
              <w:t xml:space="preserve"> 8 (respect for private and family life) </w:t>
            </w:r>
            <w:r w:rsidR="008E1C07">
              <w:rPr>
                <w:sz w:val="24"/>
                <w:szCs w:val="24"/>
              </w:rPr>
              <w:t>and</w:t>
            </w:r>
            <w:r w:rsidR="007574BE" w:rsidRPr="00D35338">
              <w:rPr>
                <w:sz w:val="24"/>
                <w:szCs w:val="24"/>
              </w:rPr>
              <w:t xml:space="preserve"> Article 2 (right to life)</w:t>
            </w:r>
            <w:r w:rsidR="007574BE">
              <w:rPr>
                <w:sz w:val="24"/>
                <w:szCs w:val="24"/>
              </w:rPr>
              <w:t>.  Fundamental to this is the right of autonomy; a right to make unwise choices</w:t>
            </w:r>
            <w:r w:rsidR="006E563E">
              <w:rPr>
                <w:sz w:val="24"/>
                <w:szCs w:val="24"/>
              </w:rPr>
              <w:t>,</w:t>
            </w:r>
            <w:r w:rsidR="007340E4">
              <w:rPr>
                <w:sz w:val="24"/>
                <w:szCs w:val="24"/>
              </w:rPr>
              <w:t xml:space="preserve"> meaning </w:t>
            </w:r>
            <w:proofErr w:type="spellStart"/>
            <w:r w:rsidR="007340E4">
              <w:rPr>
                <w:sz w:val="24"/>
                <w:szCs w:val="24"/>
              </w:rPr>
              <w:t>capacitous</w:t>
            </w:r>
            <w:proofErr w:type="spellEnd"/>
            <w:r w:rsidR="007340E4">
              <w:rPr>
                <w:sz w:val="24"/>
                <w:szCs w:val="24"/>
              </w:rPr>
              <w:t xml:space="preserve"> a</w:t>
            </w:r>
            <w:r w:rsidR="005742DE" w:rsidRPr="00D35338">
              <w:rPr>
                <w:sz w:val="24"/>
                <w:szCs w:val="24"/>
              </w:rPr>
              <w:t xml:space="preserve">dults </w:t>
            </w:r>
            <w:r w:rsidR="006E563E">
              <w:rPr>
                <w:sz w:val="24"/>
                <w:szCs w:val="24"/>
              </w:rPr>
              <w:t xml:space="preserve">may </w:t>
            </w:r>
            <w:r w:rsidR="005742DE" w:rsidRPr="00D35338">
              <w:rPr>
                <w:sz w:val="24"/>
                <w:szCs w:val="24"/>
              </w:rPr>
              <w:t>choose not to protect themselves</w:t>
            </w:r>
            <w:r w:rsidR="0084028F">
              <w:rPr>
                <w:sz w:val="24"/>
                <w:szCs w:val="24"/>
              </w:rPr>
              <w:t xml:space="preserve">, </w:t>
            </w:r>
            <w:r w:rsidR="005742DE" w:rsidRPr="00D35338">
              <w:rPr>
                <w:sz w:val="24"/>
                <w:szCs w:val="24"/>
              </w:rPr>
              <w:t>even where risk is present (NASB, 2021).</w:t>
            </w:r>
          </w:p>
          <w:p w14:paraId="66D3ECE5" w14:textId="77777777" w:rsidR="00D63FD4" w:rsidRDefault="00D63FD4" w:rsidP="00CA0364">
            <w:pPr>
              <w:spacing w:line="360" w:lineRule="auto"/>
              <w:jc w:val="both"/>
              <w:rPr>
                <w:sz w:val="24"/>
                <w:szCs w:val="24"/>
              </w:rPr>
            </w:pPr>
          </w:p>
          <w:p w14:paraId="23A89790" w14:textId="5553F5B4" w:rsidR="006D3573" w:rsidRDefault="00E447AD" w:rsidP="00CA0364">
            <w:pPr>
              <w:spacing w:line="360" w:lineRule="auto"/>
              <w:jc w:val="both"/>
              <w:rPr>
                <w:sz w:val="24"/>
                <w:szCs w:val="24"/>
              </w:rPr>
            </w:pPr>
            <w:r w:rsidRPr="00E447AD">
              <w:rPr>
                <w:sz w:val="24"/>
                <w:szCs w:val="24"/>
              </w:rPr>
              <w:t xml:space="preserve">Safeguarding adults </w:t>
            </w:r>
            <w:r w:rsidR="001E2AB9">
              <w:rPr>
                <w:sz w:val="24"/>
                <w:szCs w:val="24"/>
              </w:rPr>
              <w:t xml:space="preserve">is </w:t>
            </w:r>
            <w:r w:rsidRPr="00E447AD">
              <w:rPr>
                <w:sz w:val="24"/>
                <w:szCs w:val="24"/>
              </w:rPr>
              <w:t xml:space="preserve">typically </w:t>
            </w:r>
            <w:r w:rsidR="001E2AB9">
              <w:rPr>
                <w:sz w:val="24"/>
                <w:szCs w:val="24"/>
              </w:rPr>
              <w:t>determined by</w:t>
            </w:r>
            <w:r w:rsidRPr="00E447AD">
              <w:rPr>
                <w:sz w:val="24"/>
                <w:szCs w:val="24"/>
              </w:rPr>
              <w:t xml:space="preserve"> consent to intervention</w:t>
            </w:r>
            <w:r w:rsidR="00455829">
              <w:rPr>
                <w:sz w:val="24"/>
                <w:szCs w:val="24"/>
              </w:rPr>
              <w:t xml:space="preserve"> but</w:t>
            </w:r>
            <w:r w:rsidRPr="00E447AD">
              <w:rPr>
                <w:sz w:val="24"/>
                <w:szCs w:val="24"/>
              </w:rPr>
              <w:t xml:space="preserve">. when a person lacks the mental capacity to make decisions about their safety, the Mental Capacity Act 2005 </w:t>
            </w:r>
            <w:r w:rsidRPr="00E447AD">
              <w:rPr>
                <w:sz w:val="24"/>
                <w:szCs w:val="24"/>
              </w:rPr>
              <w:lastRenderedPageBreak/>
              <w:t>becomes essential. It provides the legal framework for making decisions in the person's best interests, ensuring they are protected from harm while respecting their rights and dignity.</w:t>
            </w:r>
          </w:p>
          <w:p w14:paraId="3139EFF3" w14:textId="77777777" w:rsidR="00E447AD" w:rsidRDefault="00E447AD" w:rsidP="00CA0364">
            <w:pPr>
              <w:spacing w:line="360" w:lineRule="auto"/>
              <w:jc w:val="both"/>
              <w:rPr>
                <w:sz w:val="24"/>
                <w:szCs w:val="24"/>
              </w:rPr>
            </w:pPr>
          </w:p>
          <w:p w14:paraId="4312E5FF" w14:textId="4A0100D3" w:rsidR="001C1C69" w:rsidRDefault="0037172A" w:rsidP="00CA0364">
            <w:pPr>
              <w:spacing w:line="360" w:lineRule="auto"/>
              <w:jc w:val="both"/>
              <w:rPr>
                <w:sz w:val="24"/>
                <w:szCs w:val="24"/>
              </w:rPr>
            </w:pPr>
            <w:r>
              <w:rPr>
                <w:sz w:val="24"/>
                <w:szCs w:val="24"/>
              </w:rPr>
              <w:t>By contrast, c</w:t>
            </w:r>
            <w:r w:rsidR="006D3573">
              <w:rPr>
                <w:sz w:val="24"/>
                <w:szCs w:val="24"/>
              </w:rPr>
              <w:t xml:space="preserve">hild safeguarding is determined by </w:t>
            </w:r>
            <w:r w:rsidR="00FF09BA">
              <w:rPr>
                <w:sz w:val="24"/>
                <w:szCs w:val="24"/>
              </w:rPr>
              <w:t>the</w:t>
            </w:r>
            <w:r w:rsidR="006D3573">
              <w:rPr>
                <w:sz w:val="24"/>
                <w:szCs w:val="24"/>
              </w:rPr>
              <w:t xml:space="preserve"> duty on </w:t>
            </w:r>
            <w:r w:rsidR="00021E1D">
              <w:rPr>
                <w:sz w:val="24"/>
                <w:szCs w:val="24"/>
              </w:rPr>
              <w:t xml:space="preserve">organisations to intervene and act on concerns </w:t>
            </w:r>
            <w:r w:rsidR="00962A29">
              <w:rPr>
                <w:sz w:val="24"/>
                <w:szCs w:val="24"/>
              </w:rPr>
              <w:t xml:space="preserve">of </w:t>
            </w:r>
            <w:r>
              <w:rPr>
                <w:sz w:val="24"/>
                <w:szCs w:val="24"/>
              </w:rPr>
              <w:t>risk of harm, abuse and neglect</w:t>
            </w:r>
            <w:r w:rsidR="00962A29">
              <w:rPr>
                <w:sz w:val="24"/>
                <w:szCs w:val="24"/>
              </w:rPr>
              <w:t>.</w:t>
            </w:r>
            <w:r w:rsidR="00067252">
              <w:rPr>
                <w:sz w:val="24"/>
                <w:szCs w:val="24"/>
              </w:rPr>
              <w:t xml:space="preserve">  Due to the child’s development</w:t>
            </w:r>
            <w:r w:rsidR="00CF7B43">
              <w:rPr>
                <w:sz w:val="24"/>
                <w:szCs w:val="24"/>
              </w:rPr>
              <w:t xml:space="preserve"> and </w:t>
            </w:r>
            <w:r w:rsidR="003F44E5">
              <w:rPr>
                <w:sz w:val="24"/>
                <w:szCs w:val="24"/>
              </w:rPr>
              <w:t xml:space="preserve">inherent vulnerabilities, </w:t>
            </w:r>
            <w:r w:rsidR="005716DA">
              <w:rPr>
                <w:sz w:val="24"/>
                <w:szCs w:val="24"/>
              </w:rPr>
              <w:t xml:space="preserve">children </w:t>
            </w:r>
            <w:r w:rsidR="003F44E5">
              <w:rPr>
                <w:sz w:val="24"/>
                <w:szCs w:val="24"/>
              </w:rPr>
              <w:t xml:space="preserve">are less able to recognise </w:t>
            </w:r>
            <w:r w:rsidR="001D3DED">
              <w:rPr>
                <w:sz w:val="24"/>
                <w:szCs w:val="24"/>
              </w:rPr>
              <w:t>or report abuse and rely heavily on adults for protection</w:t>
            </w:r>
            <w:r w:rsidR="005716DA">
              <w:rPr>
                <w:sz w:val="24"/>
                <w:szCs w:val="24"/>
              </w:rPr>
              <w:t xml:space="preserve">; </w:t>
            </w:r>
            <w:r w:rsidR="009C0594">
              <w:rPr>
                <w:sz w:val="24"/>
                <w:szCs w:val="24"/>
              </w:rPr>
              <w:t xml:space="preserve">there is no sense of a child having the capacity to agree to mistreatment.  </w:t>
            </w:r>
            <w:r w:rsidR="00A81DF0">
              <w:rPr>
                <w:sz w:val="24"/>
                <w:szCs w:val="24"/>
              </w:rPr>
              <w:t xml:space="preserve">Even for young people age 16 and 17, </w:t>
            </w:r>
            <w:r w:rsidR="0058655B" w:rsidRPr="00D35338">
              <w:rPr>
                <w:sz w:val="24"/>
                <w:szCs w:val="24"/>
              </w:rPr>
              <w:t>safeguarding can still override refusal if there is risk of harm or coercion.</w:t>
            </w:r>
            <w:r w:rsidR="00F13AD4">
              <w:rPr>
                <w:sz w:val="24"/>
                <w:szCs w:val="24"/>
              </w:rPr>
              <w:t xml:space="preserve">  </w:t>
            </w:r>
            <w:r w:rsidR="00F13AD4" w:rsidRPr="00D35338">
              <w:rPr>
                <w:sz w:val="24"/>
                <w:szCs w:val="24"/>
              </w:rPr>
              <w:t>For children, while their views must be considered, decisions are made in their best interests, and the welfare of the child remains paramount</w:t>
            </w:r>
            <w:r w:rsidR="007A75F2">
              <w:rPr>
                <w:sz w:val="24"/>
                <w:szCs w:val="24"/>
              </w:rPr>
              <w:t xml:space="preserve"> so </w:t>
            </w:r>
            <w:r w:rsidR="00D61003">
              <w:rPr>
                <w:sz w:val="24"/>
                <w:szCs w:val="24"/>
              </w:rPr>
              <w:t>c</w:t>
            </w:r>
            <w:r w:rsidR="00F13AD4" w:rsidRPr="00D35338">
              <w:rPr>
                <w:sz w:val="24"/>
                <w:szCs w:val="24"/>
              </w:rPr>
              <w:t>hildren cannot refuse safeguarding interventions.</w:t>
            </w:r>
            <w:r w:rsidR="0058655B">
              <w:rPr>
                <w:sz w:val="24"/>
                <w:szCs w:val="24"/>
              </w:rPr>
              <w:t xml:space="preserve">  </w:t>
            </w:r>
          </w:p>
          <w:p w14:paraId="6245448F" w14:textId="77777777" w:rsidR="0058655B" w:rsidRPr="00D35338" w:rsidRDefault="0058655B" w:rsidP="00CA0364">
            <w:pPr>
              <w:spacing w:line="360" w:lineRule="auto"/>
              <w:jc w:val="both"/>
              <w:rPr>
                <w:sz w:val="24"/>
                <w:szCs w:val="24"/>
              </w:rPr>
            </w:pPr>
          </w:p>
          <w:p w14:paraId="2E785E3B" w14:textId="437E9D97" w:rsidR="00B877F2" w:rsidRDefault="00F13AD4" w:rsidP="00CA0364">
            <w:pPr>
              <w:spacing w:line="360" w:lineRule="auto"/>
              <w:jc w:val="both"/>
              <w:rPr>
                <w:sz w:val="24"/>
                <w:szCs w:val="24"/>
              </w:rPr>
            </w:pPr>
            <w:r>
              <w:rPr>
                <w:sz w:val="24"/>
                <w:szCs w:val="24"/>
              </w:rPr>
              <w:t>In practice, this means</w:t>
            </w:r>
            <w:r w:rsidR="00E01070">
              <w:rPr>
                <w:sz w:val="24"/>
                <w:szCs w:val="24"/>
              </w:rPr>
              <w:t xml:space="preserve"> </w:t>
            </w:r>
            <w:r>
              <w:rPr>
                <w:sz w:val="24"/>
                <w:szCs w:val="24"/>
              </w:rPr>
              <w:t xml:space="preserve">children’s safeguarding </w:t>
            </w:r>
            <w:r w:rsidR="002D648D">
              <w:rPr>
                <w:sz w:val="24"/>
                <w:szCs w:val="24"/>
              </w:rPr>
              <w:t xml:space="preserve">runs two parallel courses involving care planning and potential legal procedures under the Children Act 1989 to ensure long-term risk </w:t>
            </w:r>
            <w:proofErr w:type="gramStart"/>
            <w:r w:rsidR="002D648D">
              <w:rPr>
                <w:sz w:val="24"/>
                <w:szCs w:val="24"/>
              </w:rPr>
              <w:t>reductio</w:t>
            </w:r>
            <w:r w:rsidR="00502C77">
              <w:rPr>
                <w:sz w:val="24"/>
                <w:szCs w:val="24"/>
              </w:rPr>
              <w:t>n</w:t>
            </w:r>
            <w:r w:rsidR="00E01070">
              <w:rPr>
                <w:sz w:val="24"/>
                <w:szCs w:val="24"/>
              </w:rPr>
              <w:t>, and</w:t>
            </w:r>
            <w:proofErr w:type="gramEnd"/>
            <w:r w:rsidR="00E01070">
              <w:rPr>
                <w:sz w:val="24"/>
                <w:szCs w:val="24"/>
              </w:rPr>
              <w:t xml:space="preserve"> follows</w:t>
            </w:r>
            <w:r w:rsidR="00502C77">
              <w:rPr>
                <w:sz w:val="24"/>
                <w:szCs w:val="24"/>
              </w:rPr>
              <w:t xml:space="preserve"> set procedures</w:t>
            </w:r>
            <w:r w:rsidR="0034334B">
              <w:rPr>
                <w:sz w:val="24"/>
                <w:szCs w:val="24"/>
              </w:rPr>
              <w:t xml:space="preserve">.  </w:t>
            </w:r>
            <w:r w:rsidR="00A42132">
              <w:rPr>
                <w:sz w:val="24"/>
                <w:szCs w:val="24"/>
              </w:rPr>
              <w:t>T</w:t>
            </w:r>
            <w:r w:rsidR="002B1156" w:rsidRPr="00D35338">
              <w:rPr>
                <w:sz w:val="24"/>
                <w:szCs w:val="24"/>
              </w:rPr>
              <w:t>here is a duty to engage the child and family in decision making but where those decisions are not in the best interest of the child, the</w:t>
            </w:r>
            <w:r w:rsidR="00A42132">
              <w:rPr>
                <w:sz w:val="24"/>
                <w:szCs w:val="24"/>
              </w:rPr>
              <w:t xml:space="preserve">ir </w:t>
            </w:r>
            <w:r w:rsidR="002B1156" w:rsidRPr="00D35338">
              <w:rPr>
                <w:sz w:val="24"/>
                <w:szCs w:val="24"/>
              </w:rPr>
              <w:t>wellbeing takes precedence.</w:t>
            </w:r>
            <w:r w:rsidR="002D577D">
              <w:rPr>
                <w:sz w:val="24"/>
                <w:szCs w:val="24"/>
              </w:rPr>
              <w:t xml:space="preserve">  </w:t>
            </w:r>
          </w:p>
          <w:p w14:paraId="2288883D" w14:textId="77777777" w:rsidR="009A72F6" w:rsidRPr="00D35338" w:rsidRDefault="009A72F6" w:rsidP="00CA0364">
            <w:pPr>
              <w:spacing w:line="360" w:lineRule="auto"/>
              <w:jc w:val="both"/>
              <w:rPr>
                <w:sz w:val="24"/>
                <w:szCs w:val="24"/>
              </w:rPr>
            </w:pPr>
          </w:p>
          <w:p w14:paraId="2619B0CF" w14:textId="6B708BB6" w:rsidR="00D35338" w:rsidRPr="00D35338" w:rsidRDefault="003D293E" w:rsidP="00CA0364">
            <w:pPr>
              <w:spacing w:line="360" w:lineRule="auto"/>
              <w:jc w:val="both"/>
              <w:rPr>
                <w:sz w:val="24"/>
                <w:szCs w:val="24"/>
              </w:rPr>
            </w:pPr>
            <w:r>
              <w:rPr>
                <w:sz w:val="24"/>
                <w:szCs w:val="24"/>
              </w:rPr>
              <w:t xml:space="preserve">Adult </w:t>
            </w:r>
            <w:r w:rsidR="00D35338" w:rsidRPr="00D35338">
              <w:rPr>
                <w:sz w:val="24"/>
                <w:szCs w:val="24"/>
              </w:rPr>
              <w:t>safeguarding relies heavily on relationship-building and consent</w:t>
            </w:r>
            <w:r w:rsidR="002B68F8">
              <w:rPr>
                <w:sz w:val="24"/>
                <w:szCs w:val="24"/>
              </w:rPr>
              <w:t xml:space="preserve"> </w:t>
            </w:r>
            <w:r w:rsidR="009A72F6">
              <w:rPr>
                <w:sz w:val="24"/>
                <w:szCs w:val="24"/>
              </w:rPr>
              <w:t>so</w:t>
            </w:r>
            <w:r w:rsidR="002B68F8">
              <w:rPr>
                <w:sz w:val="24"/>
                <w:szCs w:val="24"/>
              </w:rPr>
              <w:t xml:space="preserve"> </w:t>
            </w:r>
            <w:r w:rsidR="00D35338" w:rsidRPr="00D35338">
              <w:rPr>
                <w:sz w:val="24"/>
                <w:szCs w:val="24"/>
              </w:rPr>
              <w:t>safeguarding must ensure interventions are the least restrictive and aligned with the adult’s own definition of wellbeing (NSPCC, 2019)</w:t>
            </w:r>
            <w:r w:rsidR="008F01C5">
              <w:rPr>
                <w:sz w:val="24"/>
                <w:szCs w:val="24"/>
              </w:rPr>
              <w:t>.</w:t>
            </w: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5C965812" w:rsidR="00FC0334" w:rsidRDefault="00D35338" w:rsidP="00FC0334">
            <w:pPr>
              <w:jc w:val="both"/>
              <w:rPr>
                <w:sz w:val="24"/>
                <w:szCs w:val="24"/>
              </w:rPr>
            </w:pPr>
            <w:r>
              <w:rPr>
                <w:sz w:val="24"/>
                <w:szCs w:val="24"/>
              </w:rPr>
              <w:t>4</w:t>
            </w:r>
            <w:r w:rsidR="00CA0364">
              <w:rPr>
                <w:sz w:val="24"/>
                <w:szCs w:val="24"/>
              </w:rPr>
              <w:t>39</w:t>
            </w:r>
            <w:r>
              <w:rPr>
                <w:sz w:val="24"/>
                <w:szCs w:val="24"/>
              </w:rPr>
              <w:t xml:space="preserve"> words</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1E1D"/>
    <w:rsid w:val="0002440E"/>
    <w:rsid w:val="0002759A"/>
    <w:rsid w:val="00027B1F"/>
    <w:rsid w:val="0003088B"/>
    <w:rsid w:val="000325D9"/>
    <w:rsid w:val="000372B2"/>
    <w:rsid w:val="0004079F"/>
    <w:rsid w:val="00043543"/>
    <w:rsid w:val="00045B87"/>
    <w:rsid w:val="00045C07"/>
    <w:rsid w:val="00045C40"/>
    <w:rsid w:val="0004660E"/>
    <w:rsid w:val="00046861"/>
    <w:rsid w:val="00054A07"/>
    <w:rsid w:val="00055D43"/>
    <w:rsid w:val="00056FAC"/>
    <w:rsid w:val="00057751"/>
    <w:rsid w:val="00062E39"/>
    <w:rsid w:val="00064063"/>
    <w:rsid w:val="0006581A"/>
    <w:rsid w:val="00067252"/>
    <w:rsid w:val="00074461"/>
    <w:rsid w:val="000766EC"/>
    <w:rsid w:val="00080E58"/>
    <w:rsid w:val="00083D99"/>
    <w:rsid w:val="00084888"/>
    <w:rsid w:val="00084DA6"/>
    <w:rsid w:val="00085699"/>
    <w:rsid w:val="00090160"/>
    <w:rsid w:val="00091F52"/>
    <w:rsid w:val="00092970"/>
    <w:rsid w:val="00093720"/>
    <w:rsid w:val="000938E6"/>
    <w:rsid w:val="00093B3C"/>
    <w:rsid w:val="0009488C"/>
    <w:rsid w:val="000954D2"/>
    <w:rsid w:val="00095C1B"/>
    <w:rsid w:val="00096DEA"/>
    <w:rsid w:val="000A2BCD"/>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06E8E"/>
    <w:rsid w:val="00112391"/>
    <w:rsid w:val="00114F52"/>
    <w:rsid w:val="00130119"/>
    <w:rsid w:val="00132812"/>
    <w:rsid w:val="001347F8"/>
    <w:rsid w:val="001359EE"/>
    <w:rsid w:val="00137BB5"/>
    <w:rsid w:val="00137E05"/>
    <w:rsid w:val="001447F6"/>
    <w:rsid w:val="00147DE3"/>
    <w:rsid w:val="00150794"/>
    <w:rsid w:val="00151DA6"/>
    <w:rsid w:val="001532C6"/>
    <w:rsid w:val="001608C4"/>
    <w:rsid w:val="00164832"/>
    <w:rsid w:val="00165F95"/>
    <w:rsid w:val="00171418"/>
    <w:rsid w:val="00173C0E"/>
    <w:rsid w:val="001772BF"/>
    <w:rsid w:val="001772DE"/>
    <w:rsid w:val="0019496C"/>
    <w:rsid w:val="001961CF"/>
    <w:rsid w:val="001963F4"/>
    <w:rsid w:val="001A59BB"/>
    <w:rsid w:val="001A607E"/>
    <w:rsid w:val="001A6A51"/>
    <w:rsid w:val="001A79C4"/>
    <w:rsid w:val="001B331A"/>
    <w:rsid w:val="001C0237"/>
    <w:rsid w:val="001C0E74"/>
    <w:rsid w:val="001C1C69"/>
    <w:rsid w:val="001C4DB8"/>
    <w:rsid w:val="001C50B8"/>
    <w:rsid w:val="001D229F"/>
    <w:rsid w:val="001D3DED"/>
    <w:rsid w:val="001D575A"/>
    <w:rsid w:val="001E2AB9"/>
    <w:rsid w:val="001E2EB6"/>
    <w:rsid w:val="001F4552"/>
    <w:rsid w:val="002019EB"/>
    <w:rsid w:val="00204B58"/>
    <w:rsid w:val="00205051"/>
    <w:rsid w:val="00211F65"/>
    <w:rsid w:val="00214047"/>
    <w:rsid w:val="00216563"/>
    <w:rsid w:val="0021792F"/>
    <w:rsid w:val="00220D06"/>
    <w:rsid w:val="00221371"/>
    <w:rsid w:val="002246A0"/>
    <w:rsid w:val="00230439"/>
    <w:rsid w:val="00231700"/>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156"/>
    <w:rsid w:val="002B1701"/>
    <w:rsid w:val="002B23C3"/>
    <w:rsid w:val="002B443A"/>
    <w:rsid w:val="002B5B35"/>
    <w:rsid w:val="002B68F8"/>
    <w:rsid w:val="002B7AEE"/>
    <w:rsid w:val="002C2536"/>
    <w:rsid w:val="002C256A"/>
    <w:rsid w:val="002C3031"/>
    <w:rsid w:val="002C4233"/>
    <w:rsid w:val="002C496D"/>
    <w:rsid w:val="002D05EB"/>
    <w:rsid w:val="002D11A8"/>
    <w:rsid w:val="002D2F29"/>
    <w:rsid w:val="002D46C0"/>
    <w:rsid w:val="002D577D"/>
    <w:rsid w:val="002D5A92"/>
    <w:rsid w:val="002D648D"/>
    <w:rsid w:val="002D65D2"/>
    <w:rsid w:val="002D6B31"/>
    <w:rsid w:val="002E6D17"/>
    <w:rsid w:val="002E7017"/>
    <w:rsid w:val="002E7F2C"/>
    <w:rsid w:val="002F1FC7"/>
    <w:rsid w:val="002F2185"/>
    <w:rsid w:val="002F4F6E"/>
    <w:rsid w:val="003015C3"/>
    <w:rsid w:val="003106DB"/>
    <w:rsid w:val="00310CCA"/>
    <w:rsid w:val="0031350A"/>
    <w:rsid w:val="00316815"/>
    <w:rsid w:val="003168CA"/>
    <w:rsid w:val="00321255"/>
    <w:rsid w:val="0032230D"/>
    <w:rsid w:val="00322A0B"/>
    <w:rsid w:val="00330881"/>
    <w:rsid w:val="00331CD2"/>
    <w:rsid w:val="00332426"/>
    <w:rsid w:val="00335C41"/>
    <w:rsid w:val="00335FC5"/>
    <w:rsid w:val="0033771E"/>
    <w:rsid w:val="00337FEF"/>
    <w:rsid w:val="0034334B"/>
    <w:rsid w:val="00354B6D"/>
    <w:rsid w:val="00355210"/>
    <w:rsid w:val="00355CFD"/>
    <w:rsid w:val="00365DF9"/>
    <w:rsid w:val="0037066E"/>
    <w:rsid w:val="0037172A"/>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293E"/>
    <w:rsid w:val="003D2D11"/>
    <w:rsid w:val="003D37EE"/>
    <w:rsid w:val="003D4710"/>
    <w:rsid w:val="003E16D7"/>
    <w:rsid w:val="003E197E"/>
    <w:rsid w:val="003E3BE2"/>
    <w:rsid w:val="003E4B70"/>
    <w:rsid w:val="003E54CF"/>
    <w:rsid w:val="003E5FBA"/>
    <w:rsid w:val="003F1233"/>
    <w:rsid w:val="003F44E5"/>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5829"/>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741"/>
    <w:rsid w:val="004E087B"/>
    <w:rsid w:val="004E44A4"/>
    <w:rsid w:val="004E7B8B"/>
    <w:rsid w:val="004E7BDD"/>
    <w:rsid w:val="004F1966"/>
    <w:rsid w:val="004F1E21"/>
    <w:rsid w:val="004F2542"/>
    <w:rsid w:val="004F4E33"/>
    <w:rsid w:val="004F740D"/>
    <w:rsid w:val="004F7B8F"/>
    <w:rsid w:val="00500748"/>
    <w:rsid w:val="005011D6"/>
    <w:rsid w:val="00502A14"/>
    <w:rsid w:val="00502C77"/>
    <w:rsid w:val="005042F1"/>
    <w:rsid w:val="0050481B"/>
    <w:rsid w:val="005113D4"/>
    <w:rsid w:val="0051287D"/>
    <w:rsid w:val="00513C7D"/>
    <w:rsid w:val="00521123"/>
    <w:rsid w:val="00521221"/>
    <w:rsid w:val="0052250B"/>
    <w:rsid w:val="005305C6"/>
    <w:rsid w:val="00531CC5"/>
    <w:rsid w:val="00540EEC"/>
    <w:rsid w:val="005414F4"/>
    <w:rsid w:val="00546187"/>
    <w:rsid w:val="00547B11"/>
    <w:rsid w:val="00557D77"/>
    <w:rsid w:val="00562EAA"/>
    <w:rsid w:val="00563B58"/>
    <w:rsid w:val="00563B7F"/>
    <w:rsid w:val="005640C4"/>
    <w:rsid w:val="0056684C"/>
    <w:rsid w:val="005716DA"/>
    <w:rsid w:val="005742DE"/>
    <w:rsid w:val="00574A0C"/>
    <w:rsid w:val="0057780F"/>
    <w:rsid w:val="00581E0A"/>
    <w:rsid w:val="0058655B"/>
    <w:rsid w:val="00586D89"/>
    <w:rsid w:val="005877C8"/>
    <w:rsid w:val="00587923"/>
    <w:rsid w:val="00594F9F"/>
    <w:rsid w:val="005A1B4C"/>
    <w:rsid w:val="005A545C"/>
    <w:rsid w:val="005B271A"/>
    <w:rsid w:val="005B3A2D"/>
    <w:rsid w:val="005B62F8"/>
    <w:rsid w:val="005C1567"/>
    <w:rsid w:val="005C28D3"/>
    <w:rsid w:val="005C6CE5"/>
    <w:rsid w:val="005D3F07"/>
    <w:rsid w:val="005D4A1E"/>
    <w:rsid w:val="005D4F72"/>
    <w:rsid w:val="005E13EA"/>
    <w:rsid w:val="005E17F1"/>
    <w:rsid w:val="005F64AA"/>
    <w:rsid w:val="005F7428"/>
    <w:rsid w:val="005F7851"/>
    <w:rsid w:val="00606E27"/>
    <w:rsid w:val="006108C9"/>
    <w:rsid w:val="00614DF7"/>
    <w:rsid w:val="006179BB"/>
    <w:rsid w:val="0062158D"/>
    <w:rsid w:val="006223FD"/>
    <w:rsid w:val="006326D1"/>
    <w:rsid w:val="00632E0A"/>
    <w:rsid w:val="00633165"/>
    <w:rsid w:val="0063603D"/>
    <w:rsid w:val="00643058"/>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7E4A"/>
    <w:rsid w:val="006B4496"/>
    <w:rsid w:val="006B5E67"/>
    <w:rsid w:val="006B6612"/>
    <w:rsid w:val="006C2EB5"/>
    <w:rsid w:val="006D18A3"/>
    <w:rsid w:val="006D3573"/>
    <w:rsid w:val="006D5970"/>
    <w:rsid w:val="006E481E"/>
    <w:rsid w:val="006E563E"/>
    <w:rsid w:val="006E795F"/>
    <w:rsid w:val="006F0862"/>
    <w:rsid w:val="006F1438"/>
    <w:rsid w:val="006F2A9E"/>
    <w:rsid w:val="006F5ED3"/>
    <w:rsid w:val="00700249"/>
    <w:rsid w:val="007069CD"/>
    <w:rsid w:val="00706BB5"/>
    <w:rsid w:val="0071231A"/>
    <w:rsid w:val="00712801"/>
    <w:rsid w:val="00712E90"/>
    <w:rsid w:val="00713B7E"/>
    <w:rsid w:val="0072678F"/>
    <w:rsid w:val="007276E5"/>
    <w:rsid w:val="00727C4C"/>
    <w:rsid w:val="007340E4"/>
    <w:rsid w:val="00734809"/>
    <w:rsid w:val="0073714E"/>
    <w:rsid w:val="007374EF"/>
    <w:rsid w:val="007406E1"/>
    <w:rsid w:val="00743E40"/>
    <w:rsid w:val="00745016"/>
    <w:rsid w:val="0074660F"/>
    <w:rsid w:val="0075031F"/>
    <w:rsid w:val="00751263"/>
    <w:rsid w:val="007544FC"/>
    <w:rsid w:val="00755427"/>
    <w:rsid w:val="00756548"/>
    <w:rsid w:val="0075673A"/>
    <w:rsid w:val="0075704F"/>
    <w:rsid w:val="007574BE"/>
    <w:rsid w:val="00763B2D"/>
    <w:rsid w:val="00764C84"/>
    <w:rsid w:val="007710AD"/>
    <w:rsid w:val="00772924"/>
    <w:rsid w:val="0078112D"/>
    <w:rsid w:val="007872F2"/>
    <w:rsid w:val="007873F9"/>
    <w:rsid w:val="007908E0"/>
    <w:rsid w:val="00793EB3"/>
    <w:rsid w:val="00794205"/>
    <w:rsid w:val="0079422A"/>
    <w:rsid w:val="007A1F6A"/>
    <w:rsid w:val="007A628F"/>
    <w:rsid w:val="007A75F2"/>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4CF"/>
    <w:rsid w:val="00824E67"/>
    <w:rsid w:val="00825A64"/>
    <w:rsid w:val="00825CAB"/>
    <w:rsid w:val="00826F48"/>
    <w:rsid w:val="008308AE"/>
    <w:rsid w:val="00830DD1"/>
    <w:rsid w:val="0083166E"/>
    <w:rsid w:val="00831DC3"/>
    <w:rsid w:val="008322C7"/>
    <w:rsid w:val="008340BA"/>
    <w:rsid w:val="00834F1D"/>
    <w:rsid w:val="00836FEC"/>
    <w:rsid w:val="0084028F"/>
    <w:rsid w:val="00841F9D"/>
    <w:rsid w:val="008420E1"/>
    <w:rsid w:val="00844D98"/>
    <w:rsid w:val="00846D84"/>
    <w:rsid w:val="00847335"/>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1C07"/>
    <w:rsid w:val="008E3195"/>
    <w:rsid w:val="008E5A35"/>
    <w:rsid w:val="008F01C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2A29"/>
    <w:rsid w:val="00964CC6"/>
    <w:rsid w:val="00967BFA"/>
    <w:rsid w:val="0098262C"/>
    <w:rsid w:val="0098427C"/>
    <w:rsid w:val="00986B43"/>
    <w:rsid w:val="00986C0B"/>
    <w:rsid w:val="00986D46"/>
    <w:rsid w:val="00991FDA"/>
    <w:rsid w:val="00992ACA"/>
    <w:rsid w:val="009A5F3B"/>
    <w:rsid w:val="009A5F79"/>
    <w:rsid w:val="009A6F87"/>
    <w:rsid w:val="009A72F6"/>
    <w:rsid w:val="009B0B61"/>
    <w:rsid w:val="009B28C0"/>
    <w:rsid w:val="009B3178"/>
    <w:rsid w:val="009B3E46"/>
    <w:rsid w:val="009B7136"/>
    <w:rsid w:val="009C0594"/>
    <w:rsid w:val="009C337F"/>
    <w:rsid w:val="009C53E7"/>
    <w:rsid w:val="009C6092"/>
    <w:rsid w:val="009C7342"/>
    <w:rsid w:val="009D4365"/>
    <w:rsid w:val="009D477B"/>
    <w:rsid w:val="009D4E3B"/>
    <w:rsid w:val="009D59C2"/>
    <w:rsid w:val="009D7BC9"/>
    <w:rsid w:val="009E122F"/>
    <w:rsid w:val="009E1982"/>
    <w:rsid w:val="009E4D2C"/>
    <w:rsid w:val="009E6747"/>
    <w:rsid w:val="009F0978"/>
    <w:rsid w:val="009F3AEC"/>
    <w:rsid w:val="009F6801"/>
    <w:rsid w:val="00A00081"/>
    <w:rsid w:val="00A06422"/>
    <w:rsid w:val="00A10D56"/>
    <w:rsid w:val="00A12AAE"/>
    <w:rsid w:val="00A12F22"/>
    <w:rsid w:val="00A16DD1"/>
    <w:rsid w:val="00A20658"/>
    <w:rsid w:val="00A22441"/>
    <w:rsid w:val="00A23F3B"/>
    <w:rsid w:val="00A24406"/>
    <w:rsid w:val="00A25F64"/>
    <w:rsid w:val="00A275F6"/>
    <w:rsid w:val="00A303B9"/>
    <w:rsid w:val="00A370A5"/>
    <w:rsid w:val="00A37416"/>
    <w:rsid w:val="00A40ED6"/>
    <w:rsid w:val="00A42132"/>
    <w:rsid w:val="00A471AE"/>
    <w:rsid w:val="00A47621"/>
    <w:rsid w:val="00A479CD"/>
    <w:rsid w:val="00A50CFC"/>
    <w:rsid w:val="00A54D67"/>
    <w:rsid w:val="00A55A3F"/>
    <w:rsid w:val="00A5656A"/>
    <w:rsid w:val="00A60103"/>
    <w:rsid w:val="00A652F6"/>
    <w:rsid w:val="00A65861"/>
    <w:rsid w:val="00A732EA"/>
    <w:rsid w:val="00A7489E"/>
    <w:rsid w:val="00A8015F"/>
    <w:rsid w:val="00A81DF0"/>
    <w:rsid w:val="00A85039"/>
    <w:rsid w:val="00A906AA"/>
    <w:rsid w:val="00A94C5E"/>
    <w:rsid w:val="00AA252C"/>
    <w:rsid w:val="00AA666E"/>
    <w:rsid w:val="00AA7960"/>
    <w:rsid w:val="00AB5518"/>
    <w:rsid w:val="00AC3A0E"/>
    <w:rsid w:val="00AC4A04"/>
    <w:rsid w:val="00AC5679"/>
    <w:rsid w:val="00AD336F"/>
    <w:rsid w:val="00AD4F1D"/>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35EF"/>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77F2"/>
    <w:rsid w:val="00B9256C"/>
    <w:rsid w:val="00B92BEF"/>
    <w:rsid w:val="00B94443"/>
    <w:rsid w:val="00B9689A"/>
    <w:rsid w:val="00B97056"/>
    <w:rsid w:val="00BA531E"/>
    <w:rsid w:val="00BA6F49"/>
    <w:rsid w:val="00BA728B"/>
    <w:rsid w:val="00BB06CB"/>
    <w:rsid w:val="00BB261F"/>
    <w:rsid w:val="00BB2887"/>
    <w:rsid w:val="00BB3B56"/>
    <w:rsid w:val="00BB5EAA"/>
    <w:rsid w:val="00BB5F11"/>
    <w:rsid w:val="00BB6638"/>
    <w:rsid w:val="00BB7FD2"/>
    <w:rsid w:val="00BC04FA"/>
    <w:rsid w:val="00BC0697"/>
    <w:rsid w:val="00BC1C22"/>
    <w:rsid w:val="00BC460B"/>
    <w:rsid w:val="00BC4ED3"/>
    <w:rsid w:val="00BC5725"/>
    <w:rsid w:val="00BD04E0"/>
    <w:rsid w:val="00BD30B1"/>
    <w:rsid w:val="00BE0F7B"/>
    <w:rsid w:val="00BE10C2"/>
    <w:rsid w:val="00BF0D6C"/>
    <w:rsid w:val="00C01D14"/>
    <w:rsid w:val="00C01D97"/>
    <w:rsid w:val="00C025B4"/>
    <w:rsid w:val="00C029EC"/>
    <w:rsid w:val="00C146C0"/>
    <w:rsid w:val="00C161FD"/>
    <w:rsid w:val="00C17C9F"/>
    <w:rsid w:val="00C23F17"/>
    <w:rsid w:val="00C246F2"/>
    <w:rsid w:val="00C26D0D"/>
    <w:rsid w:val="00C27C95"/>
    <w:rsid w:val="00C300D2"/>
    <w:rsid w:val="00C3270F"/>
    <w:rsid w:val="00C3278B"/>
    <w:rsid w:val="00C33375"/>
    <w:rsid w:val="00C34C23"/>
    <w:rsid w:val="00C368FA"/>
    <w:rsid w:val="00C42005"/>
    <w:rsid w:val="00C430CF"/>
    <w:rsid w:val="00C4664D"/>
    <w:rsid w:val="00C472AA"/>
    <w:rsid w:val="00C50A05"/>
    <w:rsid w:val="00C54AED"/>
    <w:rsid w:val="00C555FC"/>
    <w:rsid w:val="00C55E9B"/>
    <w:rsid w:val="00C56D09"/>
    <w:rsid w:val="00C57D24"/>
    <w:rsid w:val="00C602EA"/>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364"/>
    <w:rsid w:val="00CA0894"/>
    <w:rsid w:val="00CA3593"/>
    <w:rsid w:val="00CA5726"/>
    <w:rsid w:val="00CA7E6A"/>
    <w:rsid w:val="00CB258E"/>
    <w:rsid w:val="00CB3C8F"/>
    <w:rsid w:val="00CC02F1"/>
    <w:rsid w:val="00CC1122"/>
    <w:rsid w:val="00CC11A6"/>
    <w:rsid w:val="00CC12BC"/>
    <w:rsid w:val="00CC135E"/>
    <w:rsid w:val="00CC7226"/>
    <w:rsid w:val="00CD0735"/>
    <w:rsid w:val="00CD45E3"/>
    <w:rsid w:val="00CD4771"/>
    <w:rsid w:val="00CD5089"/>
    <w:rsid w:val="00CD5D3F"/>
    <w:rsid w:val="00CD6CF5"/>
    <w:rsid w:val="00CD7E1F"/>
    <w:rsid w:val="00CE4BC4"/>
    <w:rsid w:val="00CE7DA2"/>
    <w:rsid w:val="00CF2F8A"/>
    <w:rsid w:val="00CF3DB3"/>
    <w:rsid w:val="00CF7B43"/>
    <w:rsid w:val="00D0274B"/>
    <w:rsid w:val="00D0503D"/>
    <w:rsid w:val="00D052BC"/>
    <w:rsid w:val="00D07026"/>
    <w:rsid w:val="00D146AE"/>
    <w:rsid w:val="00D22C8F"/>
    <w:rsid w:val="00D3203C"/>
    <w:rsid w:val="00D33491"/>
    <w:rsid w:val="00D3442D"/>
    <w:rsid w:val="00D35338"/>
    <w:rsid w:val="00D36F00"/>
    <w:rsid w:val="00D44B67"/>
    <w:rsid w:val="00D44F8E"/>
    <w:rsid w:val="00D50ABC"/>
    <w:rsid w:val="00D51FD5"/>
    <w:rsid w:val="00D55DE0"/>
    <w:rsid w:val="00D56ACF"/>
    <w:rsid w:val="00D607EF"/>
    <w:rsid w:val="00D60F88"/>
    <w:rsid w:val="00D61003"/>
    <w:rsid w:val="00D63FD4"/>
    <w:rsid w:val="00D646BD"/>
    <w:rsid w:val="00D65558"/>
    <w:rsid w:val="00D71201"/>
    <w:rsid w:val="00D720C7"/>
    <w:rsid w:val="00D84841"/>
    <w:rsid w:val="00D876E6"/>
    <w:rsid w:val="00D90958"/>
    <w:rsid w:val="00D928BD"/>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1070"/>
    <w:rsid w:val="00E0524C"/>
    <w:rsid w:val="00E15751"/>
    <w:rsid w:val="00E17160"/>
    <w:rsid w:val="00E17D41"/>
    <w:rsid w:val="00E231D1"/>
    <w:rsid w:val="00E3288D"/>
    <w:rsid w:val="00E35112"/>
    <w:rsid w:val="00E35BEC"/>
    <w:rsid w:val="00E41A6A"/>
    <w:rsid w:val="00E447AD"/>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472C"/>
    <w:rsid w:val="00E84F9C"/>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427"/>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3AD4"/>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5A6"/>
    <w:rsid w:val="00FA56ED"/>
    <w:rsid w:val="00FB05DD"/>
    <w:rsid w:val="00FB0F7C"/>
    <w:rsid w:val="00FB24EA"/>
    <w:rsid w:val="00FB5FA6"/>
    <w:rsid w:val="00FB72D9"/>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09BA"/>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5</Pages>
  <Words>1192</Words>
  <Characters>6619</Characters>
  <Application>Microsoft Office Word</Application>
  <DocSecurity>0</DocSecurity>
  <Lines>153</Lines>
  <Paragraphs>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Karen Ward</cp:lastModifiedBy>
  <cp:revision>92</cp:revision>
  <cp:lastPrinted>2020-02-11T19:20:00Z</cp:lastPrinted>
  <dcterms:created xsi:type="dcterms:W3CDTF">2025-10-11T09:37:00Z</dcterms:created>
  <dcterms:modified xsi:type="dcterms:W3CDTF">2025-10-14T20:06:00Z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