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A8933D" w14:textId="77777777" w:rsidR="00BF4A53" w:rsidRPr="00667B31" w:rsidRDefault="00BF4A53" w:rsidP="00BF4A53">
      <w:pPr>
        <w:pStyle w:val="Heading1"/>
        <w:spacing w:line="360" w:lineRule="auto"/>
        <w:ind w:left="0"/>
        <w:jc w:val="both"/>
        <w:rPr>
          <w:rFonts w:eastAsia="Times New Roman" w:cs="Arial"/>
          <w:color w:val="000000" w:themeColor="text1"/>
          <w:sz w:val="22"/>
          <w:szCs w:val="22"/>
        </w:rPr>
      </w:pPr>
      <w:r w:rsidRPr="00667B31">
        <w:rPr>
          <w:rFonts w:eastAsia="Times New Roman" w:cs="Arial"/>
          <w:color w:val="000000" w:themeColor="text1"/>
          <w:sz w:val="22"/>
          <w:szCs w:val="22"/>
        </w:rPr>
        <w:t>Chapter 4</w:t>
      </w:r>
    </w:p>
    <w:p w14:paraId="17254D1A" w14:textId="77777777" w:rsidR="00BF4A53" w:rsidRPr="00667B31" w:rsidRDefault="00BF4A53" w:rsidP="00BF4A53">
      <w:pPr>
        <w:pStyle w:val="Heading1"/>
        <w:spacing w:line="360" w:lineRule="auto"/>
        <w:jc w:val="both"/>
        <w:rPr>
          <w:rFonts w:eastAsia="Times New Roman" w:cs="Arial"/>
          <w:color w:val="000000" w:themeColor="text1"/>
          <w:sz w:val="22"/>
          <w:szCs w:val="22"/>
        </w:rPr>
      </w:pPr>
    </w:p>
    <w:p w14:paraId="0D0B8BEE" w14:textId="77777777" w:rsidR="00BF4A53" w:rsidRPr="00667B31" w:rsidRDefault="00BF4A53" w:rsidP="00BF4A53">
      <w:pPr>
        <w:pStyle w:val="Heading3"/>
        <w:spacing w:line="360" w:lineRule="auto"/>
        <w:jc w:val="both"/>
        <w:rPr>
          <w:rStyle w:val="Strong"/>
          <w:rFonts w:ascii="Arial" w:eastAsia="Times New Roman" w:hAnsi="Arial" w:cs="Arial"/>
          <w:bCs w:val="0"/>
          <w:color w:val="000000" w:themeColor="text1"/>
          <w:sz w:val="22"/>
          <w:szCs w:val="22"/>
        </w:rPr>
      </w:pPr>
      <w:r w:rsidRPr="00667B31">
        <w:rPr>
          <w:rStyle w:val="Strong"/>
          <w:rFonts w:ascii="Arial" w:eastAsia="Times New Roman" w:hAnsi="Arial" w:cs="Arial"/>
          <w:color w:val="000000" w:themeColor="text1"/>
          <w:sz w:val="22"/>
          <w:szCs w:val="22"/>
        </w:rPr>
        <w:t xml:space="preserve">4.1 Introduction </w:t>
      </w:r>
    </w:p>
    <w:p w14:paraId="0F03E6C1" w14:textId="77777777" w:rsidR="00BF4A53" w:rsidRPr="00667B31" w:rsidRDefault="00BF4A53" w:rsidP="00BF4A53">
      <w:pPr>
        <w:spacing w:line="360" w:lineRule="auto"/>
        <w:jc w:val="both"/>
        <w:rPr>
          <w:rFonts w:ascii="Arial" w:hAnsi="Arial" w:cs="Arial"/>
          <w:color w:val="000000" w:themeColor="text1"/>
          <w:sz w:val="22"/>
          <w:szCs w:val="22"/>
        </w:rPr>
      </w:pPr>
    </w:p>
    <w:p w14:paraId="23B843EB" w14:textId="77777777" w:rsidR="00BF4A53" w:rsidRPr="00667B31" w:rsidRDefault="00BF4A53" w:rsidP="00BF4A53">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In this chapter, the results of the second literature search are described, followed by the themes that were organised using the thematic analysis method described by Braun and Clarke (2006; 2021). The literature was critically analysed and common themes were identified and classified into themes that directly addressed the objectives and purpose of the study. The thematic analysis helped to bring together the findings from the reviewed journal articles and policy documents to give a full picture of the issues experienced by unpaid carers supporting people living in caring for a person with Alzheimer's in the UK.</w:t>
      </w:r>
    </w:p>
    <w:p w14:paraId="6F1264FC" w14:textId="77777777" w:rsidR="00BF4A53" w:rsidRPr="00667B31" w:rsidRDefault="00BF4A53" w:rsidP="00BF4A53">
      <w:pPr>
        <w:spacing w:line="360" w:lineRule="auto"/>
        <w:jc w:val="both"/>
        <w:rPr>
          <w:rFonts w:ascii="Arial" w:hAnsi="Arial" w:cs="Arial"/>
          <w:color w:val="000000" w:themeColor="text1"/>
          <w:sz w:val="22"/>
          <w:szCs w:val="22"/>
        </w:rPr>
      </w:pPr>
    </w:p>
    <w:p w14:paraId="2FB916DA" w14:textId="77777777" w:rsidR="00BF4A53" w:rsidRPr="00667B31" w:rsidRDefault="00BF4A53" w:rsidP="00BF4A53">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Three main themes emerged from the research. The first focuses on the psychological and emotional burden faced by carers – stress, anxiety, despair and emotional exhaustion. The second focuses on financial and physical challenges associated with providing long-term care services, such as tiredness, physical health problems, employment problems, financial difficulties. The final topic evaluates how effective and available carer support services are including health and social care policy, NHS services, voluntary services and respite care. The evidence presented in this chapter is used to answer the study objectives and is compared and analysed, highlighting areas of agreement, contradiction and gaps in the literature (Braun and Clarke, 2006; 2021)</w:t>
      </w:r>
    </w:p>
    <w:p w14:paraId="6AAE740C" w14:textId="77777777" w:rsidR="00BF4A53" w:rsidRPr="00667B31" w:rsidRDefault="00BF4A53" w:rsidP="00BF4A53">
      <w:pPr>
        <w:spacing w:line="360" w:lineRule="auto"/>
        <w:jc w:val="both"/>
        <w:rPr>
          <w:rFonts w:ascii="Arial" w:hAnsi="Arial" w:cs="Arial"/>
          <w:color w:val="000000" w:themeColor="text1"/>
          <w:sz w:val="22"/>
          <w:szCs w:val="22"/>
        </w:rPr>
      </w:pPr>
    </w:p>
    <w:p w14:paraId="41A6DBCF" w14:textId="77777777" w:rsidR="00BF4A53" w:rsidRPr="00667B31" w:rsidRDefault="00BF4A53" w:rsidP="00BF4A53">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4.2 Thematic Analysis </w:t>
      </w:r>
    </w:p>
    <w:p w14:paraId="394B59CF" w14:textId="77777777" w:rsidR="00BF4A53" w:rsidRPr="00667B31" w:rsidRDefault="00BF4A53" w:rsidP="00BF4A53">
      <w:pPr>
        <w:spacing w:line="360" w:lineRule="auto"/>
        <w:jc w:val="both"/>
        <w:rPr>
          <w:rFonts w:ascii="Arial" w:hAnsi="Arial" w:cs="Arial"/>
          <w:color w:val="000000" w:themeColor="text1"/>
          <w:sz w:val="22"/>
          <w:szCs w:val="22"/>
        </w:rPr>
      </w:pPr>
    </w:p>
    <w:p w14:paraId="1AC12A3A" w14:textId="77777777" w:rsidR="00BF4A53" w:rsidRPr="00667B31" w:rsidRDefault="00BF4A53" w:rsidP="00BF4A53">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Thematic analysis is a qualitative research method used to identify, analysed and interpret patterns or themes in data. Secondary research enables a researcher to combine the findings of multiple studies and to find themes that are important for the research question (Aveyard, 2019; Snyder, 2019). This was a flexible and systematic approach which allowed for a critical analysis of the literature, and identification of the concerns that recurred among the informal carers of people living with Alzheimer's disease. (Braun and Clarke, 2006; 2021).</w:t>
      </w:r>
      <w:r>
        <w:rPr>
          <w:rFonts w:ascii="Arial" w:hAnsi="Arial" w:cs="Arial"/>
          <w:color w:val="000000" w:themeColor="text1"/>
          <w:sz w:val="22"/>
          <w:szCs w:val="22"/>
        </w:rPr>
        <w:t xml:space="preserve"> </w:t>
      </w:r>
      <w:r w:rsidRPr="00667B31">
        <w:rPr>
          <w:rFonts w:ascii="Arial" w:hAnsi="Arial" w:cs="Arial"/>
          <w:color w:val="000000" w:themeColor="text1"/>
          <w:sz w:val="22"/>
          <w:szCs w:val="22"/>
        </w:rPr>
        <w:t>All selected studies were carefully analysed and the key results were summarised on a results table A coding table was developed, and preliminary codes were identified and documented. (Nowell et al., 2017)</w:t>
      </w:r>
    </w:p>
    <w:p w14:paraId="7F7DA63E" w14:textId="77777777" w:rsidR="00BF4A53" w:rsidRPr="00667B31" w:rsidRDefault="00BF4A53" w:rsidP="00BF4A53">
      <w:pPr>
        <w:spacing w:line="360" w:lineRule="auto"/>
        <w:jc w:val="both"/>
        <w:rPr>
          <w:rFonts w:ascii="Arial" w:hAnsi="Arial" w:cs="Arial"/>
          <w:color w:val="000000" w:themeColor="text1"/>
          <w:sz w:val="22"/>
          <w:szCs w:val="22"/>
        </w:rPr>
      </w:pPr>
    </w:p>
    <w:p w14:paraId="125F9B0D" w14:textId="77777777" w:rsidR="00BF4A53" w:rsidRPr="00667B31" w:rsidRDefault="00BF4A53" w:rsidP="00BF4A53">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The analysis identified in three main themes. The initial examination delves into the emotional and psychological strain endured by carers. The second focuses on the physical and financial-  burden associated with extended care giving. The final theme provides an evaluation of the </w:t>
      </w:r>
      <w:r w:rsidRPr="00667B31">
        <w:rPr>
          <w:rFonts w:ascii="Arial" w:hAnsi="Arial" w:cs="Arial"/>
          <w:color w:val="000000" w:themeColor="text1"/>
          <w:sz w:val="22"/>
          <w:szCs w:val="22"/>
        </w:rPr>
        <w:lastRenderedPageBreak/>
        <w:t>availability and effectiveness of support services for carers within the UK. The themes are from the basis for the findings presented in the following sections.</w:t>
      </w:r>
    </w:p>
    <w:p w14:paraId="78CC0561" w14:textId="77777777" w:rsidR="00BF4A53" w:rsidRPr="00667B31" w:rsidRDefault="00BF4A53" w:rsidP="00BF4A53">
      <w:pPr>
        <w:pStyle w:val="Heading1"/>
        <w:spacing w:line="360" w:lineRule="auto"/>
        <w:ind w:left="0"/>
        <w:jc w:val="both"/>
        <w:rPr>
          <w:rFonts w:eastAsia="Times New Roman" w:cs="Arial"/>
          <w:color w:val="000000" w:themeColor="text1"/>
          <w:sz w:val="22"/>
          <w:szCs w:val="22"/>
        </w:rPr>
      </w:pPr>
    </w:p>
    <w:tbl>
      <w:tblPr>
        <w:tblStyle w:val="GridTable4-Accent1"/>
        <w:tblW w:w="0" w:type="auto"/>
        <w:tblLook w:val="04A0" w:firstRow="1" w:lastRow="0" w:firstColumn="1" w:lastColumn="0" w:noHBand="0" w:noVBand="1"/>
      </w:tblPr>
      <w:tblGrid>
        <w:gridCol w:w="9010"/>
      </w:tblGrid>
      <w:tr w:rsidR="00BF4A53" w:rsidRPr="00667B31" w14:paraId="6D796623" w14:textId="77777777" w:rsidTr="001D42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74"/>
              <w:gridCol w:w="2153"/>
            </w:tblGrid>
            <w:tr w:rsidR="00BF4A53" w:rsidRPr="00667B31" w14:paraId="4F2B4922" w14:textId="77777777" w:rsidTr="001D4247">
              <w:trPr>
                <w:tblHeader/>
                <w:tblCellSpacing w:w="15" w:type="dxa"/>
              </w:trPr>
              <w:tc>
                <w:tcPr>
                  <w:tcW w:w="0" w:type="auto"/>
                  <w:vAlign w:val="center"/>
                  <w:hideMark/>
                </w:tcPr>
                <w:p w14:paraId="45F75B44" w14:textId="77777777" w:rsidR="00BF4A53" w:rsidRPr="00667B31" w:rsidRDefault="00BF4A53" w:rsidP="001D4247">
                  <w:pPr>
                    <w:spacing w:line="360" w:lineRule="auto"/>
                    <w:jc w:val="center"/>
                    <w:rPr>
                      <w:rFonts w:ascii="Arial" w:eastAsia="Times New Roman" w:hAnsi="Arial" w:cs="Arial"/>
                      <w:b/>
                      <w:bCs/>
                      <w:color w:val="000000" w:themeColor="text1"/>
                      <w:sz w:val="22"/>
                      <w:szCs w:val="22"/>
                    </w:rPr>
                  </w:pPr>
                  <w:r w:rsidRPr="00667B31">
                    <w:rPr>
                      <w:rStyle w:val="Strong"/>
                      <w:rFonts w:ascii="Arial" w:eastAsia="Times New Roman" w:hAnsi="Arial" w:cs="Arial"/>
                      <w:color w:val="000000" w:themeColor="text1"/>
                      <w:sz w:val="22"/>
                      <w:szCs w:val="22"/>
                    </w:rPr>
                    <w:t xml:space="preserve">                                            Theme</w:t>
                  </w:r>
                </w:p>
              </w:tc>
              <w:tc>
                <w:tcPr>
                  <w:tcW w:w="0" w:type="auto"/>
                  <w:vAlign w:val="center"/>
                  <w:hideMark/>
                </w:tcPr>
                <w:p w14:paraId="3D751173" w14:textId="77777777" w:rsidR="00BF4A53" w:rsidRPr="00667B31" w:rsidRDefault="00BF4A53" w:rsidP="001D4247">
                  <w:pPr>
                    <w:spacing w:line="360" w:lineRule="auto"/>
                    <w:rPr>
                      <w:rFonts w:ascii="Arial" w:eastAsia="Times New Roman" w:hAnsi="Arial" w:cs="Arial"/>
                      <w:b/>
                      <w:bCs/>
                      <w:color w:val="000000" w:themeColor="text1"/>
                      <w:sz w:val="22"/>
                      <w:szCs w:val="22"/>
                    </w:rPr>
                  </w:pPr>
                  <w:r w:rsidRPr="00667B31">
                    <w:rPr>
                      <w:rStyle w:val="Strong"/>
                      <w:rFonts w:ascii="Arial" w:eastAsia="Times New Roman" w:hAnsi="Arial" w:cs="Arial"/>
                      <w:color w:val="000000" w:themeColor="text1"/>
                      <w:sz w:val="22"/>
                      <w:szCs w:val="22"/>
                    </w:rPr>
                    <w:t>Focus of the Theme</w:t>
                  </w:r>
                </w:p>
              </w:tc>
            </w:tr>
            <w:tr w:rsidR="00BF4A53" w:rsidRPr="00667B31" w14:paraId="1D3A3A54" w14:textId="77777777" w:rsidTr="001D4247">
              <w:trPr>
                <w:tblHeader/>
                <w:tblCellSpacing w:w="15" w:type="dxa"/>
              </w:trPr>
              <w:tc>
                <w:tcPr>
                  <w:tcW w:w="0" w:type="auto"/>
                  <w:vAlign w:val="center"/>
                </w:tcPr>
                <w:p w14:paraId="4AA18DD2" w14:textId="77777777" w:rsidR="00BF4A53" w:rsidRPr="00667B31" w:rsidRDefault="00BF4A53" w:rsidP="001D4247">
                  <w:pPr>
                    <w:spacing w:line="360" w:lineRule="auto"/>
                    <w:jc w:val="center"/>
                    <w:rPr>
                      <w:rStyle w:val="Strong"/>
                      <w:rFonts w:ascii="Arial" w:eastAsia="Times New Roman" w:hAnsi="Arial" w:cs="Arial"/>
                      <w:color w:val="000000" w:themeColor="text1"/>
                      <w:sz w:val="22"/>
                      <w:szCs w:val="22"/>
                    </w:rPr>
                  </w:pPr>
                </w:p>
              </w:tc>
              <w:tc>
                <w:tcPr>
                  <w:tcW w:w="0" w:type="auto"/>
                  <w:vAlign w:val="center"/>
                </w:tcPr>
                <w:p w14:paraId="32CA7D6B" w14:textId="77777777" w:rsidR="00BF4A53" w:rsidRPr="00667B31" w:rsidRDefault="00BF4A53" w:rsidP="001D4247">
                  <w:pPr>
                    <w:spacing w:line="360" w:lineRule="auto"/>
                    <w:jc w:val="center"/>
                    <w:rPr>
                      <w:rStyle w:val="Strong"/>
                      <w:rFonts w:ascii="Arial" w:eastAsia="Times New Roman" w:hAnsi="Arial" w:cs="Arial"/>
                      <w:color w:val="000000" w:themeColor="text1"/>
                      <w:sz w:val="22"/>
                      <w:szCs w:val="22"/>
                    </w:rPr>
                  </w:pPr>
                </w:p>
              </w:tc>
            </w:tr>
          </w:tbl>
          <w:p w14:paraId="5DDC74CB" w14:textId="77777777" w:rsidR="00BF4A53" w:rsidRPr="00667B31" w:rsidRDefault="00BF4A53" w:rsidP="001D4247">
            <w:pPr>
              <w:spacing w:line="360" w:lineRule="auto"/>
              <w:rPr>
                <w:rFonts w:ascii="Arial" w:eastAsia="Times New Roman" w:hAnsi="Arial" w:cs="Arial"/>
                <w:vanish/>
                <w:color w:val="000000" w:themeColor="text1"/>
                <w:sz w:val="22"/>
                <w:szCs w:val="22"/>
              </w:rPr>
            </w:pPr>
          </w:p>
        </w:tc>
      </w:tr>
      <w:tr w:rsidR="00BF4A53" w:rsidRPr="00667B31" w14:paraId="36F17110" w14:textId="77777777" w:rsidTr="001D42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8"/>
              <w:gridCol w:w="4881"/>
            </w:tblGrid>
            <w:tr w:rsidR="00BF4A53" w:rsidRPr="00667B31" w14:paraId="4AF51234" w14:textId="77777777" w:rsidTr="001D4247">
              <w:trPr>
                <w:tblCellSpacing w:w="15" w:type="dxa"/>
              </w:trPr>
              <w:tc>
                <w:tcPr>
                  <w:tcW w:w="0" w:type="auto"/>
                  <w:vAlign w:val="center"/>
                  <w:hideMark/>
                </w:tcPr>
                <w:p w14:paraId="6550371C" w14:textId="77777777" w:rsidR="00BF4A53" w:rsidRPr="00667B31" w:rsidRDefault="00BF4A53" w:rsidP="001D4247">
                  <w:pPr>
                    <w:spacing w:line="360" w:lineRule="auto"/>
                    <w:rPr>
                      <w:rFonts w:ascii="Arial" w:eastAsia="Times New Roman" w:hAnsi="Arial" w:cs="Arial"/>
                      <w:color w:val="000000" w:themeColor="text1"/>
                      <w:sz w:val="22"/>
                      <w:szCs w:val="22"/>
                    </w:rPr>
                  </w:pPr>
                  <w:r w:rsidRPr="00667B31">
                    <w:rPr>
                      <w:rStyle w:val="Strong"/>
                      <w:rFonts w:ascii="Arial" w:eastAsia="Times New Roman" w:hAnsi="Arial" w:cs="Arial"/>
                      <w:color w:val="000000" w:themeColor="text1"/>
                      <w:sz w:val="22"/>
                      <w:szCs w:val="22"/>
                    </w:rPr>
                    <w:t>Theme 1</w:t>
                  </w:r>
                </w:p>
              </w:tc>
              <w:tc>
                <w:tcPr>
                  <w:tcW w:w="0" w:type="auto"/>
                  <w:vAlign w:val="center"/>
                  <w:hideMark/>
                </w:tcPr>
                <w:p w14:paraId="515F2AAD" w14:textId="77777777" w:rsidR="00BF4A53" w:rsidRPr="00667B31" w:rsidRDefault="00BF4A53" w:rsidP="001D4247">
                  <w:pPr>
                    <w:spacing w:line="360" w:lineRule="auto"/>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                    Psychological and Emotional Burden</w:t>
                  </w:r>
                </w:p>
              </w:tc>
            </w:tr>
            <w:tr w:rsidR="00BF4A53" w:rsidRPr="00667B31" w14:paraId="47ABB0CA" w14:textId="77777777" w:rsidTr="001D4247">
              <w:trPr>
                <w:tblCellSpacing w:w="15" w:type="dxa"/>
              </w:trPr>
              <w:tc>
                <w:tcPr>
                  <w:tcW w:w="0" w:type="auto"/>
                  <w:vAlign w:val="center"/>
                </w:tcPr>
                <w:p w14:paraId="36C82930" w14:textId="77777777" w:rsidR="00BF4A53" w:rsidRPr="00667B31" w:rsidRDefault="00BF4A53" w:rsidP="001D4247">
                  <w:pPr>
                    <w:spacing w:line="360" w:lineRule="auto"/>
                    <w:rPr>
                      <w:rStyle w:val="Strong"/>
                      <w:rFonts w:ascii="Arial" w:eastAsia="Times New Roman" w:hAnsi="Arial" w:cs="Arial"/>
                      <w:color w:val="000000" w:themeColor="text1"/>
                      <w:sz w:val="22"/>
                      <w:szCs w:val="22"/>
                    </w:rPr>
                  </w:pPr>
                </w:p>
              </w:tc>
              <w:tc>
                <w:tcPr>
                  <w:tcW w:w="0" w:type="auto"/>
                  <w:vAlign w:val="center"/>
                </w:tcPr>
                <w:p w14:paraId="37E0D72D" w14:textId="77777777" w:rsidR="00BF4A53" w:rsidRPr="00667B31" w:rsidRDefault="00BF4A53" w:rsidP="001D4247">
                  <w:pPr>
                    <w:spacing w:line="360" w:lineRule="auto"/>
                    <w:rPr>
                      <w:rFonts w:ascii="Arial" w:eastAsia="Times New Roman" w:hAnsi="Arial" w:cs="Arial"/>
                      <w:color w:val="000000" w:themeColor="text1"/>
                      <w:sz w:val="22"/>
                      <w:szCs w:val="22"/>
                    </w:rPr>
                  </w:pPr>
                </w:p>
              </w:tc>
            </w:tr>
          </w:tbl>
          <w:p w14:paraId="20AA0E40" w14:textId="77777777" w:rsidR="00BF4A53" w:rsidRPr="00667B31" w:rsidRDefault="00BF4A53" w:rsidP="001D4247">
            <w:pPr>
              <w:spacing w:line="360" w:lineRule="auto"/>
              <w:rPr>
                <w:rFonts w:ascii="Arial" w:eastAsia="Times New Roman" w:hAnsi="Arial" w:cs="Arial"/>
                <w:vanish/>
                <w:color w:val="000000" w:themeColor="text1"/>
                <w:sz w:val="22"/>
                <w:szCs w:val="22"/>
              </w:rPr>
            </w:pPr>
          </w:p>
        </w:tc>
      </w:tr>
      <w:tr w:rsidR="00BF4A53" w:rsidRPr="00667B31" w14:paraId="0B3B397B" w14:textId="77777777" w:rsidTr="001D4247">
        <w:tc>
          <w:tcPr>
            <w:cnfStyle w:val="001000000000" w:firstRow="0" w:lastRow="0" w:firstColumn="1" w:lastColumn="0" w:oddVBand="0" w:evenVBand="0" w:oddHBand="0" w:evenHBand="0" w:firstRowFirstColumn="0" w:firstRowLastColumn="0" w:lastRowFirstColumn="0" w:lastRowLastColumn="0"/>
            <w:tcW w:w="90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8"/>
              <w:gridCol w:w="4257"/>
            </w:tblGrid>
            <w:tr w:rsidR="00BF4A53" w:rsidRPr="00667B31" w14:paraId="3CBFBB70" w14:textId="77777777" w:rsidTr="001D4247">
              <w:trPr>
                <w:tblCellSpacing w:w="15" w:type="dxa"/>
              </w:trPr>
              <w:tc>
                <w:tcPr>
                  <w:tcW w:w="0" w:type="auto"/>
                  <w:vAlign w:val="center"/>
                  <w:hideMark/>
                </w:tcPr>
                <w:p w14:paraId="678B350C" w14:textId="77777777" w:rsidR="00BF4A53" w:rsidRPr="00667B31" w:rsidRDefault="00BF4A53" w:rsidP="001D4247">
                  <w:pPr>
                    <w:spacing w:line="360" w:lineRule="auto"/>
                    <w:rPr>
                      <w:rFonts w:ascii="Arial" w:eastAsia="Times New Roman" w:hAnsi="Arial" w:cs="Arial"/>
                      <w:color w:val="000000" w:themeColor="text1"/>
                      <w:sz w:val="22"/>
                      <w:szCs w:val="22"/>
                    </w:rPr>
                  </w:pPr>
                  <w:r w:rsidRPr="00667B31">
                    <w:rPr>
                      <w:rStyle w:val="Strong"/>
                      <w:rFonts w:ascii="Arial" w:eastAsia="Times New Roman" w:hAnsi="Arial" w:cs="Arial"/>
                      <w:color w:val="000000" w:themeColor="text1"/>
                      <w:sz w:val="22"/>
                      <w:szCs w:val="22"/>
                    </w:rPr>
                    <w:t>Theme 2</w:t>
                  </w:r>
                </w:p>
              </w:tc>
              <w:tc>
                <w:tcPr>
                  <w:tcW w:w="0" w:type="auto"/>
                  <w:vAlign w:val="center"/>
                  <w:hideMark/>
                </w:tcPr>
                <w:p w14:paraId="627EFD13" w14:textId="77777777" w:rsidR="00BF4A53" w:rsidRPr="00667B31" w:rsidRDefault="00BF4A53" w:rsidP="001D4247">
                  <w:pPr>
                    <w:spacing w:line="360" w:lineRule="auto"/>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                    Physical and Financial Burden</w:t>
                  </w:r>
                </w:p>
              </w:tc>
            </w:tr>
            <w:tr w:rsidR="00BF4A53" w:rsidRPr="00667B31" w14:paraId="704A3C14" w14:textId="77777777" w:rsidTr="001D4247">
              <w:trPr>
                <w:tblCellSpacing w:w="15" w:type="dxa"/>
              </w:trPr>
              <w:tc>
                <w:tcPr>
                  <w:tcW w:w="0" w:type="auto"/>
                  <w:vAlign w:val="center"/>
                </w:tcPr>
                <w:p w14:paraId="228682FE" w14:textId="77777777" w:rsidR="00BF4A53" w:rsidRPr="00667B31" w:rsidRDefault="00BF4A53" w:rsidP="001D4247">
                  <w:pPr>
                    <w:spacing w:line="360" w:lineRule="auto"/>
                    <w:rPr>
                      <w:rStyle w:val="Strong"/>
                      <w:rFonts w:ascii="Arial" w:eastAsia="Times New Roman" w:hAnsi="Arial" w:cs="Arial"/>
                      <w:color w:val="000000" w:themeColor="text1"/>
                      <w:sz w:val="22"/>
                      <w:szCs w:val="22"/>
                    </w:rPr>
                  </w:pPr>
                </w:p>
              </w:tc>
              <w:tc>
                <w:tcPr>
                  <w:tcW w:w="0" w:type="auto"/>
                  <w:vAlign w:val="center"/>
                </w:tcPr>
                <w:p w14:paraId="1D5C12CE" w14:textId="77777777" w:rsidR="00BF4A53" w:rsidRPr="00667B31" w:rsidRDefault="00BF4A53" w:rsidP="001D4247">
                  <w:pPr>
                    <w:spacing w:line="360" w:lineRule="auto"/>
                    <w:rPr>
                      <w:rFonts w:ascii="Arial" w:eastAsia="Times New Roman" w:hAnsi="Arial" w:cs="Arial"/>
                      <w:color w:val="000000" w:themeColor="text1"/>
                      <w:sz w:val="22"/>
                      <w:szCs w:val="22"/>
                    </w:rPr>
                  </w:pPr>
                </w:p>
              </w:tc>
            </w:tr>
          </w:tbl>
          <w:p w14:paraId="6AEFC3E6" w14:textId="77777777" w:rsidR="00BF4A53" w:rsidRPr="00667B31" w:rsidRDefault="00BF4A53" w:rsidP="001D4247">
            <w:pPr>
              <w:spacing w:line="360" w:lineRule="auto"/>
              <w:rPr>
                <w:rFonts w:ascii="Arial" w:eastAsia="Times New Roman" w:hAnsi="Arial" w:cs="Arial"/>
                <w:vanish/>
                <w:color w:val="000000" w:themeColor="text1"/>
                <w:sz w:val="22"/>
                <w:szCs w:val="22"/>
              </w:rPr>
            </w:pPr>
          </w:p>
        </w:tc>
      </w:tr>
      <w:tr w:rsidR="00BF4A53" w:rsidRPr="00667B31" w14:paraId="3D0A4096" w14:textId="77777777" w:rsidTr="001D42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8"/>
              <w:gridCol w:w="6214"/>
            </w:tblGrid>
            <w:tr w:rsidR="00BF4A53" w:rsidRPr="00667B31" w14:paraId="2B60C5D8" w14:textId="77777777" w:rsidTr="001D4247">
              <w:trPr>
                <w:tblCellSpacing w:w="15" w:type="dxa"/>
              </w:trPr>
              <w:tc>
                <w:tcPr>
                  <w:tcW w:w="0" w:type="auto"/>
                  <w:vAlign w:val="center"/>
                  <w:hideMark/>
                </w:tcPr>
                <w:p w14:paraId="7A18DEF3" w14:textId="77777777" w:rsidR="00BF4A53" w:rsidRPr="00667B31" w:rsidRDefault="00BF4A53" w:rsidP="001D4247">
                  <w:pPr>
                    <w:spacing w:line="360" w:lineRule="auto"/>
                    <w:rPr>
                      <w:rFonts w:ascii="Arial" w:eastAsia="Times New Roman" w:hAnsi="Arial" w:cs="Arial"/>
                      <w:color w:val="000000" w:themeColor="text1"/>
                      <w:sz w:val="22"/>
                      <w:szCs w:val="22"/>
                    </w:rPr>
                  </w:pPr>
                  <w:r w:rsidRPr="00667B31">
                    <w:rPr>
                      <w:rStyle w:val="Strong"/>
                      <w:rFonts w:ascii="Arial" w:eastAsia="Times New Roman" w:hAnsi="Arial" w:cs="Arial"/>
                      <w:color w:val="000000" w:themeColor="text1"/>
                      <w:sz w:val="22"/>
                      <w:szCs w:val="22"/>
                    </w:rPr>
                    <w:t>Theme 3</w:t>
                  </w:r>
                </w:p>
              </w:tc>
              <w:tc>
                <w:tcPr>
                  <w:tcW w:w="0" w:type="auto"/>
                  <w:vAlign w:val="center"/>
                  <w:hideMark/>
                </w:tcPr>
                <w:p w14:paraId="272E041E" w14:textId="77777777" w:rsidR="00BF4A53" w:rsidRPr="00667B31" w:rsidRDefault="00BF4A53" w:rsidP="001D4247">
                  <w:pPr>
                    <w:spacing w:line="360" w:lineRule="auto"/>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                   Accessibility and Effectiveness of Support Services</w:t>
                  </w:r>
                </w:p>
              </w:tc>
            </w:tr>
            <w:tr w:rsidR="00BF4A53" w:rsidRPr="00667B31" w14:paraId="3B5F10A3" w14:textId="77777777" w:rsidTr="001D4247">
              <w:trPr>
                <w:tblCellSpacing w:w="15" w:type="dxa"/>
              </w:trPr>
              <w:tc>
                <w:tcPr>
                  <w:tcW w:w="0" w:type="auto"/>
                  <w:vAlign w:val="center"/>
                </w:tcPr>
                <w:p w14:paraId="3A92CC3B" w14:textId="77777777" w:rsidR="00BF4A53" w:rsidRPr="00667B31" w:rsidRDefault="00BF4A53" w:rsidP="001D4247">
                  <w:pPr>
                    <w:spacing w:line="360" w:lineRule="auto"/>
                    <w:rPr>
                      <w:rStyle w:val="Strong"/>
                      <w:rFonts w:ascii="Arial" w:eastAsia="Times New Roman" w:hAnsi="Arial" w:cs="Arial"/>
                      <w:color w:val="000000" w:themeColor="text1"/>
                      <w:sz w:val="22"/>
                      <w:szCs w:val="22"/>
                    </w:rPr>
                  </w:pPr>
                </w:p>
              </w:tc>
              <w:tc>
                <w:tcPr>
                  <w:tcW w:w="0" w:type="auto"/>
                  <w:vAlign w:val="center"/>
                </w:tcPr>
                <w:p w14:paraId="2CB1C854" w14:textId="77777777" w:rsidR="00BF4A53" w:rsidRPr="00667B31" w:rsidRDefault="00BF4A53" w:rsidP="001D4247">
                  <w:pPr>
                    <w:spacing w:line="360" w:lineRule="auto"/>
                    <w:rPr>
                      <w:rFonts w:ascii="Arial" w:eastAsia="Times New Roman" w:hAnsi="Arial" w:cs="Arial"/>
                      <w:color w:val="000000" w:themeColor="text1"/>
                      <w:sz w:val="22"/>
                      <w:szCs w:val="22"/>
                    </w:rPr>
                  </w:pPr>
                </w:p>
              </w:tc>
            </w:tr>
          </w:tbl>
          <w:p w14:paraId="490E1A0D" w14:textId="77777777" w:rsidR="00BF4A53" w:rsidRPr="00667B31" w:rsidRDefault="00BF4A53" w:rsidP="001D4247">
            <w:pPr>
              <w:pStyle w:val="Heading1"/>
              <w:spacing w:line="360" w:lineRule="auto"/>
              <w:ind w:left="0"/>
              <w:jc w:val="both"/>
              <w:outlineLvl w:val="0"/>
              <w:rPr>
                <w:rFonts w:eastAsia="Times New Roman" w:cs="Arial"/>
                <w:color w:val="000000" w:themeColor="text1"/>
                <w:sz w:val="22"/>
                <w:szCs w:val="22"/>
              </w:rPr>
            </w:pPr>
          </w:p>
        </w:tc>
      </w:tr>
    </w:tbl>
    <w:p w14:paraId="4D5C887E" w14:textId="77777777" w:rsidR="00BF4A53" w:rsidRPr="00667B31" w:rsidRDefault="00BF4A53" w:rsidP="00BF4A53">
      <w:pPr>
        <w:pStyle w:val="Heading1"/>
        <w:spacing w:line="360" w:lineRule="auto"/>
        <w:ind w:left="0"/>
        <w:jc w:val="both"/>
        <w:rPr>
          <w:rStyle w:val="Emphasis"/>
          <w:rFonts w:eastAsia="Times New Roman" w:cs="Arial"/>
          <w:b w:val="0"/>
          <w:color w:val="000000" w:themeColor="text1"/>
          <w:sz w:val="22"/>
          <w:szCs w:val="22"/>
        </w:rPr>
      </w:pPr>
    </w:p>
    <w:p w14:paraId="71ED26FB" w14:textId="77777777" w:rsidR="00BF4A53" w:rsidRPr="00667B31" w:rsidRDefault="00BF4A53" w:rsidP="00BF4A53">
      <w:pPr>
        <w:pStyle w:val="Heading1"/>
        <w:spacing w:line="360" w:lineRule="auto"/>
        <w:ind w:left="0"/>
        <w:jc w:val="both"/>
        <w:rPr>
          <w:rStyle w:val="Emphasis"/>
          <w:rFonts w:eastAsia="Times New Roman" w:cs="Arial"/>
          <w:b w:val="0"/>
          <w:i w:val="0"/>
          <w:iCs w:val="0"/>
          <w:color w:val="000000" w:themeColor="text1"/>
          <w:sz w:val="22"/>
          <w:szCs w:val="22"/>
        </w:rPr>
      </w:pPr>
      <w:r w:rsidRPr="00667B31">
        <w:rPr>
          <w:rStyle w:val="Emphasis"/>
          <w:rFonts w:eastAsia="Times New Roman" w:cs="Arial"/>
          <w:b w:val="0"/>
          <w:color w:val="000000" w:themeColor="text1"/>
          <w:sz w:val="22"/>
          <w:szCs w:val="22"/>
        </w:rPr>
        <w:t>The coding process used to develop the three final themes is presented in</w:t>
      </w:r>
      <w:r w:rsidRPr="00667B31">
        <w:rPr>
          <w:rFonts w:eastAsia="Times New Roman" w:cs="Arial"/>
          <w:b w:val="0"/>
          <w:color w:val="000000" w:themeColor="text1"/>
          <w:sz w:val="22"/>
          <w:szCs w:val="22"/>
        </w:rPr>
        <w:t xml:space="preserve"> </w:t>
      </w:r>
      <w:r w:rsidRPr="00667B31">
        <w:rPr>
          <w:rStyle w:val="Strong"/>
          <w:rFonts w:eastAsia="Times New Roman" w:cs="Arial"/>
          <w:color w:val="000000" w:themeColor="text1"/>
          <w:sz w:val="22"/>
          <w:szCs w:val="22"/>
        </w:rPr>
        <w:t>Appendix E</w:t>
      </w:r>
      <w:r w:rsidRPr="00667B31">
        <w:rPr>
          <w:rStyle w:val="Emphasis"/>
          <w:rFonts w:eastAsia="Times New Roman" w:cs="Arial"/>
          <w:b w:val="0"/>
          <w:color w:val="000000" w:themeColor="text1"/>
          <w:sz w:val="22"/>
          <w:szCs w:val="22"/>
        </w:rPr>
        <w:t>.</w:t>
      </w:r>
    </w:p>
    <w:p w14:paraId="31FD69E3" w14:textId="77777777" w:rsidR="00BF4A53" w:rsidRPr="00667B31" w:rsidRDefault="00BF4A53" w:rsidP="00BF4A53">
      <w:pPr>
        <w:spacing w:line="360" w:lineRule="auto"/>
        <w:rPr>
          <w:rFonts w:ascii="Arial" w:eastAsia="Times New Roman" w:hAnsi="Arial" w:cs="Arial"/>
          <w:i/>
          <w:iCs/>
          <w:color w:val="000000" w:themeColor="text1"/>
          <w:sz w:val="22"/>
          <w:szCs w:val="22"/>
        </w:rPr>
      </w:pPr>
      <w:r w:rsidRPr="00667B31">
        <w:rPr>
          <w:rStyle w:val="Emphasis"/>
          <w:rFonts w:ascii="Arial" w:eastAsia="Times New Roman" w:hAnsi="Arial" w:cs="Arial"/>
          <w:color w:val="000000" w:themeColor="text1"/>
          <w:sz w:val="22"/>
          <w:szCs w:val="22"/>
        </w:rPr>
        <w:t>The characteristics and principal findings of the included studies are summarised in</w:t>
      </w:r>
      <w:r w:rsidRPr="00667B31">
        <w:rPr>
          <w:rStyle w:val="Strong"/>
          <w:rFonts w:ascii="Arial" w:eastAsia="Times New Roman" w:hAnsi="Arial" w:cs="Arial"/>
          <w:color w:val="000000" w:themeColor="text1"/>
          <w:sz w:val="22"/>
          <w:szCs w:val="22"/>
        </w:rPr>
        <w:t xml:space="preserve"> Appendix F</w:t>
      </w:r>
      <w:r w:rsidRPr="00667B31">
        <w:rPr>
          <w:rStyle w:val="Emphasis"/>
          <w:rFonts w:ascii="Arial" w:eastAsia="Times New Roman" w:hAnsi="Arial" w:cs="Arial"/>
          <w:color w:val="000000" w:themeColor="text1"/>
          <w:sz w:val="22"/>
          <w:szCs w:val="22"/>
        </w:rPr>
        <w:t>.</w:t>
      </w:r>
    </w:p>
    <w:p w14:paraId="61D4094C" w14:textId="77777777" w:rsidR="00BF4A53" w:rsidRPr="00667B31" w:rsidRDefault="00BF4A53" w:rsidP="00BF4A53">
      <w:pPr>
        <w:pStyle w:val="Heading1"/>
        <w:spacing w:line="360" w:lineRule="auto"/>
        <w:ind w:left="0"/>
        <w:jc w:val="both"/>
        <w:rPr>
          <w:rFonts w:eastAsia="Times New Roman" w:cs="Arial"/>
          <w:color w:val="000000" w:themeColor="text1"/>
          <w:sz w:val="22"/>
          <w:szCs w:val="22"/>
        </w:rPr>
      </w:pPr>
    </w:p>
    <w:p w14:paraId="1E758EAA" w14:textId="77777777" w:rsidR="00BF4A53" w:rsidRPr="00667B31" w:rsidRDefault="00BF4A53" w:rsidP="00BF4A53">
      <w:pPr>
        <w:pStyle w:val="Heading1"/>
        <w:spacing w:line="360" w:lineRule="auto"/>
        <w:ind w:left="0"/>
        <w:jc w:val="both"/>
        <w:rPr>
          <w:rFonts w:eastAsia="Times New Roman" w:cs="Arial"/>
          <w:color w:val="000000" w:themeColor="text1"/>
          <w:sz w:val="22"/>
          <w:szCs w:val="22"/>
        </w:rPr>
      </w:pPr>
      <w:r w:rsidRPr="00667B31">
        <w:rPr>
          <w:rFonts w:eastAsia="Times New Roman" w:cs="Arial"/>
          <w:color w:val="000000" w:themeColor="text1"/>
          <w:sz w:val="22"/>
          <w:szCs w:val="22"/>
        </w:rPr>
        <w:t>Findings and Analysis</w:t>
      </w:r>
    </w:p>
    <w:p w14:paraId="1EEED25F" w14:textId="77777777" w:rsidR="00BF4A53" w:rsidRPr="00667B31" w:rsidRDefault="00BF4A53" w:rsidP="00BF4A53">
      <w:pPr>
        <w:pStyle w:val="Heading1"/>
        <w:spacing w:line="360" w:lineRule="auto"/>
        <w:ind w:left="0"/>
        <w:jc w:val="both"/>
        <w:rPr>
          <w:rFonts w:eastAsia="Times New Roman" w:cs="Arial"/>
          <w:color w:val="000000" w:themeColor="text1"/>
          <w:sz w:val="22"/>
          <w:szCs w:val="22"/>
        </w:rPr>
      </w:pPr>
    </w:p>
    <w:p w14:paraId="4B094C58" w14:textId="77777777" w:rsidR="00BF4A53" w:rsidRPr="00667B31" w:rsidRDefault="00BF4A53" w:rsidP="00BF4A53">
      <w:pPr>
        <w:pStyle w:val="Heading2"/>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 xml:space="preserve">4.3 Emotional and Psychological Burden </w:t>
      </w:r>
    </w:p>
    <w:p w14:paraId="3EC2B0E6" w14:textId="77777777" w:rsidR="00BF4A53" w:rsidRPr="00667B31" w:rsidRDefault="00BF4A53" w:rsidP="00BF4A53">
      <w:pPr>
        <w:spacing w:line="360" w:lineRule="auto"/>
        <w:jc w:val="both"/>
        <w:rPr>
          <w:rFonts w:ascii="Arial" w:eastAsia="Times New Roman" w:hAnsi="Arial" w:cs="Arial"/>
          <w:b/>
          <w:color w:val="000000" w:themeColor="text1"/>
          <w:sz w:val="22"/>
          <w:szCs w:val="22"/>
        </w:rPr>
      </w:pPr>
    </w:p>
    <w:p w14:paraId="4E0934BB" w14:textId="77777777" w:rsidR="00BF4A53" w:rsidRPr="00667B31" w:rsidRDefault="00BF4A53" w:rsidP="00BF4A53">
      <w:pPr>
        <w:spacing w:line="360" w:lineRule="auto"/>
        <w:jc w:val="both"/>
        <w:rPr>
          <w:rFonts w:ascii="Arial" w:hAnsi="Arial" w:cs="Arial"/>
          <w:b/>
          <w:color w:val="000000" w:themeColor="text1"/>
          <w:sz w:val="22"/>
          <w:szCs w:val="22"/>
        </w:rPr>
      </w:pPr>
      <w:r w:rsidRPr="00667B31">
        <w:rPr>
          <w:rFonts w:ascii="Arial" w:eastAsia="Times New Roman" w:hAnsi="Arial" w:cs="Arial"/>
          <w:b/>
          <w:color w:val="000000" w:themeColor="text1"/>
          <w:sz w:val="22"/>
          <w:szCs w:val="22"/>
        </w:rPr>
        <w:t>Theme 1:</w:t>
      </w:r>
    </w:p>
    <w:p w14:paraId="5238C738" w14:textId="77777777" w:rsidR="00BF4A53" w:rsidRPr="00667B31" w:rsidRDefault="00BF4A53" w:rsidP="00BF4A53">
      <w:pPr>
        <w:spacing w:line="360" w:lineRule="auto"/>
        <w:jc w:val="both"/>
        <w:rPr>
          <w:rFonts w:ascii="Arial" w:hAnsi="Arial" w:cs="Arial"/>
          <w:color w:val="000000" w:themeColor="text1"/>
          <w:sz w:val="22"/>
          <w:szCs w:val="22"/>
        </w:rPr>
      </w:pPr>
    </w:p>
    <w:p w14:paraId="673F8EA7" w14:textId="77777777" w:rsidR="00BF4A53" w:rsidRPr="00667B31" w:rsidRDefault="00BF4A53" w:rsidP="00BF4A53">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The most common challenge experienced by informal carers of people living with Alzheimer's disease was emotional and psychological stress. The extended periods of stress, worry, depression, emotional weariness and social isolation have been reported by carers throughout the literature due to the degenerative nature of AD and the increased responsibility for providing LTC. (World Health Organization, 2025; Schulz and Beach, 2020). While many carers reported positive experiences of caring, including fulfilment and improved family relations, the evidence overwhelmingly suggested that these benefits were counterbalanced by the emotional demands of the illness as it progressed, even when considering the psychological benefits that could be experienced (Brodaty and Donkin, 2019; Giebel </w:t>
      </w:r>
      <w:r w:rsidRPr="00667B31">
        <w:rPr>
          <w:rStyle w:val="Emphasis"/>
          <w:rFonts w:ascii="Arial" w:hAnsi="Arial" w:cs="Arial"/>
          <w:color w:val="000000" w:themeColor="text1"/>
          <w:sz w:val="22"/>
          <w:szCs w:val="22"/>
        </w:rPr>
        <w:t xml:space="preserve">et al., </w:t>
      </w:r>
      <w:r w:rsidRPr="00667B31">
        <w:rPr>
          <w:rFonts w:ascii="Arial" w:hAnsi="Arial" w:cs="Arial"/>
          <w:color w:val="000000" w:themeColor="text1"/>
          <w:sz w:val="22"/>
          <w:szCs w:val="22"/>
        </w:rPr>
        <w:t>2024).</w:t>
      </w:r>
    </w:p>
    <w:p w14:paraId="0C50784F" w14:textId="77777777" w:rsidR="00BF4A53" w:rsidRPr="00667B31" w:rsidRDefault="00BF4A53" w:rsidP="00BF4A53">
      <w:pPr>
        <w:spacing w:line="360" w:lineRule="auto"/>
        <w:jc w:val="both"/>
        <w:rPr>
          <w:rFonts w:ascii="Arial" w:hAnsi="Arial" w:cs="Arial"/>
          <w:color w:val="000000" w:themeColor="text1"/>
          <w:sz w:val="22"/>
          <w:szCs w:val="22"/>
        </w:rPr>
      </w:pPr>
    </w:p>
    <w:p w14:paraId="062427CC" w14:textId="77777777" w:rsidR="00BF4A53" w:rsidRPr="00667B31" w:rsidRDefault="00BF4A53" w:rsidP="00BF4A53">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Alzheimer's disease is characterised by the progressive loss of memory and cognition and independence over time. This can mean that carers feel a need to provide support over a long term, and have to undertake more responsibilities and face uncertainty regarding the course of the disease. One of the primary areas of research focus for dementia care is emotional   wellbeing because this additional care role has been associated with significant emotional distress and poorer quality of life (World Health Organization, 2025; Livingston et al., 2020).</w:t>
      </w:r>
    </w:p>
    <w:p w14:paraId="34178052" w14:textId="77777777" w:rsidR="00BF4A53" w:rsidRPr="00667B31" w:rsidRDefault="00BF4A53" w:rsidP="00BF4A53">
      <w:pPr>
        <w:spacing w:line="360" w:lineRule="auto"/>
        <w:jc w:val="both"/>
        <w:rPr>
          <w:rFonts w:ascii="Arial" w:hAnsi="Arial" w:cs="Arial"/>
          <w:b/>
          <w:color w:val="000000" w:themeColor="text1"/>
          <w:sz w:val="22"/>
          <w:szCs w:val="22"/>
        </w:rPr>
      </w:pPr>
    </w:p>
    <w:p w14:paraId="04A2A102" w14:textId="77777777" w:rsidR="00BF4A53" w:rsidRPr="00667B31" w:rsidRDefault="00BF4A53" w:rsidP="00BF4A53">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The emotional stress and burden of caring</w:t>
      </w:r>
    </w:p>
    <w:p w14:paraId="6E078DAF" w14:textId="77777777" w:rsidR="00BF4A53" w:rsidRPr="00667B31" w:rsidRDefault="00BF4A53" w:rsidP="00BF4A53">
      <w:pPr>
        <w:spacing w:line="360" w:lineRule="auto"/>
        <w:jc w:val="both"/>
        <w:rPr>
          <w:rFonts w:ascii="Arial" w:hAnsi="Arial" w:cs="Arial"/>
          <w:b/>
          <w:color w:val="000000" w:themeColor="text1"/>
          <w:sz w:val="22"/>
          <w:szCs w:val="22"/>
        </w:rPr>
      </w:pPr>
    </w:p>
    <w:p w14:paraId="32D3691D" w14:textId="77777777" w:rsidR="00BF4A53" w:rsidRPr="00667B31" w:rsidRDefault="00BF4A53" w:rsidP="00BF4A53">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Perhaps the most persuasive finding in the literature is that the ongoing responsibilities of caring for someone with Alzheimer's disease have an impact on the emotional stress in the lives of carers. Carer burden is a gradual process as responsibilities come to include more personal care, medication management, behavioural changes and monitoring. (Brodaty and Donkin, 2019) However, the more multiple chronic conditions a carer has, the less likely they'll be to feel emotionally exhausted from the cumulative burden of caring, the analysis finds. (Roth et al., 2021)</w:t>
      </w:r>
    </w:p>
    <w:p w14:paraId="73743ECB" w14:textId="77777777" w:rsidR="00BF4A53" w:rsidRPr="00667B31" w:rsidRDefault="00BF4A53" w:rsidP="00BF4A53">
      <w:pPr>
        <w:spacing w:line="360" w:lineRule="auto"/>
        <w:jc w:val="both"/>
        <w:rPr>
          <w:rFonts w:ascii="Arial" w:hAnsi="Arial" w:cs="Arial"/>
          <w:color w:val="000000" w:themeColor="text1"/>
          <w:sz w:val="22"/>
          <w:szCs w:val="22"/>
        </w:rPr>
      </w:pPr>
    </w:p>
    <w:p w14:paraId="4D99F9F7" w14:textId="77777777" w:rsidR="00BF4A53" w:rsidRPr="00667B31" w:rsidRDefault="00BF4A53" w:rsidP="00BF4A53">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These conclusions are supported by more recent data from the UK. According to (Giebel </w:t>
      </w:r>
      <w:r w:rsidRPr="00667B31">
        <w:rPr>
          <w:rStyle w:val="Emphasis"/>
          <w:rFonts w:ascii="Arial" w:hAnsi="Arial" w:cs="Arial"/>
          <w:color w:val="000000" w:themeColor="text1"/>
          <w:sz w:val="22"/>
          <w:szCs w:val="22"/>
        </w:rPr>
        <w:t>et al.,</w:t>
      </w:r>
      <w:r w:rsidRPr="00667B31">
        <w:rPr>
          <w:rFonts w:ascii="Arial" w:hAnsi="Arial" w:cs="Arial"/>
          <w:color w:val="000000" w:themeColor="text1"/>
          <w:sz w:val="22"/>
          <w:szCs w:val="22"/>
        </w:rPr>
        <w:t xml:space="preserve"> 2024) a lot of carers said they felt overburdened by the mix of practical caregiving duties and emotional worries about how Alzheimer's disease will develop in the future. As the symptoms worsened, participants reported increased uncertainty, powerlessness, and increased anxiety. In another study, Dementia Carers Count (2025) identified that many unpaid carers felt under high emotional stress, particularly if there were no proper respite arrangements available.</w:t>
      </w:r>
    </w:p>
    <w:p w14:paraId="27175B43" w14:textId="77777777" w:rsidR="00BF4A53" w:rsidRPr="00667B31" w:rsidRDefault="00BF4A53" w:rsidP="00BF4A53">
      <w:pPr>
        <w:spacing w:line="360" w:lineRule="auto"/>
        <w:jc w:val="both"/>
        <w:rPr>
          <w:rFonts w:ascii="Arial" w:hAnsi="Arial" w:cs="Arial"/>
          <w:color w:val="000000" w:themeColor="text1"/>
          <w:sz w:val="22"/>
          <w:szCs w:val="22"/>
        </w:rPr>
      </w:pPr>
    </w:p>
    <w:p w14:paraId="4614EDB6" w14:textId="77777777" w:rsidR="00BF4A53" w:rsidRPr="00667B31" w:rsidRDefault="00BF4A53" w:rsidP="00BF4A53">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The emotional stress posed in both studies is seen as a significant challenge, though with different explanations. Brodaty and Donkin (2019) have stated that the primary source of emotional burden is increased complexity of carer responsibilities as dementia progresses. (Giebel </w:t>
      </w:r>
      <w:r w:rsidRPr="00667B31">
        <w:rPr>
          <w:rStyle w:val="Emphasis"/>
          <w:rFonts w:ascii="Arial" w:hAnsi="Arial" w:cs="Arial"/>
          <w:color w:val="000000" w:themeColor="text1"/>
          <w:sz w:val="22"/>
          <w:szCs w:val="22"/>
        </w:rPr>
        <w:t>et al</w:t>
      </w:r>
      <w:r w:rsidRPr="00667B31">
        <w:rPr>
          <w:rFonts w:ascii="Arial" w:hAnsi="Arial" w:cs="Arial"/>
          <w:color w:val="000000" w:themeColor="text1"/>
          <w:sz w:val="22"/>
          <w:szCs w:val="22"/>
        </w:rPr>
        <w:t>., 2024) say that the lack of health and social care support, such as limited access to information, professional help and respite care, are significant factors that add to the misery of carers. This comparison indicates that there are factors other than the impact of the disease that may contribute to emotional burden to carers.</w:t>
      </w:r>
    </w:p>
    <w:p w14:paraId="2BF026D3" w14:textId="77777777" w:rsidR="00BF4A53" w:rsidRPr="00667B31" w:rsidRDefault="00BF4A53" w:rsidP="00BF4A53">
      <w:pPr>
        <w:spacing w:line="360" w:lineRule="auto"/>
        <w:jc w:val="both"/>
        <w:rPr>
          <w:rFonts w:ascii="Arial" w:hAnsi="Arial" w:cs="Arial"/>
          <w:color w:val="000000" w:themeColor="text1"/>
          <w:sz w:val="22"/>
          <w:szCs w:val="22"/>
        </w:rPr>
      </w:pPr>
    </w:p>
    <w:p w14:paraId="370E3FF9" w14:textId="77777777" w:rsidR="00BF4A53" w:rsidRDefault="00BF4A53" w:rsidP="00BF4A53">
      <w:pPr>
        <w:spacing w:line="360" w:lineRule="auto"/>
        <w:jc w:val="both"/>
        <w:rPr>
          <w:rFonts w:ascii="Arial" w:hAnsi="Arial" w:cs="Arial"/>
          <w:color w:val="000000" w:themeColor="text1"/>
          <w:sz w:val="22"/>
          <w:szCs w:val="22"/>
        </w:rPr>
      </w:pPr>
    </w:p>
    <w:p w14:paraId="38B90CB3" w14:textId="77777777" w:rsidR="00BF4A53" w:rsidRDefault="00BF4A53" w:rsidP="00BF4A53">
      <w:pPr>
        <w:spacing w:line="360" w:lineRule="auto"/>
        <w:jc w:val="both"/>
        <w:rPr>
          <w:rFonts w:ascii="Arial" w:hAnsi="Arial" w:cs="Arial"/>
          <w:color w:val="000000" w:themeColor="text1"/>
          <w:sz w:val="22"/>
          <w:szCs w:val="22"/>
        </w:rPr>
      </w:pPr>
    </w:p>
    <w:p w14:paraId="2E28EF51" w14:textId="77777777" w:rsidR="00BF4A53" w:rsidRPr="00667B31" w:rsidRDefault="00BF4A53" w:rsidP="00BF4A53">
      <w:pPr>
        <w:spacing w:line="360" w:lineRule="auto"/>
        <w:jc w:val="both"/>
        <w:rPr>
          <w:rFonts w:ascii="Arial" w:hAnsi="Arial" w:cs="Arial"/>
          <w:color w:val="000000" w:themeColor="text1"/>
          <w:sz w:val="22"/>
          <w:szCs w:val="22"/>
        </w:rPr>
      </w:pPr>
    </w:p>
    <w:p w14:paraId="7371CA6B" w14:textId="77777777" w:rsidR="00BF4A53" w:rsidRPr="00667B31" w:rsidRDefault="00BF4A53" w:rsidP="00BF4A53">
      <w:pPr>
        <w:spacing w:line="360" w:lineRule="auto"/>
        <w:jc w:val="both"/>
        <w:rPr>
          <w:rFonts w:ascii="Arial" w:hAnsi="Arial" w:cs="Arial"/>
          <w:color w:val="000000" w:themeColor="text1"/>
          <w:sz w:val="22"/>
          <w:szCs w:val="22"/>
        </w:rPr>
      </w:pPr>
    </w:p>
    <w:p w14:paraId="6F6F5C76" w14:textId="77777777" w:rsidR="00BF4A53" w:rsidRPr="00667B31" w:rsidRDefault="00BF4A53" w:rsidP="00BF4A53">
      <w:pPr>
        <w:spacing w:line="360" w:lineRule="auto"/>
        <w:jc w:val="both"/>
        <w:rPr>
          <w:rFonts w:ascii="Arial" w:hAnsi="Arial" w:cs="Arial"/>
          <w:color w:val="000000" w:themeColor="text1"/>
          <w:sz w:val="22"/>
          <w:szCs w:val="22"/>
        </w:rPr>
      </w:pPr>
    </w:p>
    <w:p w14:paraId="1E3B02CC" w14:textId="77777777" w:rsidR="00BF4A53" w:rsidRPr="00667B31" w:rsidRDefault="00BF4A53" w:rsidP="00BF4A53">
      <w:pPr>
        <w:spacing w:line="360" w:lineRule="auto"/>
        <w:jc w:val="both"/>
        <w:rPr>
          <w:rFonts w:ascii="Arial" w:hAnsi="Arial" w:cs="Arial"/>
          <w:color w:val="000000" w:themeColor="text1"/>
          <w:sz w:val="22"/>
          <w:szCs w:val="22"/>
        </w:rPr>
      </w:pPr>
    </w:p>
    <w:p w14:paraId="58E6FD30" w14:textId="77777777" w:rsidR="00BF4A53" w:rsidRPr="00667B31" w:rsidRDefault="00BF4A53" w:rsidP="00BF4A53">
      <w:p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Anxiety, depression and mental health</w:t>
      </w:r>
    </w:p>
    <w:p w14:paraId="308BF34E" w14:textId="77777777" w:rsidR="00BF4A53" w:rsidRPr="00667B31" w:rsidRDefault="00BF4A53" w:rsidP="00BF4A53">
      <w:pPr>
        <w:spacing w:line="360" w:lineRule="auto"/>
        <w:jc w:val="both"/>
        <w:rPr>
          <w:rFonts w:ascii="Arial" w:eastAsia="Times New Roman" w:hAnsi="Arial" w:cs="Arial"/>
          <w:b/>
          <w:color w:val="000000" w:themeColor="text1"/>
          <w:sz w:val="22"/>
          <w:szCs w:val="22"/>
        </w:rPr>
      </w:pPr>
    </w:p>
    <w:p w14:paraId="0401BB26"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In several studies, unpaid caretakers were identified as experiencing anxiety and depression as typical psychological issues. The Alzheimer's Society (2024) reported that carers often find themselves in situations that are chronically stressful, without any support which can become clinically significant anxiety or depression. The gradual decline often associated with Alzheimer's disease can lead to feelings of loss, even before the loss has occurred, and is called anticipatory grief. </w:t>
      </w:r>
    </w:p>
    <w:p w14:paraId="5175630A" w14:textId="77777777" w:rsidR="00BF4A53" w:rsidRPr="00667B31" w:rsidRDefault="00BF4A53" w:rsidP="00BF4A53">
      <w:pPr>
        <w:spacing w:line="360" w:lineRule="auto"/>
        <w:jc w:val="both"/>
        <w:rPr>
          <w:rFonts w:ascii="Arial" w:eastAsia="Times New Roman" w:hAnsi="Arial" w:cs="Arial"/>
          <w:color w:val="000000" w:themeColor="text1"/>
          <w:sz w:val="22"/>
          <w:szCs w:val="22"/>
        </w:rPr>
      </w:pPr>
    </w:p>
    <w:p w14:paraId="1F65665A"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Carers UK (2024) found that the long-term consequences of caring have a negative impact on carers' mental health. For many respondents, their anxiety levels increased, sleeping difficulties arose, and they felt worse on their emotions. The results suggest that care provision is not only about physical support, and often involves an emotional adjustment alongside the process as the care recipient's independence, communication and personality are changing. Wolverson et al., (2022)</w:t>
      </w:r>
    </w:p>
    <w:p w14:paraId="10145DDE" w14:textId="77777777" w:rsidR="00BF4A53" w:rsidRPr="00667B31" w:rsidRDefault="00BF4A53" w:rsidP="00BF4A53">
      <w:pPr>
        <w:spacing w:line="360" w:lineRule="auto"/>
        <w:jc w:val="both"/>
        <w:rPr>
          <w:rFonts w:ascii="Arial" w:hAnsi="Arial" w:cs="Arial"/>
          <w:b/>
          <w:color w:val="000000" w:themeColor="text1"/>
          <w:sz w:val="22"/>
          <w:szCs w:val="22"/>
        </w:rPr>
      </w:pPr>
      <w:r w:rsidRPr="00667B31">
        <w:rPr>
          <w:rFonts w:ascii="Arial" w:eastAsia="Times New Roman" w:hAnsi="Arial" w:cs="Arial"/>
          <w:color w:val="000000" w:themeColor="text1"/>
          <w:sz w:val="22"/>
          <w:szCs w:val="22"/>
        </w:rPr>
        <w:t>But the level of mental discomfort is different for different carers. Some studies show that coping strategies, social support and resilience all help to lower stress levels for the carer. Quinn et al., (2024) found that carers with community support and greater family networks were more emotionally resilient than carers who were caring for patients in isolation. This means that carer outcomes are influenced by protective factors and caring needs and that interventions (</w:t>
      </w:r>
      <w:r w:rsidRPr="00667B31">
        <w:rPr>
          <w:rFonts w:ascii="Arial" w:hAnsi="Arial" w:cs="Arial"/>
          <w:color w:val="000000" w:themeColor="text1"/>
          <w:sz w:val="22"/>
          <w:szCs w:val="22"/>
        </w:rPr>
        <w:t>Kitwood,1997)</w:t>
      </w:r>
      <w:r w:rsidRPr="00667B31">
        <w:rPr>
          <w:rFonts w:ascii="Arial" w:hAnsi="Arial" w:cs="Arial"/>
          <w:b/>
          <w:color w:val="000000" w:themeColor="text1"/>
          <w:sz w:val="22"/>
          <w:szCs w:val="22"/>
        </w:rPr>
        <w:t xml:space="preserve"> </w:t>
      </w:r>
      <w:r w:rsidRPr="00667B31">
        <w:rPr>
          <w:rFonts w:ascii="Arial" w:eastAsia="Times New Roman" w:hAnsi="Arial" w:cs="Arial"/>
          <w:color w:val="000000" w:themeColor="text1"/>
          <w:sz w:val="22"/>
          <w:szCs w:val="22"/>
        </w:rPr>
        <w:t>for supporting people are person-centred.</w:t>
      </w:r>
    </w:p>
    <w:p w14:paraId="7861D8F3" w14:textId="77777777" w:rsidR="00BF4A53" w:rsidRPr="00667B31" w:rsidRDefault="00BF4A53" w:rsidP="00BF4A53">
      <w:pPr>
        <w:spacing w:line="360" w:lineRule="auto"/>
        <w:jc w:val="both"/>
        <w:rPr>
          <w:rFonts w:ascii="Arial" w:hAnsi="Arial" w:cs="Arial"/>
          <w:color w:val="000000" w:themeColor="text1"/>
          <w:sz w:val="22"/>
          <w:szCs w:val="22"/>
        </w:rPr>
      </w:pPr>
    </w:p>
    <w:p w14:paraId="5CCCD12B" w14:textId="77777777" w:rsidR="00BF4A53" w:rsidRPr="00667B31" w:rsidRDefault="00BF4A53" w:rsidP="00BF4A53">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Critical Evaluation</w:t>
      </w:r>
    </w:p>
    <w:p w14:paraId="3881583B" w14:textId="77777777" w:rsidR="00BF4A53" w:rsidRPr="00667B31" w:rsidRDefault="00BF4A53" w:rsidP="00BF4A53">
      <w:pPr>
        <w:spacing w:line="360" w:lineRule="auto"/>
        <w:jc w:val="both"/>
        <w:rPr>
          <w:rFonts w:ascii="Arial" w:hAnsi="Arial" w:cs="Arial"/>
          <w:b/>
          <w:color w:val="000000" w:themeColor="text1"/>
          <w:sz w:val="22"/>
          <w:szCs w:val="22"/>
        </w:rPr>
      </w:pPr>
    </w:p>
    <w:p w14:paraId="5522A1B4" w14:textId="77777777" w:rsidR="00BF4A53" w:rsidRPr="00667B31" w:rsidRDefault="00BF4A53" w:rsidP="00BF4A53">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Emotional and psychological stress is a very important effect of caring for someone with Alzheimer's as the literature repeatedly demonstrates. There are some differences in the nature of the factors that most influence the wellbeing of carers, though. (Pearlin and </w:t>
      </w:r>
      <w:proofErr w:type="gramStart"/>
      <w:r w:rsidRPr="00667B31">
        <w:rPr>
          <w:rFonts w:ascii="Arial" w:hAnsi="Arial" w:cs="Arial"/>
          <w:color w:val="000000" w:themeColor="text1"/>
          <w:sz w:val="22"/>
          <w:szCs w:val="22"/>
        </w:rPr>
        <w:t xml:space="preserve">Bierma,   </w:t>
      </w:r>
      <w:proofErr w:type="gramEnd"/>
      <w:r w:rsidRPr="00667B31">
        <w:rPr>
          <w:rFonts w:ascii="Arial" w:hAnsi="Arial" w:cs="Arial"/>
          <w:color w:val="000000" w:themeColor="text1"/>
          <w:sz w:val="22"/>
          <w:szCs w:val="22"/>
        </w:rPr>
        <w:t xml:space="preserve">              2020). </w:t>
      </w:r>
    </w:p>
    <w:p w14:paraId="2CA2612A" w14:textId="77777777" w:rsidR="00BF4A53" w:rsidRPr="00667B31" w:rsidRDefault="00BF4A53" w:rsidP="00BF4A53">
      <w:pPr>
        <w:spacing w:line="360" w:lineRule="auto"/>
        <w:jc w:val="both"/>
        <w:rPr>
          <w:rFonts w:ascii="Arial" w:hAnsi="Arial" w:cs="Arial"/>
          <w:color w:val="000000" w:themeColor="text1"/>
          <w:sz w:val="22"/>
          <w:szCs w:val="22"/>
        </w:rPr>
      </w:pPr>
    </w:p>
    <w:p w14:paraId="6C765BE0" w14:textId="77777777" w:rsidR="00BF4A53" w:rsidRPr="00667B31" w:rsidRDefault="00BF4A53" w:rsidP="00BF4A53">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Existing research tended to focus on the burden of caring as a consequence of the progression of the illness. There is a growing recognition in more recent work of the influence of external facilitators including community resources, financial support, access to health services and respite care on carer wellbeing. This reflects a wider shift to ecological and person-centred perspectives, in which the relationships between people, families and health services are part of the equation for the nature of caring, as well as the severity of illness.</w:t>
      </w:r>
    </w:p>
    <w:p w14:paraId="13AF957E" w14:textId="77777777" w:rsidR="00BF4A53" w:rsidRPr="00667B31" w:rsidRDefault="00BF4A53" w:rsidP="00BF4A53">
      <w:pPr>
        <w:spacing w:line="360" w:lineRule="auto"/>
        <w:jc w:val="both"/>
        <w:rPr>
          <w:rFonts w:ascii="Arial" w:hAnsi="Arial" w:cs="Arial"/>
          <w:color w:val="000000" w:themeColor="text1"/>
          <w:sz w:val="22"/>
          <w:szCs w:val="22"/>
        </w:rPr>
      </w:pPr>
    </w:p>
    <w:p w14:paraId="5206B2A7" w14:textId="77777777" w:rsidR="00BF4A53" w:rsidRPr="00667B31" w:rsidRDefault="00BF4A53" w:rsidP="00BF4A53">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A big part of the literature now in publication suffers from this lack of general is ability, due to the use of self-reported experiences, which could be subject to reporting bias. Additionally, a lot of research is cross-sectional, which makes it difficult to track changes in emotional wellbeing while caregiving. While they are, for the moment, still relatively uncommon, longitudinal research, such as (Quinn </w:t>
      </w:r>
      <w:r w:rsidRPr="00667B31">
        <w:rPr>
          <w:rStyle w:val="Emphasis"/>
          <w:rFonts w:ascii="Arial" w:hAnsi="Arial" w:cs="Arial"/>
          <w:color w:val="000000" w:themeColor="text1"/>
          <w:sz w:val="22"/>
          <w:szCs w:val="22"/>
        </w:rPr>
        <w:t xml:space="preserve">et al., </w:t>
      </w:r>
      <w:r w:rsidRPr="00667B31">
        <w:rPr>
          <w:rFonts w:ascii="Arial" w:hAnsi="Arial" w:cs="Arial"/>
          <w:color w:val="000000" w:themeColor="text1"/>
          <w:sz w:val="22"/>
          <w:szCs w:val="22"/>
        </w:rPr>
        <w:t>2024) provides a greater level of evidence by examining carer experiences over time.</w:t>
      </w:r>
    </w:p>
    <w:p w14:paraId="66008D21" w14:textId="77777777" w:rsidR="00BF4A53" w:rsidRPr="00667B31" w:rsidRDefault="00BF4A53" w:rsidP="00BF4A53">
      <w:pPr>
        <w:spacing w:line="360" w:lineRule="auto"/>
        <w:jc w:val="both"/>
        <w:rPr>
          <w:rFonts w:ascii="Arial" w:hAnsi="Arial" w:cs="Arial"/>
          <w:color w:val="000000" w:themeColor="text1"/>
          <w:sz w:val="22"/>
          <w:szCs w:val="22"/>
        </w:rPr>
      </w:pPr>
    </w:p>
    <w:p w14:paraId="3E330A5F" w14:textId="77777777" w:rsidR="00BF4A53" w:rsidRPr="00667B31" w:rsidRDefault="00BF4A53" w:rsidP="00BF4A53">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The data indicates that the availability of efficient support networks as well as the progressive nature of Alzheimer's disease have a positive effect on emotional and psychological stress, overall. Thus, interventions that target patient outcomes without taking into account informal carers' emotional health could be insufficient. (Innes and Manthorpe, 2022).</w:t>
      </w:r>
    </w:p>
    <w:p w14:paraId="4721C11E" w14:textId="77777777" w:rsidR="00BF4A53" w:rsidRPr="00667B31" w:rsidRDefault="00BF4A53" w:rsidP="00BF4A53">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4.4 Financial and Physical Burden </w:t>
      </w:r>
    </w:p>
    <w:p w14:paraId="74FA773C" w14:textId="77777777" w:rsidR="00BF4A53" w:rsidRPr="00667B31" w:rsidRDefault="00BF4A53" w:rsidP="00BF4A53">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Theme 2</w:t>
      </w:r>
    </w:p>
    <w:p w14:paraId="47BD22BF"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The findings consistently reveal’s that the burden on the informal carers of people with Alzheimer's disease is considerable physical, financial, emotional and psychological burdens as well as emotional and psychological. As the disease progresses, carers often assume increasing responsibilities may be asked to do more to assist with care and coping, including activities of daily living, mobility, medicines, feeding, supervision and more. These duties can be physically demanding and time-consuming demand, impacting the personal wellbeing and financial stability of those who perform these duties (Brodaty and Donkin, 2019; Giebel and Challis, 2021).</w:t>
      </w:r>
    </w:p>
    <w:p w14:paraId="3DEACD3B"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Additionally, financial problem was highly correlated with physical problem. A significant number of carers work less or stop working to be able to care at full-time level, which further lowers family income and is an added cost. (Carers UK, 2024). Some of these can exacerbate the overall effects of Alzheimer's disease on an individual, increase stress levels for carers and reduce the quality of life (Schulz and Beach, 2020). </w:t>
      </w:r>
    </w:p>
    <w:p w14:paraId="73D03416" w14:textId="77777777" w:rsidR="00BF4A53" w:rsidRPr="00667B31" w:rsidRDefault="00BF4A53" w:rsidP="00BF4A53">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Physical Health Issues</w:t>
      </w:r>
    </w:p>
    <w:p w14:paraId="156B202A"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Often the tasks of caregiving become more physical because of the degenerative effects of Alzheimer's disease. Carers often assist with daily life tasks such as washing, dressing, eating and mobility. These activities may result in physical pain, chronic fatigue and poor sleep quality over time, particularly for older people who may have underlying medical conditions (World Health Organization, 2023; Zarit et al., 2020).</w:t>
      </w:r>
    </w:p>
    <w:p w14:paraId="49BD9B96"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Physical strain can be a slow process and can be difficult to recognise how this is affecting health until it becomes more severe, according to Brodaty and Donkin (2009). The Alzheimer's Society (2024) report that many carers often put the care of the person they are caring for before themselves. Care often neglect to attend medical appointments, eat poorly and don't exercise as much.</w:t>
      </w:r>
    </w:p>
    <w:p w14:paraId="0A06A967"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More recent studies by (Giebel et al</w:t>
      </w:r>
      <w:r w:rsidRPr="00667B31">
        <w:rPr>
          <w:rFonts w:ascii="Arial" w:hAnsi="Arial" w:cs="Arial"/>
          <w:i/>
          <w:color w:val="000000" w:themeColor="text1"/>
          <w:sz w:val="22"/>
          <w:szCs w:val="22"/>
        </w:rPr>
        <w:t>.,</w:t>
      </w:r>
      <w:r w:rsidRPr="00667B31">
        <w:rPr>
          <w:rFonts w:ascii="Arial" w:hAnsi="Arial" w:cs="Arial"/>
          <w:color w:val="000000" w:themeColor="text1"/>
          <w:sz w:val="22"/>
          <w:szCs w:val="22"/>
        </w:rPr>
        <w:t xml:space="preserve"> 2024) suggest that, for carers with restricted access to respite programmes, there can be a deterioration in their physical health. Without regular breaks, carers may become tired and stressed, and then feel burnt out; leading to poor physical health.</w:t>
      </w:r>
    </w:p>
    <w:p w14:paraId="3C9D9B13"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The studies (Giebel et al., 2024) repeatedly indicate that physical load is a significant challenge, and underscore the importance of support services in mitigating its impact. Those who shared caring responsibilities with others within the family or who had regular respite care had better physical health outcomes than carers who had no other family members involved with their care. This suggests that the level of support that is available is not just a factor of intensity of caregiving, but of physical stress as well.</w:t>
      </w:r>
    </w:p>
    <w:p w14:paraId="05530CC2" w14:textId="77777777" w:rsidR="00BF4A53" w:rsidRPr="00667B31" w:rsidRDefault="00BF4A53" w:rsidP="00BF4A53">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Financial Difficulties</w:t>
      </w:r>
    </w:p>
    <w:p w14:paraId="5E1D34AF"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One other area that was frequently discussed in the literature was financial issues. Many carers have reduced income as a result of employment changes, early retirement or taking a leave employment altogether to look after others. Other costs associated with caring for a person include transport, housing adaptations, specialist equipment and other domestic costs (Carers UK, 2024).</w:t>
      </w:r>
    </w:p>
    <w:p w14:paraId="217AFEFC"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In the study Dementia Carers Count (2025) dementia carers reported financial concerns as a major worry, particularly for those unpaid carers who offer intense care. Other participants also experienced the challenge of balancing work and care duties, resulting in lower earnings, financial insecurity and worry about their future earnings.</w:t>
      </w:r>
    </w:p>
    <w:p w14:paraId="0694C21F"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Likewise, the Alzheimer's Society (2024) also points out costs other than medical expenses, including lost work and impact on family finances due to the diagnosis of dementia. The conclusions indicate that the financial impact of the disease of Alzheimer's is not just a family problem, but a bigger social and health care problem for the country. (Arksey and Glendinning, 2022).</w:t>
      </w:r>
    </w:p>
    <w:p w14:paraId="13E7D80F"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But some scholars see cost as extremely different in terms of family support, flexibility in work, and access to welfare benefits. Those carers who had financial support from their work and some from the statutory sectors had less financial stress. This shows that experience of care and socio-economic status are intricately linked.</w:t>
      </w:r>
    </w:p>
    <w:p w14:paraId="40588526" w14:textId="77777777" w:rsidR="00BF4A53" w:rsidRPr="00667B31" w:rsidRDefault="00BF4A53" w:rsidP="00BF4A53">
      <w:p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Critical Evaluation</w:t>
      </w:r>
    </w:p>
    <w:p w14:paraId="1EF8EA82" w14:textId="77777777" w:rsidR="00BF4A53" w:rsidRPr="00667B31" w:rsidRDefault="00BF4A53" w:rsidP="00BF4A53">
      <w:pPr>
        <w:spacing w:line="360" w:lineRule="auto"/>
        <w:jc w:val="both"/>
        <w:rPr>
          <w:rFonts w:ascii="Arial" w:eastAsia="Times New Roman" w:hAnsi="Arial" w:cs="Arial"/>
          <w:color w:val="000000" w:themeColor="text1"/>
          <w:sz w:val="22"/>
          <w:szCs w:val="22"/>
        </w:rPr>
      </w:pPr>
    </w:p>
    <w:p w14:paraId="4E493FB0"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There is clear literature evidence of a close relationship between financial and physical burden and the burden of emotional stress. These loads often work together to create "overwhelming" pressures that negatively impact carers' overall wellbeing, not as separate challenges. (Pearlin et al.,1990).</w:t>
      </w:r>
    </w:p>
    <w:p w14:paraId="6B1D2132" w14:textId="77777777" w:rsidR="00BF4A53" w:rsidRPr="00667B31" w:rsidRDefault="00BF4A53" w:rsidP="00BF4A53">
      <w:pPr>
        <w:spacing w:line="360" w:lineRule="auto"/>
        <w:jc w:val="both"/>
        <w:rPr>
          <w:rFonts w:ascii="Arial" w:eastAsia="Times New Roman" w:hAnsi="Arial" w:cs="Arial"/>
          <w:color w:val="000000" w:themeColor="text1"/>
          <w:sz w:val="22"/>
          <w:szCs w:val="22"/>
        </w:rPr>
      </w:pPr>
    </w:p>
    <w:p w14:paraId="578F6855"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An advantage of modern UK research is the awareness that wider social factors of health (including employment status, income, and access to support services) affect the nature of caring experiences. This is more complete than the traditional approach to health and social care, where care is considered in isolation from the well-being of the carers and service users, and where the emphasis is placed solely on the physical health of carers. (Tomas and Morris, 2022).</w:t>
      </w:r>
    </w:p>
    <w:p w14:paraId="33A277BF" w14:textId="77777777" w:rsidR="00BF4A53" w:rsidRPr="00667B31" w:rsidRDefault="00BF4A53" w:rsidP="00BF4A53">
      <w:pPr>
        <w:spacing w:line="360" w:lineRule="auto"/>
        <w:jc w:val="both"/>
        <w:rPr>
          <w:rFonts w:ascii="Arial" w:eastAsia="Times New Roman" w:hAnsi="Arial" w:cs="Arial"/>
          <w:color w:val="000000" w:themeColor="text1"/>
          <w:sz w:val="22"/>
          <w:szCs w:val="22"/>
        </w:rPr>
      </w:pPr>
    </w:p>
    <w:p w14:paraId="7AD89F51"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But, there are still some limitations in the existing research. More likely to have reporting bias as many studies rely on self</w:t>
      </w:r>
      <w:r w:rsidRPr="00667B31">
        <w:rPr>
          <w:rFonts w:ascii="Calibri" w:eastAsia="Calibri" w:hAnsi="Calibri" w:cs="Calibri"/>
          <w:color w:val="000000" w:themeColor="text1"/>
          <w:sz w:val="22"/>
          <w:szCs w:val="22"/>
        </w:rPr>
        <w:t>‐</w:t>
      </w:r>
      <w:r w:rsidRPr="00667B31">
        <w:rPr>
          <w:rFonts w:ascii="Arial" w:eastAsia="Times New Roman" w:hAnsi="Arial" w:cs="Arial"/>
          <w:color w:val="000000" w:themeColor="text1"/>
          <w:sz w:val="22"/>
          <w:szCs w:val="22"/>
        </w:rPr>
        <w:t>reported measures of financial and physical conditions. Additionally, a large portion of the literature concentrates on carers who are already involved with voluntary or health services, which may under-represent people who are more isolated or have less access to assistance.</w:t>
      </w:r>
    </w:p>
    <w:p w14:paraId="6364EAD2"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The data presented in this report indicates that the situation for informal carers is a difficult one, with many financial and physical issues. While policy initiatives and financial support schemes provide some respite for carers in the UK, more financial support for respite services and job support might be required to reduce the burden for carers. (Department of Health and Social Care, 2018).</w:t>
      </w:r>
    </w:p>
    <w:p w14:paraId="319178FE" w14:textId="77777777" w:rsidR="00BF4A53" w:rsidRPr="00667B31" w:rsidRDefault="00BF4A53" w:rsidP="00BF4A53">
      <w:pPr>
        <w:spacing w:line="360" w:lineRule="auto"/>
        <w:jc w:val="both"/>
        <w:rPr>
          <w:rFonts w:ascii="Arial" w:eastAsia="Times New Roman" w:hAnsi="Arial" w:cs="Arial"/>
          <w:color w:val="000000" w:themeColor="text1"/>
          <w:sz w:val="22"/>
          <w:szCs w:val="22"/>
        </w:rPr>
      </w:pPr>
    </w:p>
    <w:p w14:paraId="34DB8808" w14:textId="77777777" w:rsidR="00BF4A53" w:rsidRPr="00667B31" w:rsidRDefault="00BF4A53" w:rsidP="00BF4A53">
      <w:pPr>
        <w:spacing w:line="360" w:lineRule="auto"/>
        <w:jc w:val="both"/>
        <w:rPr>
          <w:rFonts w:ascii="Arial" w:eastAsia="Times New Roman" w:hAnsi="Arial" w:cs="Arial"/>
          <w:color w:val="000000" w:themeColor="text1"/>
          <w:sz w:val="22"/>
          <w:szCs w:val="22"/>
        </w:rPr>
      </w:pPr>
    </w:p>
    <w:p w14:paraId="64FE79FD" w14:textId="77777777" w:rsidR="00BF4A53" w:rsidRPr="00667B31" w:rsidRDefault="00BF4A53" w:rsidP="00BF4A53">
      <w:pPr>
        <w:spacing w:line="360" w:lineRule="auto"/>
        <w:jc w:val="both"/>
        <w:rPr>
          <w:rFonts w:ascii="Arial" w:eastAsia="Times New Roman" w:hAnsi="Arial" w:cs="Arial"/>
          <w:color w:val="000000" w:themeColor="text1"/>
          <w:sz w:val="22"/>
          <w:szCs w:val="22"/>
        </w:rPr>
      </w:pPr>
    </w:p>
    <w:p w14:paraId="119ACC02" w14:textId="77777777" w:rsidR="00BF4A53" w:rsidRPr="00667B31" w:rsidRDefault="00BF4A53" w:rsidP="00BF4A53">
      <w:pPr>
        <w:spacing w:line="360" w:lineRule="auto"/>
        <w:jc w:val="both"/>
        <w:rPr>
          <w:rFonts w:ascii="Arial" w:eastAsia="Times New Roman" w:hAnsi="Arial" w:cs="Arial"/>
          <w:color w:val="000000" w:themeColor="text1"/>
          <w:sz w:val="22"/>
          <w:szCs w:val="22"/>
        </w:rPr>
      </w:pPr>
    </w:p>
    <w:p w14:paraId="7A912E2F" w14:textId="77777777" w:rsidR="00BF4A53" w:rsidRPr="00667B31" w:rsidRDefault="00BF4A53" w:rsidP="00BF4A53">
      <w:pPr>
        <w:spacing w:line="360" w:lineRule="auto"/>
        <w:jc w:val="both"/>
        <w:rPr>
          <w:rFonts w:ascii="Arial" w:eastAsia="Times New Roman" w:hAnsi="Arial" w:cs="Arial"/>
          <w:color w:val="000000" w:themeColor="text1"/>
          <w:sz w:val="22"/>
          <w:szCs w:val="22"/>
        </w:rPr>
      </w:pPr>
    </w:p>
    <w:p w14:paraId="2EA5A987" w14:textId="77777777" w:rsidR="00BF4A53" w:rsidRPr="00667B31" w:rsidRDefault="00BF4A53" w:rsidP="00BF4A53">
      <w:pPr>
        <w:spacing w:line="360" w:lineRule="auto"/>
        <w:jc w:val="both"/>
        <w:rPr>
          <w:rFonts w:ascii="Arial" w:eastAsia="Times New Roman" w:hAnsi="Arial" w:cs="Arial"/>
          <w:color w:val="000000" w:themeColor="text1"/>
          <w:sz w:val="22"/>
          <w:szCs w:val="22"/>
        </w:rPr>
      </w:pPr>
    </w:p>
    <w:p w14:paraId="24655B9D" w14:textId="77777777" w:rsidR="00BF4A53" w:rsidRPr="00667B31" w:rsidRDefault="00BF4A53" w:rsidP="00BF4A53">
      <w:pPr>
        <w:spacing w:line="360" w:lineRule="auto"/>
        <w:jc w:val="both"/>
        <w:rPr>
          <w:rFonts w:ascii="Arial" w:eastAsia="Times New Roman" w:hAnsi="Arial" w:cs="Arial"/>
          <w:color w:val="000000" w:themeColor="text1"/>
          <w:sz w:val="22"/>
          <w:szCs w:val="22"/>
        </w:rPr>
      </w:pPr>
    </w:p>
    <w:p w14:paraId="5F785905" w14:textId="77777777" w:rsidR="00BF4A53" w:rsidRPr="00667B31" w:rsidRDefault="00BF4A53" w:rsidP="00BF4A53">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4.5 Effectiveness and Accessibility of Support Services </w:t>
      </w:r>
    </w:p>
    <w:p w14:paraId="26FBFD7E" w14:textId="77777777" w:rsidR="00BF4A53" w:rsidRPr="00667B31" w:rsidRDefault="00BF4A53" w:rsidP="00BF4A53">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 Theme 3</w:t>
      </w:r>
    </w:p>
    <w:p w14:paraId="2C389B19"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Access to appropriate health and social care support services is crucial to the wellness of informal carers of people with Alzheimer's disease. Respite care, memory services, medical specialists, volunteer organisations and emotional support programmes were reported as helpful resources (NICE, 2018; NHS England, 2023).  However, many carers felt they were experiencing difficulties accessing timely and appropriate services, despite the fact that services were available in the UK. This theme </w:t>
      </w:r>
      <w:proofErr w:type="gramStart"/>
      <w:r w:rsidRPr="00667B31">
        <w:rPr>
          <w:rFonts w:ascii="Arial" w:hAnsi="Arial" w:cs="Arial"/>
          <w:color w:val="000000" w:themeColor="text1"/>
          <w:sz w:val="22"/>
          <w:szCs w:val="22"/>
        </w:rPr>
        <w:t>assess</w:t>
      </w:r>
      <w:proofErr w:type="gramEnd"/>
      <w:r w:rsidRPr="00667B31">
        <w:rPr>
          <w:rFonts w:ascii="Arial" w:hAnsi="Arial" w:cs="Arial"/>
          <w:color w:val="000000" w:themeColor="text1"/>
          <w:sz w:val="22"/>
          <w:szCs w:val="22"/>
        </w:rPr>
        <w:t xml:space="preserve"> the current support services' efficacy and accessibility as well as their capacity to adapt to the changing demands of carers as Alzheimer's disease progresses.</w:t>
      </w:r>
    </w:p>
    <w:p w14:paraId="12A2DD22" w14:textId="77777777" w:rsidR="00BF4A53" w:rsidRPr="00667B31" w:rsidRDefault="00BF4A53" w:rsidP="00BF4A53">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Support Services' Availability</w:t>
      </w:r>
    </w:p>
    <w:p w14:paraId="0D0A2D08"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The literature indicates there are various services available to help carers of people with Alzheimer's disease. These include specialist nurses in the NHS memory clinics, assessments for carers, respite care, support groups and education groups such as Carers UK or the Alzheimer's Society (Alzheimer’s 2025; carers UK, 2023). As well as a person-centred focus on support for people with dementia, NICE (2018) recommends that carers' needs should be assessed regularly.</w:t>
      </w:r>
    </w:p>
    <w:p w14:paraId="5A6E50EA"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(Alzheimer's Society, 2024) states that carers who receive access to the knowledge and advice early are able to more fully understand what is happening with the person with Alzheimer's and prepare for future care needs. Similarly, (Carers UK, 2024) reports that education and support groups help to enhance carers' self-esteem, reduce loneliness and increase their ability to manage challenging caring responsibilities.</w:t>
      </w:r>
    </w:p>
    <w:p w14:paraId="55230603"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However, although these are positive findings, there is a disparity across the various regions of the UK in terms of access to services. Access to specialist dementia support and respite services varies significantly (Giebel et al., 2024) and there are reports of long waiting times and services being unavailable or limited for carers. From these findings it is clear that support services do not necessarily need to be equitable. (Challis et al., 2023)</w:t>
      </w:r>
    </w:p>
    <w:p w14:paraId="3BAA753C" w14:textId="77777777" w:rsidR="00BF4A53" w:rsidRPr="00667B31" w:rsidRDefault="00BF4A53" w:rsidP="00BF4A53">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Barriers to Access</w:t>
      </w:r>
    </w:p>
    <w:p w14:paraId="156057F7"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The research identified some barriers which prevent carers from accessing support. Lack of knowledge about the services that are accessible was one concern that was frequently mentioned. Many carers reported that they received insufficient information following a diagnosis leaving them confused about where to seek emotional support and/or practical help (Dementia Carers Count, 2025).</w:t>
      </w:r>
    </w:p>
    <w:p w14:paraId="2C1B580D"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Access to assistance was also impacted by financial limitations. Although a lot of NHS and local authority services are available free of charge there are services which have very strict qualifying criteria or require a financial contribution from the individual. This could make it more challenging for carers from lower socio-economic backgrounds to avail of other carer support services and respite care (Carers UK, 2024).</w:t>
      </w:r>
    </w:p>
    <w:p w14:paraId="300DC2D7"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Another cause of service delivery variation is the geographical differences. In many cases, there are fewer specialist dementia services in rural areas than in urban areas so carers have to travel further to access services and appointments. These differences highlight the role of social factors on access to care and underscore other disparities in health and social care system. (Thomas and Morris, 2022).</w:t>
      </w:r>
    </w:p>
    <w:p w14:paraId="1AF87CF6" w14:textId="77777777" w:rsidR="00BF4A53" w:rsidRPr="00667B31" w:rsidRDefault="00BF4A53" w:rsidP="00BF4A53">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The effectiveness of existing services. </w:t>
      </w:r>
    </w:p>
    <w:p w14:paraId="49DEAE73"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Despite the literature showing that where carers use support service successfully, ratings tend to be positive, the literature suggests that provision is often inadequate to the needs arising. NICE (2018) highlights the importance of co-ordinated, person-centred care with multi-disciplinary teams, regular assessments and carers involved in decision making. </w:t>
      </w:r>
      <w:proofErr w:type="gramStart"/>
      <w:r w:rsidRPr="00667B31">
        <w:rPr>
          <w:rFonts w:ascii="Arial" w:hAnsi="Arial" w:cs="Arial"/>
          <w:color w:val="000000" w:themeColor="text1"/>
          <w:sz w:val="22"/>
          <w:szCs w:val="22"/>
        </w:rPr>
        <w:t>However</w:t>
      </w:r>
      <w:proofErr w:type="gramEnd"/>
      <w:r w:rsidRPr="00667B31">
        <w:rPr>
          <w:rFonts w:ascii="Arial" w:hAnsi="Arial" w:cs="Arial"/>
          <w:color w:val="000000" w:themeColor="text1"/>
          <w:sz w:val="22"/>
          <w:szCs w:val="22"/>
        </w:rPr>
        <w:t xml:space="preserve"> evidence suggests that the implementation is still variable between services.</w:t>
      </w:r>
    </w:p>
    <w:p w14:paraId="7ED75DBF"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(Giebel et al., 2024) found that poor service delivery results in loss of service continuity and an increase in the burden for carers in scheduling appointments and the complex healthcare system. Dementia Carers Count (2025) indicates that despite having access to the resources available, many carers continue to feel physically and emotionally exhausted, indicating that the support that is currently available may not be sufficient to meet complex long-term needs.</w:t>
      </w:r>
    </w:p>
    <w:p w14:paraId="27345EC6" w14:textId="77777777" w:rsidR="00BF4A53" w:rsidRPr="00667B31" w:rsidRDefault="00BF4A53" w:rsidP="00BF4A53">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However, the carers that were cared for by medical staff, non-governmental organizations and family members reported greater happiness and improved well-being. These results imply that the efficiency of support services is dependent on their coordination, accessibility, and responsiveness to the needs of specific carers in addition to their availability. (NHS England, 2023)</w:t>
      </w:r>
    </w:p>
    <w:p w14:paraId="1F24AB79" w14:textId="77777777" w:rsidR="00BF4A53" w:rsidRPr="00667B31" w:rsidRDefault="00BF4A53" w:rsidP="00BF4A53">
      <w:pPr>
        <w:pStyle w:val="NormalWeb"/>
        <w:spacing w:line="360" w:lineRule="auto"/>
        <w:jc w:val="both"/>
        <w:rPr>
          <w:rFonts w:ascii="Arial" w:hAnsi="Arial" w:cs="Arial"/>
          <w:color w:val="000000" w:themeColor="text1"/>
          <w:sz w:val="22"/>
          <w:szCs w:val="22"/>
        </w:rPr>
      </w:pPr>
    </w:p>
    <w:p w14:paraId="5CD2F6C1" w14:textId="77777777" w:rsidR="00BF4A53" w:rsidRPr="00667B31" w:rsidRDefault="00BF4A53" w:rsidP="00BF4A53">
      <w:pPr>
        <w:pStyle w:val="NormalWeb"/>
        <w:spacing w:line="360" w:lineRule="auto"/>
        <w:jc w:val="both"/>
        <w:rPr>
          <w:rFonts w:ascii="Arial" w:hAnsi="Arial" w:cs="Arial"/>
          <w:color w:val="000000" w:themeColor="text1"/>
          <w:sz w:val="22"/>
          <w:szCs w:val="22"/>
        </w:rPr>
      </w:pPr>
    </w:p>
    <w:p w14:paraId="245133FD" w14:textId="77777777" w:rsidR="00BF4A53" w:rsidRPr="00667B31" w:rsidRDefault="00BF4A53" w:rsidP="00BF4A53">
      <w:p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Analytical Criticism</w:t>
      </w:r>
    </w:p>
    <w:p w14:paraId="5A443DA3" w14:textId="77777777" w:rsidR="00BF4A53" w:rsidRPr="00667B31" w:rsidRDefault="00BF4A53" w:rsidP="00BF4A53">
      <w:pPr>
        <w:spacing w:line="360" w:lineRule="auto"/>
        <w:jc w:val="both"/>
        <w:rPr>
          <w:rFonts w:ascii="Arial" w:eastAsia="Times New Roman" w:hAnsi="Arial" w:cs="Arial"/>
          <w:b/>
          <w:color w:val="000000" w:themeColor="text1"/>
          <w:sz w:val="22"/>
          <w:szCs w:val="22"/>
        </w:rPr>
      </w:pPr>
    </w:p>
    <w:p w14:paraId="06FD700F"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Research often identifies support services as being vital in reducing carer strain and increasing quality of life. But there are key differences between policies and experience of carers.</w:t>
      </w:r>
    </w:p>
    <w:p w14:paraId="43C09AC2"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There are a number of current pieces of legislation in the UK which support person centred care and recognise carers as individuals with their own needs and support, such as the Care Act 2014 and NICE guidelines. But on ground data shows that implementation is still irregular due to the regional variations in terms of service availability, financing availability and personnel requirements. This policy/practice gap is one of the biggest outcomes of the research. (The Care Act 2014; Arksey and Glendinning, 2022).</w:t>
      </w:r>
    </w:p>
    <w:p w14:paraId="4EFDDDDE" w14:textId="77777777" w:rsidR="00BF4A53" w:rsidRPr="00667B31" w:rsidRDefault="00BF4A53" w:rsidP="00BF4A53">
      <w:pPr>
        <w:spacing w:line="360" w:lineRule="auto"/>
        <w:jc w:val="both"/>
        <w:rPr>
          <w:rFonts w:ascii="Arial" w:eastAsia="Times New Roman" w:hAnsi="Arial" w:cs="Arial"/>
          <w:color w:val="000000" w:themeColor="text1"/>
          <w:sz w:val="22"/>
          <w:szCs w:val="22"/>
        </w:rPr>
      </w:pPr>
    </w:p>
    <w:p w14:paraId="7C355BDF"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It is a strength of current UK research that there is increasing focus on the perspectives of carers and not only those of patients. This allows for a deeper understanding of the nature of caring experiences and opportunities for how services can be enhanced. But there are only limited opportunities to assess the effectiveness of specific interventions, as most evidence is qualitative. Additional intervention-based and longitudinal studies would help inform understanding of which types of support services are most helpful for carers in the long-term.</w:t>
      </w:r>
    </w:p>
    <w:p w14:paraId="26126C21"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In general, the information indicates the UK has extensive dementia support initiatives in place, with significant challenges to access and effectiveness. These barriers can be overcome by tackling the issues of better service integration, improved funding and early carer support to reduce carer load and enhance patient and carer outcomes. (Department of Health and Social Care, 2022).</w:t>
      </w:r>
    </w:p>
    <w:p w14:paraId="2BCAFA0B" w14:textId="77777777" w:rsidR="00BF4A53" w:rsidRPr="00667B31" w:rsidRDefault="00BF4A53" w:rsidP="00BF4A53">
      <w:pPr>
        <w:spacing w:line="360" w:lineRule="auto"/>
        <w:jc w:val="both"/>
        <w:rPr>
          <w:rFonts w:ascii="Arial" w:eastAsia="Times New Roman" w:hAnsi="Arial" w:cs="Arial"/>
          <w:color w:val="000000" w:themeColor="text1"/>
          <w:sz w:val="22"/>
          <w:szCs w:val="22"/>
        </w:rPr>
      </w:pPr>
    </w:p>
    <w:p w14:paraId="24E7397C" w14:textId="77777777" w:rsidR="00BF4A53" w:rsidRPr="00667B31" w:rsidRDefault="00BF4A53" w:rsidP="00BF4A53">
      <w:p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 xml:space="preserve">4.6 Overall Discussion </w:t>
      </w:r>
    </w:p>
    <w:p w14:paraId="55951A72" w14:textId="77777777" w:rsidR="00BF4A53" w:rsidRPr="00667B31" w:rsidRDefault="00BF4A53" w:rsidP="00BF4A53">
      <w:pPr>
        <w:spacing w:line="360" w:lineRule="auto"/>
        <w:jc w:val="both"/>
        <w:rPr>
          <w:rFonts w:ascii="Arial" w:eastAsia="Times New Roman" w:hAnsi="Arial" w:cs="Arial"/>
          <w:b/>
          <w:color w:val="000000" w:themeColor="text1"/>
          <w:sz w:val="22"/>
          <w:szCs w:val="22"/>
        </w:rPr>
      </w:pPr>
    </w:p>
    <w:p w14:paraId="54245D6E"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The thematic analysis reveals that the informal carers of those living with Alzheimer's disease have a range of inter-related problems which affect their quality of life, financial security, physical health and emotional status. These challenge do not </w:t>
      </w:r>
      <w:proofErr w:type="gramStart"/>
      <w:r w:rsidRPr="00667B31">
        <w:rPr>
          <w:rFonts w:ascii="Arial" w:eastAsia="Times New Roman" w:hAnsi="Arial" w:cs="Arial"/>
          <w:color w:val="000000" w:themeColor="text1"/>
          <w:sz w:val="22"/>
          <w:szCs w:val="22"/>
        </w:rPr>
        <w:t>ad</w:t>
      </w:r>
      <w:r>
        <w:rPr>
          <w:rFonts w:ascii="Arial" w:eastAsia="Times New Roman" w:hAnsi="Arial" w:cs="Arial"/>
          <w:color w:val="000000" w:themeColor="text1"/>
          <w:sz w:val="22"/>
          <w:szCs w:val="22"/>
        </w:rPr>
        <w:t>d</w:t>
      </w:r>
      <w:r w:rsidRPr="00667B31">
        <w:rPr>
          <w:rFonts w:ascii="Arial" w:eastAsia="Times New Roman" w:hAnsi="Arial" w:cs="Arial"/>
          <w:color w:val="000000" w:themeColor="text1"/>
          <w:sz w:val="22"/>
          <w:szCs w:val="22"/>
        </w:rPr>
        <w:t>ressed</w:t>
      </w:r>
      <w:proofErr w:type="gramEnd"/>
      <w:r w:rsidRPr="00667B31">
        <w:rPr>
          <w:rFonts w:ascii="Arial" w:eastAsia="Times New Roman" w:hAnsi="Arial" w:cs="Arial"/>
          <w:color w:val="000000" w:themeColor="text1"/>
          <w:sz w:val="22"/>
          <w:szCs w:val="22"/>
        </w:rPr>
        <w:t xml:space="preserve"> in isolation with each topic highlighting a different aspect of care; however, they are each a demonstration of a problem. Instead, as the course of Alzheimer's progresses, a pattern of emotional strain, fatigue, financial difficulties, and difficulties in accessing support services becomes established—in other words, a cumulative caring burden. (Pearlin et al.,1990)</w:t>
      </w:r>
    </w:p>
    <w:p w14:paraId="122132E2" w14:textId="77777777" w:rsidR="00BF4A53" w:rsidRPr="00667B31" w:rsidRDefault="00BF4A53" w:rsidP="00BF4A53">
      <w:pPr>
        <w:spacing w:line="360" w:lineRule="auto"/>
        <w:jc w:val="both"/>
        <w:rPr>
          <w:rFonts w:ascii="Arial" w:eastAsia="Times New Roman" w:hAnsi="Arial" w:cs="Arial"/>
          <w:color w:val="000000" w:themeColor="text1"/>
          <w:sz w:val="22"/>
          <w:szCs w:val="22"/>
        </w:rPr>
      </w:pPr>
    </w:p>
    <w:p w14:paraId="1EA9CD7D"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Many of the other caring problems are found to be related to emotional and psychological stress. Stress, worry and emotional tiredness are common symptoms among carers, according to research by Brodaty and Donkin (2019), Giebel et al., (2024) and the Alzheimer's Society (2024). However, earlier research emphasized the progressive nature of the AD which can be emotionally upsetting, whereas later studies conducted in the UK also noted the impact of external factors such as the difficulty of gaining access to respite care, the absence of a health system and lack of information following diagnosis. This shift is due to the growing recognition of the significance of the structural and individual factors to carers' wellbeing.</w:t>
      </w:r>
    </w:p>
    <w:p w14:paraId="733CEF87" w14:textId="77777777" w:rsidR="00BF4A53" w:rsidRPr="00667B31" w:rsidRDefault="00BF4A53" w:rsidP="00BF4A53">
      <w:pPr>
        <w:spacing w:line="360" w:lineRule="auto"/>
        <w:jc w:val="both"/>
        <w:rPr>
          <w:rFonts w:ascii="Arial" w:eastAsia="Times New Roman" w:hAnsi="Arial" w:cs="Arial"/>
          <w:color w:val="000000" w:themeColor="text1"/>
          <w:sz w:val="22"/>
          <w:szCs w:val="22"/>
        </w:rPr>
      </w:pPr>
    </w:p>
    <w:p w14:paraId="03BDF3F3"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Similarly, the financial burden is found to be closely tied to the physical burden, as revealed by research. Many carers reduce their working hours or stop working altogether to give their child better care provide better care for the person living with Alzheimer’s disease. putting them at financial risk and increasing their emotional burden. Carers UK (2024) and Dementia Carers Count (2025) report that unpaid carers are less likely to be working and face financial insecurity for the longer-term due to competing responsibilities. The results show the importance of recognising carers as individual people whose physical, social and financial needs are important, rather than just focusing on the person with dementia.</w:t>
      </w:r>
    </w:p>
    <w:p w14:paraId="294465F4" w14:textId="77777777" w:rsidR="00BF4A53" w:rsidRPr="00667B31" w:rsidRDefault="00BF4A53" w:rsidP="00BF4A53">
      <w:pPr>
        <w:spacing w:line="360" w:lineRule="auto"/>
        <w:jc w:val="both"/>
        <w:rPr>
          <w:rFonts w:ascii="Arial" w:eastAsia="Times New Roman" w:hAnsi="Arial" w:cs="Arial"/>
          <w:color w:val="000000" w:themeColor="text1"/>
          <w:sz w:val="22"/>
          <w:szCs w:val="22"/>
        </w:rPr>
      </w:pPr>
    </w:p>
    <w:p w14:paraId="40080FB7"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Policy and practice for support services are found to be significantly different in the assessment. There are two national guidelines that support person centred care; The Care Act (2014) and NICE (2018) recognise the importance of carers and multidisciplinary care planning. But there is ongoing research which continues to reveal that the use of implementation is not consistent throughout each of the regions in the United Kingdom. Timely and appropriate access to carers' support is still impacted by long wait times, limited service provision, lack of workers and geographic variations (Giebel et al., 2024; Dementia Carers Count, 2025).</w:t>
      </w:r>
    </w:p>
    <w:p w14:paraId="104FC3AA" w14:textId="77777777" w:rsidR="00BF4A53" w:rsidRPr="00667B31" w:rsidRDefault="00BF4A53" w:rsidP="00BF4A53">
      <w:pPr>
        <w:spacing w:line="360" w:lineRule="auto"/>
        <w:jc w:val="both"/>
        <w:rPr>
          <w:rFonts w:ascii="Arial" w:eastAsia="Times New Roman" w:hAnsi="Arial" w:cs="Arial"/>
          <w:color w:val="000000" w:themeColor="text1"/>
          <w:sz w:val="22"/>
          <w:szCs w:val="22"/>
        </w:rPr>
      </w:pPr>
    </w:p>
    <w:p w14:paraId="5F11FE9D"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The findings also indicate that carers who accessed co-ordinated support services had a higher emotional wellbeing score, and expressed greater confidence in their caregiving. This means that a different integrated approach, with skills from medical professionals, non profits, and community support, can be more effective in lowering the burden on carers compared to treating them individually. There is therefore a need to maintain a focus on further improving the coordination between health and social care systems in future policy and practice.</w:t>
      </w:r>
    </w:p>
    <w:p w14:paraId="5061AD2B" w14:textId="77777777" w:rsidR="00BF4A53" w:rsidRPr="00667B31" w:rsidRDefault="00BF4A53" w:rsidP="00BF4A53">
      <w:pPr>
        <w:spacing w:line="360" w:lineRule="auto"/>
        <w:jc w:val="both"/>
        <w:rPr>
          <w:rFonts w:ascii="Arial" w:eastAsia="Times New Roman" w:hAnsi="Arial" w:cs="Arial"/>
          <w:color w:val="000000" w:themeColor="text1"/>
          <w:sz w:val="22"/>
          <w:szCs w:val="22"/>
        </w:rPr>
      </w:pPr>
    </w:p>
    <w:p w14:paraId="4E3D262F"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The reviewed has been increasingly focused on the experiences of the carer as a source of valuable information on what it is like to care for people with Alzheimer's disease in practice. However, there were a few limitations mentioned. The use of self-reported data in numerous research studies increased the risk of response bias. In addition, many of the sources used were qualitative with small sample sizes which can limit the generalizability of the findings. It is useful to understand the qualitative aspects of the experiences of carers, but it would be beneficial to have more longitudinal studies and quantitative research to recognise the effects of carer burden as the disease progresses and to determine which interventions are most likely to have long-term benefits.</w:t>
      </w:r>
    </w:p>
    <w:p w14:paraId="1AEEB191" w14:textId="77777777" w:rsidR="00BF4A53" w:rsidRPr="00667B31" w:rsidRDefault="00BF4A53" w:rsidP="00BF4A53">
      <w:pPr>
        <w:spacing w:line="360" w:lineRule="auto"/>
        <w:jc w:val="both"/>
        <w:rPr>
          <w:rFonts w:ascii="Arial" w:eastAsia="Times New Roman" w:hAnsi="Arial" w:cs="Arial"/>
          <w:color w:val="000000" w:themeColor="text1"/>
          <w:sz w:val="22"/>
          <w:szCs w:val="22"/>
        </w:rPr>
      </w:pPr>
    </w:p>
    <w:p w14:paraId="521ECF02"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In general, the thematic analysis indicates that giving practical support is just one part of caring for individuals with Alzheimer's disease. The emotional, physical, financial and social challenges of caring can be complex and demanding, and need support that is all encompassing, well coordinated and person centred. The following is required to address these issues if continued funding for dementia services, improved access to respite care, early education for carers and improved communication and collaboration between health and social care agencies is required. The findings of this study definitely fulfil the purpose of the study as it reveals that, although there are many types of support services available in the UK, there is still a long way to go to ensure that carers get the right support at the right time along the process of caring.</w:t>
      </w:r>
    </w:p>
    <w:p w14:paraId="02F85693" w14:textId="77777777" w:rsidR="00BF4A53" w:rsidRPr="00667B31" w:rsidRDefault="00BF4A53" w:rsidP="00BF4A53">
      <w:pPr>
        <w:spacing w:before="100" w:beforeAutospacing="1" w:after="100" w:afterAutospacing="1" w:line="360" w:lineRule="auto"/>
        <w:jc w:val="both"/>
        <w:rPr>
          <w:rFonts w:ascii="Arial" w:eastAsia="Times New Roman" w:hAnsi="Arial" w:cs="Arial"/>
          <w:b/>
          <w:color w:val="000000" w:themeColor="text1"/>
          <w:sz w:val="22"/>
          <w:szCs w:val="22"/>
          <w:lang w:bidi="en-GB"/>
        </w:rPr>
      </w:pPr>
      <w:r w:rsidRPr="00667B31">
        <w:rPr>
          <w:rFonts w:ascii="Arial" w:eastAsia="Times New Roman" w:hAnsi="Arial" w:cs="Arial"/>
          <w:b/>
          <w:color w:val="000000" w:themeColor="text1"/>
          <w:sz w:val="22"/>
          <w:szCs w:val="22"/>
          <w:lang w:bidi="en-GB"/>
        </w:rPr>
        <w:t xml:space="preserve">4.7 Chapter Conclusion </w:t>
      </w:r>
    </w:p>
    <w:p w14:paraId="0C1DE686" w14:textId="77777777" w:rsidR="00BF4A53" w:rsidRPr="00667B31" w:rsidRDefault="00BF4A53" w:rsidP="00BF4A53">
      <w:pPr>
        <w:spacing w:before="100" w:beforeAutospacing="1" w:after="100" w:afterAutospacing="1" w:line="360" w:lineRule="auto"/>
        <w:jc w:val="both"/>
        <w:rPr>
          <w:rFonts w:ascii="Arial" w:eastAsia="Times New Roman" w:hAnsi="Arial" w:cs="Arial"/>
          <w:color w:val="000000" w:themeColor="text1"/>
          <w:sz w:val="22"/>
          <w:szCs w:val="22"/>
          <w:lang w:bidi="en-GB"/>
        </w:rPr>
      </w:pPr>
      <w:r w:rsidRPr="00667B31">
        <w:rPr>
          <w:rFonts w:ascii="Arial" w:eastAsia="Times New Roman" w:hAnsi="Arial" w:cs="Arial"/>
          <w:color w:val="000000" w:themeColor="text1"/>
          <w:sz w:val="22"/>
          <w:szCs w:val="22"/>
          <w:lang w:bidi="en-GB"/>
        </w:rPr>
        <w:t xml:space="preserve">The theme analysis method developed by Braun and Clarke was used to describe the result of the secondary literature review in this chapter. Physical and financial load, emotional and psychological burden, and the availability and efficacy of support services were found to be the three main themes. As a whole these findings indicate that care provision for a person with Alzheimer's disease has complex and significant consequences for unpaid carers. Although current policy and support structures in the UK recognise the importance of supporting carers, there are still some gaps in the literature between policy intentions and service provision. Respite care and regional differences continue to affect carer welfare, along with the increasing need for care. The findings highlight the importance of more accessible, person-centred and integrated support services which recognise the carer as an important partner in dementia care. </w:t>
      </w:r>
    </w:p>
    <w:p w14:paraId="72216118" w14:textId="77777777" w:rsidR="00BF4A53" w:rsidRPr="00667B31" w:rsidRDefault="00BF4A53" w:rsidP="00BF4A53">
      <w:pPr>
        <w:spacing w:before="100" w:beforeAutospacing="1" w:after="100" w:afterAutospacing="1" w:line="360" w:lineRule="auto"/>
        <w:jc w:val="both"/>
        <w:rPr>
          <w:rFonts w:ascii="Arial" w:eastAsia="Times New Roman" w:hAnsi="Arial" w:cs="Arial"/>
          <w:color w:val="000000" w:themeColor="text1"/>
          <w:sz w:val="22"/>
          <w:szCs w:val="22"/>
          <w:lang w:bidi="en-GB"/>
        </w:rPr>
      </w:pPr>
      <w:r w:rsidRPr="00667B31">
        <w:rPr>
          <w:rFonts w:ascii="Arial" w:eastAsia="Times New Roman" w:hAnsi="Arial" w:cs="Arial"/>
          <w:color w:val="000000" w:themeColor="text1"/>
          <w:sz w:val="22"/>
          <w:szCs w:val="22"/>
          <w:lang w:bidi="en-GB"/>
        </w:rPr>
        <w:t xml:space="preserve">The summary of general conclusions made in the dissertation and recommendations for the continuation of research, practice and policy are presented in the next chapter. </w:t>
      </w:r>
    </w:p>
    <w:p w14:paraId="0596D252" w14:textId="77777777" w:rsidR="00BF4A53" w:rsidRPr="00667B31" w:rsidRDefault="00BF4A53" w:rsidP="00BF4A53">
      <w:pPr>
        <w:spacing w:before="100" w:beforeAutospacing="1" w:after="100" w:afterAutospacing="1" w:line="360" w:lineRule="auto"/>
        <w:jc w:val="both"/>
        <w:rPr>
          <w:rFonts w:ascii="Arial" w:eastAsia="Times New Roman" w:hAnsi="Arial" w:cs="Arial"/>
          <w:color w:val="000000" w:themeColor="text1"/>
          <w:sz w:val="22"/>
          <w:szCs w:val="22"/>
          <w:lang w:bidi="en-GB"/>
        </w:rPr>
      </w:pPr>
    </w:p>
    <w:p w14:paraId="060F3AAE" w14:textId="77777777" w:rsidR="00BF4A53" w:rsidRPr="00667B31" w:rsidRDefault="00BF4A53" w:rsidP="00BF4A53">
      <w:pPr>
        <w:spacing w:before="100" w:beforeAutospacing="1" w:after="100" w:afterAutospacing="1" w:line="360" w:lineRule="auto"/>
        <w:jc w:val="both"/>
        <w:rPr>
          <w:rFonts w:ascii="Arial" w:eastAsia="Times New Roman" w:hAnsi="Arial" w:cs="Arial"/>
          <w:color w:val="000000" w:themeColor="text1"/>
          <w:sz w:val="22"/>
          <w:szCs w:val="22"/>
          <w:lang w:bidi="en-GB"/>
        </w:rPr>
      </w:pPr>
    </w:p>
    <w:p w14:paraId="114AE31B" w14:textId="77777777" w:rsidR="00BF4A53" w:rsidRPr="00667B31" w:rsidRDefault="00BF4A53" w:rsidP="00BF4A53">
      <w:pPr>
        <w:spacing w:before="100" w:beforeAutospacing="1" w:after="100" w:afterAutospacing="1" w:line="360" w:lineRule="auto"/>
        <w:jc w:val="both"/>
        <w:rPr>
          <w:rFonts w:ascii="Arial" w:eastAsia="Times New Roman" w:hAnsi="Arial" w:cs="Arial"/>
          <w:color w:val="000000" w:themeColor="text1"/>
          <w:sz w:val="22"/>
          <w:szCs w:val="22"/>
          <w:lang w:bidi="en-GB"/>
        </w:rPr>
      </w:pPr>
    </w:p>
    <w:p w14:paraId="00F737A3" w14:textId="77777777" w:rsidR="00BF4A53" w:rsidRPr="00667B31" w:rsidRDefault="00BF4A53" w:rsidP="00BF4A53">
      <w:pPr>
        <w:pStyle w:val="Heading1"/>
        <w:spacing w:line="360" w:lineRule="auto"/>
        <w:ind w:left="0"/>
        <w:jc w:val="both"/>
        <w:rPr>
          <w:rFonts w:eastAsia="Times New Roman" w:cs="Arial"/>
          <w:color w:val="000000" w:themeColor="text1"/>
          <w:sz w:val="22"/>
          <w:szCs w:val="22"/>
        </w:rPr>
      </w:pPr>
      <w:r w:rsidRPr="00667B31">
        <w:rPr>
          <w:rFonts w:eastAsia="Times New Roman" w:cs="Arial"/>
          <w:color w:val="000000" w:themeColor="text1"/>
          <w:sz w:val="22"/>
          <w:szCs w:val="22"/>
        </w:rPr>
        <w:t xml:space="preserve">CHAPTER 5 </w:t>
      </w:r>
    </w:p>
    <w:p w14:paraId="271E1DDE" w14:textId="77777777" w:rsidR="00BF4A53" w:rsidRPr="00667B31" w:rsidRDefault="00BF4A53" w:rsidP="00BF4A53">
      <w:pPr>
        <w:pStyle w:val="Heading1"/>
        <w:spacing w:line="360" w:lineRule="auto"/>
        <w:jc w:val="both"/>
        <w:rPr>
          <w:rFonts w:eastAsia="Times New Roman" w:cs="Arial"/>
          <w:color w:val="000000" w:themeColor="text1"/>
          <w:sz w:val="22"/>
          <w:szCs w:val="22"/>
        </w:rPr>
      </w:pPr>
    </w:p>
    <w:p w14:paraId="496C8339" w14:textId="77777777" w:rsidR="00BF4A53" w:rsidRPr="00667B31" w:rsidRDefault="00BF4A53" w:rsidP="00BF4A53">
      <w:pPr>
        <w:pStyle w:val="Heading1"/>
        <w:spacing w:line="360" w:lineRule="auto"/>
        <w:ind w:left="0"/>
        <w:jc w:val="both"/>
        <w:rPr>
          <w:rFonts w:eastAsia="Times New Roman" w:cs="Arial"/>
          <w:color w:val="000000" w:themeColor="text1"/>
          <w:sz w:val="22"/>
          <w:szCs w:val="22"/>
        </w:rPr>
      </w:pPr>
      <w:r w:rsidRPr="00667B31">
        <w:rPr>
          <w:rFonts w:eastAsia="Times New Roman" w:cs="Arial"/>
          <w:color w:val="000000" w:themeColor="text1"/>
          <w:sz w:val="22"/>
          <w:szCs w:val="22"/>
        </w:rPr>
        <w:t>Conclusion and Recommendations</w:t>
      </w:r>
    </w:p>
    <w:p w14:paraId="62F3022D" w14:textId="77777777" w:rsidR="00BF4A53" w:rsidRPr="00667B31" w:rsidRDefault="00BF4A53" w:rsidP="00BF4A53">
      <w:pPr>
        <w:pStyle w:val="Heading1"/>
        <w:spacing w:line="360" w:lineRule="auto"/>
        <w:ind w:left="0"/>
        <w:jc w:val="both"/>
        <w:rPr>
          <w:rFonts w:eastAsia="Times New Roman" w:cs="Arial"/>
          <w:color w:val="000000" w:themeColor="text1"/>
          <w:sz w:val="22"/>
          <w:szCs w:val="22"/>
        </w:rPr>
      </w:pPr>
    </w:p>
    <w:p w14:paraId="1FA7600D" w14:textId="77777777" w:rsidR="00BF4A53" w:rsidRPr="00667B31" w:rsidRDefault="00BF4A53" w:rsidP="00BF4A53">
      <w:pPr>
        <w:pStyle w:val="Heading2"/>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 xml:space="preserve">5.1 Overall Conclusion </w:t>
      </w:r>
    </w:p>
    <w:p w14:paraId="731C952E" w14:textId="77777777" w:rsidR="00BF4A53" w:rsidRPr="00667B31" w:rsidRDefault="00BF4A53" w:rsidP="00BF4A53">
      <w:pPr>
        <w:spacing w:line="360" w:lineRule="auto"/>
        <w:jc w:val="both"/>
        <w:rPr>
          <w:rFonts w:ascii="Arial" w:hAnsi="Arial" w:cs="Arial"/>
          <w:color w:val="000000" w:themeColor="text1"/>
          <w:sz w:val="22"/>
          <w:szCs w:val="22"/>
        </w:rPr>
      </w:pPr>
    </w:p>
    <w:p w14:paraId="2A940A56" w14:textId="77777777" w:rsidR="00BF4A53" w:rsidRPr="00667B31" w:rsidRDefault="00BF4A53" w:rsidP="00BF4A53">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This dissertation looked at the challenges faced by unpaid carers of individuals with Alzheimer's disease as well as the resources accessible to them in the UK. The secondary research was done as per the thematic analysis approach of Braun and Clarke and the relevant literature was identified, analysed and combined. The three common themes were support services availability and effectiveness, physical and financial pressure and emotional and psychological stress.</w:t>
      </w:r>
    </w:p>
    <w:p w14:paraId="0C5D4C34" w14:textId="77777777" w:rsidR="00BF4A53" w:rsidRPr="00667B31" w:rsidRDefault="00BF4A53" w:rsidP="00BF4A53">
      <w:pPr>
        <w:spacing w:line="360" w:lineRule="auto"/>
        <w:jc w:val="both"/>
        <w:rPr>
          <w:rFonts w:ascii="Arial" w:hAnsi="Arial" w:cs="Arial"/>
          <w:color w:val="000000" w:themeColor="text1"/>
          <w:sz w:val="22"/>
          <w:szCs w:val="22"/>
        </w:rPr>
      </w:pPr>
    </w:p>
    <w:p w14:paraId="72411AE3" w14:textId="77777777" w:rsidR="00BF4A53" w:rsidRPr="00667B31" w:rsidRDefault="00BF4A53" w:rsidP="00BF4A53">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The results showed that caring could be a very emotional, physical and financial burden for carers and that these burdens often compounded to have a negative impact on the carers' wellbeing. Despite the fact that resources are available for informal carers and their importance recognised across the country there is evidence that access to relevant services varies across the United Kingdom. Issues of lack of respite, staffing and geographical inequities persist over time and affect the experience of carers. This was done through researching the experiences of the informal carers and through a critical evaluation of the support systems available to the current informal carers. </w:t>
      </w:r>
    </w:p>
    <w:p w14:paraId="46B178EA" w14:textId="77777777" w:rsidR="00BF4A53" w:rsidRPr="00667B31" w:rsidRDefault="00BF4A53" w:rsidP="00BF4A53">
      <w:pPr>
        <w:spacing w:line="360" w:lineRule="auto"/>
        <w:jc w:val="both"/>
        <w:rPr>
          <w:rFonts w:ascii="Arial" w:hAnsi="Arial" w:cs="Arial"/>
          <w:color w:val="000000" w:themeColor="text1"/>
          <w:sz w:val="22"/>
          <w:szCs w:val="22"/>
        </w:rPr>
      </w:pPr>
    </w:p>
    <w:p w14:paraId="21788BFE" w14:textId="77777777" w:rsidR="00BF4A53" w:rsidRPr="00667B31" w:rsidRDefault="00BF4A53" w:rsidP="00BF4A53">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Researchers used a review of literature, analysis of carer issues, and a review of current practices and policies to help guide the aims of the research. This dissertation highlights the importance of the provision of good, accessible and personalise</w:t>
      </w:r>
      <w:r>
        <w:rPr>
          <w:rFonts w:ascii="Arial" w:hAnsi="Arial" w:cs="Arial"/>
          <w:color w:val="000000" w:themeColor="text1"/>
          <w:sz w:val="22"/>
          <w:szCs w:val="22"/>
        </w:rPr>
        <w:t>.</w:t>
      </w:r>
    </w:p>
    <w:p w14:paraId="289F40BA" w14:textId="77777777" w:rsidR="00BF4A53" w:rsidRPr="00667B31" w:rsidRDefault="00BF4A53" w:rsidP="00BF4A53">
      <w:pPr>
        <w:spacing w:line="360" w:lineRule="auto"/>
        <w:jc w:val="both"/>
        <w:rPr>
          <w:rFonts w:ascii="Arial" w:hAnsi="Arial" w:cs="Arial"/>
          <w:b/>
          <w:color w:val="000000" w:themeColor="text1"/>
          <w:sz w:val="22"/>
          <w:szCs w:val="22"/>
        </w:rPr>
      </w:pPr>
    </w:p>
    <w:p w14:paraId="0082F4EB" w14:textId="77777777" w:rsidR="00BF4A53" w:rsidRPr="00667B31" w:rsidRDefault="00BF4A53" w:rsidP="00BF4A53">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Recommendation 1</w:t>
      </w:r>
    </w:p>
    <w:p w14:paraId="3AFA8A94" w14:textId="77777777" w:rsidR="00BF4A53" w:rsidRPr="00667B31" w:rsidRDefault="00BF4A53" w:rsidP="00BF4A53">
      <w:pPr>
        <w:spacing w:line="360" w:lineRule="auto"/>
        <w:jc w:val="both"/>
        <w:rPr>
          <w:rFonts w:ascii="Arial" w:hAnsi="Arial" w:cs="Arial"/>
          <w:b/>
          <w:color w:val="000000" w:themeColor="text1"/>
          <w:sz w:val="22"/>
          <w:szCs w:val="22"/>
        </w:rPr>
      </w:pPr>
    </w:p>
    <w:p w14:paraId="38A313E1" w14:textId="77777777" w:rsidR="00BF4A53" w:rsidRPr="00667B31" w:rsidRDefault="00BF4A53" w:rsidP="00BF4A53">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Enhance Accessibility to Respite Care Services</w:t>
      </w:r>
    </w:p>
    <w:p w14:paraId="633E61F2" w14:textId="77777777" w:rsidR="00BF4A53" w:rsidRPr="00667B31" w:rsidRDefault="00BF4A53" w:rsidP="00BF4A53">
      <w:pPr>
        <w:spacing w:line="360" w:lineRule="auto"/>
        <w:jc w:val="both"/>
        <w:rPr>
          <w:rFonts w:ascii="Arial" w:hAnsi="Arial" w:cs="Arial"/>
          <w:color w:val="000000" w:themeColor="text1"/>
          <w:sz w:val="22"/>
          <w:szCs w:val="22"/>
        </w:rPr>
      </w:pPr>
    </w:p>
    <w:p w14:paraId="6B407E7E" w14:textId="77777777" w:rsidR="00BF4A53" w:rsidRPr="00667B31" w:rsidRDefault="00BF4A53" w:rsidP="00BF4A53">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 xml:space="preserve">The findings indicate that long term caring has a significant impact on the emotional, physical and overall wellbeing of unpaid carers. Numerous carers reported increased stress, burnout, and physical tiredness as well as restricted access to respite services. More support and flexibility in respite care provision (e.g. day centres, home-based care, short term residential care) can enable carers to care for their loved one with an Alzheimer's disease diagnosis and attend medical appointments, remain employed, participate in and maintain social connections and take care of their health. </w:t>
      </w:r>
    </w:p>
    <w:p w14:paraId="24419219" w14:textId="77777777" w:rsidR="00BF4A53" w:rsidRPr="00667B31" w:rsidRDefault="00BF4A53" w:rsidP="00BF4A53">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Respite care could be made available to carers for longer periods, after which they would be free to care for their loved one or to leave for residential care elsewhere. (NICE, 2018, Alzheimer's Society, 2024 and Carers UK, 2024)</w:t>
      </w:r>
    </w:p>
    <w:p w14:paraId="028E9956" w14:textId="77777777" w:rsidR="00BF4A53" w:rsidRPr="00667B31" w:rsidRDefault="00BF4A53" w:rsidP="00BF4A53">
      <w:pPr>
        <w:spacing w:line="360" w:lineRule="auto"/>
        <w:jc w:val="both"/>
        <w:rPr>
          <w:rFonts w:ascii="Arial" w:hAnsi="Arial" w:cs="Arial"/>
          <w:color w:val="000000" w:themeColor="text1"/>
          <w:sz w:val="22"/>
          <w:szCs w:val="22"/>
        </w:rPr>
      </w:pPr>
    </w:p>
    <w:p w14:paraId="339D19F6" w14:textId="77777777" w:rsidR="00BF4A53" w:rsidRPr="00667B31" w:rsidRDefault="00BF4A53" w:rsidP="00BF4A53">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Barrier</w:t>
      </w:r>
    </w:p>
    <w:p w14:paraId="2CF9C22B" w14:textId="77777777" w:rsidR="00BF4A53" w:rsidRPr="00667B31" w:rsidRDefault="00BF4A53" w:rsidP="00BF4A53">
      <w:pPr>
        <w:spacing w:line="360" w:lineRule="auto"/>
        <w:jc w:val="both"/>
        <w:rPr>
          <w:rFonts w:ascii="Arial" w:hAnsi="Arial" w:cs="Arial"/>
          <w:b/>
          <w:color w:val="000000" w:themeColor="text1"/>
          <w:sz w:val="22"/>
          <w:szCs w:val="22"/>
        </w:rPr>
      </w:pPr>
      <w:r w:rsidRPr="00667B31">
        <w:rPr>
          <w:rFonts w:ascii="Arial" w:eastAsia="Times New Roman" w:hAnsi="Arial" w:cs="Arial"/>
          <w:color w:val="000000" w:themeColor="text1"/>
          <w:sz w:val="22"/>
          <w:szCs w:val="22"/>
          <w:shd w:val="clear" w:color="auto" w:fill="FFFFFF"/>
        </w:rPr>
        <w:br/>
        <w:t>One major constraint is the limited availability of respite care and this contributes to geographical variation throughout the UK because respite providers are scarce, demand is increasing and funding is lacking.</w:t>
      </w:r>
    </w:p>
    <w:p w14:paraId="049AC743" w14:textId="77777777" w:rsidR="00BF4A53" w:rsidRPr="00667B31" w:rsidRDefault="00BF4A53" w:rsidP="00BF4A53">
      <w:pPr>
        <w:spacing w:line="360" w:lineRule="auto"/>
        <w:jc w:val="both"/>
        <w:rPr>
          <w:rFonts w:ascii="Arial" w:hAnsi="Arial" w:cs="Arial"/>
          <w:color w:val="000000" w:themeColor="text1"/>
          <w:sz w:val="22"/>
          <w:szCs w:val="22"/>
        </w:rPr>
      </w:pPr>
    </w:p>
    <w:p w14:paraId="40DB0E6F" w14:textId="77777777" w:rsidR="00BF4A53" w:rsidRPr="00667B31" w:rsidRDefault="00BF4A53" w:rsidP="00BF4A53">
      <w:pPr>
        <w:spacing w:line="360" w:lineRule="auto"/>
        <w:jc w:val="both"/>
        <w:rPr>
          <w:rFonts w:ascii="Arial" w:eastAsia="Times New Roman" w:hAnsi="Arial" w:cs="Arial"/>
          <w:color w:val="000000" w:themeColor="text1"/>
          <w:sz w:val="22"/>
          <w:szCs w:val="22"/>
          <w:shd w:val="clear" w:color="auto" w:fill="FFFFFF"/>
        </w:rPr>
      </w:pPr>
      <w:r w:rsidRPr="00667B31">
        <w:rPr>
          <w:rFonts w:ascii="Arial" w:hAnsi="Arial" w:cs="Arial"/>
          <w:b/>
          <w:color w:val="000000" w:themeColor="text1"/>
          <w:sz w:val="22"/>
          <w:szCs w:val="22"/>
        </w:rPr>
        <w:t>How the Barrier Could Be Overcome.</w:t>
      </w:r>
    </w:p>
    <w:p w14:paraId="2EC5A1E6" w14:textId="77777777" w:rsidR="00BF4A53" w:rsidRPr="00667B31" w:rsidRDefault="00BF4A53" w:rsidP="00BF4A53">
      <w:pPr>
        <w:spacing w:line="360" w:lineRule="auto"/>
        <w:jc w:val="both"/>
        <w:rPr>
          <w:rFonts w:ascii="Arial" w:hAnsi="Arial" w:cs="Arial"/>
          <w:b/>
          <w:color w:val="000000" w:themeColor="text1"/>
          <w:sz w:val="22"/>
          <w:szCs w:val="22"/>
        </w:rPr>
      </w:pPr>
    </w:p>
    <w:p w14:paraId="6EE0CBC5"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t>The need to improve co-ordination between the NHS, local governments and local non-profit groups, along with additional investment in community dementia services and earlier assessments of carers' needs to identify those requiring respite care before they reach a point of distress would all contribute to this.</w:t>
      </w:r>
    </w:p>
    <w:p w14:paraId="40F62EE4" w14:textId="77777777" w:rsidR="00BF4A53" w:rsidRPr="00667B31" w:rsidRDefault="00BF4A53" w:rsidP="00BF4A53">
      <w:pPr>
        <w:spacing w:line="360" w:lineRule="auto"/>
        <w:jc w:val="both"/>
        <w:rPr>
          <w:rFonts w:ascii="Arial" w:hAnsi="Arial" w:cs="Arial"/>
          <w:color w:val="000000" w:themeColor="text1"/>
          <w:sz w:val="22"/>
          <w:szCs w:val="22"/>
        </w:rPr>
      </w:pPr>
    </w:p>
    <w:p w14:paraId="3F71B114" w14:textId="77777777" w:rsidR="00BF4A53" w:rsidRPr="00667B31" w:rsidRDefault="00BF4A53" w:rsidP="00BF4A53">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Recommendation 2</w:t>
      </w:r>
    </w:p>
    <w:p w14:paraId="07A3145A" w14:textId="77777777" w:rsidR="00BF4A53" w:rsidRPr="00667B31" w:rsidRDefault="00BF4A53" w:rsidP="00BF4A53">
      <w:pPr>
        <w:spacing w:line="360" w:lineRule="auto"/>
        <w:jc w:val="both"/>
        <w:rPr>
          <w:rFonts w:ascii="Arial" w:hAnsi="Arial" w:cs="Arial"/>
          <w:b/>
          <w:color w:val="000000" w:themeColor="text1"/>
          <w:sz w:val="22"/>
          <w:szCs w:val="22"/>
        </w:rPr>
      </w:pPr>
    </w:p>
    <w:p w14:paraId="16506A22" w14:textId="77777777" w:rsidR="00BF4A53" w:rsidRPr="00667B31" w:rsidRDefault="00BF4A53" w:rsidP="00BF4A53">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Improve Education and Information to Carers</w:t>
      </w:r>
    </w:p>
    <w:p w14:paraId="26045EFD" w14:textId="77777777" w:rsidR="00BF4A53" w:rsidRPr="00667B31" w:rsidRDefault="00BF4A53" w:rsidP="00BF4A53">
      <w:pPr>
        <w:spacing w:line="360" w:lineRule="auto"/>
        <w:jc w:val="both"/>
        <w:rPr>
          <w:rFonts w:ascii="Arial" w:hAnsi="Arial" w:cs="Arial"/>
          <w:b/>
          <w:color w:val="000000" w:themeColor="text1"/>
          <w:sz w:val="22"/>
          <w:szCs w:val="22"/>
        </w:rPr>
      </w:pPr>
    </w:p>
    <w:p w14:paraId="10BCD213"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t>The results show that, o</w:t>
      </w:r>
      <w:r>
        <w:rPr>
          <w:rFonts w:ascii="Arial" w:eastAsia="Times New Roman" w:hAnsi="Arial" w:cs="Arial"/>
          <w:color w:val="000000" w:themeColor="text1"/>
          <w:sz w:val="22"/>
          <w:szCs w:val="22"/>
          <w:shd w:val="clear" w:color="auto" w:fill="FFFFFF"/>
        </w:rPr>
        <w:t>nce the person</w:t>
      </w:r>
      <w:r w:rsidRPr="00667B31">
        <w:rPr>
          <w:rFonts w:ascii="Arial" w:eastAsia="Times New Roman" w:hAnsi="Arial" w:cs="Arial"/>
          <w:color w:val="000000" w:themeColor="text1"/>
          <w:sz w:val="22"/>
          <w:szCs w:val="22"/>
          <w:shd w:val="clear" w:color="auto" w:fill="FFFFFF"/>
        </w:rPr>
        <w:t xml:space="preserve"> has been diagnosed with Alzheimer's, many are not getting enough information to deal with the further progression of the disease, and these demands are further increased by the needs of those who are being cared for. Early and regular training would enable carers to gain knowledge of Alzheimer's disease and communication skills, behavioural management, the available support, and how to care for themselves. All of the following should be used to</w:t>
      </w:r>
      <w:r>
        <w:rPr>
          <w:rFonts w:ascii="Arial" w:eastAsia="Times New Roman" w:hAnsi="Arial" w:cs="Arial"/>
          <w:color w:val="000000" w:themeColor="text1"/>
          <w:sz w:val="22"/>
          <w:szCs w:val="22"/>
          <w:shd w:val="clear" w:color="auto" w:fill="FFFFFF"/>
        </w:rPr>
        <w:t xml:space="preserve"> provide education: </w:t>
      </w:r>
      <w:r w:rsidRPr="00667B31">
        <w:rPr>
          <w:rFonts w:ascii="Arial" w:eastAsia="Times New Roman" w:hAnsi="Arial" w:cs="Arial"/>
          <w:color w:val="000000" w:themeColor="text1"/>
          <w:sz w:val="22"/>
          <w:szCs w:val="22"/>
          <w:shd w:val="clear" w:color="auto" w:fill="FFFFFF"/>
        </w:rPr>
        <w:t>medical professionals, structured education programs, and real-world training. There would be increased awareness of the importance of getting information early for better confidence, readiness and awareness of nee</w:t>
      </w:r>
      <w:r>
        <w:rPr>
          <w:rFonts w:ascii="Arial" w:eastAsia="Times New Roman" w:hAnsi="Arial" w:cs="Arial"/>
          <w:color w:val="000000" w:themeColor="text1"/>
          <w:sz w:val="22"/>
          <w:szCs w:val="22"/>
          <w:shd w:val="clear" w:color="auto" w:fill="FFFFFF"/>
        </w:rPr>
        <w:t>d for further support (WHO, 2025; Alzheimer's Society, 2024</w:t>
      </w:r>
      <w:r w:rsidRPr="00667B31">
        <w:rPr>
          <w:rFonts w:ascii="Arial" w:eastAsia="Times New Roman" w:hAnsi="Arial" w:cs="Arial"/>
          <w:color w:val="000000" w:themeColor="text1"/>
          <w:sz w:val="22"/>
          <w:szCs w:val="22"/>
          <w:shd w:val="clear" w:color="auto" w:fill="FFFFFF"/>
        </w:rPr>
        <w:t>).</w:t>
      </w:r>
    </w:p>
    <w:p w14:paraId="36D3E54A" w14:textId="77777777" w:rsidR="00BF4A53" w:rsidRPr="00667B31" w:rsidRDefault="00BF4A53" w:rsidP="00BF4A53">
      <w:pPr>
        <w:spacing w:line="360" w:lineRule="auto"/>
        <w:jc w:val="both"/>
        <w:rPr>
          <w:rFonts w:ascii="Arial" w:hAnsi="Arial" w:cs="Arial"/>
          <w:color w:val="000000" w:themeColor="text1"/>
          <w:sz w:val="22"/>
          <w:szCs w:val="22"/>
        </w:rPr>
      </w:pPr>
    </w:p>
    <w:p w14:paraId="7A101F2C" w14:textId="77777777" w:rsidR="00BF4A53" w:rsidRPr="00667B31" w:rsidRDefault="00BF4A53" w:rsidP="00BF4A53">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Barrier</w:t>
      </w:r>
    </w:p>
    <w:p w14:paraId="5788CC46" w14:textId="77777777" w:rsidR="00BF4A53" w:rsidRPr="00667B31" w:rsidRDefault="00BF4A53" w:rsidP="00BF4A53">
      <w:pPr>
        <w:spacing w:line="360" w:lineRule="auto"/>
        <w:jc w:val="both"/>
        <w:rPr>
          <w:rFonts w:ascii="Arial" w:hAnsi="Arial" w:cs="Arial"/>
          <w:b/>
          <w:color w:val="000000" w:themeColor="text1"/>
          <w:sz w:val="22"/>
          <w:szCs w:val="22"/>
        </w:rPr>
      </w:pPr>
    </w:p>
    <w:p w14:paraId="36118BD9" w14:textId="77777777" w:rsidR="00BF4A53" w:rsidRPr="00667B31" w:rsidRDefault="00BF4A53" w:rsidP="00BF4A53">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Healthcare workers are often busy, under-resourced and do not have enough time to consult, making it hard for them to provide carers with a proper instruction and ongoing support.</w:t>
      </w:r>
    </w:p>
    <w:p w14:paraId="5A2EC551" w14:textId="77777777" w:rsidR="00BF4A53" w:rsidRPr="00667B31" w:rsidRDefault="00BF4A53" w:rsidP="00BF4A53">
      <w:pPr>
        <w:spacing w:line="360" w:lineRule="auto"/>
        <w:jc w:val="both"/>
        <w:rPr>
          <w:rFonts w:ascii="Arial" w:hAnsi="Arial" w:cs="Arial"/>
          <w:color w:val="000000" w:themeColor="text1"/>
          <w:sz w:val="22"/>
          <w:szCs w:val="22"/>
        </w:rPr>
      </w:pPr>
    </w:p>
    <w:p w14:paraId="4F54AB30" w14:textId="77777777" w:rsidR="00BF4A53" w:rsidRPr="00667B31" w:rsidRDefault="00BF4A53" w:rsidP="00BF4A53">
      <w:pPr>
        <w:spacing w:line="360" w:lineRule="auto"/>
        <w:jc w:val="both"/>
        <w:rPr>
          <w:rFonts w:ascii="Arial" w:hAnsi="Arial" w:cs="Arial"/>
          <w:color w:val="000000" w:themeColor="text1"/>
          <w:sz w:val="22"/>
          <w:szCs w:val="22"/>
        </w:rPr>
      </w:pPr>
    </w:p>
    <w:p w14:paraId="7E382674" w14:textId="77777777" w:rsidR="00BF4A53" w:rsidRPr="00667B31" w:rsidRDefault="00BF4A53" w:rsidP="00BF4A53">
      <w:pPr>
        <w:spacing w:line="360" w:lineRule="auto"/>
        <w:jc w:val="both"/>
        <w:rPr>
          <w:rFonts w:ascii="Arial" w:hAnsi="Arial" w:cs="Arial"/>
          <w:b/>
          <w:color w:val="000000" w:themeColor="text1"/>
          <w:sz w:val="22"/>
          <w:szCs w:val="22"/>
        </w:rPr>
      </w:pPr>
      <w:bookmarkStart w:id="0" w:name="_GoBack"/>
      <w:bookmarkEnd w:id="0"/>
      <w:r w:rsidRPr="00667B31">
        <w:rPr>
          <w:rFonts w:ascii="Arial" w:hAnsi="Arial" w:cs="Arial"/>
          <w:b/>
          <w:color w:val="000000" w:themeColor="text1"/>
          <w:sz w:val="22"/>
          <w:szCs w:val="22"/>
        </w:rPr>
        <w:t xml:space="preserve">How the Barrier Could Be Overcome </w:t>
      </w:r>
    </w:p>
    <w:p w14:paraId="4B281E0F" w14:textId="77777777" w:rsidR="00BF4A53" w:rsidRPr="00667B31" w:rsidRDefault="00BF4A53" w:rsidP="00BF4A53">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br/>
      </w:r>
      <w:r w:rsidRPr="00667B31">
        <w:rPr>
          <w:rFonts w:ascii="Arial" w:eastAsia="Times New Roman" w:hAnsi="Arial" w:cs="Arial"/>
          <w:color w:val="000000" w:themeColor="text1"/>
          <w:sz w:val="22"/>
          <w:szCs w:val="22"/>
          <w:shd w:val="clear" w:color="auto" w:fill="FFFFFF"/>
        </w:rPr>
        <w:t>Multilingual information, community workshops, on-line support programs and digital learning resources should be used alongside face-to-face instruction. A greater degree of cooperation between the NHS and non-profit organisations would benefit the uniformity, accessibility and availability of education for carers across the UK.</w:t>
      </w:r>
    </w:p>
    <w:p w14:paraId="5D161145" w14:textId="77777777" w:rsidR="00BF4A53" w:rsidRPr="00667B31" w:rsidRDefault="00BF4A53" w:rsidP="00BF4A53">
      <w:pPr>
        <w:spacing w:line="360" w:lineRule="auto"/>
        <w:jc w:val="both"/>
        <w:rPr>
          <w:rFonts w:ascii="Arial" w:hAnsi="Arial" w:cs="Arial"/>
          <w:color w:val="000000" w:themeColor="text1"/>
          <w:sz w:val="22"/>
          <w:szCs w:val="22"/>
        </w:rPr>
      </w:pPr>
    </w:p>
    <w:p w14:paraId="32A16C85" w14:textId="77777777" w:rsidR="00BF4A53" w:rsidRPr="00667B31" w:rsidRDefault="00BF4A53" w:rsidP="00BF4A53">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Recommendation 3</w:t>
      </w:r>
    </w:p>
    <w:p w14:paraId="75CCE5BB" w14:textId="77777777" w:rsidR="00BF4A53" w:rsidRPr="00667B31" w:rsidRDefault="00BF4A53" w:rsidP="00BF4A53">
      <w:pPr>
        <w:spacing w:line="360" w:lineRule="auto"/>
        <w:jc w:val="both"/>
        <w:rPr>
          <w:rFonts w:ascii="Arial" w:hAnsi="Arial" w:cs="Arial"/>
          <w:b/>
          <w:color w:val="000000" w:themeColor="text1"/>
          <w:sz w:val="22"/>
          <w:szCs w:val="22"/>
        </w:rPr>
      </w:pPr>
    </w:p>
    <w:p w14:paraId="509638B5" w14:textId="77777777" w:rsidR="00BF4A53" w:rsidRPr="00667B31" w:rsidRDefault="00BF4A53" w:rsidP="00BF4A53">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Establish and improve support for Integrated Health and Social Care</w:t>
      </w:r>
    </w:p>
    <w:p w14:paraId="2E0A68AC" w14:textId="77777777" w:rsidR="00BF4A53" w:rsidRPr="00667B31" w:rsidRDefault="00BF4A53" w:rsidP="00BF4A53">
      <w:pPr>
        <w:spacing w:line="360" w:lineRule="auto"/>
        <w:jc w:val="both"/>
        <w:rPr>
          <w:rFonts w:ascii="Arial" w:hAnsi="Arial" w:cs="Arial"/>
          <w:b/>
          <w:color w:val="000000" w:themeColor="text1"/>
          <w:sz w:val="22"/>
          <w:szCs w:val="22"/>
        </w:rPr>
      </w:pPr>
    </w:p>
    <w:p w14:paraId="605E5E0E" w14:textId="77777777" w:rsidR="00BF4A53" w:rsidRPr="00667B31" w:rsidRDefault="00BF4A53" w:rsidP="00BF4A53">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The findings indicate that there is a lack of services that are coherent and also problems accessing social and health care services by carers. Lack of communication between healthcare providers, social workers and volunteer organisations increases the work of carers in scheduling appointments, accessing services, collecting information etc. So improving the continuity of care and carers' experiences should be an important aim of improving integrated care. The role of carers should be taken into account as an equal partner in the process of planning and making decisions about care. There is a need to provide a more coordinated, person-centred support for general practitioners, memory clinics, social workers, community nurses and volunteer organisations. Enhanced integration between the NHS, local authorities and voluntary providers helps to ensure continuity of care, reduce fragmentation of services and provide quick identification of the needs of carers through regular assessment (Care Act 2014; NICE, 2018; NHS England, 2023).</w:t>
      </w:r>
    </w:p>
    <w:p w14:paraId="1F4B3B8B" w14:textId="77777777" w:rsidR="00BF4A53" w:rsidRPr="00667B31" w:rsidRDefault="00BF4A53" w:rsidP="00BF4A53">
      <w:pPr>
        <w:spacing w:line="360" w:lineRule="auto"/>
        <w:jc w:val="both"/>
        <w:rPr>
          <w:rFonts w:ascii="Arial" w:eastAsia="Times New Roman" w:hAnsi="Arial" w:cs="Arial"/>
          <w:color w:val="000000" w:themeColor="text1"/>
          <w:sz w:val="22"/>
          <w:szCs w:val="22"/>
          <w:shd w:val="clear" w:color="auto" w:fill="FFFFFF"/>
        </w:rPr>
      </w:pPr>
    </w:p>
    <w:p w14:paraId="24381206" w14:textId="77777777" w:rsidR="00BF4A53" w:rsidRPr="00667B31" w:rsidRDefault="00BF4A53" w:rsidP="00BF4A53">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Barrier </w:t>
      </w:r>
    </w:p>
    <w:p w14:paraId="16183172" w14:textId="77777777" w:rsidR="00BF4A53" w:rsidRPr="00667B31" w:rsidRDefault="00BF4A53" w:rsidP="00BF4A53">
      <w:pPr>
        <w:spacing w:line="360" w:lineRule="auto"/>
        <w:jc w:val="both"/>
        <w:rPr>
          <w:rFonts w:ascii="Arial" w:hAnsi="Arial" w:cs="Arial"/>
          <w:b/>
          <w:color w:val="000000" w:themeColor="text1"/>
          <w:sz w:val="22"/>
          <w:szCs w:val="22"/>
        </w:rPr>
      </w:pPr>
    </w:p>
    <w:p w14:paraId="392D9DE8" w14:textId="77777777" w:rsidR="00BF4A53" w:rsidRPr="00667B31" w:rsidRDefault="00BF4A53" w:rsidP="00BF4A53">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The effective working of partnerships can be hindered by a variety of disparities in financial arrangements, organisational structure, digital infrastructure, communication systems, staff shortages and an increasing demand.</w:t>
      </w:r>
    </w:p>
    <w:p w14:paraId="260FAFAA" w14:textId="77777777" w:rsidR="00BF4A53" w:rsidRPr="00667B31" w:rsidRDefault="00BF4A53" w:rsidP="00BF4A53">
      <w:pPr>
        <w:spacing w:line="360" w:lineRule="auto"/>
        <w:jc w:val="both"/>
        <w:rPr>
          <w:rFonts w:ascii="Arial" w:hAnsi="Arial" w:cs="Arial"/>
          <w:color w:val="000000" w:themeColor="text1"/>
          <w:sz w:val="22"/>
          <w:szCs w:val="22"/>
        </w:rPr>
      </w:pPr>
    </w:p>
    <w:p w14:paraId="42D2D331" w14:textId="77777777" w:rsidR="00BF4A53" w:rsidRPr="00667B31" w:rsidRDefault="00BF4A53" w:rsidP="00BF4A53">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How the Barrier Could Be Overcome </w:t>
      </w:r>
    </w:p>
    <w:p w14:paraId="2CFCCEC0" w14:textId="77777777" w:rsidR="00BF4A53" w:rsidRPr="00667B31" w:rsidRDefault="00BF4A53" w:rsidP="00BF4A53">
      <w:pPr>
        <w:spacing w:line="360" w:lineRule="auto"/>
        <w:jc w:val="both"/>
        <w:rPr>
          <w:rFonts w:ascii="Arial" w:hAnsi="Arial" w:cs="Arial"/>
          <w:b/>
          <w:color w:val="000000" w:themeColor="text1"/>
          <w:sz w:val="22"/>
          <w:szCs w:val="22"/>
        </w:rPr>
      </w:pPr>
    </w:p>
    <w:p w14:paraId="79946E51" w14:textId="77777777" w:rsidR="00BF4A53" w:rsidRPr="00667B31" w:rsidRDefault="00BF4A53" w:rsidP="00BF4A53">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Enhance communication and reduce duplicate services with regular interdisciplinary meetings, shared care pathways and integrated electronic health records. Coordinated person-centred dementia care is encouraged and carers are valued members of the care team receiving greater funding for digital technology, more open referral systems and improved working relationships with governmental and non-governmental organisations.</w:t>
      </w:r>
    </w:p>
    <w:p w14:paraId="4E592012" w14:textId="77777777" w:rsidR="00BF4A53" w:rsidRPr="00667B31" w:rsidRDefault="00BF4A53" w:rsidP="00BF4A53">
      <w:pPr>
        <w:spacing w:line="360" w:lineRule="auto"/>
        <w:jc w:val="both"/>
        <w:rPr>
          <w:rFonts w:ascii="Arial" w:hAnsi="Arial" w:cs="Arial"/>
          <w:color w:val="000000" w:themeColor="text1"/>
          <w:sz w:val="22"/>
          <w:szCs w:val="22"/>
        </w:rPr>
      </w:pPr>
    </w:p>
    <w:p w14:paraId="4C303C1D" w14:textId="77777777" w:rsidR="00BF4A53" w:rsidRPr="00667B31" w:rsidRDefault="00BF4A53" w:rsidP="00BF4A53">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Summary of Recommendations </w:t>
      </w:r>
    </w:p>
    <w:p w14:paraId="717EFBC0" w14:textId="77777777" w:rsidR="00BF4A53" w:rsidRPr="00667B31" w:rsidRDefault="00BF4A53" w:rsidP="00BF4A53">
      <w:pPr>
        <w:spacing w:line="360" w:lineRule="auto"/>
        <w:jc w:val="both"/>
        <w:rPr>
          <w:rFonts w:ascii="Arial" w:hAnsi="Arial" w:cs="Arial"/>
          <w:b/>
          <w:color w:val="000000" w:themeColor="text1"/>
          <w:sz w:val="22"/>
          <w:szCs w:val="22"/>
        </w:rPr>
      </w:pPr>
      <w:r w:rsidRPr="00667B31">
        <w:rPr>
          <w:rFonts w:ascii="Arial" w:eastAsia="Times New Roman" w:hAnsi="Arial" w:cs="Arial"/>
          <w:color w:val="000000" w:themeColor="text1"/>
          <w:sz w:val="22"/>
          <w:szCs w:val="22"/>
          <w:shd w:val="clear" w:color="auto" w:fill="FFFFFF"/>
        </w:rPr>
        <w:br/>
        <w:t>These measures will help to reduce the burden on carers by increasing access to respite care, enhancing carer education, and enabling better health and social care integration. Implementation of the above strategies will make dementia care more person-centred, more equitable, more sustainable and improve the quality of life for people with Alzheimer's disease and unpaid carers. However, the aforementioned targets will require continuous investments, co-operative efforts and effective policies to be realised despite ongoing organisational and financial challenges.</w:t>
      </w:r>
    </w:p>
    <w:p w14:paraId="2F8CDF13" w14:textId="77777777" w:rsidR="00BF4A53" w:rsidRPr="00667B31" w:rsidRDefault="00BF4A53" w:rsidP="00BF4A53">
      <w:pPr>
        <w:pStyle w:val="Heading1"/>
        <w:spacing w:line="360" w:lineRule="auto"/>
        <w:rPr>
          <w:rFonts w:eastAsia="Times New Roman" w:cs="Arial"/>
          <w:color w:val="000000" w:themeColor="text1"/>
          <w:sz w:val="22"/>
          <w:szCs w:val="22"/>
        </w:rPr>
      </w:pPr>
    </w:p>
    <w:p w14:paraId="4A56AC26" w14:textId="77777777" w:rsidR="00BF4A53" w:rsidRPr="00667B31" w:rsidRDefault="00BF4A53" w:rsidP="00BF4A53">
      <w:pPr>
        <w:pStyle w:val="Heading1"/>
        <w:spacing w:line="360" w:lineRule="auto"/>
        <w:rPr>
          <w:rFonts w:eastAsia="Times New Roman" w:cs="Arial"/>
          <w:color w:val="000000" w:themeColor="text1"/>
          <w:sz w:val="22"/>
          <w:szCs w:val="22"/>
        </w:rPr>
      </w:pPr>
    </w:p>
    <w:p w14:paraId="7A171C3F" w14:textId="77777777" w:rsidR="00BF4A53" w:rsidRPr="00667B31" w:rsidRDefault="00BF4A53" w:rsidP="00BF4A53">
      <w:pPr>
        <w:pStyle w:val="Heading1"/>
        <w:spacing w:line="360" w:lineRule="auto"/>
        <w:rPr>
          <w:rFonts w:eastAsia="Times New Roman" w:cs="Arial"/>
          <w:color w:val="000000" w:themeColor="text1"/>
          <w:sz w:val="22"/>
          <w:szCs w:val="22"/>
        </w:rPr>
      </w:pPr>
    </w:p>
    <w:p w14:paraId="63A3930C" w14:textId="77777777" w:rsidR="00BF4A53" w:rsidRDefault="00BF4A53" w:rsidP="00BF4A53">
      <w:pPr>
        <w:pStyle w:val="Heading1"/>
        <w:rPr>
          <w:rFonts w:eastAsia="Times New Roman"/>
        </w:rPr>
      </w:pPr>
    </w:p>
    <w:p w14:paraId="154D1E6F" w14:textId="77777777" w:rsidR="00BF4A53" w:rsidRDefault="00BF4A53" w:rsidP="00BF4A53">
      <w:pPr>
        <w:pStyle w:val="Heading1"/>
        <w:rPr>
          <w:rFonts w:eastAsia="Times New Roman"/>
        </w:rPr>
      </w:pPr>
    </w:p>
    <w:p w14:paraId="4A955174" w14:textId="77777777" w:rsidR="00BF4A53" w:rsidRDefault="00BF4A53" w:rsidP="00BF4A53">
      <w:pPr>
        <w:pStyle w:val="Heading1"/>
        <w:rPr>
          <w:rFonts w:eastAsia="Times New Roman"/>
        </w:rPr>
      </w:pPr>
    </w:p>
    <w:p w14:paraId="5D62B3C5" w14:textId="77777777" w:rsidR="00BF4A53" w:rsidRDefault="00BF4A53" w:rsidP="00BF4A53">
      <w:pPr>
        <w:pStyle w:val="Heading1"/>
        <w:rPr>
          <w:rFonts w:eastAsia="Times New Roman"/>
        </w:rPr>
      </w:pPr>
    </w:p>
    <w:p w14:paraId="2E97643C" w14:textId="77777777" w:rsidR="00BF4A53" w:rsidRDefault="00BF4A53" w:rsidP="00BF4A53">
      <w:pPr>
        <w:pStyle w:val="Heading1"/>
        <w:rPr>
          <w:rFonts w:eastAsia="Times New Roman"/>
        </w:rPr>
      </w:pPr>
    </w:p>
    <w:p w14:paraId="00ED1935" w14:textId="77777777" w:rsidR="00BF4A53" w:rsidRDefault="00BF4A53" w:rsidP="00BF4A53">
      <w:pPr>
        <w:pStyle w:val="Heading1"/>
        <w:rPr>
          <w:rFonts w:eastAsia="Times New Roman"/>
        </w:rPr>
      </w:pPr>
    </w:p>
    <w:p w14:paraId="22ECBDB4" w14:textId="77777777" w:rsidR="00BF4A53" w:rsidRDefault="00BF4A53" w:rsidP="00BF4A53">
      <w:pPr>
        <w:pStyle w:val="Heading1"/>
        <w:rPr>
          <w:rFonts w:eastAsia="Times New Roman"/>
        </w:rPr>
      </w:pPr>
    </w:p>
    <w:p w14:paraId="6F3665C0" w14:textId="77777777" w:rsidR="00BF4A53" w:rsidRDefault="00BF4A53" w:rsidP="00BF4A53">
      <w:pPr>
        <w:pStyle w:val="Heading1"/>
        <w:rPr>
          <w:rFonts w:eastAsia="Times New Roman"/>
        </w:rPr>
      </w:pPr>
    </w:p>
    <w:p w14:paraId="14EA6768" w14:textId="77777777" w:rsidR="00BF4A53" w:rsidRDefault="00BF4A53" w:rsidP="00BF4A53">
      <w:pPr>
        <w:pStyle w:val="Heading1"/>
        <w:rPr>
          <w:rFonts w:eastAsia="Times New Roman"/>
        </w:rPr>
      </w:pPr>
    </w:p>
    <w:p w14:paraId="7F8DCB2E" w14:textId="77777777" w:rsidR="00BF4A53" w:rsidRDefault="00BF4A53" w:rsidP="00BF4A53">
      <w:pPr>
        <w:pStyle w:val="Heading1"/>
        <w:rPr>
          <w:rFonts w:eastAsia="Times New Roman"/>
        </w:rPr>
      </w:pPr>
    </w:p>
    <w:p w14:paraId="7DB8B212" w14:textId="77777777" w:rsidR="00BF4A53" w:rsidRDefault="00BF4A53" w:rsidP="00BF4A53">
      <w:pPr>
        <w:pStyle w:val="Heading1"/>
        <w:rPr>
          <w:rFonts w:eastAsia="Times New Roman"/>
        </w:rPr>
      </w:pPr>
    </w:p>
    <w:p w14:paraId="3194613D" w14:textId="77777777" w:rsidR="00BF4A53" w:rsidRDefault="00BF4A53" w:rsidP="00BF4A53">
      <w:pPr>
        <w:pStyle w:val="Heading1"/>
        <w:rPr>
          <w:rFonts w:eastAsia="Times New Roman"/>
        </w:rPr>
      </w:pPr>
    </w:p>
    <w:p w14:paraId="24632F03" w14:textId="77777777" w:rsidR="00BF4A53" w:rsidRDefault="00BF4A53" w:rsidP="00BF4A53">
      <w:pPr>
        <w:pStyle w:val="Heading1"/>
        <w:rPr>
          <w:rFonts w:eastAsia="Times New Roman"/>
        </w:rPr>
      </w:pPr>
    </w:p>
    <w:p w14:paraId="0C0F555E" w14:textId="77777777" w:rsidR="00BF4A53" w:rsidRDefault="00BF4A53" w:rsidP="00BF4A53">
      <w:pPr>
        <w:pStyle w:val="Heading1"/>
        <w:rPr>
          <w:rFonts w:eastAsia="Times New Roman"/>
        </w:rPr>
      </w:pPr>
    </w:p>
    <w:p w14:paraId="434AB15E" w14:textId="77777777" w:rsidR="00BF4A53" w:rsidRDefault="00BF4A53" w:rsidP="00BF4A53">
      <w:pPr>
        <w:pStyle w:val="Heading1"/>
        <w:rPr>
          <w:rFonts w:eastAsia="Times New Roman"/>
        </w:rPr>
      </w:pPr>
    </w:p>
    <w:p w14:paraId="23834229" w14:textId="77777777" w:rsidR="00BF4A53" w:rsidRDefault="00BF4A53" w:rsidP="00BF4A53">
      <w:pPr>
        <w:pStyle w:val="Heading1"/>
        <w:rPr>
          <w:rFonts w:eastAsia="Times New Roman"/>
        </w:rPr>
      </w:pPr>
    </w:p>
    <w:p w14:paraId="7D8DDEA8" w14:textId="77777777" w:rsidR="00BF4A53" w:rsidRDefault="00BF4A53" w:rsidP="00BF4A53">
      <w:pPr>
        <w:pStyle w:val="Heading1"/>
        <w:rPr>
          <w:rFonts w:eastAsia="Times New Roman"/>
        </w:rPr>
      </w:pPr>
    </w:p>
    <w:p w14:paraId="46A3C2F9" w14:textId="77777777" w:rsidR="00BF4A53" w:rsidRDefault="00BF4A53" w:rsidP="00BF4A53">
      <w:pPr>
        <w:pStyle w:val="Heading1"/>
        <w:rPr>
          <w:rFonts w:eastAsia="Times New Roman"/>
        </w:rPr>
      </w:pPr>
    </w:p>
    <w:p w14:paraId="137BB2AF" w14:textId="77777777" w:rsidR="00BF4A53" w:rsidRDefault="00BF4A53" w:rsidP="00BF4A53">
      <w:pPr>
        <w:pStyle w:val="Heading1"/>
        <w:rPr>
          <w:rFonts w:eastAsia="Times New Roman"/>
        </w:rPr>
      </w:pPr>
    </w:p>
    <w:p w14:paraId="0B82B074" w14:textId="77777777" w:rsidR="00BF4A53" w:rsidRDefault="00BF4A53" w:rsidP="00BF4A53">
      <w:pPr>
        <w:pStyle w:val="Heading1"/>
        <w:rPr>
          <w:rFonts w:eastAsia="Times New Roman"/>
        </w:rPr>
      </w:pPr>
    </w:p>
    <w:p w14:paraId="2FB8138E" w14:textId="77777777" w:rsidR="00BF4A53" w:rsidRDefault="00BF4A53" w:rsidP="00BF4A53">
      <w:pPr>
        <w:pStyle w:val="Heading1"/>
        <w:rPr>
          <w:rFonts w:eastAsia="Times New Roman"/>
        </w:rPr>
      </w:pPr>
    </w:p>
    <w:p w14:paraId="43D2F804" w14:textId="77777777" w:rsidR="00BF4A53" w:rsidRDefault="00BF4A53" w:rsidP="00BF4A53">
      <w:pPr>
        <w:pStyle w:val="Heading1"/>
        <w:rPr>
          <w:rFonts w:eastAsia="Times New Roman"/>
        </w:rPr>
      </w:pPr>
    </w:p>
    <w:p w14:paraId="0F818B98" w14:textId="77777777" w:rsidR="00BF4A53" w:rsidRDefault="00BF4A53" w:rsidP="00BF4A53">
      <w:pPr>
        <w:pStyle w:val="Heading1"/>
        <w:rPr>
          <w:rFonts w:eastAsia="Times New Roman"/>
        </w:rPr>
      </w:pPr>
    </w:p>
    <w:p w14:paraId="77D50D66" w14:textId="77777777" w:rsidR="00BF4A53" w:rsidRDefault="00BF4A53" w:rsidP="00BF4A53">
      <w:pPr>
        <w:pStyle w:val="Heading1"/>
        <w:rPr>
          <w:rFonts w:eastAsia="Times New Roman"/>
        </w:rPr>
      </w:pPr>
    </w:p>
    <w:p w14:paraId="436FF153" w14:textId="77777777" w:rsidR="00C656B5" w:rsidRDefault="00BF4A53"/>
    <w:sectPr w:rsidR="00C656B5" w:rsidSect="00E2186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7"/>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A53"/>
    <w:rsid w:val="00586599"/>
    <w:rsid w:val="00653087"/>
    <w:rsid w:val="007B0AC6"/>
    <w:rsid w:val="00BF4A53"/>
    <w:rsid w:val="00CE4690"/>
    <w:rsid w:val="00D4134E"/>
    <w:rsid w:val="00E21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2831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A53"/>
    <w:rPr>
      <w:rFonts w:ascii="Times New Roman" w:hAnsi="Times New Roman" w:cs="Times New Roman"/>
      <w:lang w:eastAsia="en-GB"/>
    </w:rPr>
  </w:style>
  <w:style w:type="paragraph" w:styleId="Heading1">
    <w:name w:val="heading 1"/>
    <w:basedOn w:val="Normal"/>
    <w:link w:val="Heading1Char"/>
    <w:uiPriority w:val="9"/>
    <w:qFormat/>
    <w:rsid w:val="00BF4A53"/>
    <w:pPr>
      <w:widowControl w:val="0"/>
      <w:autoSpaceDE w:val="0"/>
      <w:autoSpaceDN w:val="0"/>
      <w:ind w:left="220"/>
      <w:outlineLvl w:val="0"/>
    </w:pPr>
    <w:rPr>
      <w:rFonts w:ascii="Arial" w:eastAsia="Calibri Light" w:hAnsi="Arial" w:cs="Calibri Light"/>
      <w:b/>
      <w:sz w:val="32"/>
      <w:szCs w:val="32"/>
      <w:lang w:bidi="en-GB"/>
    </w:rPr>
  </w:style>
  <w:style w:type="paragraph" w:styleId="Heading2">
    <w:name w:val="heading 2"/>
    <w:basedOn w:val="Normal"/>
    <w:next w:val="Normal"/>
    <w:link w:val="Heading2Char"/>
    <w:uiPriority w:val="9"/>
    <w:unhideWhenUsed/>
    <w:qFormat/>
    <w:rsid w:val="00BF4A53"/>
    <w:pPr>
      <w:keepNext/>
      <w:keepLines/>
      <w:spacing w:before="40"/>
      <w:outlineLvl w:val="1"/>
    </w:pPr>
    <w:rPr>
      <w:rFonts w:asciiTheme="majorHAnsi" w:eastAsiaTheme="majorEastAsia" w:hAnsiTheme="majorHAnsi" w:cstheme="majorBidi"/>
      <w:color w:val="2E74B5" w:themeColor="accent1" w:themeShade="BF"/>
      <w:sz w:val="26"/>
      <w:szCs w:val="26"/>
      <w:lang w:eastAsia="en-US"/>
    </w:rPr>
  </w:style>
  <w:style w:type="paragraph" w:styleId="Heading3">
    <w:name w:val="heading 3"/>
    <w:basedOn w:val="Normal"/>
    <w:next w:val="Normal"/>
    <w:link w:val="Heading3Char"/>
    <w:uiPriority w:val="9"/>
    <w:unhideWhenUsed/>
    <w:qFormat/>
    <w:rsid w:val="00BF4A53"/>
    <w:pPr>
      <w:keepNext/>
      <w:keepLines/>
      <w:spacing w:before="40"/>
      <w:outlineLvl w:val="2"/>
    </w:pPr>
    <w:rPr>
      <w:rFonts w:asciiTheme="majorHAnsi" w:eastAsiaTheme="majorEastAsia" w:hAnsiTheme="majorHAnsi" w:cstheme="majorBidi"/>
      <w:color w:val="1F4D78"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A53"/>
    <w:rPr>
      <w:rFonts w:ascii="Arial" w:eastAsia="Calibri Light" w:hAnsi="Arial" w:cs="Calibri Light"/>
      <w:b/>
      <w:sz w:val="32"/>
      <w:szCs w:val="32"/>
      <w:lang w:eastAsia="en-GB" w:bidi="en-GB"/>
    </w:rPr>
  </w:style>
  <w:style w:type="character" w:customStyle="1" w:styleId="Heading2Char">
    <w:name w:val="Heading 2 Char"/>
    <w:basedOn w:val="DefaultParagraphFont"/>
    <w:link w:val="Heading2"/>
    <w:uiPriority w:val="9"/>
    <w:rsid w:val="00BF4A5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F4A53"/>
    <w:rPr>
      <w:rFonts w:asciiTheme="majorHAnsi" w:eastAsiaTheme="majorEastAsia" w:hAnsiTheme="majorHAnsi" w:cstheme="majorBidi"/>
      <w:color w:val="1F4D78" w:themeColor="accent1" w:themeShade="7F"/>
    </w:rPr>
  </w:style>
  <w:style w:type="paragraph" w:styleId="NormalWeb">
    <w:name w:val="Normal (Web)"/>
    <w:basedOn w:val="Normal"/>
    <w:uiPriority w:val="99"/>
    <w:unhideWhenUsed/>
    <w:rsid w:val="00BF4A53"/>
    <w:pPr>
      <w:spacing w:before="100" w:beforeAutospacing="1" w:after="100" w:afterAutospacing="1"/>
    </w:pPr>
  </w:style>
  <w:style w:type="character" w:styleId="Emphasis">
    <w:name w:val="Emphasis"/>
    <w:basedOn w:val="DefaultParagraphFont"/>
    <w:uiPriority w:val="20"/>
    <w:qFormat/>
    <w:rsid w:val="00BF4A53"/>
    <w:rPr>
      <w:i/>
      <w:iCs/>
    </w:rPr>
  </w:style>
  <w:style w:type="character" w:styleId="Strong">
    <w:name w:val="Strong"/>
    <w:basedOn w:val="DefaultParagraphFont"/>
    <w:uiPriority w:val="22"/>
    <w:qFormat/>
    <w:rsid w:val="00BF4A53"/>
    <w:rPr>
      <w:b/>
      <w:bCs/>
    </w:rPr>
  </w:style>
  <w:style w:type="table" w:styleId="GridTable4-Accent1">
    <w:name w:val="Grid Table 4 Accent 1"/>
    <w:basedOn w:val="TableNormal"/>
    <w:uiPriority w:val="49"/>
    <w:rsid w:val="00BF4A53"/>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5181</Words>
  <Characters>29535</Characters>
  <Application>Microsoft Macintosh Word</Application>
  <DocSecurity>0</DocSecurity>
  <Lines>246</Lines>
  <Paragraphs>69</Paragraphs>
  <ScaleCrop>false</ScaleCrop>
  <LinksUpToDate>false</LinksUpToDate>
  <CharactersWithSpaces>34647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2026-07-23T20:41:00Z</dcterms:created>
  <dcterms:modified xsi:type="dcterms:W3CDTF">2026-07-23T20:42:00Z</dcterms:modified>
</cp:coreProperties>
</file>