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theme/theme1.xml" ContentType="application/vnd.openxmlformats-officedocument.theme+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288" w:after="288"/>
        <w:jc w:val="center"/>
        <w:rPr>
          <w:b/>
          <w:b/>
          <w:color w:val="auto"/>
          <w:sz w:val="28"/>
          <w:lang w:val="en-GB"/>
        </w:rPr>
      </w:pPr>
      <w:r>
        <w:rPr>
          <w:b/>
          <w:color w:val="auto"/>
          <w:sz w:val="28"/>
          <w:lang w:val="en-GB"/>
        </w:rPr>
        <w:t>Housekeeping Team Member Development</w:t>
      </w:r>
    </w:p>
    <w:p>
      <w:pPr>
        <w:pStyle w:val="Normal"/>
        <w:spacing w:before="288" w:after="288"/>
        <w:jc w:val="center"/>
        <w:rPr>
          <w:b/>
          <w:b/>
          <w:color w:val="auto"/>
          <w:sz w:val="28"/>
          <w:lang w:val="en-GB"/>
        </w:rPr>
      </w:pPr>
      <w:r>
        <w:rPr>
          <w:b/>
          <w:color w:val="auto"/>
          <w:sz w:val="28"/>
          <w:lang w:val="en-GB"/>
        </w:rPr>
        <w:t>Practical Task</w:t>
      </w:r>
    </w:p>
    <w:p>
      <w:pPr>
        <w:pStyle w:val="Normal"/>
        <w:spacing w:before="288" w:after="288"/>
        <w:jc w:val="center"/>
        <w:rPr>
          <w:b/>
          <w:b/>
          <w:color w:val="auto"/>
          <w:sz w:val="28"/>
          <w:lang w:val="en-GB"/>
        </w:rPr>
      </w:pPr>
      <w:r>
        <w:rPr>
          <w:b/>
          <w:color w:val="auto"/>
          <w:sz w:val="28"/>
          <w:lang w:val="en-GB"/>
        </w:rPr>
      </w:r>
    </w:p>
    <w:p>
      <w:pPr>
        <w:pStyle w:val="Normal"/>
        <w:spacing w:before="288" w:after="288"/>
        <w:jc w:val="center"/>
        <w:rPr>
          <w:color w:val="auto"/>
          <w:lang w:val="en-GB"/>
        </w:rPr>
      </w:pPr>
      <w:r>
        <w:rPr>
          <w:color w:val="auto"/>
          <w:lang w:val="en-GB"/>
        </w:rPr>
      </w:r>
    </w:p>
    <w:p>
      <w:pPr>
        <w:pStyle w:val="Normal"/>
        <w:spacing w:before="288" w:after="288"/>
        <w:jc w:val="center"/>
        <w:rPr>
          <w:color w:val="auto"/>
          <w:lang w:val="en-GB"/>
        </w:rPr>
      </w:pPr>
      <w:r>
        <w:rPr>
          <w:color w:val="auto"/>
          <w:lang w:val="en-GB"/>
        </w:rPr>
      </w:r>
    </w:p>
    <w:p>
      <w:pPr>
        <w:pStyle w:val="Normal"/>
        <w:spacing w:before="288" w:after="288"/>
        <w:jc w:val="center"/>
        <w:rPr>
          <w:color w:val="auto"/>
          <w:lang w:val="en-GB"/>
        </w:rPr>
      </w:pPr>
      <w:r>
        <w:rPr>
          <w:color w:val="auto"/>
          <w:lang w:val="en-GB"/>
        </w:rPr>
      </w:r>
    </w:p>
    <w:p>
      <w:pPr>
        <w:pStyle w:val="Normal"/>
        <w:rPr/>
      </w:pPr>
      <w:r>
        <w:rPr>
          <w:rFonts w:cs="Arial"/>
          <w:szCs w:val="24"/>
        </w:rPr>
        <w:t xml:space="preserve">                                            </w:t>
      </w:r>
      <w:r>
        <w:rPr>
          <w:rFonts w:cs="Arial"/>
          <w:szCs w:val="24"/>
        </w:rPr>
        <w:t>Student’s Name: Anamaria Gabriela Tocila</w:t>
        <w:tab/>
      </w:r>
    </w:p>
    <w:p>
      <w:pPr>
        <w:pStyle w:val="Normal"/>
        <w:spacing w:before="288" w:after="288"/>
        <w:jc w:val="center"/>
        <w:rPr/>
      </w:pPr>
      <w:r>
        <w:rPr>
          <w:rFonts w:cs="Arial"/>
          <w:i/>
          <w:iCs/>
          <w:color w:val="auto"/>
          <w:szCs w:val="24"/>
          <w:lang w:val="en-GB"/>
        </w:rPr>
        <w:t>Student’s ID:2120101</w:t>
      </w:r>
    </w:p>
    <w:p>
      <w:pPr>
        <w:pStyle w:val="Normal"/>
        <w:spacing w:before="288" w:after="288"/>
        <w:jc w:val="center"/>
        <w:rPr>
          <w:color w:val="auto"/>
          <w:lang w:val="en-GB"/>
        </w:rPr>
      </w:pPr>
      <w:r>
        <w:rPr>
          <w:color w:val="auto"/>
          <w:lang w:val="en-GB"/>
        </w:rPr>
      </w:r>
    </w:p>
    <w:p>
      <w:pPr>
        <w:pStyle w:val="Normal"/>
        <w:spacing w:before="288" w:after="288"/>
        <w:jc w:val="both"/>
        <w:rPr>
          <w:color w:val="auto"/>
          <w:lang w:val="en-GB"/>
        </w:rPr>
      </w:pPr>
      <w:r>
        <w:rPr>
          <w:color w:val="auto"/>
          <w:lang w:val="en-GB"/>
        </w:rPr>
      </w:r>
    </w:p>
    <w:sdt>
      <w:sdtPr>
        <w:docPartObj>
          <w:docPartGallery w:val="Table of Contents"/>
          <w:docPartUnique w:val="true"/>
        </w:docPartObj>
      </w:sdtPr>
      <w:sdtContent>
        <w:p>
          <w:pPr>
            <w:pStyle w:val="TOCHeading"/>
            <w:spacing w:before="288" w:after="288"/>
            <w:rPr>
              <w:rFonts w:ascii="Times New Roman" w:hAnsi="Times New Roman" w:cs="Times New Roman"/>
              <w:color w:val="auto"/>
            </w:rPr>
          </w:pPr>
          <w:r>
            <w:rPr>
              <w:rFonts w:cs="Times New Roman" w:ascii="Times New Roman" w:hAnsi="Times New Roman"/>
              <w:color w:val="auto"/>
            </w:rPr>
            <w:t>Table of Contents</w:t>
          </w:r>
        </w:p>
        <w:p>
          <w:pPr>
            <w:pStyle w:val="Contents1"/>
            <w:tabs>
              <w:tab w:val="clear" w:pos="720"/>
              <w:tab w:val="right" w:pos="9016" w:leader="dot"/>
            </w:tabs>
            <w:spacing w:before="288" w:after="288"/>
            <w:rPr/>
          </w:pPr>
          <w:r>
            <w:fldChar w:fldCharType="begin"/>
          </w:r>
          <w:r>
            <w:rPr>
              <w:webHidden/>
              <w:rStyle w:val="IndexLink"/>
            </w:rPr>
            <w:instrText> TOC \z \o "1-3" \u \h</w:instrText>
          </w:r>
          <w:r>
            <w:rPr>
              <w:webHidden/>
              <w:rStyle w:val="IndexLink"/>
            </w:rPr>
            <w:fldChar w:fldCharType="separate"/>
          </w:r>
          <w:hyperlink w:anchor="_Toc119100518">
            <w:r>
              <w:rPr>
                <w:webHidden/>
                <w:rStyle w:val="IndexLink"/>
                <w:lang w:val="en-GB"/>
              </w:rPr>
              <w:t>Introduction</w:t>
            </w:r>
            <w:r>
              <w:rPr>
                <w:webHidden/>
              </w:rPr>
              <w:fldChar w:fldCharType="begin"/>
            </w:r>
            <w:r>
              <w:rPr>
                <w:webHidden/>
              </w:rPr>
              <w:instrText>PAGEREF _Toc119100518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016" w:leader="dot"/>
            </w:tabs>
            <w:spacing w:before="288" w:after="288"/>
            <w:rPr/>
          </w:pPr>
          <w:hyperlink w:anchor="_Toc119100519">
            <w:r>
              <w:rPr>
                <w:webHidden/>
                <w:rStyle w:val="IndexLink"/>
                <w:lang w:val="en-GB"/>
              </w:rPr>
              <w:t>Training Plan</w:t>
            </w:r>
            <w:r>
              <w:rPr>
                <w:webHidden/>
              </w:rPr>
              <w:fldChar w:fldCharType="begin"/>
            </w:r>
            <w:r>
              <w:rPr>
                <w:webHidden/>
              </w:rPr>
              <w:instrText>PAGEREF _Toc119100519 \h</w:instrText>
            </w:r>
            <w:r>
              <w:rPr>
                <w:webHidden/>
              </w:rPr>
              <w:fldChar w:fldCharType="separate"/>
            </w:r>
            <w:r>
              <w:rPr>
                <w:rStyle w:val="IndexLink"/>
                <w:vanish w:val="false"/>
              </w:rPr>
              <w:tab/>
              <w:t>4</w:t>
            </w:r>
            <w:r>
              <w:rPr>
                <w:webHidden/>
              </w:rPr>
              <w:fldChar w:fldCharType="end"/>
            </w:r>
          </w:hyperlink>
        </w:p>
        <w:p>
          <w:pPr>
            <w:pStyle w:val="Contents2"/>
            <w:tabs>
              <w:tab w:val="clear" w:pos="720"/>
              <w:tab w:val="left" w:pos="660" w:leader="none"/>
              <w:tab w:val="right" w:pos="9016" w:leader="dot"/>
            </w:tabs>
            <w:spacing w:before="288" w:after="288"/>
            <w:rPr/>
          </w:pPr>
          <w:hyperlink w:anchor="_Toc119100520">
            <w:r>
              <w:rPr>
                <w:webHidden/>
                <w:rStyle w:val="IndexLink"/>
                <w:lang w:val="en-GB"/>
              </w:rPr>
              <w:t>1.</w:t>
            </w:r>
            <w:r>
              <w:rPr>
                <w:rStyle w:val="IndexLink"/>
              </w:rPr>
              <w:tab/>
            </w:r>
            <w:r>
              <w:rPr>
                <w:rStyle w:val="IndexLink"/>
                <w:lang w:val="en-GB"/>
              </w:rPr>
              <w:t>Welcome introduction</w:t>
            </w:r>
            <w:r>
              <w:rPr>
                <w:webHidden/>
              </w:rPr>
              <w:fldChar w:fldCharType="begin"/>
            </w:r>
            <w:r>
              <w:rPr>
                <w:webHidden/>
              </w:rPr>
              <w:instrText>PAGEREF _Toc119100520 \h</w:instrText>
            </w:r>
            <w:r>
              <w:rPr>
                <w:webHidden/>
              </w:rPr>
              <w:fldChar w:fldCharType="separate"/>
            </w:r>
            <w:r>
              <w:rPr>
                <w:rStyle w:val="IndexLink"/>
                <w:vanish w:val="false"/>
              </w:rPr>
              <w:tab/>
              <w:t>4</w:t>
            </w:r>
            <w:r>
              <w:rPr>
                <w:webHidden/>
              </w:rPr>
              <w:fldChar w:fldCharType="end"/>
            </w:r>
          </w:hyperlink>
        </w:p>
        <w:p>
          <w:pPr>
            <w:pStyle w:val="Contents2"/>
            <w:tabs>
              <w:tab w:val="clear" w:pos="720"/>
              <w:tab w:val="left" w:pos="660" w:leader="none"/>
              <w:tab w:val="right" w:pos="9016" w:leader="dot"/>
            </w:tabs>
            <w:spacing w:before="288" w:after="288"/>
            <w:rPr/>
          </w:pPr>
          <w:hyperlink w:anchor="_Toc119100521">
            <w:r>
              <w:rPr>
                <w:webHidden/>
                <w:rStyle w:val="IndexLink"/>
                <w:lang w:val="en-GB"/>
              </w:rPr>
              <w:t>1.</w:t>
            </w:r>
            <w:r>
              <w:rPr>
                <w:rStyle w:val="IndexLink"/>
              </w:rPr>
              <w:tab/>
            </w:r>
            <w:r>
              <w:rPr>
                <w:rStyle w:val="IndexLink"/>
                <w:lang w:val="en-GB"/>
              </w:rPr>
              <w:t>Timetable of training activities</w:t>
            </w:r>
            <w:r>
              <w:rPr>
                <w:webHidden/>
              </w:rPr>
              <w:fldChar w:fldCharType="begin"/>
            </w:r>
            <w:r>
              <w:rPr>
                <w:webHidden/>
              </w:rPr>
              <w:instrText>PAGEREF _Toc119100521 \h</w:instrText>
            </w:r>
            <w:r>
              <w:rPr>
                <w:webHidden/>
              </w:rPr>
              <w:fldChar w:fldCharType="separate"/>
            </w:r>
            <w:r>
              <w:rPr>
                <w:rStyle w:val="IndexLink"/>
                <w:vanish w:val="false"/>
              </w:rPr>
              <w:tab/>
              <w:t>5</w:t>
            </w:r>
            <w:r>
              <w:rPr>
                <w:webHidden/>
              </w:rPr>
              <w:fldChar w:fldCharType="end"/>
            </w:r>
          </w:hyperlink>
        </w:p>
        <w:p>
          <w:pPr>
            <w:pStyle w:val="Contents2"/>
            <w:tabs>
              <w:tab w:val="clear" w:pos="720"/>
              <w:tab w:val="left" w:pos="660" w:leader="none"/>
              <w:tab w:val="right" w:pos="9016" w:leader="dot"/>
            </w:tabs>
            <w:spacing w:before="288" w:after="288"/>
            <w:rPr/>
          </w:pPr>
          <w:hyperlink w:anchor="_Toc119100522">
            <w:r>
              <w:rPr>
                <w:webHidden/>
                <w:rStyle w:val="IndexLink"/>
                <w:lang w:val="en-GB"/>
              </w:rPr>
              <w:t>3.</w:t>
            </w:r>
            <w:r>
              <w:rPr>
                <w:rStyle w:val="IndexLink"/>
              </w:rPr>
              <w:tab/>
            </w:r>
            <w:r>
              <w:rPr>
                <w:rStyle w:val="IndexLink"/>
                <w:lang w:val="en-GB"/>
              </w:rPr>
              <w:t>Describing Training Activities</w:t>
            </w:r>
            <w:r>
              <w:rPr>
                <w:webHidden/>
              </w:rPr>
              <w:fldChar w:fldCharType="begin"/>
            </w:r>
            <w:r>
              <w:rPr>
                <w:webHidden/>
              </w:rPr>
              <w:instrText>PAGEREF _Toc119100522 \h</w:instrText>
            </w:r>
            <w:r>
              <w:rPr>
                <w:webHidden/>
              </w:rPr>
              <w:fldChar w:fldCharType="separate"/>
            </w:r>
            <w:r>
              <w:rPr>
                <w:rStyle w:val="IndexLink"/>
                <w:vanish w:val="false"/>
              </w:rPr>
              <w:tab/>
              <w:t>7</w:t>
            </w:r>
            <w:r>
              <w:rPr>
                <w:webHidden/>
              </w:rPr>
              <w:fldChar w:fldCharType="end"/>
            </w:r>
          </w:hyperlink>
        </w:p>
        <w:p>
          <w:pPr>
            <w:pStyle w:val="Contents2"/>
            <w:tabs>
              <w:tab w:val="clear" w:pos="720"/>
              <w:tab w:val="left" w:pos="660" w:leader="none"/>
              <w:tab w:val="right" w:pos="9016" w:leader="dot"/>
            </w:tabs>
            <w:spacing w:before="288" w:after="288"/>
            <w:rPr/>
          </w:pPr>
          <w:hyperlink w:anchor="_Toc119100523">
            <w:r>
              <w:rPr>
                <w:webHidden/>
                <w:rStyle w:val="IndexLink"/>
                <w:lang w:val="en-GB"/>
              </w:rPr>
              <w:t>4.</w:t>
            </w:r>
            <w:r>
              <w:rPr>
                <w:rStyle w:val="IndexLink"/>
              </w:rPr>
              <w:tab/>
            </w:r>
            <w:r>
              <w:rPr>
                <w:rStyle w:val="IndexLink"/>
                <w:lang w:val="en-GB"/>
              </w:rPr>
              <w:t>Safety Training</w:t>
            </w:r>
            <w:r>
              <w:rPr>
                <w:webHidden/>
              </w:rPr>
              <w:fldChar w:fldCharType="begin"/>
            </w:r>
            <w:r>
              <w:rPr>
                <w:webHidden/>
              </w:rPr>
              <w:instrText>PAGEREF _Toc119100523 \h</w:instrText>
            </w:r>
            <w:r>
              <w:rPr>
                <w:webHidden/>
              </w:rPr>
              <w:fldChar w:fldCharType="separate"/>
            </w:r>
            <w:r>
              <w:rPr>
                <w:rStyle w:val="IndexLink"/>
                <w:vanish w:val="false"/>
              </w:rPr>
              <w:tab/>
              <w:t>9</w:t>
            </w:r>
            <w:r>
              <w:rPr>
                <w:webHidden/>
              </w:rPr>
              <w:fldChar w:fldCharType="end"/>
            </w:r>
          </w:hyperlink>
        </w:p>
        <w:p>
          <w:pPr>
            <w:pStyle w:val="Contents2"/>
            <w:tabs>
              <w:tab w:val="clear" w:pos="720"/>
              <w:tab w:val="left" w:pos="660" w:leader="none"/>
              <w:tab w:val="right" w:pos="9016" w:leader="dot"/>
            </w:tabs>
            <w:spacing w:before="288" w:after="288"/>
            <w:rPr/>
          </w:pPr>
          <w:hyperlink w:anchor="_Toc119100524">
            <w:r>
              <w:rPr>
                <w:webHidden/>
                <w:rStyle w:val="IndexLink"/>
                <w:lang w:val="en-GB"/>
              </w:rPr>
              <w:t>5.</w:t>
            </w:r>
            <w:r>
              <w:rPr>
                <w:rStyle w:val="IndexLink"/>
              </w:rPr>
              <w:tab/>
            </w:r>
            <w:r>
              <w:rPr>
                <w:rStyle w:val="IndexLink"/>
                <w:lang w:val="en-GB"/>
              </w:rPr>
              <w:t>Branding and logos for Hotel Trinity</w:t>
            </w:r>
            <w:r>
              <w:rPr>
                <w:webHidden/>
              </w:rPr>
              <w:fldChar w:fldCharType="begin"/>
            </w:r>
            <w:r>
              <w:rPr>
                <w:webHidden/>
              </w:rPr>
              <w:instrText>PAGEREF _Toc119100524 \h</w:instrText>
            </w:r>
            <w:r>
              <w:rPr>
                <w:webHidden/>
              </w:rPr>
              <w:fldChar w:fldCharType="separate"/>
            </w:r>
            <w:r>
              <w:rPr>
                <w:rStyle w:val="IndexLink"/>
                <w:vanish w:val="false"/>
              </w:rPr>
              <w:tab/>
              <w:t>12</w:t>
            </w:r>
            <w:r>
              <w:rPr>
                <w:webHidden/>
              </w:rPr>
              <w:fldChar w:fldCharType="end"/>
            </w:r>
          </w:hyperlink>
        </w:p>
        <w:p>
          <w:pPr>
            <w:pStyle w:val="Contents1"/>
            <w:tabs>
              <w:tab w:val="clear" w:pos="720"/>
              <w:tab w:val="right" w:pos="9016" w:leader="dot"/>
            </w:tabs>
            <w:spacing w:before="288" w:after="288"/>
            <w:rPr/>
          </w:pPr>
          <w:hyperlink w:anchor="_Toc119100525">
            <w:r>
              <w:rPr>
                <w:webHidden/>
                <w:rStyle w:val="IndexLink"/>
                <w:lang w:val="en-GB"/>
              </w:rPr>
              <w:t>Conclusion</w:t>
            </w:r>
            <w:r>
              <w:rPr>
                <w:webHidden/>
              </w:rPr>
              <w:fldChar w:fldCharType="begin"/>
            </w:r>
            <w:r>
              <w:rPr>
                <w:webHidden/>
              </w:rPr>
              <w:instrText>PAGEREF _Toc119100525 \h</w:instrText>
            </w:r>
            <w:r>
              <w:rPr>
                <w:webHidden/>
              </w:rPr>
              <w:fldChar w:fldCharType="separate"/>
            </w:r>
            <w:r>
              <w:rPr>
                <w:rStyle w:val="IndexLink"/>
                <w:vanish w:val="false"/>
              </w:rPr>
              <w:tab/>
              <w:t>13</w:t>
            </w:r>
            <w:r>
              <w:rPr>
                <w:webHidden/>
              </w:rPr>
              <w:fldChar w:fldCharType="end"/>
            </w:r>
          </w:hyperlink>
        </w:p>
        <w:p>
          <w:pPr>
            <w:pStyle w:val="Contents1"/>
            <w:tabs>
              <w:tab w:val="clear" w:pos="720"/>
              <w:tab w:val="right" w:pos="9016" w:leader="dot"/>
            </w:tabs>
            <w:spacing w:before="288" w:after="288"/>
            <w:rPr/>
          </w:pPr>
          <w:hyperlink w:anchor="_Toc119100526">
            <w:r>
              <w:rPr>
                <w:webHidden/>
                <w:rStyle w:val="IndexLink"/>
                <w:lang w:val="en-GB"/>
              </w:rPr>
              <w:t>References</w:t>
            </w:r>
            <w:r>
              <w:rPr>
                <w:webHidden/>
              </w:rPr>
              <w:fldChar w:fldCharType="begin"/>
            </w:r>
            <w:r>
              <w:rPr>
                <w:webHidden/>
              </w:rPr>
              <w:instrText>PAGEREF _Toc119100526 \h</w:instrText>
            </w:r>
            <w:r>
              <w:rPr>
                <w:webHidden/>
              </w:rPr>
              <w:fldChar w:fldCharType="separate"/>
            </w:r>
            <w:r>
              <w:rPr>
                <w:rStyle w:val="IndexLink"/>
                <w:vanish w:val="false"/>
              </w:rPr>
              <w:tab/>
              <w:t>14</w:t>
            </w:r>
            <w:r>
              <w:rPr>
                <w:webHidden/>
              </w:rPr>
              <w:fldChar w:fldCharType="end"/>
            </w:r>
          </w:hyperlink>
        </w:p>
        <w:p>
          <w:pPr>
            <w:pStyle w:val="Normal"/>
            <w:spacing w:before="288" w:after="288"/>
            <w:rPr/>
          </w:pPr>
          <w:r>
            <w:rPr/>
          </w:r>
          <w:r>
            <w:rPr/>
            <w:fldChar w:fldCharType="end"/>
          </w:r>
        </w:p>
      </w:sdtContent>
    </w:sdt>
    <w:p>
      <w:pPr>
        <w:pStyle w:val="Normal"/>
        <w:spacing w:before="288" w:after="288"/>
        <w:jc w:val="both"/>
        <w:rPr>
          <w:color w:val="auto"/>
          <w:lang w:val="en-GB"/>
        </w:rPr>
      </w:pPr>
      <w:r>
        <w:rPr>
          <w:color w:val="auto"/>
          <w:lang w:val="en-GB"/>
        </w:rPr>
      </w:r>
      <w:r>
        <w:br w:type="page"/>
      </w:r>
    </w:p>
    <w:p>
      <w:pPr>
        <w:pStyle w:val="Heading1"/>
        <w:spacing w:before="288" w:after="288"/>
        <w:jc w:val="both"/>
        <w:rPr>
          <w:lang w:val="en-GB"/>
        </w:rPr>
      </w:pPr>
      <w:bookmarkStart w:id="0" w:name="_Toc119100518"/>
      <w:r>
        <w:rPr>
          <w:lang w:val="en-GB"/>
        </w:rPr>
        <w:t>Introduction</w:t>
      </w:r>
      <w:bookmarkEnd w:id="0"/>
    </w:p>
    <w:p>
      <w:pPr>
        <w:pStyle w:val="Normal"/>
        <w:spacing w:before="288" w:after="288"/>
        <w:jc w:val="both"/>
        <w:rPr>
          <w:lang w:val="en-GB"/>
        </w:rPr>
      </w:pPr>
      <w:r>
        <w:rPr>
          <w:lang w:val="en-GB"/>
        </w:rPr>
        <w:t>The purpose of this study is to provide a program for the 4* Hotel Trinity's new cleaning crew. All new members of the housekeeping staff will undertake an 8-week training session as part of the program's first implementation. Housekeeping is an essential element of any hotel or other lodging company. For the hotel's cleaning and general upkeep, a trained housekeeper is essential (Cummings, 2021). There is no question that having well-defined protocols that help housekeeping employees manage their daily chores and become more efficient is essential to building and maintaining a successful housekeeping team. A hotel that has a well-oiled machine can weather any storm of capacity changes, and its employees will be more content as a result. The essay will go into further detail about the numerous considerations that should be considered while assembling a cleaning staff.</w:t>
      </w:r>
      <w:r>
        <w:br w:type="page"/>
      </w:r>
    </w:p>
    <w:p>
      <w:pPr>
        <w:pStyle w:val="Heading1"/>
        <w:spacing w:before="288" w:after="288"/>
        <w:jc w:val="both"/>
        <w:rPr>
          <w:lang w:val="en-GB"/>
        </w:rPr>
      </w:pPr>
      <w:bookmarkStart w:id="1" w:name="_Toc119100519"/>
      <w:r>
        <w:rPr>
          <w:lang w:val="en-GB"/>
        </w:rPr>
        <w:t>Training Plan</w:t>
      </w:r>
      <w:bookmarkEnd w:id="1"/>
    </w:p>
    <w:p>
      <w:pPr>
        <w:pStyle w:val="Heading2"/>
        <w:numPr>
          <w:ilvl w:val="0"/>
          <w:numId w:val="6"/>
        </w:numPr>
        <w:jc w:val="both"/>
        <w:rPr>
          <w:lang w:val="en-GB"/>
        </w:rPr>
      </w:pPr>
      <w:bookmarkStart w:id="2" w:name="_Toc119100520"/>
      <w:r>
        <w:rPr>
          <w:lang w:val="en-GB"/>
        </w:rPr>
        <w:t>Welcome introduction</w:t>
      </w:r>
      <w:bookmarkEnd w:id="2"/>
    </w:p>
    <w:p>
      <w:pPr>
        <w:pStyle w:val="Normal"/>
        <w:spacing w:before="288" w:after="288"/>
        <w:jc w:val="both"/>
        <w:rPr>
          <w:color w:val="auto"/>
          <w:lang w:val="en-GB"/>
        </w:rPr>
      </w:pPr>
      <w:r>
        <w:rPr>
          <w:color w:val="auto"/>
          <w:lang w:val="en-GB"/>
        </w:rPr>
        <w:t>Good morning, I hope everything is fine with you. Thank you for joining us. Even more so with new recruits, we are always interested in hearing about and considering the ideas and skills of our personnel. Hotel Trinity stood out among the other candidates since we know you will be an asset to our team. We encourage you to think outside the box, speak your mind, and support the efforts of your colleagues at all times. Feel free to voice your opinions, ask us questions, and otherwise engage in healthy debate. We believe that we will be able to collaborate effectively in the next weeks and months, and we encourage you to reach out to us whenever you need assistance, just as we know that you will always be there to back up your coworkers (Cummings, 2021). We anticipate that our combined development will benefit the company as a whole. This training course will prepare you to fulfill the duties required of you at Hotel Trinity. Skills in cleaning, using equipment, interacting with guests, public speaking, communicating, preventing fires, maintaining facilities, and other similar topics were covered. I have faith in your abilities and know you'll succeed in this endeavor.</w:t>
      </w:r>
    </w:p>
    <w:p>
      <w:pPr>
        <w:pStyle w:val="Normal"/>
        <w:spacing w:before="288" w:after="288"/>
        <w:jc w:val="both"/>
        <w:rPr>
          <w:color w:val="auto"/>
          <w:lang w:val="en-GB"/>
        </w:rPr>
      </w:pPr>
      <w:r>
        <w:rPr>
          <w:color w:val="auto"/>
          <w:lang w:val="en-GB"/>
        </w:rPr>
      </w:r>
    </w:p>
    <w:p>
      <w:pPr>
        <w:pStyle w:val="Normal"/>
        <w:spacing w:before="288" w:after="288"/>
        <w:jc w:val="both"/>
        <w:rPr>
          <w:color w:val="auto"/>
          <w:lang w:val="en-GB"/>
        </w:rPr>
      </w:pPr>
      <w:r>
        <w:rPr>
          <w:color w:val="auto"/>
          <w:lang w:val="en-GB"/>
        </w:rPr>
      </w:r>
    </w:p>
    <w:p>
      <w:pPr>
        <w:pStyle w:val="Normal"/>
        <w:spacing w:before="288" w:after="288"/>
        <w:jc w:val="both"/>
        <w:rPr>
          <w:color w:val="auto"/>
          <w:lang w:val="en-GB"/>
        </w:rPr>
      </w:pPr>
      <w:r>
        <w:rPr>
          <w:color w:val="auto"/>
          <w:lang w:val="en-GB"/>
        </w:rPr>
      </w:r>
    </w:p>
    <w:p>
      <w:pPr>
        <w:pStyle w:val="Normal"/>
        <w:spacing w:before="288" w:after="288"/>
        <w:jc w:val="both"/>
        <w:rPr>
          <w:color w:val="auto"/>
          <w:lang w:val="en-GB"/>
        </w:rPr>
      </w:pPr>
      <w:r>
        <w:rPr>
          <w:color w:val="auto"/>
          <w:lang w:val="en-GB"/>
        </w:rPr>
      </w:r>
    </w:p>
    <w:p>
      <w:pPr>
        <w:pStyle w:val="Normal"/>
        <w:spacing w:before="288" w:after="288"/>
        <w:jc w:val="both"/>
        <w:rPr>
          <w:color w:val="auto"/>
          <w:lang w:val="en-GB"/>
        </w:rPr>
      </w:pPr>
      <w:r>
        <w:rPr>
          <w:color w:val="auto"/>
          <w:lang w:val="en-GB"/>
        </w:rPr>
      </w:r>
      <w:r>
        <w:br w:type="page"/>
      </w:r>
    </w:p>
    <w:p>
      <w:pPr>
        <w:pStyle w:val="Heading2"/>
        <w:numPr>
          <w:ilvl w:val="0"/>
          <w:numId w:val="1"/>
        </w:numPr>
        <w:spacing w:before="1152" w:after="288"/>
        <w:ind w:left="360" w:hanging="360"/>
        <w:jc w:val="both"/>
        <w:rPr>
          <w:lang w:val="en-GB"/>
        </w:rPr>
      </w:pPr>
      <w:bookmarkStart w:id="3" w:name="_Toc119100521"/>
      <w:r>
        <w:rPr>
          <w:lang w:val="en-GB"/>
        </w:rPr>
        <w:t>Timetable of training activities</w:t>
      </w:r>
      <w:bookmarkEnd w:id="3"/>
    </w:p>
    <w:p>
      <w:pPr>
        <w:pStyle w:val="Normal"/>
        <w:spacing w:before="288" w:after="288"/>
        <w:jc w:val="both"/>
        <w:rPr>
          <w:color w:val="auto"/>
          <w:lang w:val="en-GB"/>
        </w:rPr>
      </w:pPr>
      <w:r>
        <w:rPr>
          <w:color w:val="auto"/>
          <w:lang w:val="en-GB"/>
        </w:rPr>
        <w:t>Unless it accommodates your needs as well as those of the student, a training program will not be successful (Cummings, 2021). As an example, below is a suggested training schedule for the next eight weeks. Before addressing a subject in a training session, Hotel Trinity will allow workers at minimum one day just to read the linked Job Knowledge parts and Job Breakdowns.</w:t>
      </w:r>
    </w:p>
    <w:tbl>
      <w:tblPr>
        <w:tblStyle w:val="TableGridLight"/>
        <w:tblW w:w="5968" w:type="dxa"/>
        <w:jc w:val="center"/>
        <w:tblInd w:w="0" w:type="dxa"/>
        <w:tblCellMar>
          <w:top w:w="0" w:type="dxa"/>
          <w:left w:w="108" w:type="dxa"/>
          <w:bottom w:w="0" w:type="dxa"/>
          <w:right w:w="108" w:type="dxa"/>
        </w:tblCellMar>
        <w:tblLook w:firstRow="1" w:noVBand="1" w:lastRow="0" w:firstColumn="1" w:lastColumn="0" w:noHBand="0" w:val="04a0"/>
      </w:tblPr>
      <w:tblGrid>
        <w:gridCol w:w="2850"/>
        <w:gridCol w:w="3117"/>
      </w:tblGrid>
      <w:tr>
        <w:trPr/>
        <w:tc>
          <w:tcPr>
            <w:tcW w:w="2850" w:type="dxa"/>
            <w:tcBorders/>
            <w:shd w:fill="auto" w:val="clear"/>
          </w:tcPr>
          <w:p>
            <w:pPr>
              <w:pStyle w:val="Normal"/>
              <w:spacing w:lineRule="auto" w:line="240" w:before="288" w:after="288"/>
              <w:jc w:val="both"/>
              <w:rPr>
                <w:b/>
                <w:b/>
                <w:color w:val="auto"/>
                <w:lang w:val="en-GB"/>
              </w:rPr>
            </w:pPr>
            <w:r>
              <w:rPr>
                <w:b/>
                <w:color w:val="auto"/>
                <w:lang w:val="en-GB"/>
              </w:rPr>
              <w:t>Activities</w:t>
            </w:r>
          </w:p>
        </w:tc>
        <w:tc>
          <w:tcPr>
            <w:tcW w:w="3117" w:type="dxa"/>
            <w:tcBorders/>
            <w:shd w:fill="auto" w:val="clear"/>
          </w:tcPr>
          <w:p>
            <w:pPr>
              <w:pStyle w:val="Normal"/>
              <w:spacing w:lineRule="auto" w:line="240" w:before="288" w:after="288"/>
              <w:jc w:val="both"/>
              <w:rPr>
                <w:b/>
                <w:b/>
                <w:color w:val="auto"/>
                <w:lang w:val="en-GB"/>
              </w:rPr>
            </w:pPr>
            <w:r>
              <w:rPr>
                <w:b/>
                <w:color w:val="auto"/>
                <w:lang w:val="en-GB"/>
              </w:rPr>
              <w:t>Timeline</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Cleaning Skills</w:t>
            </w:r>
          </w:p>
          <w:p>
            <w:pPr>
              <w:pStyle w:val="Normal"/>
              <w:spacing w:lineRule="auto" w:line="240" w:before="288" w:after="288"/>
              <w:jc w:val="both"/>
              <w:rPr>
                <w:b/>
                <w:b/>
                <w:color w:val="auto"/>
                <w:lang w:val="en-GB"/>
              </w:rPr>
            </w:pPr>
            <w:r>
              <w:rPr>
                <w:b/>
                <w:color w:val="auto"/>
                <w:lang w:val="en-GB"/>
              </w:rPr>
            </w:r>
          </w:p>
        </w:tc>
        <w:tc>
          <w:tcPr>
            <w:tcW w:w="3117" w:type="dxa"/>
            <w:tcBorders/>
            <w:shd w:fill="auto" w:val="clear"/>
          </w:tcPr>
          <w:p>
            <w:pPr>
              <w:pStyle w:val="Normal"/>
              <w:spacing w:lineRule="auto" w:line="240" w:before="288" w:after="288"/>
              <w:jc w:val="both"/>
              <w:rPr>
                <w:color w:val="auto"/>
                <w:lang w:val="en-GB"/>
              </w:rPr>
            </w:pPr>
            <w:r>
              <w:rPr>
                <w:color w:val="auto"/>
                <w:lang w:val="en-GB"/>
              </w:rPr>
              <w:t>Week 1</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Use of Equipment &amp; Products</w:t>
            </w:r>
          </w:p>
          <w:p>
            <w:pPr>
              <w:pStyle w:val="Normal"/>
              <w:spacing w:lineRule="auto" w:line="240" w:before="288" w:after="288"/>
              <w:jc w:val="both"/>
              <w:rPr>
                <w:b/>
                <w:b/>
                <w:color w:val="auto"/>
                <w:lang w:val="en-GB"/>
              </w:rPr>
            </w:pPr>
            <w:r>
              <w:rPr>
                <w:b/>
                <w:color w:val="auto"/>
                <w:lang w:val="en-GB"/>
              </w:rPr>
            </w:r>
          </w:p>
        </w:tc>
        <w:tc>
          <w:tcPr>
            <w:tcW w:w="3117" w:type="dxa"/>
            <w:tcBorders/>
            <w:shd w:fill="auto" w:val="clear"/>
          </w:tcPr>
          <w:p>
            <w:pPr>
              <w:pStyle w:val="Normal"/>
              <w:spacing w:lineRule="auto" w:line="240" w:before="288" w:after="288"/>
              <w:jc w:val="both"/>
              <w:rPr>
                <w:color w:val="auto"/>
                <w:lang w:val="en-GB"/>
              </w:rPr>
            </w:pPr>
            <w:r>
              <w:rPr>
                <w:color w:val="auto"/>
                <w:lang w:val="en-GB"/>
              </w:rPr>
              <w:t>Week 2</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Guest Etiquette &amp; Interaction</w:t>
            </w:r>
          </w:p>
          <w:p>
            <w:pPr>
              <w:pStyle w:val="Normal"/>
              <w:spacing w:lineRule="auto" w:line="240" w:before="288" w:after="288"/>
              <w:jc w:val="both"/>
              <w:rPr>
                <w:b/>
                <w:b/>
                <w:color w:val="auto"/>
                <w:lang w:val="en-GB"/>
              </w:rPr>
            </w:pPr>
            <w:r>
              <w:rPr>
                <w:b/>
                <w:color w:val="auto"/>
                <w:lang w:val="en-GB"/>
              </w:rPr>
            </w:r>
          </w:p>
        </w:tc>
        <w:tc>
          <w:tcPr>
            <w:tcW w:w="3117" w:type="dxa"/>
            <w:tcBorders/>
            <w:shd w:fill="auto" w:val="clear"/>
          </w:tcPr>
          <w:p>
            <w:pPr>
              <w:pStyle w:val="Normal"/>
              <w:spacing w:lineRule="auto" w:line="240" w:before="288" w:after="288"/>
              <w:jc w:val="both"/>
              <w:rPr>
                <w:color w:val="auto"/>
                <w:lang w:val="en-GB"/>
              </w:rPr>
            </w:pPr>
            <w:r>
              <w:rPr>
                <w:color w:val="auto"/>
                <w:lang w:val="en-GB"/>
              </w:rPr>
              <w:t>Week 3</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Presentation</w:t>
            </w:r>
          </w:p>
          <w:p>
            <w:pPr>
              <w:pStyle w:val="Normal"/>
              <w:spacing w:lineRule="auto" w:line="240" w:before="288" w:after="288"/>
              <w:jc w:val="both"/>
              <w:rPr>
                <w:b/>
                <w:b/>
                <w:color w:val="auto"/>
                <w:lang w:val="en-GB"/>
              </w:rPr>
            </w:pPr>
            <w:r>
              <w:rPr>
                <w:b/>
                <w:color w:val="auto"/>
                <w:lang w:val="en-GB"/>
              </w:rPr>
            </w:r>
          </w:p>
        </w:tc>
        <w:tc>
          <w:tcPr>
            <w:tcW w:w="3117" w:type="dxa"/>
            <w:tcBorders/>
            <w:shd w:fill="auto" w:val="clear"/>
          </w:tcPr>
          <w:p>
            <w:pPr>
              <w:pStyle w:val="Normal"/>
              <w:spacing w:lineRule="auto" w:line="240" w:before="288" w:after="288"/>
              <w:jc w:val="both"/>
              <w:rPr>
                <w:color w:val="auto"/>
                <w:lang w:val="en-GB"/>
              </w:rPr>
            </w:pPr>
            <w:r>
              <w:rPr>
                <w:color w:val="auto"/>
                <w:lang w:val="en-GB"/>
              </w:rPr>
              <w:t>Week 4</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Communication</w:t>
            </w:r>
          </w:p>
          <w:p>
            <w:pPr>
              <w:pStyle w:val="Normal"/>
              <w:spacing w:lineRule="auto" w:line="240" w:before="288" w:after="288"/>
              <w:jc w:val="both"/>
              <w:rPr>
                <w:b/>
                <w:b/>
                <w:color w:val="auto"/>
                <w:lang w:val="en-GB"/>
              </w:rPr>
            </w:pPr>
            <w:r>
              <w:rPr>
                <w:b/>
                <w:color w:val="auto"/>
                <w:lang w:val="en-GB"/>
              </w:rPr>
            </w:r>
          </w:p>
        </w:tc>
        <w:tc>
          <w:tcPr>
            <w:tcW w:w="3117" w:type="dxa"/>
            <w:tcBorders/>
            <w:shd w:fill="auto" w:val="clear"/>
          </w:tcPr>
          <w:p>
            <w:pPr>
              <w:pStyle w:val="Normal"/>
              <w:spacing w:lineRule="auto" w:line="240" w:before="288" w:after="288"/>
              <w:jc w:val="both"/>
              <w:rPr>
                <w:color w:val="auto"/>
                <w:lang w:val="en-GB"/>
              </w:rPr>
            </w:pPr>
            <w:r>
              <w:rPr>
                <w:color w:val="auto"/>
                <w:lang w:val="en-GB"/>
              </w:rPr>
              <w:t>Week 5</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Health and Safety </w:t>
            </w:r>
          </w:p>
          <w:p>
            <w:pPr>
              <w:pStyle w:val="Normal"/>
              <w:spacing w:lineRule="auto" w:line="240" w:before="288" w:after="288"/>
              <w:jc w:val="both"/>
              <w:rPr>
                <w:b/>
                <w:b/>
                <w:color w:val="auto"/>
                <w:lang w:val="en-GB"/>
              </w:rPr>
            </w:pPr>
            <w:r>
              <w:rPr>
                <w:b/>
                <w:color w:val="auto"/>
                <w:lang w:val="en-GB"/>
              </w:rPr>
            </w:r>
          </w:p>
        </w:tc>
        <w:tc>
          <w:tcPr>
            <w:tcW w:w="3117" w:type="dxa"/>
            <w:tcBorders/>
            <w:shd w:fill="auto" w:val="clear"/>
          </w:tcPr>
          <w:p>
            <w:pPr>
              <w:pStyle w:val="Normal"/>
              <w:spacing w:lineRule="auto" w:line="240" w:before="288" w:after="288"/>
              <w:jc w:val="both"/>
              <w:rPr>
                <w:color w:val="auto"/>
                <w:lang w:val="en-GB"/>
              </w:rPr>
            </w:pPr>
            <w:r>
              <w:rPr>
                <w:color w:val="auto"/>
                <w:lang w:val="en-GB"/>
              </w:rPr>
              <w:t>Week 6</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Fire Protocol</w:t>
            </w:r>
          </w:p>
          <w:p>
            <w:pPr>
              <w:pStyle w:val="Normal"/>
              <w:spacing w:lineRule="auto" w:line="240" w:before="288" w:after="288"/>
              <w:jc w:val="both"/>
              <w:rPr>
                <w:b/>
                <w:b/>
                <w:color w:val="auto"/>
                <w:lang w:val="en-GB"/>
              </w:rPr>
            </w:pPr>
            <w:r>
              <w:rPr>
                <w:b/>
                <w:color w:val="auto"/>
                <w:lang w:val="en-GB"/>
              </w:rPr>
            </w:r>
          </w:p>
        </w:tc>
        <w:tc>
          <w:tcPr>
            <w:tcW w:w="3117" w:type="dxa"/>
            <w:tcBorders/>
            <w:shd w:fill="auto" w:val="clear"/>
          </w:tcPr>
          <w:p>
            <w:pPr>
              <w:pStyle w:val="Normal"/>
              <w:spacing w:lineRule="auto" w:line="240" w:before="288" w:after="288"/>
              <w:jc w:val="both"/>
              <w:rPr>
                <w:color w:val="auto"/>
                <w:lang w:val="en-GB"/>
              </w:rPr>
            </w:pPr>
            <w:r>
              <w:rPr>
                <w:color w:val="auto"/>
                <w:lang w:val="en-GB"/>
              </w:rPr>
              <w:t>Week 7</w:t>
            </w:r>
          </w:p>
        </w:tc>
      </w:tr>
      <w:tr>
        <w:trPr/>
        <w:tc>
          <w:tcPr>
            <w:tcW w:w="2850" w:type="dxa"/>
            <w:tcBorders/>
            <w:shd w:fill="auto" w:val="clear"/>
          </w:tcPr>
          <w:p>
            <w:pPr>
              <w:pStyle w:val="Normal"/>
              <w:spacing w:lineRule="auto" w:line="240" w:before="288" w:after="288"/>
              <w:jc w:val="both"/>
              <w:rPr>
                <w:b/>
                <w:b/>
                <w:color w:val="auto"/>
                <w:lang w:val="en-GB"/>
              </w:rPr>
            </w:pPr>
            <w:r>
              <w:rPr>
                <w:b/>
                <w:color w:val="auto"/>
                <w:lang w:val="en-GB"/>
              </w:rPr>
              <w:t>Maintenance</w:t>
            </w:r>
          </w:p>
        </w:tc>
        <w:tc>
          <w:tcPr>
            <w:tcW w:w="3117" w:type="dxa"/>
            <w:tcBorders/>
            <w:shd w:fill="auto" w:val="clear"/>
          </w:tcPr>
          <w:p>
            <w:pPr>
              <w:pStyle w:val="Normal"/>
              <w:spacing w:lineRule="auto" w:line="240" w:before="288" w:after="288"/>
              <w:jc w:val="both"/>
              <w:rPr>
                <w:color w:val="auto"/>
                <w:lang w:val="en-GB"/>
              </w:rPr>
            </w:pPr>
            <w:r>
              <w:rPr>
                <w:color w:val="auto"/>
                <w:lang w:val="en-GB"/>
              </w:rPr>
              <w:t>Week 8</w:t>
            </w:r>
          </w:p>
        </w:tc>
      </w:tr>
    </w:tbl>
    <w:p>
      <w:pPr>
        <w:pStyle w:val="Normal"/>
        <w:spacing w:lineRule="auto" w:line="259" w:before="0" w:after="160"/>
        <w:jc w:val="both"/>
        <w:rPr>
          <w:rFonts w:eastAsia="" w:cs="" w:cstheme="majorBidi" w:eastAsiaTheme="majorEastAsia"/>
          <w:b/>
          <w:b/>
          <w:sz w:val="28"/>
          <w:szCs w:val="26"/>
          <w:lang w:val="en-GB"/>
        </w:rPr>
      </w:pPr>
      <w:r>
        <w:rPr>
          <w:rFonts w:eastAsia="" w:cs="" w:cstheme="majorBidi" w:eastAsiaTheme="majorEastAsia"/>
          <w:b/>
          <w:sz w:val="28"/>
          <w:szCs w:val="26"/>
          <w:lang w:val="en-GB"/>
        </w:rPr>
      </w:r>
      <w:r>
        <w:br w:type="page"/>
      </w:r>
    </w:p>
    <w:p>
      <w:pPr>
        <w:pStyle w:val="Heading2"/>
        <w:numPr>
          <w:ilvl w:val="0"/>
          <w:numId w:val="5"/>
        </w:numPr>
        <w:jc w:val="both"/>
        <w:rPr>
          <w:lang w:val="en-GB"/>
        </w:rPr>
      </w:pPr>
      <w:bookmarkStart w:id="4" w:name="_Toc119100522"/>
      <w:r>
        <w:rPr>
          <w:lang w:val="en-GB"/>
        </w:rPr>
        <w:t>Describing Training Activities</w:t>
      </w:r>
      <w:bookmarkEnd w:id="4"/>
    </w:p>
    <w:p>
      <w:pPr>
        <w:pStyle w:val="Normal"/>
        <w:spacing w:before="288" w:after="288"/>
        <w:jc w:val="both"/>
        <w:rPr>
          <w:color w:val="auto"/>
          <w:lang w:val="en-GB"/>
        </w:rPr>
      </w:pPr>
      <w:r>
        <w:rPr>
          <w:color w:val="auto"/>
          <w:lang w:val="en-GB"/>
        </w:rPr>
        <w:t>The effectiveness and efficiency of any firm's operations are directly tied to the competence of its individual members. This skill will be somewhat attributable to prior experiences, but this will more often be attributable to the instruction that has been provided. All new hires, no matter how skilled they may be, will benefit from at least some orientation training (Gustavson, 2021). New hires continue their department orientation as their first training session begins. Typically, the orientation process continues with the new hire being introduced to the housekeeping/environment management policies and procedures. A common practice in many organizations, housekeeping departments often possess their own set of internal policies and procedures (Titchen, 2021). Despite the obvious differences between the businesses shown here, the purpose of these handbooks, which are meant to acquaint every new hire with the company and its operations, is the same. The goal of any staff handbook ought to be to motivate its readers to become invested in the success of the firm as a whole.</w:t>
      </w:r>
    </w:p>
    <w:p>
      <w:pPr>
        <w:pStyle w:val="Normal"/>
        <w:spacing w:before="288" w:after="288"/>
        <w:jc w:val="both"/>
        <w:rPr>
          <w:color w:val="auto"/>
          <w:lang w:val="en-GB"/>
        </w:rPr>
      </w:pPr>
      <w:r>
        <w:rPr>
          <w:color w:val="auto"/>
          <w:lang w:val="en-GB"/>
        </w:rPr>
        <w:t>In this context, "training" refers to any series of actions aimed at preparing a new recruit to execute the duties associated with his or her position, or at enhancing the skill set of an existing employee to do those duties more effectively. Training's ultimate goal is to have an employee feel confident enough to start working on a project or to enhance skills they already possess. Training in the housekeeping departments of hotels and hospitals should focus on three primary areas: abilities, attitude, &amp; understanding.</w:t>
      </w:r>
    </w:p>
    <w:p>
      <w:pPr>
        <w:pStyle w:val="ListParagraph"/>
        <w:numPr>
          <w:ilvl w:val="0"/>
          <w:numId w:val="2"/>
        </w:numPr>
        <w:spacing w:before="288" w:after="288"/>
        <w:contextualSpacing/>
        <w:jc w:val="both"/>
        <w:rPr>
          <w:b/>
          <w:b/>
          <w:color w:val="auto"/>
          <w:lang w:val="en-GB"/>
        </w:rPr>
      </w:pPr>
      <w:r>
        <w:rPr>
          <w:b/>
          <w:color w:val="auto"/>
          <w:lang w:val="en-GB"/>
        </w:rPr>
        <w:t>Cleaning Skills Training</w:t>
      </w:r>
    </w:p>
    <w:p>
      <w:pPr>
        <w:pStyle w:val="Normal"/>
        <w:spacing w:before="288" w:after="288"/>
        <w:jc w:val="both"/>
        <w:rPr>
          <w:color w:val="auto"/>
          <w:lang w:val="en-GB"/>
        </w:rPr>
      </w:pPr>
      <w:r>
        <w:rPr>
          <w:color w:val="auto"/>
          <w:lang w:val="en-GB"/>
        </w:rPr>
        <w:t>Training the housekeeping staff will help everyone involved find consensus on everything from methods to outcomes. Each housekeeper is free to develop her own method, but we will encourage them to share information about what works best so that we may all improve. Training in housekeeping allows us to grow and develop, while also providing the staff with a chance to refine their craft (Helgesen, 2018). Professional cleaning tools, include the cart, mops, sweeper, brush, and mop. Every one of these things requires careful handling in accordance with the instructions provided by the maker (Gustavson, 2021). An inability to do so may have an effect on the final product. And shorten its useful life, increasing the hotel's replacement costs.</w:t>
      </w:r>
    </w:p>
    <w:p>
      <w:pPr>
        <w:pStyle w:val="ListParagraph"/>
        <w:numPr>
          <w:ilvl w:val="0"/>
          <w:numId w:val="2"/>
        </w:numPr>
        <w:spacing w:before="288" w:after="288"/>
        <w:contextualSpacing/>
        <w:jc w:val="both"/>
        <w:rPr>
          <w:b/>
          <w:b/>
          <w:color w:val="auto"/>
          <w:lang w:val="en-GB"/>
        </w:rPr>
      </w:pPr>
      <w:r>
        <w:rPr>
          <w:b/>
          <w:color w:val="auto"/>
          <w:lang w:val="en-GB"/>
        </w:rPr>
        <w:t>Use of Equipment &amp; Products Training</w:t>
      </w:r>
    </w:p>
    <w:p>
      <w:pPr>
        <w:pStyle w:val="Normal"/>
        <w:spacing w:before="288" w:after="288"/>
        <w:jc w:val="both"/>
        <w:rPr>
          <w:color w:val="auto"/>
          <w:lang w:val="en-GB"/>
        </w:rPr>
      </w:pPr>
      <w:r>
        <w:rPr>
          <w:color w:val="auto"/>
          <w:lang w:val="en-GB"/>
        </w:rPr>
        <w:t>The housekeeping personnel may not be acquainted with the real equipment and materials being utilized, just as they might not be with the actual abilities and practices. Although if they used the items and tools before, there are always methods to better guarantee that they are maintained properly and last as long as feasible (Helgesen, 2018).</w:t>
      </w:r>
    </w:p>
    <w:p>
      <w:pPr>
        <w:pStyle w:val="ListParagraph"/>
        <w:numPr>
          <w:ilvl w:val="0"/>
          <w:numId w:val="2"/>
        </w:numPr>
        <w:spacing w:before="288" w:after="288"/>
        <w:contextualSpacing/>
        <w:jc w:val="both"/>
        <w:rPr>
          <w:b/>
          <w:b/>
          <w:color w:val="auto"/>
          <w:lang w:val="en-GB"/>
        </w:rPr>
      </w:pPr>
      <w:r>
        <w:rPr>
          <w:b/>
          <w:color w:val="auto"/>
          <w:lang w:val="en-GB"/>
        </w:rPr>
        <w:t>Guest Etiquette &amp; Interaction Training</w:t>
      </w:r>
    </w:p>
    <w:p>
      <w:pPr>
        <w:pStyle w:val="Normal"/>
        <w:spacing w:before="288" w:after="288"/>
        <w:jc w:val="both"/>
        <w:rPr>
          <w:color w:val="auto"/>
          <w:lang w:val="en-GB"/>
        </w:rPr>
      </w:pPr>
      <w:r>
        <w:rPr>
          <w:color w:val="auto"/>
          <w:lang w:val="en-GB"/>
        </w:rPr>
        <w:t>Guests will likely see or engage with your cleaning personnel on a daily basis. The success of your hotel depends on the satisfaction of your visitors and the likelihood that they will return. This will be significantly impacted by any rude or unprofessional behavior (Keplinger and Service, 2021). We may provide training in which your personnel gains an appreciation for cultural diversity, learns to create a favorable first impression, and develops a methodical approach to using appropriate body language and social graces. The cleaning staff's attitude toward their work and the clients they encounter with will improve dramatically as a result of these little adjustments.</w:t>
      </w:r>
    </w:p>
    <w:p>
      <w:pPr>
        <w:pStyle w:val="ListParagraph"/>
        <w:numPr>
          <w:ilvl w:val="0"/>
          <w:numId w:val="2"/>
        </w:numPr>
        <w:spacing w:before="288" w:after="288"/>
        <w:contextualSpacing/>
        <w:jc w:val="both"/>
        <w:rPr>
          <w:b/>
          <w:b/>
          <w:color w:val="auto"/>
          <w:lang w:val="en-GB"/>
        </w:rPr>
      </w:pPr>
      <w:r>
        <w:rPr>
          <w:b/>
          <w:color w:val="auto"/>
          <w:lang w:val="en-GB"/>
        </w:rPr>
        <w:t>Presentation Training</w:t>
      </w:r>
    </w:p>
    <w:p>
      <w:pPr>
        <w:pStyle w:val="Normal"/>
        <w:spacing w:before="288" w:after="288"/>
        <w:jc w:val="both"/>
        <w:rPr>
          <w:color w:val="auto"/>
          <w:lang w:val="en-GB"/>
        </w:rPr>
      </w:pPr>
      <w:r>
        <w:rPr>
          <w:color w:val="auto"/>
          <w:lang w:val="en-GB"/>
        </w:rPr>
        <w:t>The cleaning staff's demeanor is a reflection of the hotel and its brand, just as proper manners are. All aspects of your staff's appearance and cleanliness, from of the clothing they dress to their personal hygiene habits, will influence how your guests perceive your brand. The housekeeping staff of Hotel Trinity must take pleasure in their appearance and understand its significance.</w:t>
      </w:r>
    </w:p>
    <w:p>
      <w:pPr>
        <w:pStyle w:val="ListParagraph"/>
        <w:numPr>
          <w:ilvl w:val="0"/>
          <w:numId w:val="2"/>
        </w:numPr>
        <w:spacing w:before="288" w:after="288"/>
        <w:contextualSpacing/>
        <w:jc w:val="both"/>
        <w:rPr>
          <w:b/>
          <w:b/>
          <w:color w:val="auto"/>
          <w:lang w:val="en-GB"/>
        </w:rPr>
      </w:pPr>
      <w:r>
        <w:rPr>
          <w:b/>
          <w:color w:val="auto"/>
          <w:lang w:val="en-GB"/>
        </w:rPr>
        <w:t>Communication Training</w:t>
      </w:r>
    </w:p>
    <w:p>
      <w:pPr>
        <w:pStyle w:val="Normal"/>
        <w:spacing w:before="288" w:after="288"/>
        <w:jc w:val="both"/>
        <w:rPr>
          <w:color w:val="auto"/>
          <w:lang w:val="en-GB"/>
        </w:rPr>
      </w:pPr>
      <w:r>
        <w:rPr>
          <w:color w:val="auto"/>
          <w:lang w:val="en-GB"/>
        </w:rPr>
        <w:t>Whether your team is small or huge, better communication is always attainable. It might be due to differences in culture or it could be because their method of communicating is different from that of the other individual or team members (Keplinger and Service, 2021). Effective and productive work from your cleaning crew is possible via the cultivation and maintenance of employee communication. The morale of employees will rise, leading to lower turnover rates (London, 2018).</w:t>
      </w:r>
    </w:p>
    <w:p>
      <w:pPr>
        <w:pStyle w:val="ListParagraph"/>
        <w:numPr>
          <w:ilvl w:val="0"/>
          <w:numId w:val="2"/>
        </w:numPr>
        <w:spacing w:before="288" w:after="288"/>
        <w:contextualSpacing/>
        <w:jc w:val="both"/>
        <w:rPr>
          <w:b/>
          <w:b/>
          <w:color w:val="auto"/>
          <w:lang w:val="en-GB"/>
        </w:rPr>
      </w:pPr>
      <w:r>
        <w:rPr>
          <w:b/>
          <w:color w:val="auto"/>
          <w:lang w:val="en-GB"/>
        </w:rPr>
        <w:t>Health and Safety Training</w:t>
      </w:r>
    </w:p>
    <w:p>
      <w:pPr>
        <w:pStyle w:val="Normal"/>
        <w:spacing w:before="288" w:after="288"/>
        <w:jc w:val="both"/>
        <w:rPr>
          <w:color w:val="auto"/>
          <w:lang w:val="en-GB"/>
        </w:rPr>
      </w:pPr>
      <w:r>
        <w:rPr>
          <w:color w:val="auto"/>
          <w:lang w:val="en-GB"/>
        </w:rPr>
        <w:t>Although it's important, teaching your housekeeping staff on this topic may be a drag, therefore it's important to maintain their attention through the boring bits. The training may be given in an engaging manner to ensure that the trainees retain the knowledge and do not zone out (Byers, 2017). Refreshing and updating this training on a regular basis is crucial, since it has the potential to save lives. The success or failure for a hotel may depend on the knowledge and abilities of your housekeeping staff. To have a neat and orderly space is not enough. Everything from the last touches to the conversations with guests is important (London, 2018).</w:t>
      </w:r>
    </w:p>
    <w:p>
      <w:pPr>
        <w:pStyle w:val="ListParagraph"/>
        <w:numPr>
          <w:ilvl w:val="0"/>
          <w:numId w:val="2"/>
        </w:numPr>
        <w:spacing w:before="288" w:after="288"/>
        <w:contextualSpacing/>
        <w:jc w:val="both"/>
        <w:rPr>
          <w:b/>
          <w:b/>
          <w:color w:val="auto"/>
          <w:lang w:val="en-GB"/>
        </w:rPr>
      </w:pPr>
      <w:r>
        <w:rPr>
          <w:b/>
          <w:color w:val="auto"/>
          <w:lang w:val="en-GB"/>
        </w:rPr>
        <w:t>Fire protocol Training</w:t>
      </w:r>
    </w:p>
    <w:p>
      <w:pPr>
        <w:pStyle w:val="Normal"/>
        <w:spacing w:before="288" w:after="288"/>
        <w:jc w:val="both"/>
        <w:rPr>
          <w:color w:val="auto"/>
          <w:lang w:val="en-GB"/>
        </w:rPr>
      </w:pPr>
      <w:r>
        <w:rPr>
          <w:color w:val="auto"/>
          <w:lang w:val="en-GB"/>
        </w:rPr>
        <w:t>As a kind of education, it is among the most significant. Given that improved fire safety lowers the likelihood of burn injuries and structural damage (Merlyn, 2018). To ensure the safety of both employees and visitors in the event of a fire, it is essential for businesses to create and enforce fire safety standards.</w:t>
      </w:r>
    </w:p>
    <w:p>
      <w:pPr>
        <w:pStyle w:val="ListParagraph"/>
        <w:numPr>
          <w:ilvl w:val="0"/>
          <w:numId w:val="2"/>
        </w:numPr>
        <w:spacing w:before="288" w:after="288"/>
        <w:contextualSpacing/>
        <w:jc w:val="both"/>
        <w:rPr>
          <w:b/>
          <w:b/>
          <w:color w:val="auto"/>
          <w:lang w:val="en-GB"/>
        </w:rPr>
      </w:pPr>
      <w:r>
        <w:rPr>
          <w:b/>
          <w:color w:val="auto"/>
          <w:lang w:val="en-GB"/>
        </w:rPr>
        <w:t>Maintenance</w:t>
      </w:r>
    </w:p>
    <w:p>
      <w:pPr>
        <w:pStyle w:val="Normal"/>
        <w:spacing w:before="288" w:after="288"/>
        <w:jc w:val="both"/>
        <w:rPr>
          <w:color w:val="auto"/>
          <w:lang w:val="en-GB"/>
        </w:rPr>
      </w:pPr>
      <w:r>
        <w:rPr>
          <w:color w:val="auto"/>
          <w:lang w:val="en-GB"/>
        </w:rPr>
        <w:t>In cases when housekeeping is not performing the repair themselves, they are still responsible for notifying the appropriate parties. And to keep an eye on the progress of the fixes. Everything from a dimly lit room to a malfunctioning TV remote (Nilson, 2022). As a result of this insight, necessary fixes may be made more quickly. Also, lessen the number of customer complaints!</w:t>
      </w:r>
    </w:p>
    <w:p>
      <w:pPr>
        <w:pStyle w:val="Heading2"/>
        <w:numPr>
          <w:ilvl w:val="0"/>
          <w:numId w:val="5"/>
        </w:numPr>
        <w:spacing w:before="1152" w:after="288"/>
        <w:ind w:left="360" w:hanging="360"/>
        <w:jc w:val="both"/>
        <w:rPr>
          <w:lang w:val="en-GB"/>
        </w:rPr>
      </w:pPr>
      <w:bookmarkStart w:id="5" w:name="_Toc119100523"/>
      <w:r>
        <w:rPr>
          <w:lang w:val="en-GB"/>
        </w:rPr>
        <w:t>Safety Training</w:t>
      </w:r>
      <w:bookmarkEnd w:id="5"/>
    </w:p>
    <w:p>
      <w:pPr>
        <w:pStyle w:val="Normal"/>
        <w:spacing w:before="288" w:after="288"/>
        <w:jc w:val="both"/>
        <w:rPr>
          <w:color w:val="auto"/>
          <w:lang w:val="en-GB"/>
        </w:rPr>
      </w:pPr>
      <w:r>
        <w:rPr>
          <w:color w:val="auto"/>
          <w:lang w:val="en-GB"/>
        </w:rPr>
        <w:t>Retaining employees, providing enough training, adhering to stringent health and safety regulations, and fostering a positive safety culture are all significant issues for management in the hotel business. These problems are exacerbated by the high rate of personnel turnover and other reasons we'll go through later. Let's look at four indicators demonstrating the significance of health &amp; security instruction in the hospitality sector (Noe, 2020) .</w:t>
      </w:r>
    </w:p>
    <w:p>
      <w:pPr>
        <w:pStyle w:val="Normal"/>
        <w:spacing w:before="288" w:after="288"/>
        <w:jc w:val="both"/>
        <w:rPr>
          <w:color w:val="auto"/>
          <w:lang w:val="en-GB"/>
        </w:rPr>
      </w:pPr>
      <w:r>
        <w:rPr>
          <w:color w:val="auto"/>
          <w:lang w:val="en-GB"/>
        </w:rPr>
      </w:r>
    </w:p>
    <w:p>
      <w:pPr>
        <w:pStyle w:val="ListParagraph"/>
        <w:numPr>
          <w:ilvl w:val="0"/>
          <w:numId w:val="4"/>
        </w:numPr>
        <w:spacing w:before="288" w:after="288"/>
        <w:contextualSpacing/>
        <w:jc w:val="both"/>
        <w:rPr>
          <w:color w:val="auto"/>
          <w:lang w:val="en-GB"/>
        </w:rPr>
      </w:pPr>
      <w:r>
        <w:rPr>
          <w:color w:val="auto"/>
          <w:lang w:val="en-GB"/>
        </w:rPr>
        <w:t>Demographics of Younger Workers</w:t>
      </w:r>
    </w:p>
    <w:p>
      <w:pPr>
        <w:pStyle w:val="ListParagraph"/>
        <w:numPr>
          <w:ilvl w:val="0"/>
          <w:numId w:val="4"/>
        </w:numPr>
        <w:spacing w:before="288" w:after="288"/>
        <w:contextualSpacing/>
        <w:jc w:val="both"/>
        <w:rPr>
          <w:color w:val="auto"/>
          <w:lang w:val="en-GB"/>
        </w:rPr>
      </w:pPr>
      <w:r>
        <w:rPr>
          <w:color w:val="auto"/>
          <w:lang w:val="en-GB"/>
        </w:rPr>
        <w:t>Issues with Insurance and Rules</w:t>
      </w:r>
    </w:p>
    <w:p>
      <w:pPr>
        <w:pStyle w:val="ListParagraph"/>
        <w:numPr>
          <w:ilvl w:val="0"/>
          <w:numId w:val="3"/>
        </w:numPr>
        <w:spacing w:before="288" w:after="288"/>
        <w:contextualSpacing/>
        <w:jc w:val="both"/>
        <w:rPr>
          <w:color w:val="auto"/>
          <w:lang w:val="en-GB"/>
        </w:rPr>
      </w:pPr>
      <w:r>
        <w:rPr>
          <w:color w:val="auto"/>
          <w:lang w:val="en-GB"/>
        </w:rPr>
        <w:t>There Is a Lot Of Employee Turnover</w:t>
      </w:r>
    </w:p>
    <w:p>
      <w:pPr>
        <w:pStyle w:val="ListParagraph"/>
        <w:numPr>
          <w:ilvl w:val="0"/>
          <w:numId w:val="3"/>
        </w:numPr>
        <w:spacing w:before="288" w:after="288"/>
        <w:contextualSpacing/>
        <w:jc w:val="both"/>
        <w:rPr>
          <w:color w:val="auto"/>
          <w:lang w:val="en-GB"/>
        </w:rPr>
      </w:pPr>
      <w:r>
        <w:rPr>
          <w:color w:val="auto"/>
          <w:lang w:val="en-GB"/>
        </w:rPr>
        <w:t>Appreciation from Customers Due to Excellent Service</w:t>
      </w:r>
    </w:p>
    <w:p>
      <w:pPr>
        <w:pStyle w:val="Normal"/>
        <w:spacing w:before="288" w:after="288"/>
        <w:jc w:val="both"/>
        <w:rPr>
          <w:color w:val="auto"/>
          <w:lang w:val="en-GB"/>
        </w:rPr>
      </w:pPr>
      <w:r>
        <w:rPr>
          <w:color w:val="auto"/>
          <w:lang w:val="en-GB"/>
        </w:rPr>
        <w:t>Here are some safety training describes below-</w:t>
      </w:r>
    </w:p>
    <w:p>
      <w:pPr>
        <w:pStyle w:val="Normal"/>
        <w:spacing w:before="288" w:after="288"/>
        <w:jc w:val="both"/>
        <w:rPr>
          <w:b/>
          <w:b/>
          <w:color w:val="auto"/>
          <w:lang w:val="en-GB"/>
        </w:rPr>
      </w:pPr>
      <w:r>
        <w:rPr>
          <w:b/>
          <w:color w:val="auto"/>
          <w:lang w:val="en-GB"/>
        </w:rPr>
        <w:t>Fire Safety Training</w:t>
      </w:r>
    </w:p>
    <w:p>
      <w:pPr>
        <w:pStyle w:val="Normal"/>
        <w:spacing w:before="288" w:after="288"/>
        <w:jc w:val="both"/>
        <w:rPr>
          <w:color w:val="auto"/>
          <w:lang w:val="en-GB"/>
        </w:rPr>
      </w:pPr>
      <w:r>
        <w:rPr>
          <w:color w:val="auto"/>
          <w:lang w:val="en-GB"/>
        </w:rPr>
        <w:t>One should make sure that everyone who stays at your hotels or bed and breakfast is familiar with the fire safety procedures and what to do the situation of a fire. It would just take a few simple training sessions to save lives (Titchen, 2021). Fire safety training is essential, as is conducting regular fire drills to ensure that all employees are familiar with the proper procedures to follow in the event of a fire.</w:t>
      </w:r>
    </w:p>
    <w:p>
      <w:pPr>
        <w:pStyle w:val="Normal"/>
        <w:spacing w:before="288" w:after="288"/>
        <w:jc w:val="both"/>
        <w:rPr>
          <w:b/>
          <w:b/>
          <w:color w:val="auto"/>
          <w:lang w:val="en-GB"/>
        </w:rPr>
      </w:pPr>
      <w:r>
        <w:rPr>
          <w:b/>
          <w:color w:val="auto"/>
          <w:lang w:val="en-GB"/>
        </w:rPr>
        <w:t>COSHH Training</w:t>
      </w:r>
    </w:p>
    <w:p>
      <w:pPr>
        <w:pStyle w:val="Normal"/>
        <w:spacing w:before="288" w:after="288"/>
        <w:jc w:val="both"/>
        <w:rPr>
          <w:color w:val="auto"/>
          <w:lang w:val="en-GB"/>
        </w:rPr>
      </w:pPr>
      <w:r>
        <w:rPr>
          <w:color w:val="auto"/>
          <w:lang w:val="en-GB"/>
        </w:rPr>
        <w:t>The main objective of compliance with COSHH laws is the humane goal of eliminating health risks in the workplace. In order to comply with the regulation, businesses must have a "Control of Substances Hazardous to Health" (COSHH) program (Byers, 2017). By doing research on the health risks posed by potentially dangerous chemicals and developing mitigation strategies, Hotel Trinity can protect its employees from potential injury (risk assessment).</w:t>
      </w:r>
    </w:p>
    <w:p>
      <w:pPr>
        <w:pStyle w:val="Normal"/>
        <w:spacing w:before="288" w:after="288"/>
        <w:jc w:val="both"/>
        <w:rPr>
          <w:b/>
          <w:b/>
          <w:color w:val="auto"/>
          <w:lang w:val="en-GB"/>
        </w:rPr>
      </w:pPr>
      <w:r>
        <w:rPr>
          <w:b/>
          <w:color w:val="auto"/>
          <w:lang w:val="en-GB"/>
        </w:rPr>
        <w:t>Health and Safety Training</w:t>
      </w:r>
    </w:p>
    <w:p>
      <w:pPr>
        <w:pStyle w:val="Normal"/>
        <w:spacing w:before="288" w:after="288"/>
        <w:jc w:val="both"/>
        <w:rPr>
          <w:color w:val="auto"/>
          <w:lang w:val="en-GB"/>
        </w:rPr>
      </w:pPr>
      <w:r>
        <w:rPr>
          <w:color w:val="auto"/>
          <w:lang w:val="en-GB"/>
        </w:rPr>
        <w:t>Management in the hotel business would do well to consider how to improve safety training in light of the four indicators described above (Byers, 2017). The health and safety of an organization may be maintained in large part via proper onboarding of new workers and ongoing training for those already on staff, whether for upgrades or compliance. This makes it much simpler to adhere to stringent safety regulations. It is now possible for managers and company owners to consolidate and organize all of their training resources into a single, user-friendly platform. Training may adapt to your schedule, improve your performance, and even be enjoyable (Reinhart, 2019).</w:t>
      </w:r>
    </w:p>
    <w:p>
      <w:pPr>
        <w:pStyle w:val="Normal"/>
        <w:spacing w:before="288" w:after="288"/>
        <w:jc w:val="both"/>
        <w:rPr>
          <w:b/>
          <w:b/>
          <w:color w:val="auto"/>
          <w:lang w:val="en-GB"/>
        </w:rPr>
      </w:pPr>
      <w:r>
        <w:rPr>
          <w:b/>
          <w:color w:val="auto"/>
          <w:lang w:val="en-GB"/>
        </w:rPr>
        <w:t>The Importance of Safety Training</w:t>
      </w:r>
    </w:p>
    <w:p>
      <w:pPr>
        <w:pStyle w:val="Normal"/>
        <w:spacing w:before="288" w:after="288"/>
        <w:jc w:val="both"/>
        <w:rPr>
          <w:b/>
          <w:b/>
          <w:color w:val="auto"/>
          <w:lang w:val="en-GB"/>
        </w:rPr>
      </w:pPr>
      <w:r>
        <w:rPr>
          <w:b/>
          <w:color w:val="auto"/>
          <w:lang w:val="en-GB"/>
        </w:rPr>
        <w:t>Insurance and Regulation Concerns</w:t>
      </w:r>
    </w:p>
    <w:p>
      <w:pPr>
        <w:pStyle w:val="Normal"/>
        <w:spacing w:before="288" w:after="288"/>
        <w:jc w:val="both"/>
        <w:rPr>
          <w:color w:val="auto"/>
          <w:lang w:val="en-GB"/>
        </w:rPr>
      </w:pPr>
      <w:r>
        <w:rPr>
          <w:b/>
          <w:color w:val="auto"/>
          <w:lang w:val="en-GB"/>
        </w:rPr>
        <w:br/>
      </w:r>
      <w:r>
        <w:rPr>
          <w:color w:val="auto"/>
          <w:lang w:val="en-GB"/>
        </w:rPr>
        <w:t>Since customers are integral to the hospitality industry, business owners/operators need to be aware of the relevant insurance and legal requirements. Educating staff on safety and health is crucial to prevent risk incidents involving staff and customers. Getting sued or having a food license revoked may be the end of a company, therefore this is an essential consideration when training personnel (State, 2020). For hospitality companies to succeed, they must take every precaution to prevent accidents, injuries, and legal claims. The most important step in preventing these potentially devastating incidents is receiving thorough training about health and safety.</w:t>
      </w:r>
    </w:p>
    <w:p>
      <w:pPr>
        <w:pStyle w:val="Normal"/>
        <w:spacing w:before="288" w:after="288"/>
        <w:jc w:val="both"/>
        <w:rPr>
          <w:b/>
          <w:b/>
          <w:bCs/>
          <w:color w:val="auto"/>
          <w:lang w:val="en-GB"/>
        </w:rPr>
      </w:pPr>
      <w:r>
        <w:rPr>
          <w:b/>
          <w:bCs/>
          <w:color w:val="auto"/>
          <w:lang w:val="en-GB"/>
        </w:rPr>
        <w:t>Respect from Providing Superior Service</w:t>
      </w:r>
    </w:p>
    <w:p>
      <w:pPr>
        <w:pStyle w:val="Normal"/>
        <w:spacing w:before="288" w:after="288"/>
        <w:jc w:val="both"/>
        <w:rPr>
          <w:b/>
          <w:b/>
          <w:color w:val="auto"/>
          <w:lang w:val="en-GB"/>
        </w:rPr>
      </w:pPr>
      <w:r>
        <w:rPr>
          <w:color w:val="auto"/>
          <w:lang w:val="en-GB"/>
        </w:rPr>
        <w:t>Reputation is crucial for establishments in the hospitality sector, which relies on repeat clients and referrals (Byers, 2017) . If, for instance, a restaurant were to have an incident of food poisoning, word of this would spread quickly and damage its image. The best method to guarantee a company has a good image is to successfully teach personnel to satisfy high safety and health and service standards. This will attract more consumers and foster a culture of quality. If you want your hospitality company to have a good reputation, you should do all you can to prevent any negative situations from happening (Buersmeyer and Reinhart, 2019).</w:t>
      </w:r>
      <w:r>
        <w:br w:type="page"/>
      </w:r>
    </w:p>
    <w:p>
      <w:pPr>
        <w:pStyle w:val="Heading2"/>
        <w:numPr>
          <w:ilvl w:val="0"/>
          <w:numId w:val="5"/>
        </w:numPr>
        <w:spacing w:before="1152" w:after="288"/>
        <w:ind w:left="360" w:hanging="360"/>
        <w:jc w:val="both"/>
        <w:rPr>
          <w:lang w:val="en-GB"/>
        </w:rPr>
      </w:pPr>
      <w:bookmarkStart w:id="6" w:name="_Toc119100524"/>
      <w:r>
        <w:rPr>
          <w:lang w:val="en-GB"/>
        </w:rPr>
        <w:t>Branding and logos for Hotel Trinity</w:t>
      </w:r>
      <w:bookmarkEnd w:id="6"/>
    </w:p>
    <w:p>
      <w:pPr>
        <w:pStyle w:val="Normal"/>
        <w:spacing w:before="288" w:after="288"/>
        <w:jc w:val="both"/>
        <w:rPr>
          <w:b/>
          <w:b/>
          <w:color w:val="auto"/>
          <w:lang w:val="en-GB"/>
        </w:rPr>
      </w:pPr>
      <w:r>
        <w:rPr>
          <w:b/>
          <w:color w:val="auto"/>
          <w:lang w:val="en-GB"/>
        </w:rPr>
        <w:t>Brand Description</w:t>
      </w:r>
    </w:p>
    <w:p>
      <w:pPr>
        <w:pStyle w:val="Normal"/>
        <w:spacing w:before="288" w:after="288"/>
        <w:jc w:val="both"/>
        <w:rPr>
          <w:color w:val="auto"/>
          <w:lang w:val="en-GB"/>
        </w:rPr>
      </w:pPr>
      <w:r>
        <w:rPr>
          <w:color w:val="auto"/>
          <w:lang w:val="en-GB"/>
        </w:rPr>
        <w:t>In the middle of Olomouc's historic district, Hotel Trinity provides modern amenities in a building that was once a burgher house in the 13th century (Buersmeyer and Reinhart, 2019). At Hotel Trinity, you can take use of both free Wi-Fi and a free buffet breakfast.</w:t>
      </w:r>
    </w:p>
    <w:p>
      <w:pPr>
        <w:pStyle w:val="Normal"/>
        <w:spacing w:before="288" w:after="288"/>
        <w:jc w:val="both"/>
        <w:rPr>
          <w:b/>
          <w:b/>
          <w:color w:val="auto"/>
          <w:lang w:val="en-GB"/>
        </w:rPr>
      </w:pPr>
      <w:r>
        <w:rPr>
          <w:b/>
          <w:color w:val="auto"/>
          <w:lang w:val="en-GB"/>
        </w:rPr>
        <w:t>Logo</w:t>
      </w:r>
    </w:p>
    <w:p>
      <w:pPr>
        <w:pStyle w:val="Normal"/>
        <w:spacing w:before="288" w:after="288"/>
        <w:jc w:val="both"/>
        <w:rPr>
          <w:color w:val="auto"/>
          <w:lang w:val="en-GB"/>
        </w:rPr>
      </w:pPr>
      <w:r>
        <w:rPr/>
        <w:drawing>
          <wp:inline distT="0" distB="0" distL="0" distR="0">
            <wp:extent cx="4260850" cy="1079500"/>
            <wp:effectExtent l="0" t="0" r="0" b="0"/>
            <wp:docPr id="1" name="Picture 1" descr="C:\Users\rasel\AppData\Local\Microsoft\Windows\INetCache\Content.MSO\9A1DE16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rasel\AppData\Local\Microsoft\Windows\INetCache\Content.MSO\9A1DE163.tmp"/>
                    <pic:cNvPicPr>
                      <a:picLocks noChangeAspect="1" noChangeArrowheads="1"/>
                    </pic:cNvPicPr>
                  </pic:nvPicPr>
                  <pic:blipFill>
                    <a:blip r:embed="rId2"/>
                    <a:stretch>
                      <a:fillRect/>
                    </a:stretch>
                  </pic:blipFill>
                  <pic:spPr bwMode="auto">
                    <a:xfrm>
                      <a:off x="0" y="0"/>
                      <a:ext cx="4260850" cy="1079500"/>
                    </a:xfrm>
                    <a:prstGeom prst="rect">
                      <a:avLst/>
                    </a:prstGeom>
                  </pic:spPr>
                </pic:pic>
              </a:graphicData>
            </a:graphic>
          </wp:inline>
        </w:drawing>
      </w:r>
    </w:p>
    <w:p>
      <w:pPr>
        <w:pStyle w:val="Normal"/>
        <w:spacing w:before="288" w:after="288"/>
        <w:jc w:val="both"/>
        <w:rPr>
          <w:i/>
          <w:i/>
          <w:color w:val="auto"/>
          <w:lang w:val="en-GB"/>
        </w:rPr>
      </w:pPr>
      <w:r>
        <w:rPr>
          <w:i/>
          <w:color w:val="auto"/>
          <w:lang w:val="en-GB"/>
        </w:rPr>
        <w:t>Figure: Hotel Trinity Group Logo</w:t>
      </w:r>
    </w:p>
    <w:p>
      <w:pPr>
        <w:pStyle w:val="Normal"/>
        <w:spacing w:before="288" w:after="288"/>
        <w:jc w:val="both"/>
        <w:rPr>
          <w:color w:val="auto"/>
          <w:lang w:val="en-GB"/>
        </w:rPr>
      </w:pPr>
      <w:r>
        <w:rPr>
          <w:color w:val="auto"/>
          <w:lang w:val="en-GB"/>
        </w:rPr>
      </w:r>
      <w:r>
        <w:br w:type="page"/>
      </w:r>
    </w:p>
    <w:p>
      <w:pPr>
        <w:pStyle w:val="Heading1"/>
        <w:spacing w:before="288" w:after="288"/>
        <w:jc w:val="both"/>
        <w:rPr>
          <w:lang w:val="en-GB"/>
        </w:rPr>
      </w:pPr>
      <w:bookmarkStart w:id="7" w:name="_Toc119100525"/>
      <w:r>
        <w:rPr>
          <w:lang w:val="en-GB"/>
        </w:rPr>
        <w:t>Conclusion</w:t>
      </w:r>
      <w:bookmarkEnd w:id="7"/>
    </w:p>
    <w:p>
      <w:pPr>
        <w:pStyle w:val="Normal"/>
        <w:spacing w:before="288" w:after="288"/>
        <w:jc w:val="both"/>
        <w:rPr>
          <w:color w:val="auto"/>
          <w:lang w:val="en-GB"/>
        </w:rPr>
      </w:pPr>
      <w:r>
        <w:rPr>
          <w:color w:val="auto"/>
          <w:lang w:val="en-GB"/>
        </w:rPr>
        <w:t>Staff members can better serve customers if they have received the training necessary to do so. When dealing with clients, a business that excels at this seems to be more likely to maintain its business and grow. Improving the return on investment of employees: Motivated and satisfied employees are a direct result of training programs. Employees' talents, as well as the quality and quantity of their work, will all see gains as a result of the training's eight-week timeframe.</w:t>
      </w:r>
      <w:r>
        <w:br w:type="page"/>
      </w:r>
    </w:p>
    <w:p>
      <w:pPr>
        <w:pStyle w:val="Heading1"/>
        <w:spacing w:before="288" w:after="288"/>
        <w:jc w:val="both"/>
        <w:rPr>
          <w:lang w:val="en-GB"/>
        </w:rPr>
      </w:pPr>
      <w:bookmarkStart w:id="8" w:name="_Toc119100526"/>
      <w:r>
        <w:rPr>
          <w:lang w:val="en-GB"/>
        </w:rPr>
        <w:t>References</w:t>
      </w:r>
      <w:bookmarkEnd w:id="8"/>
    </w:p>
    <w:p>
      <w:pPr>
        <w:pStyle w:val="Normal"/>
        <w:spacing w:before="288" w:after="288"/>
        <w:rPr>
          <w:rFonts w:eastAsia="Times New Roman"/>
          <w:color w:val="auto"/>
          <w:spacing w:val="0"/>
        </w:rPr>
      </w:pPr>
      <w:r>
        <w:rPr>
          <w:rFonts w:eastAsia="Times New Roman"/>
          <w:color w:val="auto"/>
          <w:spacing w:val="0"/>
        </w:rPr>
        <w:t xml:space="preserve">Buersmeyer, D.C. and Reinhart, J.A. (2019). </w:t>
      </w:r>
      <w:r>
        <w:rPr>
          <w:rFonts w:eastAsia="Times New Roman"/>
          <w:i/>
          <w:iCs/>
          <w:color w:val="auto"/>
          <w:spacing w:val="0"/>
        </w:rPr>
        <w:t>Organizing and administering an employee training program</w:t>
      </w:r>
      <w:r>
        <w:rPr>
          <w:rFonts w:eastAsia="Times New Roman"/>
          <w:color w:val="auto"/>
          <w:spacing w:val="0"/>
        </w:rPr>
        <w:t>. 6th ed. Washington], [Society For Personnel Administration.</w:t>
      </w:r>
    </w:p>
    <w:p>
      <w:pPr>
        <w:pStyle w:val="Normal"/>
        <w:spacing w:before="0" w:after="240"/>
        <w:rPr>
          <w:rFonts w:eastAsia="Times New Roman"/>
          <w:color w:val="auto"/>
          <w:spacing w:val="0"/>
        </w:rPr>
      </w:pPr>
      <w:r>
        <w:rPr>
          <w:rFonts w:eastAsia="Times New Roman"/>
          <w:color w:val="auto"/>
          <w:spacing w:val="0"/>
        </w:rPr>
        <w:t xml:space="preserve">Byers, K.T. (2017). </w:t>
      </w:r>
      <w:r>
        <w:rPr>
          <w:rFonts w:eastAsia="Times New Roman"/>
          <w:i/>
          <w:iCs/>
          <w:color w:val="auto"/>
          <w:spacing w:val="0"/>
        </w:rPr>
        <w:t>Employee training and development in the public sector</w:t>
      </w:r>
      <w:r>
        <w:rPr>
          <w:rFonts w:eastAsia="Times New Roman"/>
          <w:color w:val="auto"/>
          <w:spacing w:val="0"/>
        </w:rPr>
        <w:t>. 8th ed. Chicago: International Personnel Management Association.</w:t>
      </w:r>
    </w:p>
    <w:p>
      <w:pPr>
        <w:pStyle w:val="Normal"/>
        <w:spacing w:before="0" w:after="240"/>
        <w:rPr>
          <w:rFonts w:eastAsia="Times New Roman"/>
          <w:color w:val="auto"/>
          <w:spacing w:val="0"/>
        </w:rPr>
      </w:pPr>
      <w:r>
        <w:rPr>
          <w:rFonts w:eastAsia="Times New Roman"/>
          <w:color w:val="auto"/>
          <w:spacing w:val="0"/>
        </w:rPr>
        <w:t xml:space="preserve">Cummings, T.G. (2021). </w:t>
      </w:r>
      <w:r>
        <w:rPr>
          <w:rFonts w:eastAsia="Times New Roman"/>
          <w:i/>
          <w:iCs/>
          <w:color w:val="auto"/>
          <w:spacing w:val="0"/>
        </w:rPr>
        <w:t>Organization Development and Change.</w:t>
      </w:r>
      <w:r>
        <w:rPr>
          <w:rFonts w:eastAsia="Times New Roman"/>
          <w:color w:val="auto"/>
          <w:spacing w:val="0"/>
        </w:rPr>
        <w:t xml:space="preserve"> 6th ed. Stamford, Ct: Cengage Learning.</w:t>
      </w:r>
    </w:p>
    <w:p>
      <w:pPr>
        <w:pStyle w:val="Normal"/>
        <w:spacing w:before="0" w:after="240"/>
        <w:rPr>
          <w:rFonts w:eastAsia="Times New Roman"/>
          <w:color w:val="auto"/>
          <w:spacing w:val="0"/>
        </w:rPr>
      </w:pPr>
      <w:r>
        <w:rPr>
          <w:rFonts w:eastAsia="Times New Roman"/>
          <w:color w:val="auto"/>
          <w:spacing w:val="0"/>
        </w:rPr>
        <w:t xml:space="preserve">Gustavson, P. (2021). </w:t>
      </w:r>
      <w:r>
        <w:rPr>
          <w:rFonts w:eastAsia="Times New Roman"/>
          <w:i/>
          <w:iCs/>
          <w:color w:val="auto"/>
          <w:spacing w:val="0"/>
        </w:rPr>
        <w:t>A Team of Leaders : Empowering Every Member to Take Ownership, Demonstrate Initiative, and Deliver Results</w:t>
      </w:r>
      <w:r>
        <w:rPr>
          <w:rFonts w:eastAsia="Times New Roman"/>
          <w:color w:val="auto"/>
          <w:spacing w:val="0"/>
        </w:rPr>
        <w:t>. 6th ed. New York: American Management Association.</w:t>
      </w:r>
    </w:p>
    <w:p>
      <w:pPr>
        <w:pStyle w:val="Normal"/>
        <w:spacing w:before="0" w:after="240"/>
        <w:rPr>
          <w:rFonts w:eastAsia="Times New Roman"/>
          <w:color w:val="auto"/>
          <w:spacing w:val="0"/>
        </w:rPr>
      </w:pPr>
      <w:r>
        <w:rPr>
          <w:rFonts w:eastAsia="Times New Roman"/>
          <w:color w:val="auto"/>
          <w:spacing w:val="0"/>
        </w:rPr>
        <w:t xml:space="preserve">Helgesen, S. (2018). </w:t>
      </w:r>
      <w:r>
        <w:rPr>
          <w:rFonts w:eastAsia="Times New Roman"/>
          <w:i/>
          <w:iCs/>
          <w:color w:val="auto"/>
          <w:spacing w:val="0"/>
        </w:rPr>
        <w:t>The web of inclusion : architecture for building great organizations</w:t>
      </w:r>
      <w:r>
        <w:rPr>
          <w:rFonts w:eastAsia="Times New Roman"/>
          <w:color w:val="auto"/>
          <w:spacing w:val="0"/>
        </w:rPr>
        <w:t>. 6th ed. Washington, D.C.: Beard Books.</w:t>
      </w:r>
    </w:p>
    <w:p>
      <w:pPr>
        <w:pStyle w:val="Normal"/>
        <w:spacing w:before="0" w:after="240"/>
        <w:rPr>
          <w:rFonts w:eastAsia="Times New Roman"/>
          <w:color w:val="auto"/>
          <w:spacing w:val="0"/>
        </w:rPr>
      </w:pPr>
      <w:r>
        <w:rPr>
          <w:rFonts w:eastAsia="Times New Roman"/>
          <w:color w:val="auto"/>
          <w:spacing w:val="0"/>
        </w:rPr>
        <w:t xml:space="preserve">Keplinger, P. and Service, F. (2021). </w:t>
      </w:r>
      <w:r>
        <w:rPr>
          <w:rFonts w:eastAsia="Times New Roman"/>
          <w:i/>
          <w:iCs/>
          <w:color w:val="auto"/>
          <w:spacing w:val="0"/>
        </w:rPr>
        <w:t>Employee training program</w:t>
      </w:r>
      <w:r>
        <w:rPr>
          <w:rFonts w:eastAsia="Times New Roman"/>
          <w:color w:val="auto"/>
          <w:spacing w:val="0"/>
        </w:rPr>
        <w:t>. 3rd ed. Oakland: U.S. Dept. Of Agriculture, Forest Service.</w:t>
      </w:r>
    </w:p>
    <w:p>
      <w:pPr>
        <w:pStyle w:val="Normal"/>
        <w:spacing w:before="0" w:after="240"/>
        <w:rPr>
          <w:rFonts w:eastAsia="Times New Roman"/>
          <w:color w:val="auto"/>
          <w:spacing w:val="0"/>
        </w:rPr>
      </w:pPr>
      <w:r>
        <w:rPr>
          <w:rFonts w:eastAsia="Times New Roman"/>
          <w:color w:val="auto"/>
          <w:spacing w:val="0"/>
        </w:rPr>
        <w:t xml:space="preserve">London, M. (2018). </w:t>
      </w:r>
      <w:r>
        <w:rPr>
          <w:rFonts w:eastAsia="Times New Roman"/>
          <w:i/>
          <w:iCs/>
          <w:color w:val="auto"/>
          <w:spacing w:val="0"/>
        </w:rPr>
        <w:t>Managing the training enterprise : high-quality, cost-effective employee training in organizations</w:t>
      </w:r>
      <w:r>
        <w:rPr>
          <w:rFonts w:eastAsia="Times New Roman"/>
          <w:color w:val="auto"/>
          <w:spacing w:val="0"/>
        </w:rPr>
        <w:t>. 6th ed. San Francisco: Jossey-Bass Publishers.</w:t>
      </w:r>
    </w:p>
    <w:p>
      <w:pPr>
        <w:pStyle w:val="Normal"/>
        <w:spacing w:before="0" w:after="240"/>
        <w:rPr>
          <w:rFonts w:eastAsia="Times New Roman"/>
          <w:color w:val="auto"/>
          <w:spacing w:val="0"/>
        </w:rPr>
      </w:pPr>
      <w:r>
        <w:rPr>
          <w:rFonts w:eastAsia="Times New Roman"/>
          <w:color w:val="auto"/>
          <w:spacing w:val="0"/>
        </w:rPr>
        <w:t xml:space="preserve">Merlyn, V. (2018). </w:t>
      </w:r>
      <w:r>
        <w:rPr>
          <w:rFonts w:eastAsia="Times New Roman"/>
          <w:i/>
          <w:iCs/>
          <w:color w:val="auto"/>
          <w:spacing w:val="0"/>
        </w:rPr>
        <w:t>Development effectiveness : strategies for IS organizational transition</w:t>
      </w:r>
      <w:r>
        <w:rPr>
          <w:rFonts w:eastAsia="Times New Roman"/>
          <w:color w:val="auto"/>
          <w:spacing w:val="0"/>
        </w:rPr>
        <w:t>. 6th ed. New York: Wiley.</w:t>
      </w:r>
    </w:p>
    <w:p>
      <w:pPr>
        <w:pStyle w:val="Normal"/>
        <w:spacing w:before="0" w:after="240"/>
        <w:rPr>
          <w:rFonts w:eastAsia="Times New Roman"/>
          <w:color w:val="auto"/>
          <w:spacing w:val="0"/>
        </w:rPr>
      </w:pPr>
      <w:r>
        <w:rPr>
          <w:rFonts w:eastAsia="Times New Roman"/>
          <w:color w:val="auto"/>
          <w:spacing w:val="0"/>
        </w:rPr>
        <w:t xml:space="preserve">Nilson, C.D. (2022). </w:t>
      </w:r>
      <w:r>
        <w:rPr>
          <w:rFonts w:eastAsia="Times New Roman"/>
          <w:i/>
          <w:iCs/>
          <w:color w:val="auto"/>
          <w:spacing w:val="0"/>
        </w:rPr>
        <w:t>How to start a training program in your growing business</w:t>
      </w:r>
      <w:r>
        <w:rPr>
          <w:rFonts w:eastAsia="Times New Roman"/>
          <w:color w:val="auto"/>
          <w:spacing w:val="0"/>
        </w:rPr>
        <w:t>. 2nd ed. New York, Ny: American Management Association.</w:t>
      </w:r>
    </w:p>
    <w:p>
      <w:pPr>
        <w:pStyle w:val="Normal"/>
        <w:spacing w:before="0" w:after="240"/>
        <w:rPr>
          <w:rFonts w:eastAsia="Times New Roman"/>
          <w:color w:val="auto"/>
          <w:spacing w:val="0"/>
        </w:rPr>
      </w:pPr>
      <w:r>
        <w:rPr>
          <w:rFonts w:eastAsia="Times New Roman"/>
          <w:color w:val="auto"/>
          <w:spacing w:val="0"/>
        </w:rPr>
        <w:t xml:space="preserve">Noe, R.A. (2020). </w:t>
      </w:r>
      <w:r>
        <w:rPr>
          <w:rFonts w:eastAsia="Times New Roman"/>
          <w:i/>
          <w:iCs/>
          <w:color w:val="auto"/>
          <w:spacing w:val="0"/>
        </w:rPr>
        <w:t>Employee Training and Development</w:t>
      </w:r>
      <w:r>
        <w:rPr>
          <w:rFonts w:eastAsia="Times New Roman"/>
          <w:color w:val="auto"/>
          <w:spacing w:val="0"/>
        </w:rPr>
        <w:t>. 8th ed. New York, Ny Mcgraw-Hill Education.</w:t>
      </w:r>
    </w:p>
    <w:p>
      <w:pPr>
        <w:pStyle w:val="Normal"/>
        <w:spacing w:before="0" w:after="240"/>
        <w:rPr>
          <w:rFonts w:eastAsia="Times New Roman"/>
          <w:color w:val="auto"/>
          <w:spacing w:val="0"/>
        </w:rPr>
      </w:pPr>
      <w:r>
        <w:rPr>
          <w:rFonts w:eastAsia="Times New Roman"/>
          <w:color w:val="auto"/>
          <w:spacing w:val="0"/>
        </w:rPr>
        <w:t xml:space="preserve">Reinhart, J.A. (2019). </w:t>
      </w:r>
      <w:r>
        <w:rPr>
          <w:rFonts w:eastAsia="Times New Roman"/>
          <w:i/>
          <w:iCs/>
          <w:color w:val="auto"/>
          <w:spacing w:val="0"/>
        </w:rPr>
        <w:t>Organizing and administering an employee training program</w:t>
      </w:r>
      <w:r>
        <w:rPr>
          <w:rFonts w:eastAsia="Times New Roman"/>
          <w:color w:val="auto"/>
          <w:spacing w:val="0"/>
        </w:rPr>
        <w:t>. 7th ed. Washington], [Society For Personnel Administration.</w:t>
      </w:r>
    </w:p>
    <w:p>
      <w:pPr>
        <w:pStyle w:val="Normal"/>
        <w:spacing w:before="0" w:after="240"/>
        <w:rPr>
          <w:rFonts w:eastAsia="Times New Roman"/>
          <w:color w:val="auto"/>
          <w:spacing w:val="0"/>
        </w:rPr>
      </w:pPr>
      <w:r>
        <w:rPr>
          <w:rFonts w:eastAsia="Times New Roman"/>
          <w:color w:val="auto"/>
          <w:spacing w:val="0"/>
        </w:rPr>
        <w:t xml:space="preserve">State (2020). </w:t>
      </w:r>
      <w:r>
        <w:rPr>
          <w:rFonts w:eastAsia="Times New Roman"/>
          <w:i/>
          <w:iCs/>
          <w:color w:val="auto"/>
          <w:spacing w:val="0"/>
        </w:rPr>
        <w:t>Employee training program</w:t>
      </w:r>
      <w:r>
        <w:rPr>
          <w:rFonts w:eastAsia="Times New Roman"/>
          <w:color w:val="auto"/>
          <w:spacing w:val="0"/>
        </w:rPr>
        <w:t>. 7th ed. Columbus, Ohio: State Library Of Ohio.</w:t>
      </w:r>
    </w:p>
    <w:p>
      <w:pPr>
        <w:pStyle w:val="Normal"/>
        <w:spacing w:before="288" w:after="288"/>
        <w:rPr>
          <w:rFonts w:eastAsia="Times New Roman"/>
          <w:color w:val="auto"/>
          <w:spacing w:val="0"/>
        </w:rPr>
      </w:pPr>
      <w:r>
        <w:rPr>
          <w:rFonts w:eastAsia="Times New Roman"/>
          <w:color w:val="auto"/>
          <w:spacing w:val="0"/>
        </w:rPr>
        <w:t xml:space="preserve">Titchen, A. (2021). </w:t>
      </w:r>
      <w:r>
        <w:rPr>
          <w:rFonts w:eastAsia="Times New Roman"/>
          <w:i/>
          <w:iCs/>
          <w:color w:val="auto"/>
          <w:spacing w:val="0"/>
        </w:rPr>
        <w:t>Practice Development Workbook for Nursing, Health and Social Care Teams</w:t>
      </w:r>
      <w:r>
        <w:rPr>
          <w:rFonts w:eastAsia="Times New Roman"/>
          <w:color w:val="auto"/>
          <w:spacing w:val="0"/>
        </w:rPr>
        <w:t>. 2nd ed. John Wiley &amp; Sons.</w:t>
      </w:r>
    </w:p>
    <w:p>
      <w:pPr>
        <w:pStyle w:val="Normal"/>
        <w:spacing w:before="288" w:after="288"/>
        <w:rPr/>
      </w:pPr>
      <w:r>
        <w:rPr/>
      </w:r>
    </w:p>
    <w:sectPr>
      <w:headerReference w:type="default" r:id="rId3"/>
      <w:footerReference w:type="default" r:id="rId4"/>
      <w:type w:val="nextPage"/>
      <w:pgSz w:w="11906" w:h="16838"/>
      <w:pgMar w:left="1100" w:right="1406" w:header="720" w:top="1440" w:footer="72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Liberation Sans">
    <w:altName w:val="Arial"/>
    <w:charset w:val="00"/>
    <w:family w:val="swiss"/>
    <w:pitch w:val="variable"/>
  </w:font>
  <w:font w:name="Calibri Light">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906782856"/>
    </w:sdtPr>
    <w:sdtContent>
      <w:p>
        <w:pPr>
          <w:pStyle w:val="Footer"/>
          <w:pBdr>
            <w:top w:val="single" w:sz="4" w:space="1" w:color="D9D9D9"/>
          </w:pBdr>
          <w:spacing w:before="288" w:after="288"/>
          <w:rPr>
            <w:b/>
            <w:b/>
            <w:bCs/>
          </w:rPr>
        </w:pPr>
        <w:r>
          <w:rPr>
            <w:b/>
            <w:bCs/>
          </w:rPr>
          <w:fldChar w:fldCharType="begin"/>
        </w:r>
        <w:r>
          <w:rPr>
            <w:b/>
            <w:bCs/>
          </w:rPr>
          <w:instrText> PAGE </w:instrText>
        </w:r>
        <w:r>
          <w:rPr>
            <w:b/>
            <w:bCs/>
          </w:rPr>
          <w:fldChar w:fldCharType="separate"/>
        </w:r>
        <w:r>
          <w:rPr>
            <w:b/>
            <w:bCs/>
          </w:rPr>
          <w:t>15</w:t>
        </w:r>
        <w:r>
          <w:rPr>
            <w:b/>
            <w:bCs/>
          </w:rPr>
          <w:fldChar w:fldCharType="end"/>
        </w:r>
        <w:r>
          <w:rPr>
            <w:b/>
            <w:bCs/>
          </w:rPr>
          <w:t xml:space="preserve"> </w:t>
        </w:r>
        <w:r>
          <w:rPr>
            <w:b/>
            <w:bCs/>
          </w:rPr>
          <w:t xml:space="preserve">| </w:t>
        </w:r>
        <w:r>
          <w:rPr>
            <w:color w:val="7F7F7F" w:themeColor="background1" w:themeShade="7f"/>
            <w:spacing w:val="60"/>
          </w:rPr>
          <w:t>Page</w:t>
        </w:r>
      </w:p>
    </w:sdtContent>
  </w:sdt>
  <w:p>
    <w:pPr>
      <w:pStyle w:val="Footer"/>
      <w:spacing w:before="288" w:after="288"/>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before="288" w:after="288"/>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85"/>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755a0"/>
    <w:pPr>
      <w:widowControl/>
      <w:bidi w:val="0"/>
      <w:spacing w:lineRule="auto" w:line="360" w:before="0" w:after="0"/>
      <w:jc w:val="left"/>
    </w:pPr>
    <w:rPr>
      <w:rFonts w:ascii="Times New Roman" w:hAnsi="Times New Roman" w:cs="Times New Roman" w:eastAsia="Calibri"/>
      <w:color w:val="111111"/>
      <w:spacing w:val="1"/>
      <w:kern w:val="0"/>
      <w:sz w:val="24"/>
      <w:szCs w:val="24"/>
      <w:lang w:val="en-US" w:eastAsia="en-US" w:bidi="ar-SA"/>
    </w:rPr>
  </w:style>
  <w:style w:type="paragraph" w:styleId="Heading1">
    <w:name w:val="Heading 1"/>
    <w:basedOn w:val="Normal"/>
    <w:next w:val="Normal"/>
    <w:link w:val="Heading1Char"/>
    <w:uiPriority w:val="9"/>
    <w:qFormat/>
    <w:rsid w:val="00091b2b"/>
    <w:pPr>
      <w:keepNext w:val="true"/>
      <w:keepLines/>
      <w:spacing w:before="480" w:after="0"/>
      <w:outlineLvl w:val="0"/>
    </w:pPr>
    <w:rPr>
      <w:rFonts w:eastAsia="" w:cs="" w:cstheme="majorBidi" w:eastAsiaTheme="majorEastAsia"/>
      <w:b/>
      <w:bCs/>
      <w:sz w:val="32"/>
      <w:szCs w:val="28"/>
    </w:rPr>
  </w:style>
  <w:style w:type="paragraph" w:styleId="Heading2">
    <w:name w:val="Heading 2"/>
    <w:basedOn w:val="Normal"/>
    <w:next w:val="Normal"/>
    <w:link w:val="Heading2Char"/>
    <w:uiPriority w:val="9"/>
    <w:unhideWhenUsed/>
    <w:qFormat/>
    <w:rsid w:val="00901fff"/>
    <w:pPr>
      <w:keepNext w:val="true"/>
      <w:keepLines/>
      <w:outlineLvl w:val="1"/>
    </w:pPr>
    <w:rPr>
      <w:rFonts w:eastAsia="" w:cs="" w:cstheme="majorBidi" w:eastAsiaTheme="majorEastAsia"/>
      <w:b/>
      <w:sz w:val="28"/>
      <w:szCs w:val="26"/>
    </w:rPr>
  </w:style>
  <w:style w:type="paragraph" w:styleId="Heading3">
    <w:name w:val="Heading 3"/>
    <w:basedOn w:val="Normal"/>
    <w:next w:val="Normal"/>
    <w:link w:val="Heading3Char"/>
    <w:uiPriority w:val="9"/>
    <w:unhideWhenUsed/>
    <w:qFormat/>
    <w:rsid w:val="00e23a84"/>
    <w:pPr>
      <w:keepNext w:val="true"/>
      <w:keepLines/>
      <w:spacing w:before="40" w:after="0"/>
      <w:outlineLvl w:val="2"/>
    </w:pPr>
    <w:rPr>
      <w:rFonts w:eastAsia="" w:cs="" w:cstheme="majorBidi" w:eastAsiaTheme="majorEastAsia"/>
      <w:color w:val="44546A" w:themeColor="text2"/>
      <w:sz w:val="28"/>
    </w:rPr>
  </w:style>
  <w:style w:type="paragraph" w:styleId="Heading4">
    <w:name w:val="Heading 4"/>
    <w:basedOn w:val="Normal"/>
    <w:link w:val="Heading4Char"/>
    <w:uiPriority w:val="9"/>
    <w:qFormat/>
    <w:rsid w:val="00db40cb"/>
    <w:pPr>
      <w:spacing w:lineRule="auto" w:line="240" w:beforeAutospacing="1" w:afterAutospacing="1"/>
      <w:outlineLvl w:val="3"/>
    </w:pPr>
    <w:rPr>
      <w:rFonts w:eastAsia="Times New Roman"/>
      <w:b/>
      <w:bCs/>
      <w:color w:val="auto"/>
      <w:spacing w:val="0"/>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091b2b"/>
    <w:rPr>
      <w:rFonts w:ascii="Times New Roman" w:hAnsi="Times New Roman" w:eastAsia="" w:cs="" w:cstheme="majorBidi" w:eastAsiaTheme="majorEastAsia"/>
      <w:b/>
      <w:bCs/>
      <w:color w:val="111111"/>
      <w:spacing w:val="1"/>
      <w:sz w:val="32"/>
      <w:szCs w:val="28"/>
    </w:rPr>
  </w:style>
  <w:style w:type="character" w:styleId="Heading2Char" w:customStyle="1">
    <w:name w:val="Heading 2 Char"/>
    <w:basedOn w:val="DefaultParagraphFont"/>
    <w:link w:val="Heading2"/>
    <w:uiPriority w:val="9"/>
    <w:qFormat/>
    <w:rsid w:val="00901fff"/>
    <w:rPr>
      <w:rFonts w:ascii="Times New Roman" w:hAnsi="Times New Roman" w:eastAsia="" w:cs="" w:cstheme="majorBidi" w:eastAsiaTheme="majorEastAsia"/>
      <w:b/>
      <w:color w:val="111111"/>
      <w:spacing w:val="1"/>
      <w:sz w:val="28"/>
      <w:szCs w:val="26"/>
    </w:rPr>
  </w:style>
  <w:style w:type="character" w:styleId="Heading3Char" w:customStyle="1">
    <w:name w:val="Heading 3 Char"/>
    <w:basedOn w:val="DefaultParagraphFont"/>
    <w:link w:val="Heading3"/>
    <w:uiPriority w:val="9"/>
    <w:qFormat/>
    <w:rsid w:val="00e23a84"/>
    <w:rPr>
      <w:rFonts w:ascii="Times New Roman" w:hAnsi="Times New Roman" w:eastAsia="" w:cs="" w:cstheme="majorBidi" w:eastAsiaTheme="majorEastAsia"/>
      <w:color w:val="44546A" w:themeColor="text2"/>
      <w:sz w:val="28"/>
      <w:szCs w:val="24"/>
      <w:lang w:val="en-GB"/>
    </w:rPr>
  </w:style>
  <w:style w:type="character" w:styleId="TitleChar" w:customStyle="1">
    <w:name w:val="Title Char"/>
    <w:basedOn w:val="DefaultParagraphFont"/>
    <w:link w:val="Title"/>
    <w:uiPriority w:val="10"/>
    <w:qFormat/>
    <w:rsid w:val="0086693f"/>
    <w:rPr>
      <w:rFonts w:ascii="Times New Roman" w:hAnsi="Times New Roman" w:eastAsia="" w:cs="" w:cstheme="majorBidi" w:eastAsiaTheme="majorEastAsia"/>
      <w:i/>
      <w:color w:val="111111"/>
      <w:spacing w:val="-10"/>
      <w:kern w:val="2"/>
      <w:sz w:val="32"/>
      <w:szCs w:val="56"/>
      <w:u w:val="single"/>
    </w:rPr>
  </w:style>
  <w:style w:type="character" w:styleId="Strong">
    <w:name w:val="Strong"/>
    <w:basedOn w:val="DefaultParagraphFont"/>
    <w:uiPriority w:val="22"/>
    <w:qFormat/>
    <w:rsid w:val="00c368f9"/>
    <w:rPr>
      <w:b/>
      <w:bCs/>
    </w:rPr>
  </w:style>
  <w:style w:type="character" w:styleId="Mytool" w:customStyle="1">
    <w:name w:val="mytool"/>
    <w:basedOn w:val="DefaultParagraphFont"/>
    <w:qFormat/>
    <w:rsid w:val="00431eff"/>
    <w:rPr/>
  </w:style>
  <w:style w:type="character" w:styleId="InternetLink">
    <w:name w:val="Internet Link"/>
    <w:basedOn w:val="DefaultParagraphFont"/>
    <w:uiPriority w:val="99"/>
    <w:unhideWhenUsed/>
    <w:rsid w:val="00431eff"/>
    <w:rPr>
      <w:color w:val="0000FF"/>
      <w:u w:val="single"/>
    </w:rPr>
  </w:style>
  <w:style w:type="character" w:styleId="Heading4Char" w:customStyle="1">
    <w:name w:val="Heading 4 Char"/>
    <w:basedOn w:val="DefaultParagraphFont"/>
    <w:link w:val="Heading4"/>
    <w:uiPriority w:val="9"/>
    <w:qFormat/>
    <w:rsid w:val="00db40cb"/>
    <w:rPr>
      <w:rFonts w:ascii="Times New Roman" w:hAnsi="Times New Roman" w:eastAsia="Times New Roman" w:cs="Times New Roman"/>
      <w:b/>
      <w:bCs/>
      <w:sz w:val="24"/>
      <w:szCs w:val="24"/>
    </w:rPr>
  </w:style>
  <w:style w:type="character" w:styleId="Emphasis">
    <w:name w:val="Emphasis"/>
    <w:basedOn w:val="DefaultParagraphFont"/>
    <w:uiPriority w:val="20"/>
    <w:qFormat/>
    <w:rsid w:val="00b11f79"/>
    <w:rPr>
      <w:i/>
      <w:iCs/>
    </w:rPr>
  </w:style>
  <w:style w:type="character" w:styleId="HeaderChar" w:customStyle="1">
    <w:name w:val="Header Char"/>
    <w:basedOn w:val="DefaultParagraphFont"/>
    <w:link w:val="Header"/>
    <w:uiPriority w:val="99"/>
    <w:qFormat/>
    <w:rsid w:val="00901fff"/>
    <w:rPr>
      <w:rFonts w:ascii="Times New Roman" w:hAnsi="Times New Roman" w:cs="Times New Roman"/>
      <w:color w:val="111111"/>
      <w:spacing w:val="1"/>
      <w:sz w:val="24"/>
      <w:szCs w:val="24"/>
    </w:rPr>
  </w:style>
  <w:style w:type="character" w:styleId="FooterChar" w:customStyle="1">
    <w:name w:val="Footer Char"/>
    <w:basedOn w:val="DefaultParagraphFont"/>
    <w:link w:val="Footer"/>
    <w:uiPriority w:val="99"/>
    <w:qFormat/>
    <w:rsid w:val="00901fff"/>
    <w:rPr>
      <w:rFonts w:ascii="Times New Roman" w:hAnsi="Times New Roman" w:cs="Times New Roman"/>
      <w:color w:val="111111"/>
      <w:spacing w:val="1"/>
      <w:sz w:val="24"/>
      <w:szCs w:val="24"/>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86693f"/>
    <w:pPr>
      <w:spacing w:before="0" w:after="0"/>
      <w:contextualSpacing/>
      <w:jc w:val="center"/>
    </w:pPr>
    <w:rPr>
      <w:rFonts w:eastAsia="" w:cs="" w:cstheme="majorBidi" w:eastAsiaTheme="majorEastAsia"/>
      <w:i/>
      <w:spacing w:val="-10"/>
      <w:kern w:val="2"/>
      <w:sz w:val="32"/>
      <w:szCs w:val="56"/>
      <w:u w:val="single"/>
    </w:rPr>
  </w:style>
  <w:style w:type="paragraph" w:styleId="NormalWeb">
    <w:name w:val="Normal (Web)"/>
    <w:basedOn w:val="Normal"/>
    <w:uiPriority w:val="99"/>
    <w:unhideWhenUsed/>
    <w:qFormat/>
    <w:rsid w:val="00c368f9"/>
    <w:pPr>
      <w:spacing w:lineRule="auto" w:line="240" w:beforeAutospacing="1" w:afterAutospacing="1"/>
    </w:pPr>
    <w:rPr>
      <w:rFonts w:eastAsia="Times New Roman"/>
      <w:color w:val="auto"/>
      <w:spacing w:val="0"/>
    </w:rPr>
  </w:style>
  <w:style w:type="paragraph" w:styleId="Header">
    <w:name w:val="Header"/>
    <w:basedOn w:val="Normal"/>
    <w:link w:val="HeaderChar"/>
    <w:uiPriority w:val="99"/>
    <w:unhideWhenUsed/>
    <w:rsid w:val="00901fff"/>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901fff"/>
    <w:pPr>
      <w:tabs>
        <w:tab w:val="clear" w:pos="720"/>
        <w:tab w:val="center" w:pos="4513" w:leader="none"/>
        <w:tab w:val="right" w:pos="9026" w:leader="none"/>
      </w:tabs>
      <w:spacing w:lineRule="auto" w:line="240"/>
    </w:pPr>
    <w:rPr/>
  </w:style>
  <w:style w:type="paragraph" w:styleId="ListParagraph">
    <w:name w:val="List Paragraph"/>
    <w:basedOn w:val="Normal"/>
    <w:uiPriority w:val="34"/>
    <w:qFormat/>
    <w:rsid w:val="00901fff"/>
    <w:pPr>
      <w:spacing w:before="0" w:after="0"/>
      <w:ind w:left="720" w:hanging="0"/>
      <w:contextualSpacing/>
    </w:pPr>
    <w:rPr/>
  </w:style>
  <w:style w:type="paragraph" w:styleId="TOCHeading">
    <w:name w:val="TOC Heading"/>
    <w:basedOn w:val="Heading1"/>
    <w:next w:val="Normal"/>
    <w:uiPriority w:val="39"/>
    <w:unhideWhenUsed/>
    <w:qFormat/>
    <w:rsid w:val="00a4787e"/>
    <w:pPr>
      <w:spacing w:lineRule="auto" w:line="259" w:before="240" w:after="0"/>
    </w:pPr>
    <w:rPr>
      <w:rFonts w:ascii="Calibri Light" w:hAnsi="Calibri Light" w:asciiTheme="majorHAnsi" w:hAnsiTheme="majorHAnsi"/>
      <w:b w:val="false"/>
      <w:bCs w:val="false"/>
      <w:color w:val="2F5496" w:themeColor="accent1" w:themeShade="bf"/>
      <w:spacing w:val="0"/>
      <w:szCs w:val="32"/>
    </w:rPr>
  </w:style>
  <w:style w:type="paragraph" w:styleId="Contents1">
    <w:name w:val="TOC 1"/>
    <w:basedOn w:val="Normal"/>
    <w:next w:val="Normal"/>
    <w:autoRedefine/>
    <w:uiPriority w:val="39"/>
    <w:unhideWhenUsed/>
    <w:rsid w:val="00a4787e"/>
    <w:pPr>
      <w:spacing w:before="0" w:after="100"/>
    </w:pPr>
    <w:rPr/>
  </w:style>
  <w:style w:type="paragraph" w:styleId="Contents2">
    <w:name w:val="TOC 2"/>
    <w:basedOn w:val="Normal"/>
    <w:next w:val="Normal"/>
    <w:autoRedefine/>
    <w:uiPriority w:val="39"/>
    <w:unhideWhenUsed/>
    <w:rsid w:val="00a4787e"/>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431ef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901fff"/>
    <w:pPr>
      <w:spacing w:after="0" w:line="240" w:lineRule="auto"/>
    </w:pPr>
    <w:tblPr>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35914-A26B-4BB7-8EF7-E609F2AC45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Application>Neat_Office/6.2.8.2$Windows_x86 LibreOffice_project/</Application>
  <Pages>15</Pages>
  <Words>2390</Words>
  <Characters>12877</Characters>
  <CharactersWithSpaces>15199</CharactersWithSpaces>
  <Paragraphs>99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2022-11-11T17:27:00Z</dcterms:created>
  <dc:creator>Nazifa Tabassum</dc:creator>
  <dc:description/>
  <dc:language>en-GB</dc:language>
  <cp:lastModifiedBy/>
  <dcterms:modified xsi:type="dcterms:W3CDTF">2022-11-17T20:05:44Z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0e6f28aa6f9f06215f8aaf1eff99440c4137a298b6228645577e68c0f5a83a29</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