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0F35" w:rsidRDefault="00A27520" w:rsidP="00230F35">
      <w:pPr>
        <w:pStyle w:val="NormalWeb"/>
        <w:spacing w:before="0" w:beforeAutospacing="0" w:after="0" w:afterAutospacing="0"/>
        <w:ind w:left="-180" w:right="-334"/>
      </w:pPr>
      <w:r>
        <w:rPr>
          <w:noProof/>
          <w:lang w:val="pt-PT" w:eastAsia="pt-PT"/>
        </w:rPr>
        <w:drawing>
          <wp:inline distT="0" distB="0" distL="0" distR="0">
            <wp:extent cx="1906270" cy="638175"/>
            <wp:effectExtent l="19050" t="19050" r="0" b="9525"/>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rsidR="00230F35" w:rsidRDefault="00230F35" w:rsidP="00230F35">
      <w:pPr>
        <w:pStyle w:val="NormalWeb"/>
        <w:spacing w:before="0" w:beforeAutospacing="0" w:after="0" w:afterAutospacing="0"/>
        <w:ind w:left="-180" w:right="-334"/>
      </w:pPr>
    </w:p>
    <w:p w:rsidR="00A745B6" w:rsidRDefault="00A745B6" w:rsidP="00230F35">
      <w:pPr>
        <w:pStyle w:val="NormalWeb"/>
        <w:spacing w:before="0" w:beforeAutospacing="0" w:after="0" w:afterAutospacing="0"/>
        <w:ind w:left="-180" w:right="-334"/>
      </w:pPr>
    </w:p>
    <w:p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rsidR="002E67CE" w:rsidRPr="00230F35" w:rsidRDefault="002E67CE" w:rsidP="002E67CE">
      <w:pPr>
        <w:rPr>
          <w:rFonts w:ascii="Arial" w:hAnsi="Arial" w:cs="Arial"/>
          <w:sz w:val="28"/>
          <w:szCs w:val="28"/>
          <w:lang w:val="cy-GB"/>
        </w:rPr>
      </w:pPr>
    </w:p>
    <w:p w:rsidR="002E67CE" w:rsidRDefault="002E67CE" w:rsidP="002E67CE">
      <w:pPr>
        <w:pStyle w:val="Ttulo3"/>
        <w:jc w:val="center"/>
        <w:rPr>
          <w:lang w:val="cy-GB"/>
        </w:rPr>
      </w:pPr>
      <w:r>
        <w:rPr>
          <w:lang w:val="cy-GB"/>
        </w:rPr>
        <w:t>THIS SHEET MUST BE THE FIRST PAGE OF THE ASSIGNMENT YOU ARE SUBMITTING  (DO NOT SEND AS A SEPARATE FILE)</w:t>
      </w:r>
    </w:p>
    <w:p w:rsidR="00230F35" w:rsidRDefault="00230F35" w:rsidP="002E67CE">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0"/>
        <w:gridCol w:w="423"/>
        <w:gridCol w:w="1504"/>
        <w:gridCol w:w="285"/>
        <w:gridCol w:w="1794"/>
      </w:tblGrid>
      <w:tr w:rsidR="00E57529" w:rsidRPr="00230F35" w:rsidTr="00A745B6">
        <w:trPr>
          <w:trHeight w:val="614"/>
        </w:trPr>
        <w:tc>
          <w:tcPr>
            <w:tcW w:w="8856" w:type="dxa"/>
            <w:gridSpan w:val="5"/>
          </w:tcPr>
          <w:p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rsidTr="00A745B6">
        <w:trPr>
          <w:trHeight w:val="718"/>
        </w:trPr>
        <w:tc>
          <w:tcPr>
            <w:tcW w:w="8856" w:type="dxa"/>
            <w:gridSpan w:val="5"/>
          </w:tcPr>
          <w:p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DD4CB8">
              <w:rPr>
                <w:rFonts w:ascii="Arial" w:hAnsi="Arial" w:cs="Arial"/>
                <w:sz w:val="22"/>
                <w:szCs w:val="22"/>
              </w:rPr>
              <w:t xml:space="preserve"> </w:t>
            </w:r>
            <w:r w:rsidR="00DD4CB8" w:rsidRPr="00DD4CB8">
              <w:rPr>
                <w:rFonts w:ascii="Arial" w:hAnsi="Arial" w:cs="Arial"/>
                <w:b/>
                <w:bCs/>
                <w:sz w:val="22"/>
                <w:szCs w:val="22"/>
              </w:rPr>
              <w:t>SARA SUCENA</w:t>
            </w:r>
          </w:p>
          <w:p w:rsidR="00230F35" w:rsidRPr="00230F35" w:rsidRDefault="00230F35" w:rsidP="002F467C">
            <w:pPr>
              <w:pStyle w:val="NormalWeb"/>
              <w:spacing w:before="0" w:beforeAutospacing="0" w:after="0" w:afterAutospacing="0"/>
              <w:ind w:right="34"/>
              <w:rPr>
                <w:rFonts w:ascii="Arial" w:hAnsi="Arial" w:cs="Arial"/>
                <w:sz w:val="22"/>
                <w:szCs w:val="22"/>
              </w:rPr>
            </w:pPr>
          </w:p>
          <w:p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DD4CB8" w:rsidRPr="00DD4CB8">
              <w:rPr>
                <w:rFonts w:ascii="Arial" w:hAnsi="Arial" w:cs="Arial"/>
                <w:b/>
                <w:bCs/>
                <w:sz w:val="22"/>
                <w:szCs w:val="22"/>
              </w:rPr>
              <w:t>1917253@student.uwtsd.ac.uk</w:t>
            </w:r>
          </w:p>
        </w:tc>
      </w:tr>
      <w:tr w:rsidR="00CE3B79" w:rsidRPr="00230F35" w:rsidTr="00A745B6">
        <w:trPr>
          <w:trHeight w:val="849"/>
        </w:trPr>
        <w:tc>
          <w:tcPr>
            <w:tcW w:w="4788" w:type="dxa"/>
          </w:tcPr>
          <w:p w:rsidR="00DD4CB8" w:rsidRDefault="00CE3B79" w:rsidP="00DD4C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rsidR="00DD4CB8" w:rsidRPr="00F62B6A" w:rsidRDefault="00DD4CB8" w:rsidP="00DD4CB8">
            <w:pPr>
              <w:pStyle w:val="NormalWeb"/>
              <w:spacing w:before="0" w:beforeAutospacing="0" w:after="0" w:afterAutospacing="0"/>
              <w:ind w:right="34"/>
              <w:jc w:val="center"/>
              <w:rPr>
                <w:b/>
                <w:bCs/>
                <w:lang w:val="en-US" w:eastAsia="pt-PT"/>
              </w:rPr>
            </w:pPr>
            <w:r w:rsidRPr="00DD4CB8">
              <w:rPr>
                <w:rStyle w:val="fontstyle01"/>
                <w:b/>
                <w:bCs/>
              </w:rPr>
              <w:t>HPCA7014</w:t>
            </w:r>
          </w:p>
          <w:p w:rsidR="00D67BF8" w:rsidRPr="00230F35" w:rsidRDefault="00D67BF8" w:rsidP="002F467C">
            <w:pPr>
              <w:pStyle w:val="NormalWeb"/>
              <w:spacing w:before="0" w:beforeAutospacing="0" w:after="0" w:afterAutospacing="0"/>
              <w:ind w:right="34"/>
              <w:rPr>
                <w:rFonts w:ascii="Arial" w:hAnsi="Arial" w:cs="Arial"/>
                <w:sz w:val="22"/>
                <w:szCs w:val="22"/>
              </w:rPr>
            </w:pPr>
          </w:p>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DD4CB8">
              <w:t xml:space="preserve"> </w:t>
            </w:r>
            <w:r w:rsidR="00DD4CB8" w:rsidRPr="00DD4CB8">
              <w:rPr>
                <w:rFonts w:ascii="Arial" w:hAnsi="Arial" w:cs="Arial"/>
                <w:b/>
                <w:bCs/>
                <w:sz w:val="22"/>
                <w:szCs w:val="22"/>
              </w:rPr>
              <w:t>Sacred Geography</w:t>
            </w:r>
          </w:p>
          <w:p w:rsidR="00A745B6" w:rsidRDefault="00A745B6" w:rsidP="002F467C">
            <w:pPr>
              <w:pStyle w:val="NormalWeb"/>
              <w:spacing w:before="0" w:beforeAutospacing="0" w:after="0" w:afterAutospacing="0"/>
              <w:ind w:right="34"/>
              <w:rPr>
                <w:rFonts w:ascii="Arial" w:hAnsi="Arial" w:cs="Arial"/>
                <w:sz w:val="22"/>
                <w:szCs w:val="22"/>
              </w:rPr>
            </w:pPr>
          </w:p>
          <w:p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DD4CB8" w:rsidRDefault="00DD4CB8" w:rsidP="002F467C">
            <w:pPr>
              <w:pStyle w:val="NormalWeb"/>
              <w:spacing w:before="0" w:beforeAutospacing="0" w:after="0" w:afterAutospacing="0"/>
              <w:ind w:right="34"/>
              <w:rPr>
                <w:rFonts w:ascii="Arial" w:hAnsi="Arial" w:cs="Arial"/>
                <w:sz w:val="22"/>
                <w:szCs w:val="22"/>
              </w:rPr>
            </w:pPr>
          </w:p>
          <w:p w:rsidR="00DD4CB8" w:rsidRPr="00DD4CB8" w:rsidRDefault="00DD4CB8" w:rsidP="00DD4CB8">
            <w:pPr>
              <w:pStyle w:val="NormalWeb"/>
              <w:spacing w:before="0" w:beforeAutospacing="0" w:after="0" w:afterAutospacing="0"/>
              <w:ind w:right="34"/>
              <w:jc w:val="center"/>
              <w:rPr>
                <w:rFonts w:ascii="Arial" w:hAnsi="Arial" w:cs="Arial"/>
                <w:b/>
                <w:bCs/>
                <w:sz w:val="22"/>
                <w:szCs w:val="22"/>
              </w:rPr>
            </w:pPr>
            <w:r w:rsidRPr="00DD4CB8">
              <w:rPr>
                <w:rFonts w:ascii="Arial" w:hAnsi="Arial" w:cs="Arial"/>
                <w:b/>
                <w:bCs/>
                <w:sz w:val="22"/>
                <w:szCs w:val="22"/>
              </w:rPr>
              <w:t>1917253</w:t>
            </w:r>
          </w:p>
        </w:tc>
        <w:tc>
          <w:tcPr>
            <w:tcW w:w="1802" w:type="dxa"/>
          </w:tcPr>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DD4CB8" w:rsidRPr="00230F35" w:rsidRDefault="00DD4CB8" w:rsidP="002F467C">
            <w:pPr>
              <w:pStyle w:val="NormalWeb"/>
              <w:spacing w:before="0" w:beforeAutospacing="0" w:after="0" w:afterAutospacing="0"/>
              <w:ind w:right="34"/>
              <w:rPr>
                <w:rFonts w:ascii="Arial" w:hAnsi="Arial" w:cs="Arial"/>
                <w:sz w:val="22"/>
                <w:szCs w:val="22"/>
              </w:rPr>
            </w:pPr>
          </w:p>
          <w:p w:rsidR="00CE3B79" w:rsidRPr="00DD4CB8" w:rsidRDefault="00CE3B79" w:rsidP="00DD4CB8">
            <w:pPr>
              <w:pStyle w:val="NormalWeb"/>
              <w:spacing w:before="0" w:beforeAutospacing="0" w:after="0" w:afterAutospacing="0"/>
              <w:ind w:right="34"/>
              <w:jc w:val="center"/>
              <w:rPr>
                <w:rFonts w:ascii="Arial" w:hAnsi="Arial" w:cs="Arial"/>
                <w:b/>
                <w:bCs/>
                <w:sz w:val="22"/>
                <w:szCs w:val="22"/>
              </w:rPr>
            </w:pPr>
            <w:r w:rsidRPr="00DD4CB8">
              <w:rPr>
                <w:rFonts w:ascii="Arial" w:hAnsi="Arial" w:cs="Arial"/>
                <w:b/>
                <w:bCs/>
                <w:sz w:val="22"/>
                <w:szCs w:val="22"/>
              </w:rPr>
              <w:t>No</w:t>
            </w:r>
          </w:p>
        </w:tc>
      </w:tr>
      <w:tr w:rsidR="00CE3B79" w:rsidRPr="00230F35" w:rsidTr="00A745B6">
        <w:trPr>
          <w:trHeight w:val="1139"/>
        </w:trPr>
        <w:tc>
          <w:tcPr>
            <w:tcW w:w="8856" w:type="dxa"/>
            <w:gridSpan w:val="5"/>
          </w:tcPr>
          <w:p w:rsidR="00DD4CB8"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rsidR="00EA101D" w:rsidRPr="00EA101D" w:rsidRDefault="00EA101D" w:rsidP="00EA101D">
            <w:pPr>
              <w:jc w:val="center"/>
              <w:rPr>
                <w:rFonts w:ascii="Arial" w:hAnsi="Arial" w:cs="Arial"/>
                <w:b/>
                <w:bCs/>
                <w:lang w:val="en-US" w:eastAsia="pt-PT"/>
              </w:rPr>
            </w:pPr>
            <w:r w:rsidRPr="00EA101D">
              <w:rPr>
                <w:rStyle w:val="fontstyle01"/>
                <w:rFonts w:ascii="Arial" w:hAnsi="Arial" w:cs="Arial"/>
                <w:b/>
                <w:bCs/>
              </w:rPr>
              <w:t>Essay based on a supervised research project</w:t>
            </w:r>
          </w:p>
          <w:p w:rsidR="00230F35" w:rsidRDefault="00230F35" w:rsidP="002F467C">
            <w:pPr>
              <w:pStyle w:val="NormalWeb"/>
              <w:spacing w:before="0" w:beforeAutospacing="0" w:after="0" w:afterAutospacing="0"/>
              <w:ind w:right="34"/>
              <w:rPr>
                <w:rFonts w:ascii="Arial" w:hAnsi="Arial" w:cs="Arial"/>
                <w:sz w:val="22"/>
                <w:szCs w:val="22"/>
              </w:rPr>
            </w:pPr>
          </w:p>
          <w:p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D4CB8">
              <w:rPr>
                <w:rFonts w:ascii="Arial" w:hAnsi="Arial" w:cs="Arial"/>
                <w:sz w:val="22"/>
                <w:szCs w:val="22"/>
              </w:rPr>
              <w:t xml:space="preserve"> </w:t>
            </w:r>
            <w:r w:rsidR="00EA101D" w:rsidRPr="00EA101D">
              <w:rPr>
                <w:rFonts w:ascii="Arial" w:hAnsi="Arial" w:cs="Arial"/>
                <w:b/>
                <w:bCs/>
                <w:sz w:val="22"/>
                <w:szCs w:val="22"/>
              </w:rPr>
              <w:t>8 January 2021</w:t>
            </w:r>
          </w:p>
        </w:tc>
      </w:tr>
      <w:tr w:rsidR="00230F35" w:rsidRPr="00230F35" w:rsidTr="00A745B6">
        <w:trPr>
          <w:trHeight w:val="978"/>
        </w:trPr>
        <w:tc>
          <w:tcPr>
            <w:tcW w:w="8856" w:type="dxa"/>
            <w:gridSpan w:val="5"/>
            <w:tcBorders>
              <w:bottom w:val="single" w:sz="4" w:space="0" w:color="000000"/>
            </w:tcBorders>
          </w:tcPr>
          <w:p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DD4CB8">
              <w:rPr>
                <w:rFonts w:ascii="Arial" w:hAnsi="Arial" w:cs="Arial"/>
                <w:sz w:val="22"/>
                <w:szCs w:val="22"/>
                <w:vertAlign w:val="superscript"/>
              </w:rPr>
              <w:t xml:space="preserve"> </w:t>
            </w:r>
            <w:r w:rsidR="00EA101D" w:rsidRPr="00230F35">
              <w:rPr>
                <w:rFonts w:ascii="Arial" w:hAnsi="Arial" w:cs="Arial"/>
                <w:sz w:val="22"/>
                <w:szCs w:val="22"/>
              </w:rPr>
              <w:fldChar w:fldCharType="begin">
                <w:ffData>
                  <w:name w:val="Check14"/>
                  <w:enabled/>
                  <w:calcOnExit w:val="0"/>
                  <w:checkBox>
                    <w:sizeAuto/>
                    <w:default w:val="0"/>
                  </w:checkBox>
                </w:ffData>
              </w:fldChar>
            </w:r>
            <w:r w:rsidR="00EA101D" w:rsidRPr="00230F35">
              <w:rPr>
                <w:rFonts w:ascii="Arial" w:hAnsi="Arial" w:cs="Arial"/>
                <w:sz w:val="22"/>
                <w:szCs w:val="22"/>
              </w:rPr>
              <w:instrText xml:space="preserve"> FORMCHECKBOX </w:instrText>
            </w:r>
            <w:r w:rsidR="00FF1476">
              <w:rPr>
                <w:rFonts w:ascii="Arial" w:hAnsi="Arial" w:cs="Arial"/>
                <w:sz w:val="22"/>
                <w:szCs w:val="22"/>
              </w:rPr>
            </w:r>
            <w:r w:rsidR="00FF1476">
              <w:rPr>
                <w:rFonts w:ascii="Arial" w:hAnsi="Arial" w:cs="Arial"/>
                <w:sz w:val="22"/>
                <w:szCs w:val="22"/>
              </w:rPr>
              <w:fldChar w:fldCharType="separate"/>
            </w:r>
            <w:r w:rsidR="00EA101D" w:rsidRPr="00230F35">
              <w:rPr>
                <w:rFonts w:ascii="Arial" w:hAnsi="Arial" w:cs="Arial"/>
                <w:sz w:val="22"/>
                <w:szCs w:val="22"/>
              </w:rPr>
              <w:fldChar w:fldCharType="end"/>
            </w:r>
            <w:r w:rsidR="00EA101D" w:rsidRPr="00230F35">
              <w:rPr>
                <w:rFonts w:ascii="Arial" w:hAnsi="Arial" w:cs="Arial"/>
                <w:sz w:val="22"/>
                <w:szCs w:val="22"/>
              </w:rPr>
              <w:t xml:space="preserve"> </w:t>
            </w:r>
            <w:r w:rsidR="00DD4CB8">
              <w:rPr>
                <w:rFonts w:ascii="Arial" w:hAnsi="Arial" w:cs="Arial"/>
                <w:sz w:val="22"/>
                <w:szCs w:val="22"/>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EA101D" w:rsidRPr="00EA101D">
              <w:rPr>
                <w:rFonts w:ascii="Arial" w:hAnsi="Arial" w:cs="Arial"/>
                <w:b/>
                <w:bCs/>
                <w:sz w:val="28"/>
                <w:szCs w:val="28"/>
              </w:rPr>
              <w:t>X</w:t>
            </w:r>
            <w:r w:rsidRPr="00EA101D">
              <w:rPr>
                <w:rFonts w:ascii="Arial" w:hAnsi="Arial" w:cs="Arial"/>
                <w:b/>
                <w:bCs/>
                <w:sz w:val="28"/>
                <w:szCs w:val="28"/>
              </w:rPr>
              <w:t xml:space="preserve"> </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0" w:name="Check15"/>
            <w:r w:rsidRPr="00230F35">
              <w:rPr>
                <w:rFonts w:ascii="Arial" w:hAnsi="Arial" w:cs="Arial"/>
                <w:sz w:val="22"/>
                <w:szCs w:val="22"/>
              </w:rPr>
              <w:instrText xml:space="preserve"> FORMCHECKBOX </w:instrText>
            </w:r>
            <w:r w:rsidR="00FF1476">
              <w:rPr>
                <w:rFonts w:ascii="Arial" w:hAnsi="Arial" w:cs="Arial"/>
                <w:sz w:val="22"/>
                <w:szCs w:val="22"/>
              </w:rPr>
            </w:r>
            <w:r w:rsidR="00FF1476">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1" w:name="Check16"/>
            <w:r w:rsidRPr="00230F35">
              <w:rPr>
                <w:rFonts w:ascii="Arial" w:hAnsi="Arial" w:cs="Arial"/>
                <w:sz w:val="22"/>
                <w:szCs w:val="22"/>
              </w:rPr>
              <w:instrText xml:space="preserve"> FORMCHECKBOX </w:instrText>
            </w:r>
            <w:r w:rsidR="00FF1476">
              <w:rPr>
                <w:rFonts w:ascii="Arial" w:hAnsi="Arial" w:cs="Arial"/>
                <w:sz w:val="22"/>
                <w:szCs w:val="22"/>
              </w:rPr>
            </w:r>
            <w:r w:rsidR="00FF1476">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2" w:name="Check17"/>
            <w:r w:rsidRPr="00230F35">
              <w:rPr>
                <w:rFonts w:ascii="Arial" w:hAnsi="Arial" w:cs="Arial"/>
                <w:sz w:val="22"/>
                <w:szCs w:val="22"/>
              </w:rPr>
              <w:instrText xml:space="preserve"> FORMCHECKBOX </w:instrText>
            </w:r>
            <w:r w:rsidR="00FF1476">
              <w:rPr>
                <w:rFonts w:ascii="Arial" w:hAnsi="Arial" w:cs="Arial"/>
                <w:sz w:val="22"/>
                <w:szCs w:val="22"/>
              </w:rPr>
            </w:r>
            <w:r w:rsidR="00FF1476">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3" w:name="Check18"/>
            <w:r w:rsidRPr="00230F35">
              <w:rPr>
                <w:rFonts w:ascii="Arial" w:hAnsi="Arial" w:cs="Arial"/>
                <w:sz w:val="22"/>
                <w:szCs w:val="22"/>
              </w:rPr>
              <w:instrText xml:space="preserve"> FORMCHECKBOX </w:instrText>
            </w:r>
            <w:r w:rsidR="00FF1476">
              <w:rPr>
                <w:rFonts w:ascii="Arial" w:hAnsi="Arial" w:cs="Arial"/>
                <w:sz w:val="22"/>
                <w:szCs w:val="22"/>
              </w:rPr>
            </w:r>
            <w:r w:rsidR="00FF1476">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rsidTr="00A745B6">
        <w:trPr>
          <w:trHeight w:val="978"/>
        </w:trPr>
        <w:tc>
          <w:tcPr>
            <w:tcW w:w="8856" w:type="dxa"/>
            <w:gridSpan w:val="5"/>
            <w:shd w:val="clear" w:color="auto" w:fill="D9D9D9"/>
          </w:tcPr>
          <w:p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DD4CB8">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DD4CB8" w:rsidRPr="00DD4CB8">
              <w:rPr>
                <w:rFonts w:ascii="Arial" w:hAnsi="Arial" w:cs="Arial"/>
                <w:b/>
                <w:bCs/>
                <w:sz w:val="28"/>
                <w:szCs w:val="28"/>
              </w:rPr>
              <w:t>X</w:t>
            </w:r>
          </w:p>
          <w:p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rsidTr="00A745B6">
        <w:trPr>
          <w:trHeight w:val="3972"/>
        </w:trPr>
        <w:tc>
          <w:tcPr>
            <w:tcW w:w="8856" w:type="dxa"/>
            <w:gridSpan w:val="5"/>
          </w:tcPr>
          <w:p w:rsidR="00A745B6" w:rsidRDefault="00A745B6" w:rsidP="00A745B6">
            <w:pPr>
              <w:rPr>
                <w:rFonts w:ascii="Arial" w:hAnsi="Arial"/>
                <w:b/>
              </w:rPr>
            </w:pPr>
          </w:p>
          <w:p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Default="00A745B6" w:rsidP="009C1A08">
                  <w:pPr>
                    <w:rPr>
                      <w:rFonts w:ascii="Arial" w:hAnsi="Arial"/>
                      <w:sz w:val="20"/>
                      <w:szCs w:val="20"/>
                    </w:rPr>
                  </w:pPr>
                </w:p>
                <w:p w:rsidR="00A745B6" w:rsidRPr="00022345" w:rsidRDefault="00A745B6" w:rsidP="009C1A08">
                  <w:pPr>
                    <w:rPr>
                      <w:rFonts w:ascii="Arial" w:hAnsi="Arial"/>
                      <w:b/>
                      <w:sz w:val="20"/>
                      <w:szCs w:val="20"/>
                    </w:rPr>
                  </w:pPr>
                  <w:r w:rsidRPr="00022345">
                    <w:rPr>
                      <w:rFonts w:ascii="Arial" w:hAnsi="Arial"/>
                      <w:b/>
                      <w:sz w:val="20"/>
                      <w:szCs w:val="20"/>
                    </w:rPr>
                    <w:t>Final Mark</w:t>
                  </w:r>
                </w:p>
                <w:p w:rsidR="00A745B6" w:rsidRPr="00116CE6" w:rsidRDefault="00A745B6" w:rsidP="009C1A08">
                  <w:pPr>
                    <w:rPr>
                      <w:rFonts w:ascii="Arial" w:hAnsi="Arial"/>
                      <w:sz w:val="20"/>
                      <w:szCs w:val="20"/>
                    </w:rPr>
                  </w:pPr>
                </w:p>
              </w:tc>
              <w:tc>
                <w:tcPr>
                  <w:tcW w:w="1660" w:type="dxa"/>
                </w:tcPr>
                <w:p w:rsidR="00A745B6" w:rsidRPr="00116CE6" w:rsidRDefault="00A745B6" w:rsidP="009C1A08">
                  <w:pPr>
                    <w:rPr>
                      <w:rFonts w:ascii="Arial" w:hAnsi="Arial"/>
                      <w:sz w:val="20"/>
                      <w:szCs w:val="20"/>
                    </w:rPr>
                  </w:pPr>
                </w:p>
              </w:tc>
            </w:tr>
          </w:tbl>
          <w:p w:rsidR="00022345" w:rsidRDefault="00022345" w:rsidP="00A745B6">
            <w:pPr>
              <w:pStyle w:val="NormalWeb"/>
              <w:spacing w:before="0" w:beforeAutospacing="0" w:after="0" w:afterAutospacing="0"/>
              <w:ind w:left="142" w:right="34"/>
              <w:rPr>
                <w:rFonts w:ascii="Arial" w:hAnsi="Arial" w:cs="Arial"/>
                <w:b/>
                <w:sz w:val="22"/>
                <w:szCs w:val="22"/>
              </w:rPr>
            </w:pPr>
          </w:p>
          <w:p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A745B6" w:rsidRDefault="00A745B6"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00B56E7B" w:rsidRPr="00001C3B" w:rsidRDefault="00B56E7B" w:rsidP="00043549">
            <w:pPr>
              <w:pStyle w:val="NormalWeb"/>
              <w:rPr>
                <w:rFonts w:ascii="Arial" w:hAnsi="Arial" w:cs="Arial"/>
                <w:sz w:val="22"/>
                <w:szCs w:val="22"/>
              </w:rPr>
            </w:pPr>
          </w:p>
        </w:tc>
      </w:tr>
      <w:tr w:rsidR="00EC7546" w:rsidRPr="00230F35" w:rsidTr="00A745B6">
        <w:trPr>
          <w:trHeight w:val="492"/>
        </w:trPr>
        <w:tc>
          <w:tcPr>
            <w:tcW w:w="6768" w:type="dxa"/>
            <w:gridSpan w:val="3"/>
          </w:tcPr>
          <w:p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rsidTr="002F467C">
        <w:tc>
          <w:tcPr>
            <w:tcW w:w="8856" w:type="dxa"/>
            <w:gridSpan w:val="5"/>
          </w:tcPr>
          <w:p w:rsidR="00D67BF8" w:rsidRPr="00230F35" w:rsidRDefault="00D67BF8" w:rsidP="002F467C">
            <w:pPr>
              <w:pStyle w:val="NormalWeb"/>
              <w:spacing w:before="0" w:beforeAutospacing="0" w:after="0" w:afterAutospacing="0"/>
              <w:ind w:right="-334"/>
              <w:rPr>
                <w:rFonts w:ascii="Arial" w:hAnsi="Arial" w:cs="Arial"/>
                <w:bCs/>
                <w:i/>
                <w:sz w:val="22"/>
                <w:szCs w:val="22"/>
              </w:rPr>
            </w:pPr>
          </w:p>
          <w:p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rsidR="00D67BF8" w:rsidRPr="00230F35" w:rsidRDefault="00D67BF8" w:rsidP="002F467C">
            <w:pPr>
              <w:pStyle w:val="NormalWeb"/>
              <w:spacing w:before="0" w:beforeAutospacing="0" w:after="0" w:afterAutospacing="0"/>
              <w:ind w:right="-334"/>
              <w:rPr>
                <w:rFonts w:ascii="Arial" w:hAnsi="Arial" w:cs="Arial"/>
                <w:b/>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Default="00D67BF8" w:rsidP="002F467C">
            <w:pPr>
              <w:pStyle w:val="NormalWeb"/>
              <w:spacing w:before="0" w:beforeAutospacing="0" w:after="0" w:afterAutospacing="0"/>
              <w:ind w:right="-334"/>
              <w:rPr>
                <w:rFonts w:ascii="Arial" w:hAnsi="Arial" w:cs="Arial"/>
                <w:bCs/>
                <w:sz w:val="22"/>
                <w:szCs w:val="22"/>
              </w:rPr>
            </w:pPr>
          </w:p>
          <w:p w:rsidR="00B56E7B" w:rsidRPr="00230F35" w:rsidRDefault="00B56E7B"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rsidTr="008D674F">
        <w:trPr>
          <w:trHeight w:val="720"/>
        </w:trPr>
        <w:tc>
          <w:tcPr>
            <w:tcW w:w="5211" w:type="dxa"/>
            <w:gridSpan w:val="2"/>
          </w:tcPr>
          <w:p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rsidTr="009C1A08">
        <w:trPr>
          <w:trHeight w:val="720"/>
        </w:trPr>
        <w:tc>
          <w:tcPr>
            <w:tcW w:w="8856" w:type="dxa"/>
            <w:gridSpan w:val="5"/>
          </w:tcPr>
          <w:p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Default="00230F35" w:rsidP="002F467C">
            <w:pPr>
              <w:pStyle w:val="NormalWeb"/>
              <w:spacing w:before="0" w:beforeAutospacing="0" w:after="0" w:afterAutospacing="0"/>
              <w:ind w:right="-334"/>
              <w:rPr>
                <w:rFonts w:ascii="Arial" w:hAnsi="Arial" w:cs="Arial"/>
                <w:bCs/>
                <w:sz w:val="22"/>
                <w:szCs w:val="22"/>
              </w:rPr>
            </w:pPr>
          </w:p>
          <w:p w:rsidR="00B56E7B" w:rsidRPr="00230F35" w:rsidRDefault="00B56E7B"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rsidTr="00230F35">
        <w:trPr>
          <w:trHeight w:val="720"/>
        </w:trPr>
        <w:tc>
          <w:tcPr>
            <w:tcW w:w="5211" w:type="dxa"/>
            <w:gridSpan w:val="2"/>
          </w:tcPr>
          <w:p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rsidR="00EC7546" w:rsidRDefault="00EC7546" w:rsidP="00FA07E9">
      <w:pPr>
        <w:pStyle w:val="NormalWeb"/>
        <w:spacing w:before="0" w:beforeAutospacing="0" w:after="0" w:afterAutospacing="0"/>
        <w:ind w:right="-334"/>
        <w:rPr>
          <w:rFonts w:ascii="Trebuchet MS" w:hAnsi="Trebuchet MS" w:cs="Tahoma"/>
          <w:bCs/>
          <w:sz w:val="24"/>
          <w:szCs w:val="24"/>
        </w:rPr>
      </w:pPr>
    </w:p>
    <w:p w:rsidR="00DD4CB8" w:rsidRDefault="00DD4CB8" w:rsidP="00FA07E9">
      <w:pPr>
        <w:pStyle w:val="NormalWeb"/>
        <w:spacing w:before="0" w:beforeAutospacing="0" w:after="0" w:afterAutospacing="0"/>
        <w:ind w:right="-334"/>
        <w:rPr>
          <w:rFonts w:ascii="Trebuchet MS" w:hAnsi="Trebuchet MS" w:cs="Tahoma"/>
          <w:bCs/>
          <w:sz w:val="24"/>
          <w:szCs w:val="24"/>
        </w:rPr>
      </w:pPr>
    </w:p>
    <w:p w:rsidR="00DD4CB8" w:rsidRDefault="00DD4CB8" w:rsidP="00FA07E9">
      <w:pPr>
        <w:pStyle w:val="NormalWeb"/>
        <w:spacing w:before="0" w:beforeAutospacing="0" w:after="0" w:afterAutospacing="0"/>
        <w:ind w:right="-334"/>
        <w:rPr>
          <w:rFonts w:ascii="Trebuchet MS" w:hAnsi="Trebuchet MS" w:cs="Tahoma"/>
          <w:bCs/>
          <w:sz w:val="24"/>
          <w:szCs w:val="24"/>
        </w:rPr>
      </w:pPr>
    </w:p>
    <w:p w:rsidR="007318C2" w:rsidRDefault="007318C2" w:rsidP="00DD4CB8">
      <w:pPr>
        <w:jc w:val="both"/>
        <w:rPr>
          <w:rStyle w:val="fontstyle01"/>
          <w:rFonts w:ascii="Garamond" w:hAnsi="Garamond"/>
          <w:b/>
          <w:bCs/>
          <w:sz w:val="40"/>
          <w:szCs w:val="40"/>
        </w:rPr>
        <w:sectPr w:rsidR="007318C2" w:rsidSect="006517D7">
          <w:footerReference w:type="default" r:id="rId9"/>
          <w:footerReference w:type="first" r:id="rId10"/>
          <w:pgSz w:w="12240" w:h="15840"/>
          <w:pgMar w:top="567" w:right="1797" w:bottom="567" w:left="1797" w:header="567" w:footer="567" w:gutter="0"/>
          <w:cols w:space="720"/>
          <w:titlePg/>
          <w:docGrid w:linePitch="326"/>
        </w:sectPr>
      </w:pPr>
    </w:p>
    <w:p w:rsidR="00EA101D" w:rsidRDefault="00EA101D" w:rsidP="00F25D56">
      <w:pPr>
        <w:spacing w:line="360" w:lineRule="auto"/>
        <w:jc w:val="center"/>
        <w:rPr>
          <w:rStyle w:val="fontstyle01"/>
          <w:rFonts w:ascii="Garamond" w:hAnsi="Garamond"/>
          <w:b/>
          <w:bCs/>
          <w:sz w:val="40"/>
          <w:szCs w:val="40"/>
        </w:rPr>
      </w:pPr>
      <w:bookmarkStart w:id="4" w:name="_Hlk59978498"/>
      <w:r w:rsidRPr="00EA101D">
        <w:rPr>
          <w:rStyle w:val="fontstyle01"/>
          <w:rFonts w:ascii="Garamond" w:hAnsi="Garamond"/>
          <w:b/>
          <w:bCs/>
          <w:sz w:val="40"/>
          <w:szCs w:val="40"/>
        </w:rPr>
        <w:lastRenderedPageBreak/>
        <w:t>Essay based on a supervised</w:t>
      </w:r>
      <w:r>
        <w:rPr>
          <w:rStyle w:val="fontstyle01"/>
          <w:rFonts w:ascii="Garamond" w:hAnsi="Garamond"/>
          <w:b/>
          <w:bCs/>
          <w:sz w:val="40"/>
          <w:szCs w:val="40"/>
        </w:rPr>
        <w:t xml:space="preserve"> </w:t>
      </w:r>
      <w:r w:rsidRPr="00EA101D">
        <w:rPr>
          <w:rStyle w:val="fontstyle01"/>
          <w:rFonts w:ascii="Garamond" w:hAnsi="Garamond"/>
          <w:b/>
          <w:bCs/>
          <w:sz w:val="40"/>
          <w:szCs w:val="40"/>
        </w:rPr>
        <w:t>research project</w:t>
      </w:r>
    </w:p>
    <w:p w:rsidR="00582FDE" w:rsidRPr="009C5CBA" w:rsidRDefault="00582FDE" w:rsidP="00F25D56">
      <w:pPr>
        <w:spacing w:line="360" w:lineRule="auto"/>
        <w:jc w:val="center"/>
        <w:rPr>
          <w:rStyle w:val="fontstyle01"/>
          <w:rFonts w:ascii="Garamond" w:hAnsi="Garamond"/>
          <w:b/>
          <w:bCs/>
          <w:lang w:val="en-US"/>
        </w:rPr>
      </w:pPr>
      <w:r w:rsidRPr="007768F5">
        <w:rPr>
          <w:rStyle w:val="fontstyle01"/>
          <w:rFonts w:ascii="Garamond" w:hAnsi="Garamond"/>
          <w:b/>
          <w:bCs/>
          <w:lang w:val="en-US"/>
        </w:rPr>
        <w:t xml:space="preserve">[Word Count: </w:t>
      </w:r>
      <w:r w:rsidR="000D5231" w:rsidRPr="007768F5">
        <w:rPr>
          <w:rStyle w:val="fontstyle01"/>
          <w:rFonts w:ascii="Garamond" w:hAnsi="Garamond"/>
          <w:b/>
          <w:bCs/>
          <w:lang w:val="en-US"/>
        </w:rPr>
        <w:t>5250</w:t>
      </w:r>
      <w:r w:rsidRPr="007768F5">
        <w:rPr>
          <w:rStyle w:val="fontstyle01"/>
          <w:rFonts w:ascii="Garamond" w:hAnsi="Garamond"/>
          <w:b/>
          <w:bCs/>
          <w:lang w:val="en-US"/>
        </w:rPr>
        <w:t xml:space="preserve"> &gt; </w:t>
      </w:r>
      <w:r w:rsidR="000D5231" w:rsidRPr="007768F5">
        <w:rPr>
          <w:rStyle w:val="fontstyle01"/>
          <w:rFonts w:ascii="Garamond" w:hAnsi="Garamond"/>
          <w:b/>
          <w:bCs/>
          <w:lang w:val="en-US"/>
        </w:rPr>
        <w:t>5512</w:t>
      </w:r>
      <w:r w:rsidRPr="007768F5">
        <w:rPr>
          <w:rStyle w:val="fontstyle01"/>
          <w:rFonts w:ascii="Garamond" w:hAnsi="Garamond"/>
          <w:b/>
          <w:bCs/>
          <w:lang w:val="en-US"/>
        </w:rPr>
        <w:t>]</w:t>
      </w:r>
    </w:p>
    <w:p w:rsidR="00582FDE" w:rsidRPr="009C5CBA" w:rsidRDefault="00582FDE" w:rsidP="007C19D5">
      <w:pPr>
        <w:spacing w:line="360" w:lineRule="auto"/>
        <w:jc w:val="both"/>
        <w:rPr>
          <w:rFonts w:ascii="Garamond" w:hAnsi="Garamond"/>
          <w:sz w:val="28"/>
          <w:szCs w:val="28"/>
          <w:lang w:val="en-US"/>
        </w:rPr>
      </w:pPr>
    </w:p>
    <w:p w:rsidR="00582FDE" w:rsidRPr="009C5CBA" w:rsidRDefault="00582FDE" w:rsidP="007C19D5">
      <w:pPr>
        <w:spacing w:line="360" w:lineRule="auto"/>
        <w:jc w:val="both"/>
        <w:rPr>
          <w:rFonts w:ascii="Garamond" w:hAnsi="Garamond"/>
          <w:sz w:val="28"/>
          <w:szCs w:val="28"/>
          <w:lang w:val="en-US"/>
        </w:rPr>
      </w:pPr>
    </w:p>
    <w:p w:rsidR="00582FDE" w:rsidRPr="007768F5" w:rsidRDefault="00582FDE" w:rsidP="007C19D5">
      <w:pPr>
        <w:spacing w:line="360" w:lineRule="auto"/>
        <w:jc w:val="both"/>
        <w:rPr>
          <w:rFonts w:ascii="Garamond" w:hAnsi="Garamond"/>
          <w:lang w:val="en-US"/>
        </w:rPr>
      </w:pPr>
      <w:bookmarkStart w:id="5" w:name="_Hlk61022695"/>
      <w:r w:rsidRPr="00DE1942">
        <w:rPr>
          <w:rFonts w:ascii="Garamond" w:hAnsi="Garamond"/>
          <w:lang w:val="en-US"/>
        </w:rPr>
        <w:t xml:space="preserve">This </w:t>
      </w:r>
      <w:r>
        <w:rPr>
          <w:rFonts w:ascii="Garamond" w:hAnsi="Garamond"/>
          <w:lang w:val="en-US"/>
        </w:rPr>
        <w:t>essay</w:t>
      </w:r>
      <w:r w:rsidRPr="00DE1942">
        <w:rPr>
          <w:rFonts w:ascii="Garamond" w:hAnsi="Garamond"/>
          <w:lang w:val="en-US"/>
        </w:rPr>
        <w:t xml:space="preserve"> critically discusses the church of Santa Maria, designed by Álvaro Siza, in Marco de Canaveses (Portugal), </w:t>
      </w:r>
      <w:r>
        <w:rPr>
          <w:rFonts w:ascii="Garamond" w:hAnsi="Garamond"/>
          <w:lang w:val="en-US"/>
        </w:rPr>
        <w:t>as a constructed sacred space</w:t>
      </w:r>
      <w:r w:rsidRPr="00DE1942">
        <w:rPr>
          <w:rFonts w:ascii="Garamond" w:hAnsi="Garamond"/>
          <w:lang w:val="en-US"/>
        </w:rPr>
        <w:t xml:space="preserve">. The </w:t>
      </w:r>
      <w:r>
        <w:rPr>
          <w:rFonts w:ascii="Garamond" w:hAnsi="Garamond"/>
          <w:lang w:val="en-US"/>
        </w:rPr>
        <w:t xml:space="preserve">way by which the </w:t>
      </w:r>
      <w:r w:rsidRPr="00DE1942">
        <w:rPr>
          <w:rFonts w:ascii="Garamond" w:hAnsi="Garamond"/>
          <w:lang w:val="en-US"/>
        </w:rPr>
        <w:t xml:space="preserve">architect </w:t>
      </w:r>
      <w:r>
        <w:rPr>
          <w:rFonts w:ascii="Garamond" w:hAnsi="Garamond"/>
          <w:lang w:val="en-US"/>
        </w:rPr>
        <w:t>bestowed</w:t>
      </w:r>
      <w:r w:rsidRPr="00DE1942">
        <w:rPr>
          <w:rFonts w:ascii="Garamond" w:hAnsi="Garamond"/>
          <w:lang w:val="en-US"/>
        </w:rPr>
        <w:t xml:space="preserve"> sacredness to the </w:t>
      </w:r>
      <w:r>
        <w:rPr>
          <w:rFonts w:ascii="Garamond" w:hAnsi="Garamond"/>
          <w:lang w:val="en-US"/>
        </w:rPr>
        <w:t>structure</w:t>
      </w:r>
      <w:r w:rsidRPr="00DE1942">
        <w:rPr>
          <w:rFonts w:ascii="Garamond" w:hAnsi="Garamond"/>
          <w:lang w:val="en-US"/>
        </w:rPr>
        <w:t xml:space="preserve"> </w:t>
      </w:r>
      <w:r>
        <w:rPr>
          <w:rFonts w:ascii="Garamond" w:hAnsi="Garamond"/>
          <w:lang w:val="en-US"/>
        </w:rPr>
        <w:t>is studied t</w:t>
      </w:r>
      <w:r w:rsidRPr="00DE1942">
        <w:rPr>
          <w:rFonts w:ascii="Garamond" w:hAnsi="Garamond"/>
          <w:lang w:val="en-US"/>
        </w:rPr>
        <w:t xml:space="preserve">hrough the phenomenological approach, </w:t>
      </w:r>
      <w:bookmarkEnd w:id="5"/>
      <w:r w:rsidRPr="00DE1942">
        <w:rPr>
          <w:rFonts w:ascii="Garamond" w:hAnsi="Garamond"/>
          <w:lang w:val="en-US"/>
        </w:rPr>
        <w:t>and the aspects felt most impact</w:t>
      </w:r>
      <w:r>
        <w:rPr>
          <w:rFonts w:ascii="Garamond" w:hAnsi="Garamond"/>
          <w:lang w:val="en-US"/>
        </w:rPr>
        <w:t xml:space="preserve">ing are </w:t>
      </w:r>
      <w:r w:rsidRPr="002B2C94">
        <w:rPr>
          <w:rFonts w:ascii="Garamond" w:hAnsi="Garamond"/>
          <w:lang w:val="en-US"/>
        </w:rPr>
        <w:t>highlighted</w:t>
      </w:r>
      <w:r w:rsidRPr="00DE1942">
        <w:rPr>
          <w:rFonts w:ascii="Garamond" w:hAnsi="Garamond"/>
          <w:lang w:val="en-US"/>
        </w:rPr>
        <w:t xml:space="preserve">. Although the vision is personal, the discussion is </w:t>
      </w:r>
      <w:r>
        <w:rPr>
          <w:rFonts w:ascii="Garamond" w:hAnsi="Garamond"/>
          <w:lang w:val="en-US"/>
        </w:rPr>
        <w:t>grounded</w:t>
      </w:r>
      <w:r w:rsidRPr="00DE1942">
        <w:rPr>
          <w:rFonts w:ascii="Garamond" w:hAnsi="Garamond"/>
          <w:lang w:val="en-US"/>
        </w:rPr>
        <w:t xml:space="preserve"> </w:t>
      </w:r>
      <w:r>
        <w:rPr>
          <w:rFonts w:ascii="Garamond" w:hAnsi="Garamond"/>
          <w:lang w:val="en-US"/>
        </w:rPr>
        <w:t>on</w:t>
      </w:r>
      <w:r w:rsidRPr="00DE1942">
        <w:rPr>
          <w:rFonts w:ascii="Garamond" w:hAnsi="Garamond"/>
          <w:lang w:val="en-US"/>
        </w:rPr>
        <w:t xml:space="preserve"> a diverse </w:t>
      </w:r>
      <w:r>
        <w:rPr>
          <w:rFonts w:ascii="Garamond" w:hAnsi="Garamond"/>
          <w:lang w:val="en-US"/>
        </w:rPr>
        <w:t>literature</w:t>
      </w:r>
      <w:r w:rsidRPr="00DE1942">
        <w:rPr>
          <w:rFonts w:ascii="Garamond" w:hAnsi="Garamond"/>
          <w:lang w:val="en-US"/>
        </w:rPr>
        <w:t xml:space="preserve"> review, wheth</w:t>
      </w:r>
      <w:r w:rsidRPr="007768F5">
        <w:rPr>
          <w:rFonts w:ascii="Garamond" w:hAnsi="Garamond"/>
          <w:lang w:val="en-US"/>
        </w:rPr>
        <w:t>er of a more general scope, to define the notion of sacred/sacred space, or particular, to support the specific arguments of its interpretation within the case study. The building, the architect’s writings and interviews are the primary sources of the investigation.</w:t>
      </w:r>
    </w:p>
    <w:p w:rsidR="00582FDE" w:rsidRPr="007768F5" w:rsidRDefault="00582FDE" w:rsidP="007C19D5">
      <w:pPr>
        <w:spacing w:line="360" w:lineRule="auto"/>
        <w:jc w:val="both"/>
        <w:rPr>
          <w:rFonts w:ascii="Garamond" w:hAnsi="Garamond"/>
          <w:lang w:val="en-US"/>
        </w:rPr>
      </w:pPr>
    </w:p>
    <w:p w:rsidR="00582FDE" w:rsidRPr="007768F5" w:rsidRDefault="00582FDE" w:rsidP="007C19D5">
      <w:pPr>
        <w:spacing w:line="360" w:lineRule="auto"/>
        <w:jc w:val="both"/>
        <w:rPr>
          <w:rFonts w:ascii="Garamond" w:hAnsi="Garamond"/>
          <w:b/>
          <w:bCs/>
          <w:sz w:val="28"/>
          <w:szCs w:val="28"/>
          <w:lang w:val="en-US"/>
        </w:rPr>
      </w:pPr>
      <w:r w:rsidRPr="007768F5">
        <w:rPr>
          <w:rFonts w:ascii="Garamond" w:hAnsi="Garamond"/>
          <w:b/>
          <w:bCs/>
          <w:sz w:val="28"/>
          <w:szCs w:val="28"/>
          <w:lang w:val="en-US"/>
        </w:rPr>
        <w:t>THE SACRED</w:t>
      </w:r>
    </w:p>
    <w:p w:rsidR="00582FDE" w:rsidRPr="007768F5" w:rsidRDefault="00582FDE" w:rsidP="007C19D5">
      <w:pPr>
        <w:spacing w:line="360" w:lineRule="auto"/>
        <w:jc w:val="both"/>
        <w:rPr>
          <w:rFonts w:ascii="Garamond" w:hAnsi="Garamond"/>
          <w:lang w:val="en-US"/>
        </w:rPr>
      </w:pPr>
      <w:r w:rsidRPr="007768F5">
        <w:rPr>
          <w:rFonts w:ascii="Garamond" w:hAnsi="Garamond"/>
          <w:lang w:val="en-US"/>
        </w:rPr>
        <w:t xml:space="preserve">The notion of the </w:t>
      </w:r>
      <w:r w:rsidRPr="007768F5">
        <w:rPr>
          <w:rFonts w:ascii="Garamond" w:hAnsi="Garamond"/>
          <w:i/>
          <w:iCs/>
          <w:lang w:val="en-US"/>
        </w:rPr>
        <w:t>sacred</w:t>
      </w:r>
      <w:r w:rsidRPr="007768F5">
        <w:rPr>
          <w:rFonts w:ascii="Garamond" w:hAnsi="Garamond"/>
          <w:lang w:val="en-US"/>
        </w:rPr>
        <w:t xml:space="preserve"> as a ‘religious experience’ has Rudolf Otto as its first theoretician, as stated by Mircea Eliade in the introduction to </w:t>
      </w:r>
      <w:r w:rsidRPr="007768F5">
        <w:rPr>
          <w:rFonts w:ascii="Garamond" w:hAnsi="Garamond"/>
          <w:i/>
          <w:iCs/>
          <w:lang w:val="en-US"/>
        </w:rPr>
        <w:t>The Sacred and the Profane</w:t>
      </w:r>
      <w:r w:rsidRPr="007768F5">
        <w:rPr>
          <w:rFonts w:ascii="Garamond" w:hAnsi="Garamond"/>
          <w:lang w:val="en-US"/>
        </w:rPr>
        <w:t>.</w:t>
      </w:r>
      <w:r w:rsidR="00020A3A" w:rsidRPr="007768F5">
        <w:rPr>
          <w:rStyle w:val="Refdenotaderodap"/>
          <w:rFonts w:ascii="Garamond" w:hAnsi="Garamond"/>
          <w:lang w:val="en-US"/>
        </w:rPr>
        <w:footnoteReference w:id="1"/>
      </w:r>
      <w:r w:rsidRPr="007768F5">
        <w:rPr>
          <w:rFonts w:ascii="Garamond" w:hAnsi="Garamond"/>
          <w:lang w:val="en-US"/>
        </w:rPr>
        <w:t xml:space="preserve"> However, in </w:t>
      </w:r>
      <w:r w:rsidRPr="007768F5">
        <w:rPr>
          <w:rFonts w:ascii="Garamond" w:hAnsi="Garamond"/>
          <w:i/>
          <w:iCs/>
          <w:lang w:val="en-US"/>
        </w:rPr>
        <w:t>The Idea of the Holy</w:t>
      </w:r>
      <w:r w:rsidRPr="007768F5">
        <w:rPr>
          <w:rFonts w:ascii="Garamond" w:hAnsi="Garamond"/>
          <w:lang w:val="en-US"/>
        </w:rPr>
        <w:t>, translated from the 1917’s German original, Otto uses the word numinous to define that experience, considering the term ‘sacred’ had become trivialized as ‘a category of interpretation and valuation’, losing its irrational counterpart which is essential to the religious context.</w:t>
      </w:r>
      <w:r w:rsidRPr="007768F5">
        <w:rPr>
          <w:rStyle w:val="Refdenotaderodap"/>
          <w:rFonts w:ascii="Garamond" w:hAnsi="Garamond"/>
          <w:lang w:val="en-US"/>
        </w:rPr>
        <w:footnoteReference w:id="2"/>
      </w:r>
      <w:r w:rsidRPr="007768F5">
        <w:rPr>
          <w:rFonts w:ascii="Garamond" w:hAnsi="Garamond"/>
          <w:lang w:val="en-US"/>
        </w:rPr>
        <w:t xml:space="preserve"> This irrational/non-rational is the ‘hidden depth, inaccessible to our conceptual thought’ that lies beneath the ‘sphere of clarity and lucidity’ (the rational).</w:t>
      </w:r>
      <w:r w:rsidRPr="007768F5">
        <w:rPr>
          <w:rStyle w:val="Refdenotaderodap"/>
          <w:rFonts w:ascii="Garamond" w:hAnsi="Garamond"/>
          <w:lang w:val="en-US"/>
        </w:rPr>
        <w:footnoteReference w:id="3"/>
      </w:r>
      <w:r w:rsidRPr="007768F5">
        <w:rPr>
          <w:rFonts w:ascii="Garamond" w:hAnsi="Garamond"/>
          <w:lang w:val="en-US"/>
        </w:rPr>
        <w:t xml:space="preserve"> For Otto, numinous is a category that uses the rationality of language – concepts – which is necessary for the understanding and synthetic communication of the religious experience’s attributes, </w:t>
      </w:r>
      <w:r w:rsidR="002B2C94" w:rsidRPr="007768F5">
        <w:rPr>
          <w:rFonts w:ascii="Garamond" w:hAnsi="Garamond"/>
          <w:lang w:val="en-US"/>
        </w:rPr>
        <w:t>but is not exhausted in it</w:t>
      </w:r>
      <w:r w:rsidRPr="007768F5">
        <w:rPr>
          <w:rFonts w:ascii="Garamond" w:hAnsi="Garamond"/>
          <w:lang w:val="en-US"/>
        </w:rPr>
        <w:t>.</w:t>
      </w:r>
      <w:r w:rsidRPr="007768F5">
        <w:rPr>
          <w:rStyle w:val="Refdenotaderodap"/>
          <w:rFonts w:ascii="Garamond" w:hAnsi="Garamond"/>
          <w:lang w:val="en-US"/>
        </w:rPr>
        <w:footnoteReference w:id="4"/>
      </w:r>
      <w:r w:rsidRPr="007768F5">
        <w:rPr>
          <w:rFonts w:ascii="Garamond" w:hAnsi="Garamond"/>
          <w:lang w:val="en-US"/>
        </w:rPr>
        <w:t xml:space="preserve"> The essence to the numinous is a certain feeling that ‘cannot be “taught”, it must be “awakened” from the spirit (…), can only be induced, incited, and aroused’.</w:t>
      </w:r>
      <w:r w:rsidRPr="007768F5">
        <w:rPr>
          <w:rStyle w:val="Refdenotaderodap"/>
          <w:rFonts w:ascii="Garamond" w:hAnsi="Garamond"/>
          <w:lang w:val="en-US"/>
        </w:rPr>
        <w:footnoteReference w:id="5"/>
      </w:r>
      <w:r w:rsidRPr="007768F5">
        <w:rPr>
          <w:rFonts w:ascii="Garamond" w:hAnsi="Garamond"/>
          <w:lang w:val="en-US"/>
        </w:rPr>
        <w:t xml:space="preserve"> The numinous condenses both rational and irrational and the features that fundamentally signify it are </w:t>
      </w:r>
      <w:r w:rsidRPr="007768F5">
        <w:rPr>
          <w:rFonts w:ascii="Garamond" w:hAnsi="Garamond"/>
          <w:i/>
          <w:iCs/>
          <w:lang w:val="en-US"/>
        </w:rPr>
        <w:t>mysterium tremendum</w:t>
      </w:r>
      <w:r w:rsidRPr="007768F5">
        <w:rPr>
          <w:rFonts w:ascii="Garamond" w:hAnsi="Garamond"/>
          <w:lang w:val="en-US"/>
        </w:rPr>
        <w:t xml:space="preserve">, </w:t>
      </w:r>
      <w:r w:rsidRPr="007768F5">
        <w:rPr>
          <w:rFonts w:ascii="Garamond" w:hAnsi="Garamond"/>
          <w:i/>
          <w:iCs/>
          <w:lang w:val="en-US"/>
        </w:rPr>
        <w:t>maiestas</w:t>
      </w:r>
      <w:r w:rsidRPr="007768F5">
        <w:rPr>
          <w:rFonts w:ascii="Garamond" w:hAnsi="Garamond"/>
          <w:lang w:val="en-US"/>
        </w:rPr>
        <w:t xml:space="preserve"> and </w:t>
      </w:r>
      <w:r w:rsidRPr="007768F5">
        <w:rPr>
          <w:rFonts w:ascii="Garamond" w:hAnsi="Garamond"/>
          <w:i/>
          <w:iCs/>
          <w:lang w:val="en-US"/>
        </w:rPr>
        <w:t>fascinans</w:t>
      </w:r>
      <w:r w:rsidRPr="007768F5">
        <w:rPr>
          <w:rFonts w:ascii="Garamond" w:hAnsi="Garamond"/>
          <w:lang w:val="en-US"/>
        </w:rPr>
        <w:t xml:space="preserve"> – fear, awe and love – as John W. Harvey synthetically puts it in his translator’s preface.</w:t>
      </w:r>
      <w:r w:rsidRPr="007768F5">
        <w:rPr>
          <w:rStyle w:val="Refdenotaderodap"/>
          <w:rFonts w:ascii="Garamond" w:hAnsi="Garamond"/>
          <w:lang w:val="en-US"/>
        </w:rPr>
        <w:footnoteReference w:id="6"/>
      </w:r>
    </w:p>
    <w:p w:rsidR="00582FDE" w:rsidRPr="007768F5" w:rsidRDefault="00582FDE" w:rsidP="007C19D5">
      <w:pPr>
        <w:spacing w:line="360" w:lineRule="auto"/>
        <w:jc w:val="both"/>
        <w:rPr>
          <w:rFonts w:ascii="Garamond" w:hAnsi="Garamond"/>
          <w:lang w:val="en-US"/>
        </w:rPr>
      </w:pPr>
      <w:r w:rsidRPr="007768F5">
        <w:rPr>
          <w:rFonts w:ascii="Garamond" w:hAnsi="Garamond"/>
          <w:lang w:val="en-US"/>
        </w:rPr>
        <w:t>Two other authors contribute to the discussion by bringing complementary understandings about the sacred. On the one hand, the aforementioned Eliade, who, referring to Otto's numinous, focuses on the opposition between the religious (or sacred) and profane experiences of the world, considering its specific dimensions.</w:t>
      </w:r>
      <w:r w:rsidRPr="007768F5">
        <w:rPr>
          <w:rStyle w:val="Refdenotaderodap"/>
          <w:rFonts w:ascii="Garamond" w:hAnsi="Garamond"/>
          <w:lang w:val="en-US"/>
        </w:rPr>
        <w:footnoteReference w:id="7"/>
      </w:r>
      <w:r w:rsidRPr="007768F5">
        <w:rPr>
          <w:rFonts w:ascii="Garamond" w:hAnsi="Garamond"/>
          <w:lang w:val="en-US"/>
        </w:rPr>
        <w:t xml:space="preserve"> On the other hand, Émile Durkheim, Otto’s contemporary, who writes, in 1912, </w:t>
      </w:r>
      <w:r w:rsidRPr="007768F5">
        <w:rPr>
          <w:rFonts w:ascii="Garamond" w:hAnsi="Garamond"/>
          <w:i/>
          <w:iCs/>
          <w:lang w:val="en-US"/>
        </w:rPr>
        <w:t>Les Formes élémentaires de la vie religieuse</w:t>
      </w:r>
      <w:r w:rsidRPr="007768F5">
        <w:rPr>
          <w:rFonts w:ascii="Garamond" w:hAnsi="Garamond"/>
          <w:lang w:val="en-US"/>
        </w:rPr>
        <w:t xml:space="preserve">, conceiving his idea of the sacred as a social fact, extolling the rationality of a category in which ‘sacred things’ are those </w:t>
      </w:r>
      <w:r w:rsidR="002B2C94" w:rsidRPr="007768F5">
        <w:rPr>
          <w:rFonts w:ascii="Garamond" w:hAnsi="Garamond"/>
          <w:lang w:val="en-US"/>
        </w:rPr>
        <w:t>defined</w:t>
      </w:r>
      <w:r w:rsidRPr="007768F5">
        <w:rPr>
          <w:rFonts w:ascii="Garamond" w:hAnsi="Garamond"/>
          <w:lang w:val="en-US"/>
        </w:rPr>
        <w:t xml:space="preserve"> by society.</w:t>
      </w:r>
    </w:p>
    <w:p w:rsidR="00582FDE" w:rsidRPr="007768F5" w:rsidRDefault="00582FDE" w:rsidP="007C19D5">
      <w:pPr>
        <w:spacing w:line="360" w:lineRule="auto"/>
        <w:jc w:val="both"/>
        <w:rPr>
          <w:rFonts w:ascii="Garamond" w:hAnsi="Garamond"/>
          <w:lang w:val="en-US"/>
        </w:rPr>
      </w:pPr>
      <w:r w:rsidRPr="007768F5">
        <w:rPr>
          <w:rFonts w:ascii="Garamond" w:hAnsi="Garamond"/>
          <w:sz w:val="22"/>
          <w:szCs w:val="22"/>
          <w:lang w:val="en-US"/>
        </w:rPr>
        <w:lastRenderedPageBreak/>
        <w:t>In fact, f</w:t>
      </w:r>
      <w:r w:rsidRPr="007768F5">
        <w:rPr>
          <w:rFonts w:ascii="Garamond" w:hAnsi="Garamond"/>
          <w:lang w:val="en-US"/>
        </w:rPr>
        <w:t>or Durkheim ‘sacred’ is what, in the context of a religion – both ‘a unified system of beliefs and practices’ and ‘an eminently social thing’ –, is valued differently from the profane.</w:t>
      </w:r>
      <w:r w:rsidRPr="007768F5">
        <w:rPr>
          <w:rStyle w:val="Refdenotaderodap"/>
          <w:rFonts w:ascii="Garamond" w:hAnsi="Garamond"/>
          <w:lang w:val="pt-PT"/>
        </w:rPr>
        <w:footnoteReference w:id="8"/>
      </w:r>
      <w:r w:rsidRPr="007768F5">
        <w:rPr>
          <w:rStyle w:val="Refdenotaderodap"/>
          <w:rFonts w:ascii="Garamond" w:hAnsi="Garamond"/>
          <w:lang w:val="en-US"/>
        </w:rPr>
        <w:t xml:space="preserve"> </w:t>
      </w:r>
      <w:r w:rsidRPr="007768F5">
        <w:rPr>
          <w:rFonts w:ascii="Garamond" w:hAnsi="Garamond"/>
          <w:lang w:val="en-US"/>
        </w:rPr>
        <w:t>It is defined in and through a relationship of opposition, and simultaneously exclusion, i.e., distinct natures as they have nothing in common.</w:t>
      </w:r>
      <w:r w:rsidRPr="007768F5">
        <w:rPr>
          <w:rStyle w:val="Refdenotaderodap"/>
          <w:rFonts w:ascii="Garamond" w:hAnsi="Garamond"/>
          <w:lang w:val="pt-PT"/>
        </w:rPr>
        <w:footnoteReference w:id="9"/>
      </w:r>
      <w:r w:rsidRPr="007768F5">
        <w:rPr>
          <w:rFonts w:ascii="Garamond" w:hAnsi="Garamond"/>
          <w:lang w:val="en-US"/>
        </w:rPr>
        <w:t xml:space="preserve"> Sacredness is not however, according to Karen Fields, ‘a quality inherent in certain objects, nor is it available to the unaided senses of just any individual human observer’.</w:t>
      </w:r>
      <w:r w:rsidRPr="007768F5">
        <w:rPr>
          <w:rStyle w:val="Refdenotaderodap"/>
          <w:rFonts w:ascii="Garamond" w:hAnsi="Garamond"/>
          <w:lang w:val="en-US"/>
        </w:rPr>
        <w:footnoteReference w:id="10"/>
      </w:r>
      <w:r w:rsidRPr="007768F5">
        <w:rPr>
          <w:rFonts w:ascii="Garamond" w:hAnsi="Garamond"/>
          <w:lang w:val="en-US"/>
        </w:rPr>
        <w:t xml:space="preserve"> It is, in fact, a value added to profane and, as consequence, the sacred detaches from it – becomes, in the words of Durkheim, ‘set apart and forbidden’.</w:t>
      </w:r>
      <w:r w:rsidRPr="007768F5">
        <w:rPr>
          <w:rStyle w:val="Refdenotaderodap"/>
          <w:rFonts w:ascii="Garamond" w:hAnsi="Garamond"/>
          <w:lang w:val="pt-PT"/>
        </w:rPr>
        <w:footnoteReference w:id="11"/>
      </w:r>
      <w:r w:rsidRPr="007768F5">
        <w:rPr>
          <w:rFonts w:ascii="Garamond" w:hAnsi="Garamond"/>
          <w:lang w:val="en-US"/>
        </w:rPr>
        <w:t xml:space="preserve"> For him, the sacred results from idealization, a ‘thing’ that superimposes ‘the real world where profane life is lived’ and ‘to which he [the man] ascribes a higher kind of dignity’.</w:t>
      </w:r>
      <w:r w:rsidRPr="007768F5">
        <w:rPr>
          <w:rStyle w:val="Refdenotaderodap"/>
          <w:rFonts w:ascii="Garamond" w:hAnsi="Garamond"/>
          <w:lang w:val="en-US"/>
        </w:rPr>
        <w:footnoteReference w:id="12"/>
      </w:r>
      <w:r w:rsidRPr="007768F5">
        <w:rPr>
          <w:rFonts w:ascii="Garamond" w:hAnsi="Garamond"/>
          <w:lang w:val="en-US"/>
        </w:rPr>
        <w:t xml:space="preserve"> There is thus no ontological significance to it.</w:t>
      </w:r>
      <w:r w:rsidRPr="007768F5">
        <w:rPr>
          <w:rStyle w:val="Refdenotaderodap"/>
          <w:rFonts w:ascii="Garamond" w:hAnsi="Garamond"/>
          <w:lang w:val="en-US"/>
        </w:rPr>
        <w:footnoteReference w:id="13"/>
      </w:r>
      <w:r w:rsidRPr="007768F5">
        <w:rPr>
          <w:rFonts w:ascii="Garamond" w:hAnsi="Garamond"/>
          <w:lang w:val="en-US"/>
        </w:rPr>
        <w:t xml:space="preserve"> It is society that decides to what ascribe sacredness, making it therefore, as Karen Fields remarks, ‘inherently impermanent’, in need of continuous resumption, as sacredness ‘remains only so long as groups continue to do this [rituals]’.</w:t>
      </w:r>
      <w:r w:rsidRPr="007768F5">
        <w:rPr>
          <w:rStyle w:val="Refdenotaderodap"/>
          <w:rFonts w:ascii="Garamond" w:hAnsi="Garamond"/>
          <w:lang w:val="en-US"/>
        </w:rPr>
        <w:footnoteReference w:id="14"/>
      </w:r>
    </w:p>
    <w:p w:rsidR="00582FDE" w:rsidRPr="00273426" w:rsidRDefault="00582FDE" w:rsidP="007C19D5">
      <w:pPr>
        <w:spacing w:line="360" w:lineRule="auto"/>
        <w:jc w:val="both"/>
        <w:rPr>
          <w:rFonts w:ascii="Garamond" w:hAnsi="Garamond"/>
          <w:lang w:val="en-US"/>
        </w:rPr>
      </w:pPr>
      <w:r w:rsidRPr="007768F5">
        <w:rPr>
          <w:rFonts w:ascii="Garamond" w:hAnsi="Garamond"/>
          <w:lang w:val="en-US"/>
        </w:rPr>
        <w:t xml:space="preserve">For Eliade, contrarily, the ‘sacred’ originates from a strict understanding of religion as explained by a hierophany – ‘the act of </w:t>
      </w:r>
      <w:r w:rsidRPr="007768F5">
        <w:rPr>
          <w:rFonts w:ascii="Garamond" w:hAnsi="Garamond"/>
          <w:i/>
          <w:iCs/>
          <w:lang w:val="en-US"/>
        </w:rPr>
        <w:t>manifestatum</w:t>
      </w:r>
      <w:r w:rsidRPr="007768F5">
        <w:rPr>
          <w:rFonts w:ascii="Garamond" w:hAnsi="Garamond"/>
          <w:lang w:val="en-US"/>
        </w:rPr>
        <w:t xml:space="preserve"> of the sacred’.</w:t>
      </w:r>
      <w:r w:rsidRPr="007768F5">
        <w:rPr>
          <w:rStyle w:val="Refdenotaderodap"/>
          <w:rFonts w:ascii="Garamond" w:hAnsi="Garamond"/>
          <w:lang w:val="en-US"/>
        </w:rPr>
        <w:footnoteReference w:id="15"/>
      </w:r>
      <w:r w:rsidRPr="007768F5">
        <w:rPr>
          <w:rFonts w:ascii="Garamond" w:hAnsi="Garamond"/>
          <w:lang w:val="en-US"/>
        </w:rPr>
        <w:t xml:space="preserve"> It is an ontological view; a ‘divine irruption’, as Katie Day puts it, with which one is ‘confronted’, a ‘manifestation of something of a wholly different order, a reality that does not belong to our world, in objects that are an integral part of our Natural “profane” world’.</w:t>
      </w:r>
      <w:r w:rsidRPr="007768F5">
        <w:rPr>
          <w:rStyle w:val="Refdenotaderodap"/>
          <w:rFonts w:ascii="Garamond" w:hAnsi="Garamond"/>
          <w:lang w:val="en-US"/>
        </w:rPr>
        <w:footnoteReference w:id="16"/>
      </w:r>
      <w:r w:rsidRPr="007768F5">
        <w:rPr>
          <w:rFonts w:ascii="Garamond" w:hAnsi="Garamond"/>
          <w:lang w:val="en-US"/>
        </w:rPr>
        <w:t xml:space="preserve"> As such Eliade, like Durkheim, supports the qualitative partition of the world in two natures, but which he sees less as dependent on the objects as on ‘two modalities of experience – sacred and profane,’ i.e., ‘two modes of being in the world’.</w:t>
      </w:r>
      <w:r w:rsidRPr="007768F5">
        <w:rPr>
          <w:rStyle w:val="Refdenotaderodap"/>
          <w:rFonts w:ascii="Garamond" w:hAnsi="Garamond"/>
          <w:lang w:val="pt-PT"/>
        </w:rPr>
        <w:footnoteReference w:id="17"/>
      </w:r>
      <w:r w:rsidRPr="007768F5">
        <w:rPr>
          <w:rFonts w:ascii="Garamond" w:hAnsi="Garamond"/>
          <w:lang w:val="en-US"/>
        </w:rPr>
        <w:t xml:space="preserve"> Sacredness is emphasized as phenomenology, not as much as a social construct, even if the meaning of the religious apparatus, as Bryan Rennie cites, despite ‘it is not a creation of the mind’, still ‘is in the mind’.</w:t>
      </w:r>
      <w:r w:rsidRPr="007768F5">
        <w:rPr>
          <w:rStyle w:val="Refdenotaderodap"/>
          <w:rFonts w:ascii="Garamond" w:hAnsi="Garamond"/>
          <w:lang w:val="en-US"/>
        </w:rPr>
        <w:footnoteReference w:id="18"/>
      </w:r>
      <w:r w:rsidRPr="007768F5">
        <w:rPr>
          <w:rFonts w:ascii="Garamond" w:hAnsi="Garamond"/>
          <w:lang w:val="en-US"/>
        </w:rPr>
        <w:t xml:space="preserve"> Similarly to Durkheim, Eliade sees the manifestation of this sacred superimposing in the object’s nature an additional meaning that, paradoxically, ‘becomes </w:t>
      </w:r>
      <w:r w:rsidRPr="007768F5">
        <w:rPr>
          <w:rFonts w:ascii="Garamond" w:hAnsi="Garamond"/>
          <w:i/>
          <w:iCs/>
          <w:lang w:val="en-US"/>
        </w:rPr>
        <w:t>something else</w:t>
      </w:r>
      <w:r w:rsidRPr="007768F5">
        <w:rPr>
          <w:rFonts w:ascii="Garamond" w:hAnsi="Garamond"/>
          <w:lang w:val="en-US"/>
        </w:rPr>
        <w:t xml:space="preserve">’ and yet ‘remains </w:t>
      </w:r>
      <w:r w:rsidRPr="007768F5">
        <w:rPr>
          <w:rFonts w:ascii="Garamond" w:hAnsi="Garamond"/>
          <w:i/>
          <w:iCs/>
          <w:lang w:val="en-US"/>
        </w:rPr>
        <w:t>itself</w:t>
      </w:r>
      <w:r w:rsidRPr="007768F5">
        <w:rPr>
          <w:rFonts w:ascii="Garamond" w:hAnsi="Garamond"/>
          <w:lang w:val="en-US"/>
        </w:rPr>
        <w:t>’.</w:t>
      </w:r>
      <w:r w:rsidRPr="007768F5">
        <w:rPr>
          <w:rStyle w:val="Refdenotaderodap"/>
          <w:rFonts w:ascii="Garamond" w:hAnsi="Garamond"/>
          <w:lang w:val="en-US"/>
        </w:rPr>
        <w:footnoteReference w:id="19"/>
      </w:r>
    </w:p>
    <w:p w:rsidR="00582FDE" w:rsidRPr="00B66060" w:rsidRDefault="00582FDE" w:rsidP="007C19D5">
      <w:pPr>
        <w:spacing w:line="360" w:lineRule="auto"/>
        <w:jc w:val="both"/>
        <w:rPr>
          <w:rFonts w:ascii="Garamond" w:hAnsi="Garamond"/>
          <w:sz w:val="22"/>
          <w:szCs w:val="22"/>
          <w:lang w:val="en-US"/>
        </w:rPr>
      </w:pPr>
    </w:p>
    <w:p w:rsidR="00582FDE" w:rsidRPr="00100944" w:rsidRDefault="00582FDE" w:rsidP="007C19D5">
      <w:pPr>
        <w:spacing w:line="360" w:lineRule="auto"/>
        <w:jc w:val="both"/>
        <w:rPr>
          <w:rFonts w:ascii="Garamond" w:hAnsi="Garamond"/>
          <w:sz w:val="22"/>
          <w:szCs w:val="22"/>
          <w:lang w:val="en-US"/>
        </w:rPr>
      </w:pPr>
      <w:r w:rsidRPr="00984F48">
        <w:rPr>
          <w:rFonts w:ascii="Garamond" w:hAnsi="Garamond"/>
          <w:b/>
          <w:bCs/>
          <w:sz w:val="28"/>
          <w:szCs w:val="28"/>
          <w:lang w:val="en-US"/>
        </w:rPr>
        <w:t xml:space="preserve">SACRED </w:t>
      </w:r>
      <w:r w:rsidRPr="00100944">
        <w:rPr>
          <w:rFonts w:ascii="Garamond" w:hAnsi="Garamond"/>
          <w:b/>
          <w:bCs/>
          <w:sz w:val="28"/>
          <w:szCs w:val="28"/>
          <w:lang w:val="en-US"/>
        </w:rPr>
        <w:t>SPACE</w:t>
      </w:r>
    </w:p>
    <w:p w:rsidR="00582FDE" w:rsidRPr="007768F5" w:rsidRDefault="00582FDE" w:rsidP="007C19D5">
      <w:pPr>
        <w:spacing w:line="360" w:lineRule="auto"/>
        <w:jc w:val="both"/>
        <w:rPr>
          <w:rFonts w:ascii="Garamond" w:hAnsi="Garamond"/>
          <w:lang w:val="en-US"/>
        </w:rPr>
      </w:pPr>
      <w:r w:rsidRPr="008B0739">
        <w:rPr>
          <w:rFonts w:ascii="Garamond" w:hAnsi="Garamond"/>
          <w:lang w:val="en-US"/>
        </w:rPr>
        <w:t xml:space="preserve">Eliade </w:t>
      </w:r>
      <w:r>
        <w:rPr>
          <w:rFonts w:ascii="Garamond" w:hAnsi="Garamond"/>
          <w:lang w:val="en-US"/>
        </w:rPr>
        <w:t xml:space="preserve">is the </w:t>
      </w:r>
      <w:r w:rsidRPr="008B0739">
        <w:rPr>
          <w:rFonts w:ascii="Garamond" w:hAnsi="Garamond"/>
          <w:lang w:val="en-US"/>
        </w:rPr>
        <w:t xml:space="preserve">only one of the previous authors </w:t>
      </w:r>
      <w:r>
        <w:rPr>
          <w:rFonts w:ascii="Garamond" w:hAnsi="Garamond"/>
          <w:lang w:val="en-US"/>
        </w:rPr>
        <w:t>that</w:t>
      </w:r>
      <w:r w:rsidRPr="008B0739">
        <w:rPr>
          <w:rFonts w:ascii="Garamond" w:hAnsi="Garamond"/>
          <w:lang w:val="en-US"/>
        </w:rPr>
        <w:t xml:space="preserve"> undertakes space as structurally central to his discussion</w:t>
      </w:r>
      <w:r>
        <w:rPr>
          <w:rFonts w:ascii="Garamond" w:hAnsi="Garamond"/>
          <w:lang w:val="en-US"/>
        </w:rPr>
        <w:t xml:space="preserve"> and thus the only voice in this section</w:t>
      </w:r>
      <w:r w:rsidRPr="008B0739">
        <w:rPr>
          <w:rFonts w:ascii="Garamond" w:hAnsi="Garamond"/>
          <w:lang w:val="en-US"/>
        </w:rPr>
        <w:t>.</w:t>
      </w:r>
      <w:r>
        <w:rPr>
          <w:rFonts w:ascii="Garamond" w:hAnsi="Garamond"/>
          <w:lang w:val="en-US"/>
        </w:rPr>
        <w:t xml:space="preserve"> To him,</w:t>
      </w:r>
      <w:r w:rsidRPr="008B0739">
        <w:rPr>
          <w:rFonts w:ascii="Garamond" w:hAnsi="Garamond"/>
          <w:lang w:val="en-US"/>
        </w:rPr>
        <w:t xml:space="preserve"> </w:t>
      </w:r>
      <w:r>
        <w:rPr>
          <w:rFonts w:ascii="Garamond" w:hAnsi="Garamond"/>
          <w:lang w:val="en-US"/>
        </w:rPr>
        <w:t>both ‘</w:t>
      </w:r>
      <w:r w:rsidRPr="008B0739">
        <w:rPr>
          <w:rFonts w:ascii="Garamond" w:hAnsi="Garamond"/>
          <w:lang w:val="en-US"/>
        </w:rPr>
        <w:t xml:space="preserve">modes of being, the profane and the </w:t>
      </w:r>
      <w:r w:rsidRPr="007768F5">
        <w:rPr>
          <w:rFonts w:ascii="Garamond" w:hAnsi="Garamond"/>
          <w:lang w:val="en-US"/>
        </w:rPr>
        <w:t>religious’, base themselves</w:t>
      </w:r>
      <w:r>
        <w:rPr>
          <w:rFonts w:ascii="Garamond" w:hAnsi="Garamond"/>
          <w:lang w:val="en-US"/>
        </w:rPr>
        <w:t xml:space="preserve"> </w:t>
      </w:r>
      <w:r w:rsidRPr="008B0739">
        <w:rPr>
          <w:rFonts w:ascii="Garamond" w:hAnsi="Garamond"/>
          <w:lang w:val="en-US"/>
        </w:rPr>
        <w:t xml:space="preserve">on a qualitatively distinct perception of space, which materializes a threshold, a </w:t>
      </w:r>
      <w:r w:rsidRPr="007768F5">
        <w:rPr>
          <w:rFonts w:ascii="Garamond" w:hAnsi="Garamond"/>
          <w:lang w:val="en-US"/>
        </w:rPr>
        <w:t xml:space="preserve">frontier, that separates cosmos from chaos, the known territory from the unknown, which are side by </w:t>
      </w:r>
      <w:r w:rsidRPr="007768F5">
        <w:rPr>
          <w:rFonts w:ascii="Garamond" w:hAnsi="Garamond"/>
          <w:lang w:val="en-US"/>
        </w:rPr>
        <w:lastRenderedPageBreak/>
        <w:t>side.</w:t>
      </w:r>
      <w:r w:rsidR="007768F5" w:rsidRPr="007768F5">
        <w:rPr>
          <w:rStyle w:val="Refdenotaderodap"/>
          <w:rFonts w:ascii="Garamond" w:hAnsi="Garamond"/>
          <w:lang w:val="en-US"/>
        </w:rPr>
        <w:footnoteReference w:id="20"/>
      </w:r>
      <w:r w:rsidRPr="007768F5">
        <w:rPr>
          <w:rFonts w:ascii="Garamond" w:hAnsi="Garamond"/>
          <w:lang w:val="en-US"/>
        </w:rPr>
        <w:t xml:space="preserve"> This materialization – ‘</w:t>
      </w:r>
      <w:r w:rsidRPr="007768F5">
        <w:rPr>
          <w:rFonts w:ascii="Garamond" w:hAnsi="Garamond"/>
          <w:i/>
          <w:iCs/>
          <w:lang w:val="en-US"/>
        </w:rPr>
        <w:t>construction</w:t>
      </w:r>
      <w:r w:rsidRPr="007768F5">
        <w:rPr>
          <w:rFonts w:ascii="Garamond" w:hAnsi="Garamond"/>
          <w:lang w:val="en-US"/>
        </w:rPr>
        <w:t xml:space="preserve"> of sacred space’ –, assures that not only that limit – which separates the worlds – becomes visible, as the protection and preservation of the borderline and the entrance into the sacred space.</w:t>
      </w:r>
      <w:r w:rsidRPr="007768F5">
        <w:rPr>
          <w:rStyle w:val="Refdenotaderodap"/>
          <w:rFonts w:ascii="Garamond" w:hAnsi="Garamond"/>
          <w:lang w:val="pt-PT"/>
        </w:rPr>
        <w:footnoteReference w:id="21"/>
      </w:r>
      <w:r w:rsidRPr="007768F5">
        <w:t xml:space="preserve"> </w:t>
      </w:r>
      <w:r w:rsidRPr="007768F5">
        <w:rPr>
          <w:rFonts w:ascii="Garamond" w:hAnsi="Garamond"/>
          <w:lang w:val="en-US"/>
        </w:rPr>
        <w:t>Developing this idea, he compares it to a ‘door’, whose opening (throughout a hierophany) makes the connection between profane and sacred</w:t>
      </w:r>
      <w:r w:rsidRPr="007768F5">
        <w:rPr>
          <w:rFonts w:ascii="Garamond" w:hAnsi="Garamond"/>
        </w:rPr>
        <w:t xml:space="preserve"> </w:t>
      </w:r>
      <w:r w:rsidRPr="007768F5">
        <w:rPr>
          <w:rFonts w:ascii="Garamond" w:hAnsi="Garamond"/>
          <w:lang w:val="en-US"/>
        </w:rPr>
        <w:t>worlds</w:t>
      </w:r>
      <w:r w:rsidRPr="007768F5">
        <w:rPr>
          <w:rFonts w:ascii="Garamond" w:hAnsi="Garamond"/>
        </w:rPr>
        <w:t>, a symbol and vehicle ‘of passage from the one space to the other’.</w:t>
      </w:r>
      <w:r w:rsidRPr="007768F5">
        <w:rPr>
          <w:rStyle w:val="Refdenotaderodap"/>
          <w:rFonts w:ascii="Garamond" w:hAnsi="Garamond"/>
          <w:lang w:val="pt-PT"/>
        </w:rPr>
        <w:footnoteReference w:id="22"/>
      </w:r>
      <w:r w:rsidRPr="007768F5">
        <w:rPr>
          <w:rFonts w:ascii="Garamond" w:hAnsi="Garamond"/>
        </w:rPr>
        <w:t xml:space="preserve"> </w:t>
      </w:r>
      <w:r w:rsidRPr="007768F5">
        <w:rPr>
          <w:rFonts w:ascii="Garamond" w:hAnsi="Garamond"/>
          <w:lang w:val="en-US"/>
        </w:rPr>
        <w:t xml:space="preserve">This idea of the passage sustains in the </w:t>
      </w:r>
      <w:r w:rsidRPr="007768F5">
        <w:rPr>
          <w:rFonts w:ascii="Garamond" w:hAnsi="Garamond"/>
          <w:i/>
          <w:iCs/>
          <w:lang w:val="en-US"/>
        </w:rPr>
        <w:t>axis mundi</w:t>
      </w:r>
      <w:r w:rsidRPr="007768F5">
        <w:rPr>
          <w:rFonts w:ascii="Garamond" w:hAnsi="Garamond"/>
          <w:lang w:val="en-US"/>
        </w:rPr>
        <w:t xml:space="preserve"> that symbolically links the three cosmic levels (earth, heaven, underworld). That axis embodies a synthesis of the cosmos, an </w:t>
      </w:r>
      <w:r w:rsidRPr="007768F5">
        <w:rPr>
          <w:rFonts w:ascii="Garamond" w:hAnsi="Garamond"/>
          <w:i/>
          <w:iCs/>
          <w:lang w:val="en-US"/>
        </w:rPr>
        <w:t>imago mundi</w:t>
      </w:r>
      <w:r w:rsidRPr="007768F5">
        <w:rPr>
          <w:rFonts w:ascii="Garamond" w:hAnsi="Garamond"/>
          <w:lang w:val="en-US"/>
        </w:rPr>
        <w:t xml:space="preserve">, on micro-meso-macro scales, and materializes the ‘center of the world’ – sacred space par excellence. The </w:t>
      </w:r>
      <w:r w:rsidRPr="007768F5">
        <w:rPr>
          <w:rFonts w:ascii="Garamond" w:hAnsi="Garamond"/>
          <w:i/>
          <w:iCs/>
          <w:lang w:val="en-US"/>
        </w:rPr>
        <w:t>homo religiosus</w:t>
      </w:r>
      <w:r w:rsidRPr="007768F5">
        <w:rPr>
          <w:rFonts w:ascii="Garamond" w:hAnsi="Garamond"/>
          <w:lang w:val="en-US"/>
        </w:rPr>
        <w:t xml:space="preserve"> acquires thus the ‘fixed point’ where he bases his world – individual and communal – on the various scales of the sacred space, and there he finds guidance.</w:t>
      </w:r>
      <w:r w:rsidRPr="007768F5">
        <w:rPr>
          <w:rStyle w:val="Refdenotaderodap"/>
          <w:rFonts w:ascii="Garamond" w:hAnsi="Garamond"/>
          <w:lang w:val="pt-PT"/>
        </w:rPr>
        <w:footnoteReference w:id="23"/>
      </w:r>
    </w:p>
    <w:p w:rsidR="00582FDE" w:rsidRPr="007768F5" w:rsidRDefault="00582FDE" w:rsidP="007C19D5">
      <w:pPr>
        <w:spacing w:line="360" w:lineRule="auto"/>
        <w:jc w:val="both"/>
        <w:rPr>
          <w:rFonts w:ascii="Garamond" w:hAnsi="Garamond"/>
          <w:lang w:val="en-US"/>
        </w:rPr>
      </w:pPr>
    </w:p>
    <w:p w:rsidR="00582FDE" w:rsidRPr="007768F5" w:rsidRDefault="00582FDE" w:rsidP="007C19D5">
      <w:pPr>
        <w:spacing w:line="360" w:lineRule="auto"/>
        <w:jc w:val="both"/>
        <w:rPr>
          <w:rFonts w:ascii="Garamond" w:hAnsi="Garamond"/>
          <w:b/>
          <w:bCs/>
          <w:sz w:val="28"/>
          <w:szCs w:val="28"/>
          <w:lang w:val="en-US"/>
        </w:rPr>
      </w:pPr>
      <w:r w:rsidRPr="007768F5">
        <w:rPr>
          <w:rFonts w:ascii="Garamond" w:hAnsi="Garamond"/>
          <w:b/>
          <w:bCs/>
          <w:sz w:val="28"/>
          <w:szCs w:val="28"/>
          <w:lang w:val="en-US"/>
        </w:rPr>
        <w:t>METHODOLOGY</w:t>
      </w:r>
    </w:p>
    <w:p w:rsidR="00582FDE" w:rsidRPr="007768F5" w:rsidRDefault="00582FDE" w:rsidP="007C19D5">
      <w:pPr>
        <w:spacing w:line="360" w:lineRule="auto"/>
        <w:jc w:val="both"/>
        <w:rPr>
          <w:rFonts w:ascii="Garamond" w:hAnsi="Garamond"/>
          <w:lang w:val="en-US"/>
        </w:rPr>
      </w:pPr>
      <w:r w:rsidRPr="007768F5">
        <w:rPr>
          <w:rFonts w:ascii="Garamond" w:hAnsi="Garamond"/>
          <w:lang w:val="en-US"/>
        </w:rPr>
        <w:t>The research methodology will be essentially twofold: literary-based and experience-based</w:t>
      </w:r>
      <w:r w:rsidR="002B2C94" w:rsidRPr="007768F5">
        <w:rPr>
          <w:rFonts w:ascii="Garamond" w:hAnsi="Garamond"/>
          <w:lang w:val="en-US"/>
        </w:rPr>
        <w:t xml:space="preserve"> (</w:t>
      </w:r>
      <w:r w:rsidRPr="007768F5">
        <w:rPr>
          <w:rFonts w:ascii="Garamond" w:hAnsi="Garamond"/>
          <w:lang w:val="en-US"/>
        </w:rPr>
        <w:t>field-work</w:t>
      </w:r>
      <w:r w:rsidR="002B2C94" w:rsidRPr="007768F5">
        <w:rPr>
          <w:rFonts w:ascii="Garamond" w:hAnsi="Garamond"/>
          <w:lang w:val="en-US"/>
        </w:rPr>
        <w:t>)</w:t>
      </w:r>
      <w:r w:rsidRPr="007768F5">
        <w:rPr>
          <w:rFonts w:ascii="Garamond" w:hAnsi="Garamond"/>
          <w:lang w:val="en-US"/>
        </w:rPr>
        <w:t>. On the one hand, it will be mostly supported by literature review, namely regarding the above discussion on the notion of the sacred within which the concept of sacred space is subsequently framed. It also supports the specific research on the topic – the sacred character of the building as bestowed by Álvaro Siza – regarding both the intents and perceptions of the church’s designer through his writings and interviews, and how some other architects, historians of architecture and academics interpret it. Nevertheless, as Siza does not explain his work through this perspective, some general theory had to be brought in order to show how sacredness has been imbued in his work, more deeply than it seems, or that it seemed to me in the first place. Some part of the study, th</w:t>
      </w:r>
      <w:r w:rsidR="002B2C94" w:rsidRPr="007768F5">
        <w:rPr>
          <w:rFonts w:ascii="Garamond" w:hAnsi="Garamond"/>
          <w:lang w:val="en-US"/>
        </w:rPr>
        <w:t>us,</w:t>
      </w:r>
      <w:r w:rsidRPr="007768F5">
        <w:rPr>
          <w:rFonts w:ascii="Garamond" w:hAnsi="Garamond"/>
          <w:lang w:val="en-US"/>
        </w:rPr>
        <w:t xml:space="preserve"> stems from personal impressions, resulting from visiting the space in November and December </w:t>
      </w:r>
      <w:r w:rsidR="002B2C94" w:rsidRPr="007768F5">
        <w:rPr>
          <w:rFonts w:ascii="Garamond" w:hAnsi="Garamond"/>
          <w:lang w:val="en-US"/>
        </w:rPr>
        <w:t xml:space="preserve">of </w:t>
      </w:r>
      <w:r w:rsidRPr="007768F5">
        <w:rPr>
          <w:rFonts w:ascii="Garamond" w:hAnsi="Garamond"/>
          <w:lang w:val="en-US"/>
        </w:rPr>
        <w:t>2020. These visits lead to the selection of the building’s features that are discussed below in further detail.</w:t>
      </w:r>
      <w:r w:rsidRPr="007768F5">
        <w:t xml:space="preserve"> </w:t>
      </w:r>
    </w:p>
    <w:p w:rsidR="00582FDE" w:rsidRPr="007768F5" w:rsidRDefault="00582FDE" w:rsidP="007C19D5">
      <w:pPr>
        <w:spacing w:line="360" w:lineRule="auto"/>
        <w:jc w:val="both"/>
        <w:rPr>
          <w:rFonts w:ascii="Garamond" w:hAnsi="Garamond"/>
          <w:lang w:val="en-US"/>
        </w:rPr>
      </w:pPr>
      <w:r w:rsidRPr="007768F5">
        <w:rPr>
          <w:rFonts w:ascii="Garamond" w:hAnsi="Garamond"/>
          <w:lang w:val="en-US"/>
        </w:rPr>
        <w:t xml:space="preserve">Within this context, </w:t>
      </w:r>
      <w:r w:rsidR="002B2C94" w:rsidRPr="007768F5">
        <w:rPr>
          <w:rFonts w:ascii="Garamond" w:hAnsi="Garamond"/>
          <w:lang w:val="en-US"/>
        </w:rPr>
        <w:t>therefore</w:t>
      </w:r>
      <w:r w:rsidRPr="007768F5">
        <w:rPr>
          <w:rFonts w:ascii="Garamond" w:hAnsi="Garamond"/>
          <w:lang w:val="en-US"/>
        </w:rPr>
        <w:t xml:space="preserve">, my research incorporates a layer of individual reflection that is supported by the phenomenological approach. And although this, as stated by Martyn Denscombe, ‘is not primarily concerned with explaining the causes of things but tries, instead, to provide a description of how things are experienced at first hand by those involved’, the investigation still seeks to reason about the </w:t>
      </w:r>
      <w:r w:rsidR="002B2C94" w:rsidRPr="007768F5">
        <w:rPr>
          <w:rFonts w:ascii="Garamond" w:hAnsi="Garamond"/>
          <w:lang w:val="en-US"/>
        </w:rPr>
        <w:t xml:space="preserve">empirical </w:t>
      </w:r>
      <w:r w:rsidRPr="007768F5">
        <w:rPr>
          <w:rFonts w:ascii="Garamond" w:hAnsi="Garamond"/>
          <w:lang w:val="en-US"/>
        </w:rPr>
        <w:t>findings from bibliographic references.</w:t>
      </w:r>
      <w:r w:rsidRPr="007768F5">
        <w:rPr>
          <w:rStyle w:val="Refdenotaderodap"/>
          <w:rFonts w:ascii="Garamond" w:hAnsi="Garamond"/>
        </w:rPr>
        <w:footnoteReference w:id="24"/>
      </w:r>
      <w:r w:rsidRPr="007768F5">
        <w:rPr>
          <w:rFonts w:ascii="Garamond" w:hAnsi="Garamond"/>
        </w:rPr>
        <w:t xml:space="preserve"> Mostly because I am </w:t>
      </w:r>
      <w:r w:rsidRPr="007768F5">
        <w:rPr>
          <w:rFonts w:ascii="Garamond" w:hAnsi="Garamond"/>
          <w:lang w:val="en-US"/>
        </w:rPr>
        <w:t>an architect, space speaks to me doubly,</w:t>
      </w:r>
      <w:r w:rsidRPr="007768F5">
        <w:t xml:space="preserve"> </w:t>
      </w:r>
      <w:r w:rsidRPr="007768F5">
        <w:rPr>
          <w:rFonts w:ascii="Garamond" w:hAnsi="Garamond"/>
          <w:lang w:val="en-US"/>
        </w:rPr>
        <w:t xml:space="preserve">as when I visit a place it is not always easy to disconnect from specific and more objective appraisals and just feel its effect. Thus, acknowledging Denscombe concern, those outside perspectives become my way of seeking for the balance between the personal and </w:t>
      </w:r>
      <w:r w:rsidR="002B2C94" w:rsidRPr="007768F5">
        <w:rPr>
          <w:rFonts w:ascii="Garamond" w:hAnsi="Garamond"/>
          <w:lang w:val="en-US"/>
        </w:rPr>
        <w:t>‘</w:t>
      </w:r>
      <w:r w:rsidRPr="007768F5">
        <w:rPr>
          <w:rFonts w:ascii="Garamond" w:hAnsi="Garamond"/>
          <w:lang w:val="en-US"/>
        </w:rPr>
        <w:t>the stranger</w:t>
      </w:r>
      <w:r w:rsidR="002B2C94" w:rsidRPr="007768F5">
        <w:rPr>
          <w:rFonts w:ascii="Garamond" w:hAnsi="Garamond"/>
          <w:lang w:val="en-US"/>
        </w:rPr>
        <w:t>’</w:t>
      </w:r>
      <w:r w:rsidRPr="007768F5">
        <w:rPr>
          <w:rFonts w:ascii="Garamond" w:hAnsi="Garamond"/>
          <w:lang w:val="en-US"/>
        </w:rPr>
        <w:t xml:space="preserve"> stances, pondering the inevitable ‘common-sense beliefs’ that cultural perception withholds by definition with the ‘“bracketing off” presuppositions’ for the sake of the necessary scientific validity.</w:t>
      </w:r>
      <w:r w:rsidRPr="007768F5">
        <w:rPr>
          <w:rStyle w:val="Refdenotaderodap"/>
          <w:rFonts w:ascii="Garamond" w:hAnsi="Garamond"/>
        </w:rPr>
        <w:footnoteReference w:id="25"/>
      </w:r>
      <w:r w:rsidRPr="007768F5">
        <w:rPr>
          <w:rFonts w:ascii="Garamond" w:hAnsi="Garamond"/>
          <w:lang w:val="en-US"/>
        </w:rPr>
        <w:t xml:space="preserve"> </w:t>
      </w:r>
    </w:p>
    <w:p w:rsidR="00582FDE" w:rsidRPr="007768F5" w:rsidRDefault="002B2C94" w:rsidP="007C19D5">
      <w:pPr>
        <w:spacing w:line="360" w:lineRule="auto"/>
        <w:jc w:val="both"/>
        <w:rPr>
          <w:rFonts w:ascii="Garamond" w:hAnsi="Garamond"/>
          <w:lang w:val="en-US"/>
        </w:rPr>
      </w:pPr>
      <w:r w:rsidRPr="007768F5">
        <w:rPr>
          <w:rFonts w:ascii="Garamond" w:hAnsi="Garamond"/>
          <w:lang w:val="en-US"/>
        </w:rPr>
        <w:lastRenderedPageBreak/>
        <w:t xml:space="preserve">The personal view, albeit not being dominant in the discussion, has the operative value </w:t>
      </w:r>
      <w:r w:rsidR="00582FDE" w:rsidRPr="007768F5">
        <w:rPr>
          <w:rFonts w:ascii="Garamond" w:hAnsi="Garamond"/>
          <w:lang w:val="en-US"/>
        </w:rPr>
        <w:t xml:space="preserve">of </w:t>
      </w:r>
      <w:r w:rsidRPr="007768F5">
        <w:rPr>
          <w:rFonts w:ascii="Garamond" w:hAnsi="Garamond"/>
          <w:lang w:val="en-US"/>
        </w:rPr>
        <w:t xml:space="preserve">adding </w:t>
      </w:r>
      <w:r w:rsidR="00582FDE" w:rsidRPr="007768F5">
        <w:rPr>
          <w:rFonts w:ascii="Garamond" w:hAnsi="Garamond"/>
          <w:lang w:val="en-US"/>
        </w:rPr>
        <w:t xml:space="preserve">a </w:t>
      </w:r>
      <w:r w:rsidRPr="007768F5">
        <w:rPr>
          <w:rFonts w:ascii="Garamond" w:hAnsi="Garamond"/>
          <w:lang w:val="en-US"/>
        </w:rPr>
        <w:t xml:space="preserve">dual </w:t>
      </w:r>
      <w:r w:rsidR="00582FDE" w:rsidRPr="007768F5">
        <w:rPr>
          <w:rFonts w:ascii="Garamond" w:hAnsi="Garamond"/>
          <w:lang w:val="en-US"/>
        </w:rPr>
        <w:t>building assessment, both as a cartesian space, determined by abstract geometric traits, and ‘as a medium’, since, according to Christopher Tilley, more than the action holder, space is ‘involved’ in it ‘and cannot be divorced from it’.</w:t>
      </w:r>
      <w:r w:rsidR="00582FDE" w:rsidRPr="007768F5">
        <w:rPr>
          <w:rStyle w:val="Refdenotaderodap"/>
          <w:rFonts w:ascii="Garamond" w:hAnsi="Garamond"/>
          <w:lang w:val="en-US"/>
        </w:rPr>
        <w:footnoteReference w:id="26"/>
      </w:r>
      <w:r w:rsidR="00582FDE" w:rsidRPr="007768F5">
        <w:rPr>
          <w:rFonts w:ascii="Garamond" w:hAnsi="Garamond"/>
          <w:lang w:val="en-US"/>
        </w:rPr>
        <w:t xml:space="preserve">  As a social fact, thus, ‘space’ becomes ‘place’, demanding a corresponding investigative approach. Forewarning the difficulty of maintaining an analysis that encompasses sensory consideration within strict categories, Tilley advances five framing perspectives of space that in-between them capture the multidimensionality involved and that I wanted to explore. ‘Somatic’, ‘perceptual’, ‘existential’, ‘architectural’ and ‘cognitive’ spaces are thus his categories, to which I refer.</w:t>
      </w:r>
      <w:r w:rsidR="00582FDE" w:rsidRPr="007768F5">
        <w:rPr>
          <w:rStyle w:val="Refdenotaderodap"/>
          <w:rFonts w:ascii="Garamond" w:hAnsi="Garamond"/>
          <w:lang w:val="en-US"/>
        </w:rPr>
        <w:footnoteReference w:id="27"/>
      </w:r>
    </w:p>
    <w:p w:rsidR="00582FDE" w:rsidRPr="007768F5" w:rsidRDefault="00582FDE" w:rsidP="007C19D5">
      <w:pPr>
        <w:spacing w:line="360" w:lineRule="auto"/>
        <w:jc w:val="both"/>
        <w:rPr>
          <w:rFonts w:ascii="Garamond" w:hAnsi="Garamond"/>
          <w:lang w:val="en-US"/>
        </w:rPr>
      </w:pPr>
      <w:r w:rsidRPr="007768F5">
        <w:rPr>
          <w:rFonts w:ascii="Garamond" w:hAnsi="Garamond"/>
          <w:i/>
          <w:iCs/>
          <w:lang w:val="en-US"/>
        </w:rPr>
        <w:t>Somatic space</w:t>
      </w:r>
      <w:r w:rsidRPr="007768F5">
        <w:rPr>
          <w:rFonts w:ascii="Garamond" w:hAnsi="Garamond"/>
          <w:lang w:val="en-US"/>
        </w:rPr>
        <w:t xml:space="preserve"> is the one in which the physical body occupies and fills a certain amount of the (geometric) space and naturally references it. </w:t>
      </w:r>
      <w:r w:rsidRPr="007768F5">
        <w:rPr>
          <w:rFonts w:ascii="Garamond" w:hAnsi="Garamond"/>
          <w:i/>
          <w:iCs/>
          <w:lang w:val="en-US"/>
        </w:rPr>
        <w:t>Perceptual space</w:t>
      </w:r>
      <w:r w:rsidRPr="007768F5">
        <w:rPr>
          <w:rFonts w:ascii="Garamond" w:hAnsi="Garamond"/>
          <w:lang w:val="en-US"/>
        </w:rPr>
        <w:t xml:space="preserve"> is that which is experienced individually and that has inherent whatever culturally defines the individual; it is the kinetic space, of movement. It was particularly the combination of these two spaces that drove the experience of the church. Both categories were explored during </w:t>
      </w:r>
      <w:r w:rsidR="002B2C94" w:rsidRPr="007768F5">
        <w:rPr>
          <w:rFonts w:ascii="Garamond" w:hAnsi="Garamond"/>
          <w:lang w:val="en-US"/>
        </w:rPr>
        <w:t>explored</w:t>
      </w:r>
      <w:r w:rsidRPr="007768F5">
        <w:rPr>
          <w:rFonts w:ascii="Garamond" w:hAnsi="Garamond"/>
          <w:lang w:val="en-US"/>
        </w:rPr>
        <w:t xml:space="preserve"> </w:t>
      </w:r>
      <w:r w:rsidRPr="007768F5">
        <w:rPr>
          <w:rFonts w:ascii="Garamond" w:hAnsi="Garamond"/>
          <w:i/>
          <w:iCs/>
          <w:lang w:val="en-US"/>
        </w:rPr>
        <w:t>in loco</w:t>
      </w:r>
      <w:r w:rsidRPr="007768F5">
        <w:rPr>
          <w:rFonts w:ascii="Garamond" w:hAnsi="Garamond"/>
          <w:lang w:val="en-US"/>
        </w:rPr>
        <w:t xml:space="preserve"> (field-work), in which body and sensations have been the measure of the </w:t>
      </w:r>
      <w:r w:rsidR="002B2C94" w:rsidRPr="007768F5">
        <w:rPr>
          <w:rFonts w:ascii="Garamond" w:hAnsi="Garamond"/>
          <w:lang w:val="en-US"/>
        </w:rPr>
        <w:t>experience-path</w:t>
      </w:r>
      <w:r w:rsidRPr="007768F5">
        <w:rPr>
          <w:rFonts w:ascii="Garamond" w:hAnsi="Garamond"/>
          <w:lang w:val="en-US"/>
        </w:rPr>
        <w:t>, going up from the avenue to the church, around the building and within it; the reference to its height, the intensity of color and light, of the relationship between inside and outside, between above – in the courtyard or in the church –, and below – in the city.</w:t>
      </w:r>
    </w:p>
    <w:p w:rsidR="00582FDE" w:rsidRPr="007768F5" w:rsidRDefault="00582FDE" w:rsidP="007C19D5">
      <w:pPr>
        <w:spacing w:line="360" w:lineRule="auto"/>
        <w:jc w:val="both"/>
        <w:rPr>
          <w:rFonts w:ascii="Garamond" w:hAnsi="Garamond"/>
          <w:lang w:val="en-US"/>
        </w:rPr>
      </w:pPr>
      <w:r w:rsidRPr="007768F5">
        <w:rPr>
          <w:rFonts w:ascii="Garamond" w:hAnsi="Garamond"/>
          <w:i/>
          <w:iCs/>
          <w:lang w:val="en-US"/>
        </w:rPr>
        <w:t>Existential space</w:t>
      </w:r>
      <w:r w:rsidRPr="007768F5">
        <w:rPr>
          <w:rFonts w:ascii="Garamond" w:hAnsi="Garamond"/>
          <w:lang w:val="en-US"/>
        </w:rPr>
        <w:t xml:space="preserve">, the set of meanings that ground perceptual space, as Tilley refers, was </w:t>
      </w:r>
      <w:r w:rsidR="002B2C94" w:rsidRPr="007768F5">
        <w:rPr>
          <w:rFonts w:ascii="Garamond" w:hAnsi="Garamond"/>
          <w:lang w:val="en-US"/>
        </w:rPr>
        <w:t xml:space="preserve">a dimension </w:t>
      </w:r>
      <w:r w:rsidRPr="007768F5">
        <w:rPr>
          <w:rFonts w:ascii="Garamond" w:hAnsi="Garamond"/>
          <w:lang w:val="en-US"/>
        </w:rPr>
        <w:t>present since the beginning of the investigation, framing the differences in experience as resulting from the study of the building (literary and empirical), which created new</w:t>
      </w:r>
      <w:r w:rsidR="002B2C94" w:rsidRPr="007768F5">
        <w:t xml:space="preserve"> </w:t>
      </w:r>
      <w:r w:rsidR="002B2C94" w:rsidRPr="007768F5">
        <w:rPr>
          <w:rFonts w:ascii="Garamond" w:hAnsi="Garamond"/>
          <w:lang w:val="en-US"/>
        </w:rPr>
        <w:t>precepts</w:t>
      </w:r>
      <w:r w:rsidRPr="007768F5">
        <w:rPr>
          <w:rFonts w:ascii="Garamond" w:hAnsi="Garamond"/>
          <w:lang w:val="en-US"/>
        </w:rPr>
        <w:t xml:space="preserve"> and changed it.</w:t>
      </w:r>
    </w:p>
    <w:p w:rsidR="00582FDE" w:rsidRPr="007768F5" w:rsidRDefault="00582FDE" w:rsidP="007C19D5">
      <w:pPr>
        <w:spacing w:line="360" w:lineRule="auto"/>
        <w:jc w:val="both"/>
        <w:rPr>
          <w:rFonts w:ascii="Garamond" w:hAnsi="Garamond"/>
          <w:lang w:val="en-US"/>
        </w:rPr>
      </w:pPr>
      <w:r w:rsidRPr="007768F5">
        <w:rPr>
          <w:rFonts w:ascii="Garamond" w:hAnsi="Garamond"/>
          <w:i/>
          <w:iCs/>
          <w:lang w:val="en-US"/>
        </w:rPr>
        <w:t>Architectural space</w:t>
      </w:r>
      <w:r w:rsidRPr="007768F5">
        <w:rPr>
          <w:rFonts w:ascii="Garamond" w:hAnsi="Garamond"/>
          <w:lang w:val="en-US"/>
        </w:rPr>
        <w:t xml:space="preserve">, </w:t>
      </w:r>
      <w:r w:rsidR="002B2C94" w:rsidRPr="007768F5">
        <w:rPr>
          <w:rFonts w:ascii="Garamond" w:hAnsi="Garamond"/>
          <w:lang w:val="en-US"/>
        </w:rPr>
        <w:t>equally</w:t>
      </w:r>
      <w:r w:rsidRPr="007768F5">
        <w:rPr>
          <w:rFonts w:ascii="Garamond" w:hAnsi="Garamond"/>
          <w:lang w:val="en-US"/>
        </w:rPr>
        <w:t xml:space="preserve">, framed the understanding (both intellectual and empirical) of the church. </w:t>
      </w:r>
      <w:r w:rsidR="002B2C94" w:rsidRPr="007768F5">
        <w:rPr>
          <w:rFonts w:ascii="Garamond" w:hAnsi="Garamond"/>
          <w:lang w:val="en-US"/>
        </w:rPr>
        <w:t>Being an architect for nearly three decades</w:t>
      </w:r>
      <w:r w:rsidRPr="007768F5">
        <w:rPr>
          <w:rFonts w:ascii="Garamond" w:hAnsi="Garamond"/>
          <w:lang w:val="en-US"/>
        </w:rPr>
        <w:t xml:space="preserve">, the focus on the pragmatic materiality of space </w:t>
      </w:r>
      <w:r w:rsidR="002B2C94" w:rsidRPr="007768F5">
        <w:rPr>
          <w:rFonts w:ascii="Garamond" w:hAnsi="Garamond"/>
          <w:lang w:val="en-US"/>
        </w:rPr>
        <w:t xml:space="preserve">manifests </w:t>
      </w:r>
      <w:r w:rsidRPr="007768F5">
        <w:rPr>
          <w:rFonts w:ascii="Garamond" w:hAnsi="Garamond"/>
          <w:lang w:val="en-US"/>
        </w:rPr>
        <w:t>almost unconsciously. Having a church as case study turned some of the specific traits of architectur</w:t>
      </w:r>
      <w:r w:rsidR="002B2C94" w:rsidRPr="007768F5">
        <w:rPr>
          <w:rFonts w:ascii="Garamond" w:hAnsi="Garamond"/>
          <w:lang w:val="en-US"/>
        </w:rPr>
        <w:t>al</w:t>
      </w:r>
      <w:r w:rsidRPr="007768F5">
        <w:rPr>
          <w:rFonts w:ascii="Garamond" w:hAnsi="Garamond"/>
          <w:lang w:val="en-US"/>
        </w:rPr>
        <w:t xml:space="preserve"> analysis </w:t>
      </w:r>
      <w:r w:rsidR="002B2C94" w:rsidRPr="007768F5">
        <w:rPr>
          <w:rFonts w:ascii="Garamond" w:hAnsi="Garamond"/>
          <w:lang w:val="en-US"/>
        </w:rPr>
        <w:t xml:space="preserve">into </w:t>
      </w:r>
      <w:r w:rsidRPr="007768F5">
        <w:rPr>
          <w:rFonts w:ascii="Garamond" w:hAnsi="Garamond"/>
          <w:lang w:val="en-US"/>
        </w:rPr>
        <w:t xml:space="preserve">basic references </w:t>
      </w:r>
      <w:r w:rsidR="002B2C94" w:rsidRPr="007768F5">
        <w:rPr>
          <w:rFonts w:ascii="Garamond" w:hAnsi="Garamond"/>
          <w:lang w:val="en-US"/>
        </w:rPr>
        <w:t>for</w:t>
      </w:r>
      <w:r w:rsidRPr="007768F5">
        <w:rPr>
          <w:rFonts w:ascii="Garamond" w:hAnsi="Garamond"/>
          <w:lang w:val="en-US"/>
        </w:rPr>
        <w:t xml:space="preserve"> its experience.</w:t>
      </w:r>
    </w:p>
    <w:p w:rsidR="00582FDE" w:rsidRPr="007768F5" w:rsidRDefault="00582FDE" w:rsidP="007C19D5">
      <w:pPr>
        <w:spacing w:line="360" w:lineRule="auto"/>
        <w:jc w:val="both"/>
        <w:rPr>
          <w:rFonts w:ascii="Garamond" w:hAnsi="Garamond"/>
          <w:lang w:val="en-US"/>
        </w:rPr>
      </w:pPr>
      <w:r w:rsidRPr="007768F5">
        <w:rPr>
          <w:rFonts w:ascii="Garamond" w:hAnsi="Garamond"/>
          <w:lang w:val="en-US"/>
        </w:rPr>
        <w:t xml:space="preserve">Lastly, </w:t>
      </w:r>
      <w:r w:rsidRPr="007768F5">
        <w:rPr>
          <w:rFonts w:ascii="Garamond" w:hAnsi="Garamond"/>
          <w:i/>
          <w:iCs/>
          <w:lang w:val="en-US"/>
        </w:rPr>
        <w:t>cognitive space</w:t>
      </w:r>
      <w:r w:rsidRPr="007768F5">
        <w:rPr>
          <w:rFonts w:ascii="Garamond" w:hAnsi="Garamond"/>
          <w:lang w:val="en-US"/>
        </w:rPr>
        <w:t xml:space="preserve"> </w:t>
      </w:r>
      <w:r w:rsidR="002B2C94" w:rsidRPr="007768F5">
        <w:rPr>
          <w:rFonts w:ascii="Garamond" w:hAnsi="Garamond"/>
          <w:lang w:val="en-US"/>
        </w:rPr>
        <w:t xml:space="preserve">emerges organically in this essay, as the product </w:t>
      </w:r>
      <w:r w:rsidRPr="007768F5">
        <w:rPr>
          <w:rFonts w:ascii="Garamond" w:hAnsi="Garamond"/>
          <w:lang w:val="en-US"/>
        </w:rPr>
        <w:t xml:space="preserve">of reasoning and maturing the </w:t>
      </w:r>
      <w:r w:rsidR="002B2C94" w:rsidRPr="007768F5">
        <w:rPr>
          <w:rFonts w:ascii="Garamond" w:hAnsi="Garamond"/>
          <w:lang w:val="en-US"/>
        </w:rPr>
        <w:t>perspectives</w:t>
      </w:r>
      <w:r w:rsidRPr="007768F5">
        <w:rPr>
          <w:rFonts w:ascii="Garamond" w:hAnsi="Garamond"/>
          <w:lang w:val="en-US"/>
        </w:rPr>
        <w:t xml:space="preserve">, separately and </w:t>
      </w:r>
      <w:r w:rsidR="002B2C94" w:rsidRPr="007768F5">
        <w:rPr>
          <w:rFonts w:ascii="Garamond" w:hAnsi="Garamond"/>
          <w:lang w:val="en-US"/>
        </w:rPr>
        <w:t xml:space="preserve">intertwined </w:t>
      </w:r>
      <w:r w:rsidRPr="007768F5">
        <w:rPr>
          <w:rFonts w:ascii="Garamond" w:hAnsi="Garamond"/>
          <w:lang w:val="en-US"/>
        </w:rPr>
        <w:t>into a coherent piece of phenomenological knowledge.</w:t>
      </w:r>
    </w:p>
    <w:p w:rsidR="00582FDE" w:rsidRPr="007768F5" w:rsidRDefault="00582FDE" w:rsidP="007C19D5">
      <w:pPr>
        <w:spacing w:line="360" w:lineRule="auto"/>
        <w:jc w:val="both"/>
        <w:rPr>
          <w:rFonts w:ascii="Garamond" w:hAnsi="Garamond"/>
          <w:lang w:val="en-US"/>
        </w:rPr>
      </w:pPr>
    </w:p>
    <w:p w:rsidR="00582FDE" w:rsidRPr="007768F5" w:rsidRDefault="00582FDE" w:rsidP="007C19D5">
      <w:pPr>
        <w:spacing w:line="360" w:lineRule="auto"/>
        <w:jc w:val="both"/>
        <w:rPr>
          <w:rFonts w:ascii="Garamond" w:hAnsi="Garamond"/>
          <w:b/>
          <w:bCs/>
          <w:sz w:val="28"/>
          <w:szCs w:val="28"/>
          <w:lang w:val="en-US"/>
        </w:rPr>
      </w:pPr>
      <w:r w:rsidRPr="007768F5">
        <w:rPr>
          <w:rFonts w:ascii="Garamond" w:hAnsi="Garamond"/>
          <w:b/>
          <w:bCs/>
          <w:sz w:val="28"/>
          <w:szCs w:val="28"/>
          <w:lang w:val="en-US"/>
        </w:rPr>
        <w:t>SANTA MARIA CHURCH</w:t>
      </w:r>
    </w:p>
    <w:p w:rsidR="00582FDE" w:rsidRPr="007768F5" w:rsidRDefault="00582FDE" w:rsidP="007C19D5">
      <w:pPr>
        <w:spacing w:line="360" w:lineRule="auto"/>
        <w:jc w:val="both"/>
        <w:rPr>
          <w:rFonts w:ascii="Garamond" w:hAnsi="Garamond"/>
          <w:lang w:val="en-US"/>
        </w:rPr>
      </w:pPr>
      <w:r w:rsidRPr="007768F5">
        <w:rPr>
          <w:rFonts w:ascii="Garamond" w:hAnsi="Garamond"/>
          <w:lang w:val="en-US"/>
        </w:rPr>
        <w:t>The Catholic Church of Santa Maria is located in the town of Marco de Canaveses, about 54km east of the city of Porto. Designed by Álvaro Siza, the first Portuguese architect to be awarded the Pritzker Prize, and opened in 1996, the church was the first erected building of a religious complex, also including a parish center: the priest's residence, an auditorium and a catechesis’ school. It rises on a platform two meters above Avenida Gago Coutinho, its main access, and sits on the top of the mortuary chapel, which entrance is through a courtyard at street level.</w:t>
      </w:r>
      <w:r w:rsidRPr="007768F5">
        <w:rPr>
          <w:rStyle w:val="Refdenotaderodap"/>
          <w:rFonts w:ascii="Garamond" w:hAnsi="Garamond"/>
          <w:lang w:val="en-US"/>
        </w:rPr>
        <w:footnoteReference w:id="28"/>
      </w:r>
      <w:r w:rsidRPr="007768F5">
        <w:rPr>
          <w:rFonts w:ascii="Garamond" w:hAnsi="Garamond"/>
          <w:lang w:val="en-US"/>
        </w:rPr>
        <w:t xml:space="preserve"> </w:t>
      </w:r>
      <w:r w:rsidR="00F25D56" w:rsidRPr="00F25D56">
        <w:rPr>
          <w:rFonts w:ascii="Garamond" w:hAnsi="Garamond"/>
          <w:lang w:val="en-US"/>
        </w:rPr>
        <w:t>(fig.</w:t>
      </w:r>
      <w:r w:rsidR="00F25D56">
        <w:rPr>
          <w:rFonts w:ascii="Garamond" w:hAnsi="Garamond"/>
          <w:lang w:val="en-US"/>
        </w:rPr>
        <w:t>1</w:t>
      </w:r>
      <w:r w:rsidR="00F25D56" w:rsidRPr="00F25D56">
        <w:rPr>
          <w:rFonts w:ascii="Garamond" w:hAnsi="Garamond"/>
          <w:lang w:val="en-US"/>
        </w:rPr>
        <w:t>)</w:t>
      </w:r>
      <w:r w:rsidR="00F25D56">
        <w:rPr>
          <w:rFonts w:ascii="Garamond" w:hAnsi="Garamond"/>
          <w:lang w:val="en-US"/>
        </w:rPr>
        <w:t xml:space="preserve"> </w:t>
      </w:r>
      <w:r w:rsidRPr="007768F5">
        <w:rPr>
          <w:rFonts w:ascii="Garamond" w:hAnsi="Garamond"/>
          <w:lang w:val="en-US"/>
        </w:rPr>
        <w:t>In fact, these are</w:t>
      </w:r>
      <w:r w:rsidRPr="00E60B5F">
        <w:rPr>
          <w:rFonts w:ascii="Garamond" w:hAnsi="Garamond"/>
          <w:lang w:val="en-US"/>
        </w:rPr>
        <w:t xml:space="preserve"> two parts of the same church </w:t>
      </w:r>
      <w:r w:rsidRPr="00E60B5F">
        <w:rPr>
          <w:rFonts w:ascii="Garamond" w:hAnsi="Garamond"/>
          <w:lang w:val="en-US"/>
        </w:rPr>
        <w:lastRenderedPageBreak/>
        <w:t xml:space="preserve">articulated </w:t>
      </w:r>
      <w:r w:rsidRPr="007768F5">
        <w:rPr>
          <w:rFonts w:ascii="Garamond" w:hAnsi="Garamond"/>
          <w:lang w:val="en-US"/>
        </w:rPr>
        <w:t>on two levels, as Siza wrote; or ‘an “upper” church and a “lower” one’, as he described when interviewed by William Curtis.</w:t>
      </w:r>
      <w:r w:rsidRPr="007768F5">
        <w:rPr>
          <w:rStyle w:val="Refdenotaderodap"/>
          <w:rFonts w:ascii="Garamond" w:hAnsi="Garamond"/>
          <w:lang w:val="pt-PT"/>
        </w:rPr>
        <w:footnoteReference w:id="29"/>
      </w:r>
    </w:p>
    <w:p w:rsidR="00582FDE" w:rsidRDefault="00582FDE" w:rsidP="007C19D5">
      <w:pPr>
        <w:spacing w:line="360" w:lineRule="auto"/>
        <w:jc w:val="both"/>
        <w:rPr>
          <w:rFonts w:ascii="Garamond" w:hAnsi="Garamond"/>
          <w:lang w:val="en-US"/>
        </w:rPr>
      </w:pPr>
      <w:r w:rsidRPr="007768F5">
        <w:rPr>
          <w:rFonts w:ascii="Garamond" w:hAnsi="Garamond"/>
          <w:lang w:val="en-US"/>
        </w:rPr>
        <w:t xml:space="preserve">Faced with a quite open program, Siza set two main objectives </w:t>
      </w:r>
      <w:r w:rsidR="002B2C94" w:rsidRPr="007768F5">
        <w:rPr>
          <w:rFonts w:ascii="Garamond" w:hAnsi="Garamond"/>
          <w:lang w:val="en-US"/>
        </w:rPr>
        <w:t xml:space="preserve">when </w:t>
      </w:r>
      <w:r w:rsidRPr="007768F5">
        <w:rPr>
          <w:rFonts w:ascii="Garamond" w:hAnsi="Garamond"/>
          <w:lang w:val="en-US"/>
        </w:rPr>
        <w:t xml:space="preserve">commissioned </w:t>
      </w:r>
      <w:r w:rsidR="002B2C94" w:rsidRPr="007768F5">
        <w:rPr>
          <w:rFonts w:ascii="Garamond" w:hAnsi="Garamond"/>
          <w:lang w:val="en-US"/>
        </w:rPr>
        <w:t xml:space="preserve">for </w:t>
      </w:r>
      <w:r w:rsidRPr="007768F5">
        <w:rPr>
          <w:rFonts w:ascii="Garamond" w:hAnsi="Garamond"/>
          <w:lang w:val="en-US"/>
        </w:rPr>
        <w:t xml:space="preserve">the project of his first church, in the late 1980s, one being the requalification of the urban area as triggered by the new buildings (which will not be developed here) and the other the questioning </w:t>
      </w:r>
      <w:r w:rsidR="002B2C94" w:rsidRPr="007768F5">
        <w:rPr>
          <w:rFonts w:ascii="Garamond" w:hAnsi="Garamond"/>
          <w:lang w:val="en-US"/>
        </w:rPr>
        <w:t>of</w:t>
      </w:r>
      <w:r w:rsidRPr="007768F5">
        <w:rPr>
          <w:rFonts w:ascii="Garamond" w:hAnsi="Garamond"/>
          <w:lang w:val="en-US"/>
        </w:rPr>
        <w:t xml:space="preserve"> the idea of the church itself as suggested </w:t>
      </w:r>
      <w:r w:rsidR="002B2C94" w:rsidRPr="007768F5">
        <w:rPr>
          <w:rFonts w:ascii="Garamond" w:hAnsi="Garamond"/>
          <w:lang w:val="en-US"/>
        </w:rPr>
        <w:t xml:space="preserve">in the light of </w:t>
      </w:r>
      <w:r w:rsidRPr="007768F5">
        <w:rPr>
          <w:rFonts w:ascii="Garamond" w:hAnsi="Garamond"/>
          <w:lang w:val="en-US"/>
        </w:rPr>
        <w:t xml:space="preserve">the changes </w:t>
      </w:r>
      <w:r w:rsidR="002B2C94" w:rsidRPr="007768F5">
        <w:rPr>
          <w:rFonts w:ascii="Garamond" w:hAnsi="Garamond"/>
          <w:lang w:val="en-US"/>
        </w:rPr>
        <w:t xml:space="preserve">brought by </w:t>
      </w:r>
      <w:r w:rsidRPr="007768F5">
        <w:rPr>
          <w:rFonts w:ascii="Garamond" w:hAnsi="Garamond"/>
          <w:lang w:val="en-US"/>
        </w:rPr>
        <w:t>the Second Vatican Council.</w:t>
      </w:r>
      <w:r w:rsidR="007768F5" w:rsidRPr="007768F5">
        <w:rPr>
          <w:rStyle w:val="Refdenotaderodap"/>
          <w:rFonts w:ascii="Garamond" w:hAnsi="Garamond"/>
          <w:lang w:val="en-US"/>
        </w:rPr>
        <w:footnoteReference w:id="30"/>
      </w:r>
      <w:r w:rsidRPr="007768F5">
        <w:rPr>
          <w:rFonts w:ascii="Garamond" w:hAnsi="Garamond"/>
          <w:lang w:val="en-US"/>
        </w:rPr>
        <w:t xml:space="preserve"> </w:t>
      </w:r>
      <w:r w:rsidR="002B2C94" w:rsidRPr="007768F5">
        <w:rPr>
          <w:rFonts w:ascii="Garamond" w:hAnsi="Garamond"/>
          <w:lang w:val="en-US"/>
        </w:rPr>
        <w:t>He was s</w:t>
      </w:r>
      <w:r w:rsidRPr="007768F5">
        <w:rPr>
          <w:rFonts w:ascii="Garamond" w:hAnsi="Garamond"/>
          <w:lang w:val="en-US"/>
        </w:rPr>
        <w:t>upported by a team of clergy</w:t>
      </w:r>
      <w:r w:rsidR="002B2C94" w:rsidRPr="007768F5">
        <w:rPr>
          <w:rFonts w:ascii="Garamond" w:hAnsi="Garamond"/>
          <w:lang w:val="en-US"/>
        </w:rPr>
        <w:t>men</w:t>
      </w:r>
      <w:r w:rsidRPr="007768F5">
        <w:rPr>
          <w:rFonts w:ascii="Garamond" w:hAnsi="Garamond"/>
          <w:lang w:val="en-US"/>
        </w:rPr>
        <w:t xml:space="preserve"> and theologians.</w:t>
      </w:r>
      <w:r w:rsidRPr="007768F5">
        <w:rPr>
          <w:rStyle w:val="Refdenotaderodap"/>
          <w:rFonts w:ascii="Garamond" w:hAnsi="Garamond"/>
          <w:lang w:val="en-US"/>
        </w:rPr>
        <w:footnoteReference w:id="31"/>
      </w:r>
      <w:r w:rsidRPr="007768F5">
        <w:rPr>
          <w:rFonts w:ascii="Garamond" w:hAnsi="Garamond"/>
          <w:lang w:val="en-US"/>
        </w:rPr>
        <w:t xml:space="preserve"> As he explains to Curtis, he wanted to make a building that could convey the idea of a church in its form, refusing the superficiality of the easy iconography in favor of a stripping that summons each one's internal spirituality.</w:t>
      </w:r>
      <w:r w:rsidR="007768F5" w:rsidRPr="007768F5">
        <w:rPr>
          <w:rStyle w:val="Refdenotaderodap"/>
          <w:rFonts w:ascii="Garamond" w:hAnsi="Garamond"/>
          <w:lang w:val="en-US"/>
        </w:rPr>
        <w:t xml:space="preserve"> </w:t>
      </w:r>
      <w:r w:rsidR="007768F5" w:rsidRPr="007768F5">
        <w:rPr>
          <w:rStyle w:val="Refdenotaderodap"/>
          <w:rFonts w:ascii="Garamond" w:hAnsi="Garamond"/>
          <w:lang w:val="en-US"/>
        </w:rPr>
        <w:footnoteReference w:id="32"/>
      </w:r>
      <w:r w:rsidRPr="007768F5">
        <w:rPr>
          <w:rFonts w:ascii="Garamond" w:hAnsi="Garamond"/>
          <w:lang w:val="en-US"/>
        </w:rPr>
        <w:t xml:space="preserve"> Within this </w:t>
      </w:r>
      <w:r w:rsidR="002B2C94" w:rsidRPr="007768F5">
        <w:rPr>
          <w:rFonts w:ascii="Garamond" w:hAnsi="Garamond"/>
          <w:lang w:val="en-US"/>
        </w:rPr>
        <w:t>guidelines</w:t>
      </w:r>
      <w:r w:rsidRPr="007768F5">
        <w:rPr>
          <w:rFonts w:ascii="Garamond" w:hAnsi="Garamond"/>
          <w:lang w:val="en-US"/>
        </w:rPr>
        <w:t xml:space="preserve">, tradition had to be </w:t>
      </w:r>
      <w:r w:rsidR="002B2C94" w:rsidRPr="007768F5">
        <w:rPr>
          <w:rFonts w:ascii="Garamond" w:hAnsi="Garamond"/>
          <w:lang w:val="en-US"/>
        </w:rPr>
        <w:t>reappraised</w:t>
      </w:r>
      <w:r w:rsidRPr="007768F5">
        <w:rPr>
          <w:rFonts w:ascii="Garamond" w:hAnsi="Garamond"/>
          <w:lang w:val="en-US"/>
        </w:rPr>
        <w:t>.</w:t>
      </w:r>
      <w:r w:rsidR="006F3635" w:rsidRPr="007768F5">
        <w:rPr>
          <w:rStyle w:val="Refdenotaderodap"/>
          <w:rFonts w:ascii="Garamond" w:hAnsi="Garamond"/>
          <w:lang w:val="en-US"/>
        </w:rPr>
        <w:footnoteReference w:id="33"/>
      </w:r>
    </w:p>
    <w:p w:rsidR="00064021" w:rsidRDefault="00064021" w:rsidP="007C19D5">
      <w:pPr>
        <w:spacing w:line="360" w:lineRule="auto"/>
        <w:jc w:val="both"/>
        <w:rPr>
          <w:rFonts w:ascii="Garamond" w:hAnsi="Garamond"/>
          <w:lang w:val="en-US"/>
        </w:rPr>
      </w:pPr>
    </w:p>
    <w:p w:rsidR="00064021" w:rsidRDefault="00064021" w:rsidP="00064021">
      <w:pPr>
        <w:spacing w:line="360" w:lineRule="auto"/>
        <w:jc w:val="center"/>
        <w:rPr>
          <w:rFonts w:ascii="Garamond" w:hAnsi="Garamond"/>
          <w:lang w:val="en-US"/>
        </w:rPr>
      </w:pPr>
      <w:r>
        <w:rPr>
          <w:rFonts w:ascii="Garamond" w:hAnsi="Garamond"/>
          <w:noProof/>
          <w:lang w:val="en-US"/>
        </w:rPr>
        <w:drawing>
          <wp:inline distT="0" distB="0" distL="0" distR="0" wp14:anchorId="441140D8">
            <wp:extent cx="3960000" cy="2230924"/>
            <wp:effectExtent l="0" t="0" r="2540" b="0"/>
            <wp:docPr id="13" name="Imagem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60000" cy="2230924"/>
                    </a:xfrm>
                    <a:prstGeom prst="rect">
                      <a:avLst/>
                    </a:prstGeom>
                    <a:noFill/>
                  </pic:spPr>
                </pic:pic>
              </a:graphicData>
            </a:graphic>
          </wp:inline>
        </w:drawing>
      </w:r>
    </w:p>
    <w:p w:rsidR="00064021" w:rsidRDefault="00064021" w:rsidP="00064021">
      <w:pPr>
        <w:keepNext/>
        <w:spacing w:line="360" w:lineRule="auto"/>
        <w:jc w:val="center"/>
      </w:pPr>
      <w:r w:rsidRPr="00064021">
        <w:rPr>
          <w:noProof/>
        </w:rPr>
        <w:drawing>
          <wp:inline distT="0" distB="0" distL="0" distR="0" wp14:anchorId="2B3E20FA" wp14:editId="23E9DCAD">
            <wp:extent cx="3960000" cy="2642061"/>
            <wp:effectExtent l="0" t="0" r="2540" b="6350"/>
            <wp:docPr id="12" name="Imagem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60000" cy="2642061"/>
                    </a:xfrm>
                    <a:prstGeom prst="rect">
                      <a:avLst/>
                    </a:prstGeom>
                  </pic:spPr>
                </pic:pic>
              </a:graphicData>
            </a:graphic>
          </wp:inline>
        </w:drawing>
      </w:r>
    </w:p>
    <w:p w:rsidR="00064021" w:rsidRDefault="00064021" w:rsidP="00064021">
      <w:pPr>
        <w:pStyle w:val="Legenda"/>
        <w:jc w:val="center"/>
        <w:rPr>
          <w:rFonts w:ascii="Garamond" w:hAnsi="Garamond"/>
          <w:lang w:val="en-US"/>
        </w:rPr>
      </w:pPr>
      <w:r>
        <w:t xml:space="preserve">Figura </w:t>
      </w:r>
      <w:r>
        <w:fldChar w:fldCharType="begin"/>
      </w:r>
      <w:r>
        <w:instrText xml:space="preserve"> SEQ Figura \* ARABIC </w:instrText>
      </w:r>
      <w:r>
        <w:fldChar w:fldCharType="separate"/>
      </w:r>
      <w:r w:rsidR="00FA358A">
        <w:rPr>
          <w:noProof/>
        </w:rPr>
        <w:t>1</w:t>
      </w:r>
      <w:r>
        <w:fldChar w:fldCharType="end"/>
      </w:r>
    </w:p>
    <w:p w:rsidR="00064021" w:rsidRPr="007768F5" w:rsidRDefault="00064021" w:rsidP="007C19D5">
      <w:pPr>
        <w:spacing w:line="360" w:lineRule="auto"/>
        <w:jc w:val="both"/>
        <w:rPr>
          <w:rFonts w:ascii="Garamond" w:hAnsi="Garamond"/>
          <w:lang w:val="en-US"/>
        </w:rPr>
      </w:pPr>
    </w:p>
    <w:p w:rsidR="00582FDE" w:rsidRPr="00B10B7D" w:rsidRDefault="00582FDE" w:rsidP="007C19D5">
      <w:pPr>
        <w:spacing w:line="360" w:lineRule="auto"/>
        <w:ind w:firstLine="708"/>
        <w:jc w:val="both"/>
        <w:rPr>
          <w:rFonts w:ascii="Garamond" w:hAnsi="Garamond"/>
          <w:b/>
          <w:bCs/>
          <w:i/>
          <w:iCs/>
          <w:sz w:val="28"/>
          <w:szCs w:val="28"/>
          <w:lang w:val="en-US"/>
        </w:rPr>
      </w:pPr>
      <w:r w:rsidRPr="007768F5">
        <w:rPr>
          <w:rFonts w:ascii="Garamond" w:hAnsi="Garamond"/>
          <w:b/>
          <w:bCs/>
          <w:i/>
          <w:iCs/>
          <w:sz w:val="28"/>
          <w:szCs w:val="28"/>
          <w:lang w:val="en-US"/>
        </w:rPr>
        <w:lastRenderedPageBreak/>
        <w:t>In Loco</w:t>
      </w:r>
    </w:p>
    <w:p w:rsidR="00582FDE" w:rsidRDefault="00582FDE" w:rsidP="007C19D5">
      <w:pPr>
        <w:spacing w:line="360" w:lineRule="auto"/>
        <w:jc w:val="both"/>
        <w:rPr>
          <w:rFonts w:ascii="Garamond" w:hAnsi="Garamond"/>
          <w:lang w:val="en-US"/>
        </w:rPr>
      </w:pPr>
      <w:r>
        <w:rPr>
          <w:rFonts w:ascii="Garamond" w:hAnsi="Garamond"/>
          <w:lang w:val="en-US"/>
        </w:rPr>
        <w:t xml:space="preserve">The building is normally closed, opening only to </w:t>
      </w:r>
      <w:r w:rsidR="002B2C94">
        <w:rPr>
          <w:rFonts w:ascii="Garamond" w:hAnsi="Garamond"/>
          <w:lang w:val="en-US"/>
        </w:rPr>
        <w:t>m</w:t>
      </w:r>
      <w:r>
        <w:rPr>
          <w:rFonts w:ascii="Garamond" w:hAnsi="Garamond"/>
          <w:lang w:val="en-US"/>
        </w:rPr>
        <w:t xml:space="preserve">ass and, under appointment, to visitors. </w:t>
      </w:r>
      <w:r w:rsidR="002B2C94" w:rsidRPr="002B2C94">
        <w:rPr>
          <w:rFonts w:ascii="Garamond" w:hAnsi="Garamond"/>
          <w:lang w:val="en-US"/>
        </w:rPr>
        <w:t>On a cloudy rainy 15th November 2020</w:t>
      </w:r>
      <w:r>
        <w:rPr>
          <w:rFonts w:ascii="Garamond" w:hAnsi="Garamond"/>
          <w:lang w:val="en-US"/>
        </w:rPr>
        <w:t xml:space="preserve">, I went alone and attended a </w:t>
      </w:r>
      <w:r w:rsidR="002B2C94" w:rsidRPr="002B2C94">
        <w:rPr>
          <w:rFonts w:ascii="Garamond" w:hAnsi="Garamond"/>
          <w:lang w:val="en-US"/>
        </w:rPr>
        <w:t>service</w:t>
      </w:r>
      <w:r w:rsidRPr="00ED5B24">
        <w:rPr>
          <w:rFonts w:ascii="Garamond" w:hAnsi="Garamond"/>
          <w:lang w:val="en-US"/>
        </w:rPr>
        <w:t>. I mostly observed</w:t>
      </w:r>
      <w:r>
        <w:rPr>
          <w:rFonts w:ascii="Garamond" w:hAnsi="Garamond"/>
          <w:lang w:val="en-US"/>
        </w:rPr>
        <w:t xml:space="preserve">, eager to capture all the details, intellectualizing the apprehension process </w:t>
      </w:r>
      <w:r w:rsidR="002B2C94" w:rsidRPr="002B2C94">
        <w:rPr>
          <w:rFonts w:ascii="Garamond" w:hAnsi="Garamond"/>
          <w:lang w:val="en-US"/>
        </w:rPr>
        <w:t>as it unfolded</w:t>
      </w:r>
      <w:r>
        <w:rPr>
          <w:rFonts w:ascii="Garamond" w:hAnsi="Garamond"/>
          <w:lang w:val="en-US"/>
        </w:rPr>
        <w:t xml:space="preserve">. </w:t>
      </w:r>
      <w:r w:rsidRPr="00ED5B24">
        <w:rPr>
          <w:rFonts w:ascii="Garamond" w:hAnsi="Garamond"/>
          <w:lang w:val="en-US"/>
        </w:rPr>
        <w:t xml:space="preserve"> </w:t>
      </w:r>
      <w:r>
        <w:rPr>
          <w:rFonts w:ascii="Garamond" w:hAnsi="Garamond"/>
          <w:lang w:val="en-US"/>
        </w:rPr>
        <w:t xml:space="preserve">My photos were almost exclusively </w:t>
      </w:r>
      <w:r w:rsidR="007A1CC2" w:rsidRPr="007A1CC2">
        <w:rPr>
          <w:rFonts w:ascii="Garamond" w:hAnsi="Garamond"/>
          <w:lang w:val="en-US"/>
        </w:rPr>
        <w:t xml:space="preserve">taken </w:t>
      </w:r>
      <w:r>
        <w:rPr>
          <w:rFonts w:ascii="Garamond" w:hAnsi="Garamond"/>
          <w:lang w:val="en-US"/>
        </w:rPr>
        <w:t>from the outside,</w:t>
      </w:r>
      <w:r w:rsidRPr="00311BC2">
        <w:rPr>
          <w:rFonts w:ascii="Garamond" w:hAnsi="Garamond"/>
          <w:lang w:val="en-US"/>
        </w:rPr>
        <w:t xml:space="preserve"> </w:t>
      </w:r>
      <w:r w:rsidR="007A1CC2" w:rsidRPr="007A1CC2">
        <w:rPr>
          <w:rFonts w:ascii="Garamond" w:hAnsi="Garamond"/>
          <w:lang w:val="en-US"/>
        </w:rPr>
        <w:t>as it felt disrespectful to do it inside, while surrounded by worshippers</w:t>
      </w:r>
      <w:r w:rsidRPr="00ED5B24">
        <w:rPr>
          <w:rFonts w:ascii="Garamond" w:hAnsi="Garamond"/>
          <w:lang w:val="en-US"/>
        </w:rPr>
        <w:t xml:space="preserve">. </w:t>
      </w:r>
      <w:r w:rsidR="007A1CC2" w:rsidRPr="007A1CC2">
        <w:rPr>
          <w:rFonts w:ascii="Garamond" w:hAnsi="Garamond"/>
          <w:lang w:val="en-US"/>
        </w:rPr>
        <w:t>On December 30th 2020, a cloudy but sunnier day</w:t>
      </w:r>
      <w:r>
        <w:rPr>
          <w:rFonts w:ascii="Garamond" w:hAnsi="Garamond"/>
          <w:lang w:val="en-US"/>
        </w:rPr>
        <w:t xml:space="preserve">, I </w:t>
      </w:r>
      <w:r w:rsidR="007A1CC2">
        <w:rPr>
          <w:rFonts w:ascii="Garamond" w:hAnsi="Garamond"/>
          <w:lang w:val="en-US"/>
        </w:rPr>
        <w:t>returned</w:t>
      </w:r>
      <w:r>
        <w:rPr>
          <w:rFonts w:ascii="Garamond" w:hAnsi="Garamond"/>
          <w:lang w:val="en-US"/>
        </w:rPr>
        <w:t xml:space="preserve"> guided by Nuno Higino, a friend</w:t>
      </w:r>
      <w:r w:rsidR="007A1CC2">
        <w:rPr>
          <w:rFonts w:ascii="Garamond" w:hAnsi="Garamond"/>
          <w:lang w:val="en-US"/>
        </w:rPr>
        <w:t xml:space="preserve"> </w:t>
      </w:r>
      <w:r w:rsidR="007A1CC2" w:rsidRPr="007A1CC2">
        <w:rPr>
          <w:rFonts w:ascii="Garamond" w:hAnsi="Garamond"/>
          <w:lang w:val="en-US"/>
        </w:rPr>
        <w:t>and University colleague</w:t>
      </w:r>
      <w:r>
        <w:rPr>
          <w:rFonts w:ascii="Garamond" w:hAnsi="Garamond"/>
          <w:lang w:val="en-US"/>
        </w:rPr>
        <w:t xml:space="preserve">, </w:t>
      </w:r>
      <w:r w:rsidR="007A1CC2" w:rsidRPr="007A1CC2">
        <w:rPr>
          <w:rFonts w:ascii="Garamond" w:hAnsi="Garamond"/>
          <w:lang w:val="en-US"/>
        </w:rPr>
        <w:t xml:space="preserve">but also </w:t>
      </w:r>
      <w:r>
        <w:rPr>
          <w:rFonts w:ascii="Garamond" w:hAnsi="Garamond"/>
          <w:lang w:val="en-US"/>
        </w:rPr>
        <w:t xml:space="preserve">the </w:t>
      </w:r>
      <w:r w:rsidR="007A1CC2" w:rsidRPr="007A1CC2">
        <w:rPr>
          <w:rFonts w:ascii="Garamond" w:hAnsi="Garamond"/>
          <w:lang w:val="en-US"/>
        </w:rPr>
        <w:t xml:space="preserve">former priest </w:t>
      </w:r>
      <w:r>
        <w:rPr>
          <w:rFonts w:ascii="Garamond" w:hAnsi="Garamond"/>
          <w:lang w:val="en-US"/>
        </w:rPr>
        <w:t xml:space="preserve">that commissioned the project to Siza, who became one of its most </w:t>
      </w:r>
      <w:r w:rsidR="007A1CC2">
        <w:rPr>
          <w:rFonts w:ascii="Garamond" w:hAnsi="Garamond"/>
          <w:lang w:val="en-US"/>
        </w:rPr>
        <w:t>im</w:t>
      </w:r>
      <w:r>
        <w:rPr>
          <w:rFonts w:ascii="Garamond" w:hAnsi="Garamond"/>
          <w:lang w:val="en-US"/>
        </w:rPr>
        <w:t xml:space="preserve">passionate and </w:t>
      </w:r>
      <w:r w:rsidR="007A1CC2" w:rsidRPr="007A1CC2">
        <w:rPr>
          <w:rFonts w:ascii="Garamond" w:hAnsi="Garamond"/>
          <w:lang w:val="en-US"/>
        </w:rPr>
        <w:t xml:space="preserve">persistent </w:t>
      </w:r>
      <w:r>
        <w:rPr>
          <w:rFonts w:ascii="Garamond" w:hAnsi="Garamond"/>
          <w:lang w:val="en-US"/>
        </w:rPr>
        <w:t>defenders in the so many times</w:t>
      </w:r>
      <w:r w:rsidRPr="008121E3">
        <w:rPr>
          <w:rFonts w:ascii="Garamond" w:hAnsi="Garamond"/>
          <w:lang w:val="en-US"/>
        </w:rPr>
        <w:t xml:space="preserve"> the church was attacked for its controversial design</w:t>
      </w:r>
      <w:r>
        <w:rPr>
          <w:rFonts w:ascii="Garamond" w:hAnsi="Garamond"/>
          <w:lang w:val="en-US"/>
        </w:rPr>
        <w:t xml:space="preserve">. </w:t>
      </w:r>
      <w:r w:rsidR="007A1CC2">
        <w:rPr>
          <w:rFonts w:ascii="Garamond" w:hAnsi="Garamond"/>
          <w:lang w:val="en-US"/>
        </w:rPr>
        <w:t>Higino</w:t>
      </w:r>
      <w:r>
        <w:rPr>
          <w:rFonts w:ascii="Garamond" w:hAnsi="Garamond"/>
          <w:lang w:val="en-US"/>
        </w:rPr>
        <w:t xml:space="preserve"> and the building’s keeper accompanied me at a distance, but my movements were free as I took all the pictures I wanted from the two </w:t>
      </w:r>
      <w:r w:rsidR="007A1CC2" w:rsidRPr="007A1CC2">
        <w:rPr>
          <w:rFonts w:ascii="Garamond" w:hAnsi="Garamond"/>
          <w:lang w:val="en-US"/>
        </w:rPr>
        <w:t xml:space="preserve">existing </w:t>
      </w:r>
      <w:r>
        <w:rPr>
          <w:rFonts w:ascii="Garamond" w:hAnsi="Garamond"/>
          <w:lang w:val="en-US"/>
        </w:rPr>
        <w:t>buildings (the priest’s residence is currently under construction).</w:t>
      </w:r>
    </w:p>
    <w:p w:rsidR="00582FDE" w:rsidRPr="007768F5" w:rsidRDefault="00582FDE" w:rsidP="007C19D5">
      <w:pPr>
        <w:spacing w:line="360" w:lineRule="auto"/>
        <w:jc w:val="both"/>
        <w:rPr>
          <w:rFonts w:ascii="Garamond" w:hAnsi="Garamond"/>
          <w:lang w:val="en-US"/>
        </w:rPr>
      </w:pPr>
      <w:r>
        <w:rPr>
          <w:rFonts w:ascii="Garamond" w:hAnsi="Garamond"/>
          <w:lang w:val="en-US"/>
        </w:rPr>
        <w:t xml:space="preserve">Both </w:t>
      </w:r>
      <w:r w:rsidRPr="00367C17">
        <w:rPr>
          <w:rFonts w:ascii="Garamond" w:hAnsi="Garamond"/>
          <w:lang w:val="en-US"/>
        </w:rPr>
        <w:t>experience</w:t>
      </w:r>
      <w:r>
        <w:rPr>
          <w:rFonts w:ascii="Garamond" w:hAnsi="Garamond"/>
          <w:lang w:val="en-US"/>
        </w:rPr>
        <w:t>s</w:t>
      </w:r>
      <w:r w:rsidRPr="00367C17">
        <w:rPr>
          <w:rFonts w:ascii="Garamond" w:hAnsi="Garamond"/>
          <w:lang w:val="en-US"/>
        </w:rPr>
        <w:t xml:space="preserve"> </w:t>
      </w:r>
      <w:r>
        <w:rPr>
          <w:rFonts w:ascii="Garamond" w:hAnsi="Garamond"/>
          <w:lang w:val="en-US"/>
        </w:rPr>
        <w:t xml:space="preserve">of the </w:t>
      </w:r>
      <w:r w:rsidR="007A1CC2" w:rsidRPr="007A1CC2">
        <w:rPr>
          <w:rFonts w:ascii="Garamond" w:hAnsi="Garamond"/>
          <w:lang w:val="en-US"/>
        </w:rPr>
        <w:t xml:space="preserve">building </w:t>
      </w:r>
      <w:r w:rsidRPr="00367C17">
        <w:rPr>
          <w:rFonts w:ascii="Garamond" w:hAnsi="Garamond"/>
          <w:lang w:val="en-US"/>
        </w:rPr>
        <w:t xml:space="preserve">under </w:t>
      </w:r>
      <w:r>
        <w:rPr>
          <w:rFonts w:ascii="Garamond" w:hAnsi="Garamond"/>
          <w:lang w:val="en-US"/>
        </w:rPr>
        <w:t xml:space="preserve">these two </w:t>
      </w:r>
      <w:r w:rsidRPr="00367C17">
        <w:rPr>
          <w:rFonts w:ascii="Garamond" w:hAnsi="Garamond"/>
          <w:lang w:val="en-US"/>
        </w:rPr>
        <w:t>different circumstances</w:t>
      </w:r>
      <w:r>
        <w:rPr>
          <w:rFonts w:ascii="Garamond" w:hAnsi="Garamond"/>
          <w:lang w:val="en-US"/>
        </w:rPr>
        <w:t xml:space="preserve"> were important and, in fact, they set the frame within which I came to terms with both counterparts of the sacred, as discussed by Otto. </w:t>
      </w:r>
      <w:r w:rsidRPr="00843529">
        <w:rPr>
          <w:rFonts w:ascii="Garamond" w:hAnsi="Garamond"/>
          <w:lang w:val="en-US"/>
        </w:rPr>
        <w:t xml:space="preserve">On the one hand, </w:t>
      </w:r>
      <w:r w:rsidR="007A1CC2" w:rsidRPr="007A1CC2">
        <w:rPr>
          <w:rFonts w:ascii="Garamond" w:hAnsi="Garamond"/>
          <w:lang w:val="en-US"/>
        </w:rPr>
        <w:t>an intellectual empathy with the spatial qualities, on the other, a glimpse of the spiritual</w:t>
      </w:r>
      <w:r w:rsidRPr="00843529">
        <w:rPr>
          <w:rFonts w:ascii="Garamond" w:hAnsi="Garamond"/>
          <w:lang w:val="en-US"/>
        </w:rPr>
        <w:t xml:space="preserve">, a ‘something else’ besides the cerebral/logical, an emerging of the numinous. </w:t>
      </w:r>
      <w:r>
        <w:rPr>
          <w:rFonts w:ascii="Garamond" w:hAnsi="Garamond"/>
          <w:lang w:val="en-US"/>
        </w:rPr>
        <w:t xml:space="preserve">As an architect, graduated some 25 years ago from the </w:t>
      </w:r>
      <w:r w:rsidR="007A1CC2" w:rsidRPr="007A1CC2">
        <w:rPr>
          <w:rFonts w:ascii="Garamond" w:hAnsi="Garamond"/>
          <w:lang w:val="en-US"/>
        </w:rPr>
        <w:t>same university as Siza was</w:t>
      </w:r>
      <w:r>
        <w:rPr>
          <w:rFonts w:ascii="Garamond" w:hAnsi="Garamond"/>
          <w:lang w:val="en-US"/>
        </w:rPr>
        <w:t xml:space="preserve">, where back then he was seen as the Master all students should follow, my first impression was of being in a building where I recognized the </w:t>
      </w:r>
      <w:r w:rsidRPr="00843529">
        <w:rPr>
          <w:rFonts w:ascii="Garamond" w:hAnsi="Garamond"/>
          <w:i/>
          <w:iCs/>
          <w:lang w:val="en-US"/>
        </w:rPr>
        <w:t>Master’s touch</w:t>
      </w:r>
      <w:r>
        <w:rPr>
          <w:rFonts w:ascii="Garamond" w:hAnsi="Garamond"/>
          <w:lang w:val="en-US"/>
        </w:rPr>
        <w:t>, where every piece and detail seemed to be in its ‘right’ place. The obvious (though abstract) religious symbology told me I was in a church, which as a (</w:t>
      </w:r>
      <w:r w:rsidRPr="00622D5D">
        <w:rPr>
          <w:rFonts w:ascii="Garamond" w:hAnsi="Garamond"/>
          <w:lang w:val="en-US"/>
        </w:rPr>
        <w:t>non-practicing</w:t>
      </w:r>
      <w:r>
        <w:rPr>
          <w:rFonts w:ascii="Garamond" w:hAnsi="Garamond"/>
          <w:lang w:val="en-US"/>
        </w:rPr>
        <w:t>)</w:t>
      </w:r>
      <w:r w:rsidRPr="00622D5D">
        <w:rPr>
          <w:rFonts w:ascii="Garamond" w:hAnsi="Garamond"/>
          <w:lang w:val="en-US"/>
        </w:rPr>
        <w:t xml:space="preserve"> catholic</w:t>
      </w:r>
      <w:r>
        <w:rPr>
          <w:rFonts w:ascii="Garamond" w:hAnsi="Garamond"/>
          <w:lang w:val="en-US"/>
        </w:rPr>
        <w:t xml:space="preserve"> I was generally able to decod</w:t>
      </w:r>
      <w:r w:rsidR="007A1CC2">
        <w:rPr>
          <w:rFonts w:ascii="Garamond" w:hAnsi="Garamond"/>
          <w:lang w:val="en-US"/>
        </w:rPr>
        <w:t>e</w:t>
      </w:r>
      <w:r>
        <w:rPr>
          <w:rFonts w:ascii="Garamond" w:hAnsi="Garamond"/>
          <w:lang w:val="en-US"/>
        </w:rPr>
        <w:t>; but</w:t>
      </w:r>
      <w:r w:rsidRPr="0034120A">
        <w:rPr>
          <w:rFonts w:ascii="Garamond" w:hAnsi="Garamond"/>
          <w:lang w:val="en-US"/>
        </w:rPr>
        <w:t xml:space="preserve"> </w:t>
      </w:r>
      <w:r>
        <w:rPr>
          <w:rFonts w:ascii="Garamond" w:hAnsi="Garamond"/>
          <w:lang w:val="en-US"/>
        </w:rPr>
        <w:t xml:space="preserve">I failed to sense the </w:t>
      </w:r>
      <w:r w:rsidR="007A1CC2" w:rsidRPr="007A1CC2">
        <w:rPr>
          <w:rFonts w:ascii="Garamond" w:hAnsi="Garamond"/>
          <w:lang w:val="en-US"/>
        </w:rPr>
        <w:t>sanctitude</w:t>
      </w:r>
      <w:r>
        <w:rPr>
          <w:rFonts w:ascii="Garamond" w:hAnsi="Garamond"/>
          <w:lang w:val="en-US"/>
        </w:rPr>
        <w:t xml:space="preserve">. In fact, taking Otto’s distinction, I felt the sacred, but not the numinous, as my fascination was but rational and felt not taken by the irrational. However, returning </w:t>
      </w:r>
      <w:r w:rsidR="007A1CC2" w:rsidRPr="007A1CC2">
        <w:rPr>
          <w:rFonts w:ascii="Garamond" w:hAnsi="Garamond"/>
          <w:lang w:val="en-US"/>
        </w:rPr>
        <w:t xml:space="preserve">a month and a half </w:t>
      </w:r>
      <w:r>
        <w:rPr>
          <w:rFonts w:ascii="Garamond" w:hAnsi="Garamond"/>
          <w:lang w:val="en-US"/>
        </w:rPr>
        <w:t xml:space="preserve">later to the church, after studying, my intellectual awe somehow managed to </w:t>
      </w:r>
      <w:r w:rsidR="007A1CC2" w:rsidRPr="007A1CC2">
        <w:rPr>
          <w:rFonts w:ascii="Garamond" w:hAnsi="Garamond"/>
          <w:lang w:val="en-US"/>
        </w:rPr>
        <w:t xml:space="preserve">be infused </w:t>
      </w:r>
      <w:r>
        <w:rPr>
          <w:rFonts w:ascii="Garamond" w:hAnsi="Garamond"/>
          <w:lang w:val="en-US"/>
        </w:rPr>
        <w:t xml:space="preserve">with a different feeling I recon as spiritual. I was ‘alone’ while photographing the church, taking my time, and the quietness, </w:t>
      </w:r>
      <w:r w:rsidR="007A1CC2" w:rsidRPr="007A1CC2">
        <w:rPr>
          <w:rFonts w:ascii="Garamond" w:hAnsi="Garamond"/>
          <w:lang w:val="en-US"/>
        </w:rPr>
        <w:t>an undefined sense of absence</w:t>
      </w:r>
      <w:r>
        <w:rPr>
          <w:rFonts w:ascii="Garamond" w:hAnsi="Garamond"/>
          <w:lang w:val="en-US"/>
        </w:rPr>
        <w:t xml:space="preserve">, the light, invaded me and triggered a sense of peace, of wanting to extend that moment, I wished I could stay and really be alone, with no pressure to leave. I recognized the feeling I had when being in other more </w:t>
      </w:r>
      <w:r w:rsidR="007A1CC2" w:rsidRPr="007A1CC2">
        <w:rPr>
          <w:rFonts w:ascii="Garamond" w:hAnsi="Garamond"/>
          <w:lang w:val="en-US"/>
        </w:rPr>
        <w:t xml:space="preserve">traditionally-shaped </w:t>
      </w:r>
      <w:r>
        <w:rPr>
          <w:rFonts w:ascii="Garamond" w:hAnsi="Garamond"/>
          <w:lang w:val="en-US"/>
        </w:rPr>
        <w:t xml:space="preserve">churches, where one can enter </w:t>
      </w:r>
      <w:r w:rsidRPr="007768F5">
        <w:rPr>
          <w:rFonts w:ascii="Garamond" w:hAnsi="Garamond"/>
          <w:lang w:val="en-US"/>
        </w:rPr>
        <w:t>whenever wants. If only I could stay…</w:t>
      </w:r>
    </w:p>
    <w:p w:rsidR="00582FDE" w:rsidRPr="007768F5" w:rsidRDefault="00582FDE" w:rsidP="007C19D5">
      <w:pPr>
        <w:spacing w:line="360" w:lineRule="auto"/>
        <w:jc w:val="both"/>
        <w:rPr>
          <w:rFonts w:ascii="Garamond" w:hAnsi="Garamond"/>
          <w:lang w:val="en-US"/>
        </w:rPr>
      </w:pPr>
    </w:p>
    <w:p w:rsidR="00582FDE" w:rsidRPr="007768F5" w:rsidRDefault="00582FDE" w:rsidP="007C19D5">
      <w:pPr>
        <w:spacing w:line="360" w:lineRule="auto"/>
        <w:ind w:firstLine="708"/>
        <w:jc w:val="both"/>
        <w:rPr>
          <w:rFonts w:ascii="Garamond" w:hAnsi="Garamond"/>
          <w:b/>
          <w:bCs/>
          <w:sz w:val="28"/>
          <w:szCs w:val="28"/>
          <w:lang w:val="en-US"/>
        </w:rPr>
      </w:pPr>
      <w:r w:rsidRPr="007768F5">
        <w:rPr>
          <w:rFonts w:ascii="Garamond" w:hAnsi="Garamond"/>
          <w:b/>
          <w:bCs/>
          <w:sz w:val="28"/>
          <w:szCs w:val="28"/>
          <w:lang w:val="en-US"/>
        </w:rPr>
        <w:t>A house</w:t>
      </w:r>
      <w:r w:rsidRPr="007768F5">
        <w:rPr>
          <w:rFonts w:ascii="Garamond" w:hAnsi="Garamond"/>
          <w:b/>
          <w:bCs/>
          <w:i/>
          <w:iCs/>
          <w:sz w:val="28"/>
          <w:szCs w:val="28"/>
          <w:lang w:val="en-US"/>
        </w:rPr>
        <w:t xml:space="preserve"> ‘</w:t>
      </w:r>
      <w:r w:rsidR="007768F5" w:rsidRPr="007768F5">
        <w:rPr>
          <w:rFonts w:ascii="Garamond" w:hAnsi="Garamond"/>
          <w:b/>
          <w:bCs/>
          <w:i/>
          <w:iCs/>
          <w:sz w:val="28"/>
          <w:szCs w:val="28"/>
          <w:lang w:val="en-US"/>
        </w:rPr>
        <w:t xml:space="preserve">different from </w:t>
      </w:r>
      <w:r w:rsidRPr="007768F5">
        <w:rPr>
          <w:rFonts w:ascii="Garamond" w:hAnsi="Garamond"/>
          <w:b/>
          <w:bCs/>
          <w:i/>
          <w:iCs/>
          <w:sz w:val="28"/>
          <w:szCs w:val="28"/>
          <w:lang w:val="en-US"/>
        </w:rPr>
        <w:t>any house’</w:t>
      </w:r>
      <w:r w:rsidR="00F25D56">
        <w:rPr>
          <w:rFonts w:ascii="Garamond" w:hAnsi="Garamond"/>
          <w:b/>
          <w:bCs/>
          <w:i/>
          <w:iCs/>
          <w:sz w:val="28"/>
          <w:szCs w:val="28"/>
          <w:lang w:val="en-US"/>
        </w:rPr>
        <w:t xml:space="preserve"> </w:t>
      </w:r>
      <w:r w:rsidR="00F25D56" w:rsidRPr="00F25D56">
        <w:rPr>
          <w:rFonts w:ascii="Garamond" w:hAnsi="Garamond"/>
          <w:sz w:val="28"/>
          <w:szCs w:val="28"/>
          <w:lang w:val="en-US"/>
        </w:rPr>
        <w:t>(fig.</w:t>
      </w:r>
      <w:r w:rsidR="00F25D56">
        <w:rPr>
          <w:rFonts w:ascii="Garamond" w:hAnsi="Garamond"/>
          <w:sz w:val="28"/>
          <w:szCs w:val="28"/>
          <w:lang w:val="en-US"/>
        </w:rPr>
        <w:t>2</w:t>
      </w:r>
      <w:r w:rsidR="00F25D56" w:rsidRPr="00F25D56">
        <w:rPr>
          <w:rFonts w:ascii="Garamond" w:hAnsi="Garamond"/>
          <w:sz w:val="28"/>
          <w:szCs w:val="28"/>
          <w:lang w:val="en-US"/>
        </w:rPr>
        <w:t>)</w:t>
      </w:r>
    </w:p>
    <w:p w:rsidR="00582FDE" w:rsidRPr="00514DA1" w:rsidRDefault="00582FDE" w:rsidP="007C19D5">
      <w:pPr>
        <w:spacing w:line="360" w:lineRule="auto"/>
        <w:jc w:val="both"/>
        <w:rPr>
          <w:rFonts w:ascii="Garamond" w:hAnsi="Garamond"/>
        </w:rPr>
      </w:pPr>
      <w:r w:rsidRPr="007768F5">
        <w:rPr>
          <w:rFonts w:ascii="Garamond" w:hAnsi="Garamond"/>
        </w:rPr>
        <w:t xml:space="preserve">When asked, in 2019, if ‘designing a house of God is different from designing a house?’ Siza replied: ‘It is a house. It is basically a house. But then, by the references that motivate, [by] the relationships, it becomes something different from any </w:t>
      </w:r>
      <w:r w:rsidR="007768F5">
        <w:rPr>
          <w:rFonts w:ascii="Garamond" w:hAnsi="Garamond"/>
        </w:rPr>
        <w:t>house</w:t>
      </w:r>
      <w:r w:rsidRPr="007768F5">
        <w:rPr>
          <w:rFonts w:ascii="Garamond" w:hAnsi="Garamond"/>
        </w:rPr>
        <w:t>. No doubt’.</w:t>
      </w:r>
      <w:r w:rsidRPr="007768F5">
        <w:rPr>
          <w:rStyle w:val="Refdenotaderodap"/>
          <w:rFonts w:ascii="Garamond" w:hAnsi="Garamond"/>
          <w:lang w:val="pt-PT"/>
        </w:rPr>
        <w:footnoteReference w:id="34"/>
      </w:r>
    </w:p>
    <w:p w:rsidR="00582FDE" w:rsidRPr="007768F5" w:rsidRDefault="00582FDE" w:rsidP="007C19D5">
      <w:pPr>
        <w:spacing w:line="360" w:lineRule="auto"/>
        <w:jc w:val="both"/>
        <w:rPr>
          <w:rFonts w:ascii="Garamond" w:hAnsi="Garamond"/>
          <w:lang w:val="en-US"/>
        </w:rPr>
      </w:pPr>
      <w:r>
        <w:rPr>
          <w:rFonts w:ascii="Garamond" w:hAnsi="Garamond"/>
          <w:lang w:val="en-US"/>
        </w:rPr>
        <w:lastRenderedPageBreak/>
        <w:t>I</w:t>
      </w:r>
      <w:r w:rsidRPr="00514DA1">
        <w:rPr>
          <w:rFonts w:ascii="Garamond" w:hAnsi="Garamond"/>
          <w:lang w:val="en-US"/>
        </w:rPr>
        <w:t xml:space="preserve">nterview </w:t>
      </w:r>
      <w:r>
        <w:rPr>
          <w:rFonts w:ascii="Garamond" w:hAnsi="Garamond"/>
          <w:lang w:val="en-US"/>
        </w:rPr>
        <w:t>by</w:t>
      </w:r>
      <w:r w:rsidRPr="00514DA1">
        <w:rPr>
          <w:rFonts w:ascii="Garamond" w:hAnsi="Garamond"/>
          <w:lang w:val="en-US"/>
        </w:rPr>
        <w:t xml:space="preserve"> Dominique Machabert, </w:t>
      </w:r>
      <w:r>
        <w:rPr>
          <w:rFonts w:ascii="Garamond" w:hAnsi="Garamond"/>
          <w:lang w:val="en-US"/>
        </w:rPr>
        <w:t>i</w:t>
      </w:r>
      <w:r w:rsidRPr="00514DA1">
        <w:rPr>
          <w:rFonts w:ascii="Garamond" w:hAnsi="Garamond"/>
          <w:lang w:val="en-US"/>
        </w:rPr>
        <w:t xml:space="preserve">n 2008, </w:t>
      </w:r>
      <w:r>
        <w:rPr>
          <w:rFonts w:ascii="Garamond" w:hAnsi="Garamond"/>
          <w:lang w:val="en-US"/>
        </w:rPr>
        <w:t>Siza</w:t>
      </w:r>
      <w:r w:rsidRPr="00514DA1">
        <w:rPr>
          <w:rFonts w:ascii="Garamond" w:hAnsi="Garamond"/>
          <w:lang w:val="en-US"/>
        </w:rPr>
        <w:t xml:space="preserve"> </w:t>
      </w:r>
      <w:r w:rsidR="007A1CC2" w:rsidRPr="007A1CC2">
        <w:rPr>
          <w:rFonts w:ascii="Garamond" w:hAnsi="Garamond"/>
          <w:lang w:val="en-US"/>
        </w:rPr>
        <w:t xml:space="preserve">states </w:t>
      </w:r>
      <w:r w:rsidRPr="00514DA1">
        <w:rPr>
          <w:rFonts w:ascii="Garamond" w:hAnsi="Garamond"/>
          <w:lang w:val="en-US"/>
        </w:rPr>
        <w:t>the two aspects to which a church space must respond are its ability to</w:t>
      </w:r>
      <w:r>
        <w:rPr>
          <w:rFonts w:ascii="Garamond" w:hAnsi="Garamond"/>
          <w:lang w:val="en-US"/>
        </w:rPr>
        <w:t xml:space="preserve"> ‘</w:t>
      </w:r>
      <w:r w:rsidRPr="007768F5">
        <w:rPr>
          <w:rFonts w:ascii="Garamond" w:hAnsi="Garamond"/>
          <w:lang w:val="en-US"/>
        </w:rPr>
        <w:t>simultaneously awakening a feeling of human congregation, and a feeling suitable for recollection and intimacy’.</w:t>
      </w:r>
      <w:r w:rsidRPr="007768F5">
        <w:rPr>
          <w:rStyle w:val="Refdenotaderodap"/>
          <w:rFonts w:ascii="Garamond" w:hAnsi="Garamond"/>
          <w:lang w:val="pt-PT"/>
        </w:rPr>
        <w:footnoteReference w:id="35"/>
      </w:r>
    </w:p>
    <w:p w:rsidR="00582FDE" w:rsidRPr="007768F5" w:rsidRDefault="00582FDE" w:rsidP="007C19D5">
      <w:pPr>
        <w:spacing w:line="360" w:lineRule="auto"/>
        <w:jc w:val="both"/>
        <w:rPr>
          <w:rFonts w:ascii="Garamond" w:hAnsi="Garamond"/>
          <w:lang w:val="en-US"/>
        </w:rPr>
      </w:pPr>
      <w:r w:rsidRPr="007768F5">
        <w:rPr>
          <w:rFonts w:ascii="Garamond" w:hAnsi="Garamond"/>
          <w:lang w:val="en-US"/>
        </w:rPr>
        <w:t xml:space="preserve">Both </w:t>
      </w:r>
      <w:r w:rsidR="007A1CC2" w:rsidRPr="007768F5">
        <w:rPr>
          <w:rFonts w:ascii="Garamond" w:hAnsi="Garamond"/>
          <w:lang w:val="en-US"/>
        </w:rPr>
        <w:t xml:space="preserve">assertions </w:t>
      </w:r>
      <w:r w:rsidRPr="007768F5">
        <w:rPr>
          <w:rFonts w:ascii="Garamond" w:hAnsi="Garamond"/>
          <w:lang w:val="en-US"/>
        </w:rPr>
        <w:t xml:space="preserve">show that Siza considers the project of a church </w:t>
      </w:r>
      <w:r w:rsidR="007A1CC2" w:rsidRPr="007768F5">
        <w:rPr>
          <w:rFonts w:ascii="Garamond" w:hAnsi="Garamond"/>
          <w:lang w:val="en-US"/>
        </w:rPr>
        <w:t xml:space="preserve">the same as </w:t>
      </w:r>
      <w:r w:rsidRPr="007768F5">
        <w:rPr>
          <w:rFonts w:ascii="Garamond" w:hAnsi="Garamond"/>
          <w:lang w:val="en-US"/>
        </w:rPr>
        <w:t xml:space="preserve">any other: it addresses </w:t>
      </w:r>
      <w:r w:rsidR="007A1CC2" w:rsidRPr="007768F5">
        <w:rPr>
          <w:rFonts w:ascii="Garamond" w:hAnsi="Garamond"/>
          <w:color w:val="FF0000"/>
          <w:lang w:val="en-US"/>
        </w:rPr>
        <w:t xml:space="preserve">a </w:t>
      </w:r>
      <w:r w:rsidR="007A1CC2" w:rsidRPr="007768F5">
        <w:rPr>
          <w:rFonts w:ascii="Garamond" w:hAnsi="Garamond"/>
          <w:lang w:val="en-US"/>
        </w:rPr>
        <w:t xml:space="preserve">brief </w:t>
      </w:r>
      <w:r w:rsidRPr="007768F5">
        <w:rPr>
          <w:rFonts w:ascii="Garamond" w:hAnsi="Garamond"/>
          <w:lang w:val="en-US"/>
        </w:rPr>
        <w:t>within a particular context, just like ‘a hospital or a school’.</w:t>
      </w:r>
      <w:r w:rsidRPr="007768F5">
        <w:rPr>
          <w:rStyle w:val="Refdenotaderodap"/>
          <w:rFonts w:ascii="Garamond" w:hAnsi="Garamond"/>
          <w:lang w:val="pt-PT"/>
        </w:rPr>
        <w:footnoteReference w:id="36"/>
      </w:r>
    </w:p>
    <w:p w:rsidR="00582FDE" w:rsidRPr="007768F5" w:rsidRDefault="007A1CC2" w:rsidP="007C19D5">
      <w:pPr>
        <w:spacing w:line="360" w:lineRule="auto"/>
        <w:jc w:val="both"/>
        <w:rPr>
          <w:rFonts w:ascii="Garamond" w:hAnsi="Garamond"/>
          <w:lang w:val="en-US"/>
        </w:rPr>
      </w:pPr>
      <w:r w:rsidRPr="007768F5">
        <w:rPr>
          <w:rFonts w:ascii="Garamond" w:hAnsi="Garamond"/>
          <w:lang w:val="en-US"/>
        </w:rPr>
        <w:t>Notwithstanding</w:t>
      </w:r>
      <w:r w:rsidR="00582FDE" w:rsidRPr="007768F5">
        <w:rPr>
          <w:rFonts w:ascii="Garamond" w:hAnsi="Garamond"/>
          <w:lang w:val="en-US"/>
        </w:rPr>
        <w:t xml:space="preserve">, when, at the opening of Santa Maria’s church (1996), journalists asked Siza if he was atheist, </w:t>
      </w:r>
      <w:r w:rsidRPr="007768F5">
        <w:rPr>
          <w:rFonts w:ascii="Garamond" w:hAnsi="Garamond"/>
          <w:lang w:val="en-US"/>
        </w:rPr>
        <w:t>while declining to answer, de did say</w:t>
      </w:r>
      <w:r w:rsidR="00582FDE" w:rsidRPr="007768F5">
        <w:rPr>
          <w:rFonts w:ascii="Garamond" w:hAnsi="Garamond"/>
          <w:lang w:val="en-US"/>
        </w:rPr>
        <w:t>:</w:t>
      </w:r>
    </w:p>
    <w:p w:rsidR="00582FDE" w:rsidRPr="007768F5" w:rsidRDefault="00582FDE" w:rsidP="007C19D5">
      <w:pPr>
        <w:spacing w:line="360" w:lineRule="auto"/>
        <w:ind w:left="567"/>
        <w:jc w:val="both"/>
        <w:rPr>
          <w:rFonts w:ascii="Garamond" w:hAnsi="Garamond"/>
          <w:sz w:val="20"/>
          <w:szCs w:val="20"/>
          <w:lang w:val="en-US"/>
        </w:rPr>
      </w:pPr>
      <w:r w:rsidRPr="007768F5">
        <w:rPr>
          <w:rFonts w:ascii="Garamond" w:hAnsi="Garamond"/>
          <w:sz w:val="20"/>
          <w:szCs w:val="20"/>
          <w:lang w:val="en-US"/>
        </w:rPr>
        <w:t>…there is something that can be called religiosity in all architecture. Religiosity in the sense of atmosphere, comfort, connection with everything. Architecture has that, regardless of whether it is a church. Do not forget that a house</w:t>
      </w:r>
      <w:r w:rsidRPr="007768F5">
        <w:rPr>
          <w:rFonts w:ascii="Garamond" w:hAnsi="Garamond"/>
          <w:color w:val="FF0000"/>
          <w:sz w:val="20"/>
          <w:szCs w:val="20"/>
          <w:lang w:val="en-US"/>
        </w:rPr>
        <w:t xml:space="preserve"> </w:t>
      </w:r>
      <w:r w:rsidRPr="007768F5">
        <w:rPr>
          <w:rFonts w:ascii="Garamond" w:hAnsi="Garamond"/>
          <w:sz w:val="20"/>
          <w:szCs w:val="20"/>
          <w:lang w:val="en-US"/>
        </w:rPr>
        <w:t>is a shelter, a place of intimacy and retreat. A church is called the house of God. It is inherent to architecture that component of silence, protection, community.</w:t>
      </w:r>
      <w:r w:rsidRPr="007768F5">
        <w:rPr>
          <w:rStyle w:val="Refdenotaderodap"/>
          <w:rFonts w:ascii="Garamond" w:hAnsi="Garamond"/>
          <w:sz w:val="20"/>
          <w:szCs w:val="20"/>
          <w:lang w:val="pt-PT"/>
        </w:rPr>
        <w:footnoteReference w:id="37"/>
      </w:r>
    </w:p>
    <w:p w:rsidR="00582FDE" w:rsidRDefault="00582FDE" w:rsidP="007C19D5">
      <w:pPr>
        <w:spacing w:line="360" w:lineRule="auto"/>
        <w:jc w:val="both"/>
        <w:rPr>
          <w:rFonts w:ascii="Garamond" w:hAnsi="Garamond"/>
          <w:lang w:val="en-US"/>
        </w:rPr>
      </w:pPr>
      <w:r w:rsidRPr="007768F5">
        <w:rPr>
          <w:rFonts w:ascii="Garamond" w:hAnsi="Garamond"/>
          <w:lang w:val="en-US"/>
        </w:rPr>
        <w:t>Martin Heidegger's text 'Building Dwelling Thinking' comes to mind, with Siza's words echoing his reference to ‘primal oneness’ – ‘earth, sky, divinities and mortals together in one’.</w:t>
      </w:r>
      <w:r w:rsidRPr="007768F5">
        <w:rPr>
          <w:rStyle w:val="Refdenotaderodap"/>
          <w:rFonts w:ascii="Garamond" w:hAnsi="Garamond"/>
          <w:lang w:val="pt-PT"/>
        </w:rPr>
        <w:footnoteReference w:id="38"/>
      </w:r>
      <w:r w:rsidRPr="007768F5">
        <w:rPr>
          <w:rFonts w:ascii="Garamond" w:hAnsi="Garamond"/>
          <w:lang w:val="en-US"/>
        </w:rPr>
        <w:t xml:space="preserve"> This original unity is contained in </w:t>
      </w:r>
      <w:r w:rsidRPr="007768F5">
        <w:rPr>
          <w:rFonts w:ascii="Garamond" w:hAnsi="Garamond"/>
          <w:i/>
          <w:iCs/>
          <w:lang w:val="en-US"/>
        </w:rPr>
        <w:t>dwelling</w:t>
      </w:r>
      <w:r w:rsidRPr="007768F5">
        <w:rPr>
          <w:rFonts w:ascii="Garamond" w:hAnsi="Garamond"/>
          <w:lang w:val="en-US"/>
        </w:rPr>
        <w:t xml:space="preserve">, this being the essence of </w:t>
      </w:r>
      <w:r w:rsidRPr="007768F5">
        <w:rPr>
          <w:rFonts w:ascii="Garamond" w:hAnsi="Garamond"/>
          <w:i/>
          <w:iCs/>
          <w:lang w:val="en-US"/>
        </w:rPr>
        <w:t>building</w:t>
      </w:r>
      <w:r w:rsidRPr="007768F5">
        <w:rPr>
          <w:rFonts w:ascii="Garamond" w:hAnsi="Garamond"/>
          <w:lang w:val="en-US"/>
        </w:rPr>
        <w:t xml:space="preserve"> – ‘all building is in itself a dwelling’, as Heidegger states. Thus framed, Siza's sentence seems to fit him into a spirituality that, despite never serving as a justification for his design options, still is apparent in th</w:t>
      </w:r>
      <w:r w:rsidR="007A1CC2" w:rsidRPr="007768F5">
        <w:rPr>
          <w:rFonts w:ascii="Garamond" w:hAnsi="Garamond"/>
          <w:lang w:val="en-US"/>
        </w:rPr>
        <w:t>is c</w:t>
      </w:r>
      <w:r w:rsidRPr="007768F5">
        <w:rPr>
          <w:rFonts w:ascii="Garamond" w:hAnsi="Garamond"/>
          <w:lang w:val="en-US"/>
        </w:rPr>
        <w:t>hurch.</w:t>
      </w:r>
    </w:p>
    <w:p w:rsidR="00064021" w:rsidRPr="007768F5" w:rsidRDefault="00064021" w:rsidP="007C19D5">
      <w:pPr>
        <w:spacing w:line="360" w:lineRule="auto"/>
        <w:jc w:val="both"/>
        <w:rPr>
          <w:rFonts w:ascii="Garamond" w:hAnsi="Garamond"/>
          <w:lang w:val="en-US"/>
        </w:rPr>
      </w:pPr>
    </w:p>
    <w:p w:rsidR="00064021" w:rsidRDefault="00064021" w:rsidP="00064021">
      <w:pPr>
        <w:keepNext/>
        <w:jc w:val="center"/>
      </w:pPr>
      <w:bookmarkStart w:id="8" w:name="_Hlk60574540"/>
      <w:r w:rsidRPr="00064021">
        <w:rPr>
          <w:noProof/>
        </w:rPr>
        <w:drawing>
          <wp:inline distT="0" distB="0" distL="0" distR="0" wp14:anchorId="111E74AB" wp14:editId="586E90EC">
            <wp:extent cx="4572000" cy="3050386"/>
            <wp:effectExtent l="0" t="0" r="0" b="0"/>
            <wp:docPr id="11"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000" cy="3050386"/>
                    </a:xfrm>
                    <a:prstGeom prst="rect">
                      <a:avLst/>
                    </a:prstGeom>
                  </pic:spPr>
                </pic:pic>
              </a:graphicData>
            </a:graphic>
          </wp:inline>
        </w:drawing>
      </w:r>
    </w:p>
    <w:p w:rsidR="00582FDE" w:rsidRPr="00FA358A" w:rsidRDefault="00064021" w:rsidP="00064021">
      <w:pPr>
        <w:pStyle w:val="Legenda"/>
        <w:jc w:val="center"/>
        <w:rPr>
          <w:rFonts w:ascii="Garamond" w:hAnsi="Garamond"/>
          <w:b/>
          <w:bCs/>
          <w:lang w:val="en-US"/>
        </w:rPr>
      </w:pPr>
      <w:r>
        <w:t xml:space="preserve">Figura </w:t>
      </w:r>
      <w:r>
        <w:fldChar w:fldCharType="begin"/>
      </w:r>
      <w:r>
        <w:instrText xml:space="preserve"> SEQ Figura \* ARABIC </w:instrText>
      </w:r>
      <w:r>
        <w:fldChar w:fldCharType="separate"/>
      </w:r>
      <w:r w:rsidR="00FA358A">
        <w:rPr>
          <w:noProof/>
        </w:rPr>
        <w:t>2</w:t>
      </w:r>
      <w:r>
        <w:fldChar w:fldCharType="end"/>
      </w:r>
    </w:p>
    <w:p w:rsidR="00064021" w:rsidRDefault="00064021" w:rsidP="007C19D5">
      <w:pPr>
        <w:spacing w:line="360" w:lineRule="auto"/>
        <w:ind w:firstLine="708"/>
        <w:jc w:val="both"/>
        <w:rPr>
          <w:rFonts w:ascii="Garamond" w:hAnsi="Garamond"/>
          <w:b/>
          <w:bCs/>
          <w:sz w:val="28"/>
          <w:szCs w:val="28"/>
          <w:lang w:val="en-US"/>
        </w:rPr>
      </w:pPr>
    </w:p>
    <w:p w:rsidR="00582FDE" w:rsidRDefault="00582FDE" w:rsidP="007C19D5">
      <w:pPr>
        <w:spacing w:line="360" w:lineRule="auto"/>
        <w:ind w:firstLine="708"/>
        <w:jc w:val="both"/>
        <w:rPr>
          <w:rFonts w:ascii="Garamond" w:hAnsi="Garamond"/>
          <w:b/>
          <w:bCs/>
          <w:i/>
          <w:iCs/>
          <w:sz w:val="28"/>
          <w:szCs w:val="28"/>
          <w:lang w:val="en-US"/>
        </w:rPr>
      </w:pPr>
      <w:r w:rsidRPr="007768F5">
        <w:rPr>
          <w:rFonts w:ascii="Garamond" w:hAnsi="Garamond"/>
          <w:b/>
          <w:bCs/>
          <w:sz w:val="28"/>
          <w:szCs w:val="28"/>
          <w:lang w:val="en-US"/>
        </w:rPr>
        <w:lastRenderedPageBreak/>
        <w:t xml:space="preserve">Approaching the </w:t>
      </w:r>
      <w:bookmarkEnd w:id="8"/>
      <w:r w:rsidRPr="007768F5">
        <w:rPr>
          <w:rFonts w:ascii="Garamond" w:hAnsi="Garamond"/>
          <w:b/>
          <w:bCs/>
          <w:i/>
          <w:iCs/>
          <w:sz w:val="28"/>
          <w:szCs w:val="28"/>
          <w:lang w:val="en-US"/>
        </w:rPr>
        <w:t>house</w:t>
      </w:r>
      <w:r w:rsidR="00F25D56">
        <w:rPr>
          <w:rFonts w:ascii="Garamond" w:hAnsi="Garamond"/>
          <w:b/>
          <w:bCs/>
          <w:i/>
          <w:iCs/>
          <w:sz w:val="28"/>
          <w:szCs w:val="28"/>
          <w:lang w:val="en-US"/>
        </w:rPr>
        <w:t xml:space="preserve"> </w:t>
      </w:r>
      <w:r w:rsidR="00F25D56" w:rsidRPr="00F25D56">
        <w:rPr>
          <w:rFonts w:ascii="Garamond" w:hAnsi="Garamond"/>
          <w:sz w:val="28"/>
          <w:szCs w:val="28"/>
          <w:lang w:val="en-US"/>
        </w:rPr>
        <w:t>(fig.</w:t>
      </w:r>
      <w:r w:rsidR="00F25D56">
        <w:rPr>
          <w:rFonts w:ascii="Garamond" w:hAnsi="Garamond"/>
          <w:sz w:val="28"/>
          <w:szCs w:val="28"/>
          <w:lang w:val="en-US"/>
        </w:rPr>
        <w:t>3</w:t>
      </w:r>
      <w:r w:rsidR="00F25D56" w:rsidRPr="00F25D56">
        <w:rPr>
          <w:rFonts w:ascii="Garamond" w:hAnsi="Garamond"/>
          <w:sz w:val="28"/>
          <w:szCs w:val="28"/>
          <w:lang w:val="en-US"/>
        </w:rPr>
        <w:t>)</w:t>
      </w:r>
    </w:p>
    <w:p w:rsidR="00582FDE" w:rsidRDefault="00582FDE" w:rsidP="007C19D5">
      <w:pPr>
        <w:spacing w:line="360" w:lineRule="auto"/>
        <w:jc w:val="both"/>
        <w:rPr>
          <w:rFonts w:ascii="Garamond" w:hAnsi="Garamond"/>
          <w:lang w:val="en-US"/>
        </w:rPr>
      </w:pPr>
      <w:r w:rsidRPr="007768F5">
        <w:rPr>
          <w:rFonts w:ascii="Garamond" w:hAnsi="Garamond"/>
          <w:lang w:val="en-US"/>
        </w:rPr>
        <w:t xml:space="preserve">The church sits on a granite platform – a ‘built nature’, in Siza’s own words and </w:t>
      </w:r>
      <w:r w:rsidR="007A1CC2" w:rsidRPr="007768F5">
        <w:rPr>
          <w:rFonts w:ascii="Garamond" w:hAnsi="Garamond"/>
          <w:lang w:val="en-US"/>
        </w:rPr>
        <w:t>an organizing topographical design feature</w:t>
      </w:r>
      <w:r w:rsidRPr="007768F5">
        <w:rPr>
          <w:rFonts w:ascii="Garamond" w:hAnsi="Garamond"/>
          <w:lang w:val="en-US"/>
        </w:rPr>
        <w:t>; he also called it an acropolis when justifying the creation of the churchyard</w:t>
      </w:r>
      <w:r w:rsidRPr="007768F5">
        <w:rPr>
          <w:rStyle w:val="Refdenotaderodap"/>
          <w:rFonts w:ascii="Garamond" w:hAnsi="Garamond"/>
          <w:lang w:val="en-US"/>
        </w:rPr>
        <w:footnoteReference w:id="39"/>
      </w:r>
      <w:r w:rsidRPr="007768F5">
        <w:rPr>
          <w:rFonts w:ascii="Garamond" w:hAnsi="Garamond"/>
          <w:lang w:val="en-US"/>
        </w:rPr>
        <w:t xml:space="preserve"> – the meeting point between church, village and landscape and ‘the protagonist of the entire project’, as he stated when interviewed by William Curtis.</w:t>
      </w:r>
      <w:r w:rsidRPr="007768F5">
        <w:rPr>
          <w:rStyle w:val="Refdenotaderodap"/>
          <w:rFonts w:ascii="Garamond" w:hAnsi="Garamond"/>
          <w:lang w:val="en-US"/>
        </w:rPr>
        <w:footnoteReference w:id="40"/>
      </w:r>
      <w:r w:rsidRPr="007768F5">
        <w:rPr>
          <w:rFonts w:ascii="Garamond" w:hAnsi="Garamond"/>
          <w:lang w:val="en-US"/>
        </w:rPr>
        <w:t xml:space="preserve"> At the laying of the church's first stone, in 1992, the theologian Arnaldo de Pinho addressed it as the ‘top of this hill that opens to other hills’.</w:t>
      </w:r>
      <w:r w:rsidRPr="007768F5">
        <w:rPr>
          <w:rStyle w:val="Refdenotaderodap"/>
          <w:rFonts w:ascii="Garamond" w:hAnsi="Garamond"/>
          <w:lang w:val="en-US"/>
        </w:rPr>
        <w:footnoteReference w:id="41"/>
      </w:r>
      <w:r w:rsidRPr="007768F5">
        <w:rPr>
          <w:rFonts w:ascii="Garamond" w:hAnsi="Garamond"/>
          <w:lang w:val="en-US"/>
        </w:rPr>
        <w:t xml:space="preserve"> The relationship between the church and the platform was further described by Matilde Pessanha: ‘like a rock, a stone, like a mountain rising from the earth, rising to heaven, light and transcendence’.</w:t>
      </w:r>
      <w:r w:rsidRPr="007768F5">
        <w:rPr>
          <w:rStyle w:val="Refdenotaderodap"/>
          <w:rFonts w:ascii="Garamond" w:hAnsi="Garamond"/>
          <w:lang w:val="en-US"/>
        </w:rPr>
        <w:footnoteReference w:id="42"/>
      </w:r>
      <w:r w:rsidRPr="007768F5">
        <w:rPr>
          <w:rFonts w:ascii="Garamond" w:hAnsi="Garamond"/>
        </w:rPr>
        <w:t xml:space="preserve"> </w:t>
      </w:r>
      <w:r w:rsidR="007A1CC2" w:rsidRPr="007768F5">
        <w:rPr>
          <w:rFonts w:ascii="Garamond" w:hAnsi="Garamond"/>
          <w:lang w:val="en-US"/>
        </w:rPr>
        <w:t xml:space="preserve">One is reminded of the </w:t>
      </w:r>
      <w:r w:rsidRPr="007768F5">
        <w:rPr>
          <w:rFonts w:ascii="Garamond" w:hAnsi="Garamond"/>
          <w:i/>
          <w:iCs/>
          <w:lang w:val="en-US"/>
        </w:rPr>
        <w:t>axis mundi</w:t>
      </w:r>
      <w:r w:rsidRPr="007768F5">
        <w:rPr>
          <w:rFonts w:ascii="Garamond" w:hAnsi="Garamond"/>
          <w:lang w:val="en-US"/>
        </w:rPr>
        <w:t xml:space="preserve"> related to the religious or cosmological image of the </w:t>
      </w:r>
      <w:r w:rsidRPr="007768F5">
        <w:rPr>
          <w:rFonts w:ascii="Garamond" w:hAnsi="Garamond"/>
          <w:i/>
          <w:iCs/>
          <w:lang w:val="en-US"/>
        </w:rPr>
        <w:t>mountain</w:t>
      </w:r>
      <w:r w:rsidRPr="007768F5">
        <w:rPr>
          <w:rFonts w:ascii="Garamond" w:hAnsi="Garamond"/>
          <w:lang w:val="en-US"/>
        </w:rPr>
        <w:t xml:space="preserve"> by,</w:t>
      </w:r>
      <w:r w:rsidRPr="007768F5">
        <w:rPr>
          <w:rStyle w:val="Refdenotaderodap"/>
          <w:rFonts w:ascii="Garamond" w:hAnsi="Garamond"/>
          <w:lang w:val="en-US"/>
        </w:rPr>
        <w:footnoteReference w:id="43"/>
      </w:r>
      <w:r w:rsidRPr="007768F5">
        <w:rPr>
          <w:rFonts w:ascii="Garamond" w:hAnsi="Garamond"/>
          <w:lang w:val="en-US"/>
        </w:rPr>
        <w:t xml:space="preserve"> as the move towards the churchyard, at the top of the platform, evokes, as Nuno Higino notes, ‘a ceremonial approaching process’.</w:t>
      </w:r>
      <w:r w:rsidRPr="007768F5">
        <w:rPr>
          <w:rStyle w:val="Refdenotaderodap"/>
          <w:rFonts w:ascii="Garamond" w:hAnsi="Garamond"/>
          <w:lang w:val="en-US"/>
        </w:rPr>
        <w:footnoteReference w:id="44"/>
      </w:r>
    </w:p>
    <w:p w:rsidR="00AE5278" w:rsidRDefault="00AE5278" w:rsidP="007C19D5">
      <w:pPr>
        <w:spacing w:line="360" w:lineRule="auto"/>
        <w:jc w:val="both"/>
        <w:rPr>
          <w:rFonts w:ascii="Garamond" w:hAnsi="Garamond"/>
          <w:lang w:val="en-US"/>
        </w:rPr>
      </w:pPr>
    </w:p>
    <w:p w:rsidR="00AE5278" w:rsidRDefault="00064021" w:rsidP="00AE5278">
      <w:pPr>
        <w:keepNext/>
        <w:spacing w:line="360" w:lineRule="auto"/>
        <w:jc w:val="center"/>
      </w:pPr>
      <w:r w:rsidRPr="00055DC0">
        <w:rPr>
          <w:noProof/>
        </w:rPr>
        <w:drawing>
          <wp:inline distT="0" distB="0" distL="0" distR="0" wp14:anchorId="12A631A8" wp14:editId="0CCBC689">
            <wp:extent cx="3960000" cy="2642064"/>
            <wp:effectExtent l="0" t="0" r="2540" b="6350"/>
            <wp:docPr id="15" name="Imagem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60000" cy="2642064"/>
                    </a:xfrm>
                    <a:prstGeom prst="rect">
                      <a:avLst/>
                    </a:prstGeom>
                  </pic:spPr>
                </pic:pic>
              </a:graphicData>
            </a:graphic>
          </wp:inline>
        </w:drawing>
      </w:r>
    </w:p>
    <w:p w:rsidR="00064021" w:rsidRDefault="00AE5278" w:rsidP="00AE5278">
      <w:pPr>
        <w:pStyle w:val="Legenda"/>
        <w:jc w:val="center"/>
        <w:rPr>
          <w:rFonts w:ascii="Garamond" w:hAnsi="Garamond"/>
          <w:lang w:val="en-US"/>
        </w:rPr>
      </w:pPr>
      <w:r>
        <w:t xml:space="preserve">Figura </w:t>
      </w:r>
      <w:r>
        <w:fldChar w:fldCharType="begin"/>
      </w:r>
      <w:r>
        <w:instrText xml:space="preserve"> SEQ Figura \* ARABIC </w:instrText>
      </w:r>
      <w:r>
        <w:fldChar w:fldCharType="separate"/>
      </w:r>
      <w:r w:rsidR="00FA358A">
        <w:rPr>
          <w:noProof/>
        </w:rPr>
        <w:t>3</w:t>
      </w:r>
      <w:r>
        <w:fldChar w:fldCharType="end"/>
      </w:r>
    </w:p>
    <w:p w:rsidR="00AE5278" w:rsidRDefault="00AE5278" w:rsidP="00064021">
      <w:pPr>
        <w:spacing w:line="360" w:lineRule="auto"/>
        <w:jc w:val="center"/>
        <w:rPr>
          <w:rFonts w:ascii="Garamond" w:hAnsi="Garamond"/>
          <w:lang w:val="en-US"/>
        </w:rPr>
      </w:pPr>
    </w:p>
    <w:p w:rsidR="00AE5278" w:rsidRPr="00B51459" w:rsidRDefault="00AE5278" w:rsidP="00064021">
      <w:pPr>
        <w:spacing w:line="360" w:lineRule="auto"/>
        <w:jc w:val="center"/>
        <w:rPr>
          <w:rFonts w:ascii="Garamond" w:hAnsi="Garamond"/>
          <w:lang w:val="en-US"/>
        </w:rPr>
      </w:pPr>
    </w:p>
    <w:p w:rsidR="00582FDE" w:rsidRPr="007768F5" w:rsidRDefault="00582FDE" w:rsidP="007C19D5">
      <w:pPr>
        <w:spacing w:line="360" w:lineRule="auto"/>
        <w:ind w:firstLine="708"/>
        <w:jc w:val="both"/>
        <w:rPr>
          <w:rFonts w:ascii="Garamond" w:hAnsi="Garamond"/>
          <w:sz w:val="28"/>
          <w:szCs w:val="28"/>
          <w:lang w:val="en-US"/>
        </w:rPr>
      </w:pPr>
      <w:r w:rsidRPr="007768F5">
        <w:rPr>
          <w:rFonts w:ascii="Garamond" w:hAnsi="Garamond"/>
          <w:b/>
          <w:bCs/>
          <w:sz w:val="28"/>
          <w:szCs w:val="28"/>
          <w:lang w:val="en-US"/>
        </w:rPr>
        <w:t xml:space="preserve">Approaching the </w:t>
      </w:r>
      <w:r w:rsidRPr="007768F5">
        <w:rPr>
          <w:rFonts w:ascii="Garamond" w:hAnsi="Garamond"/>
          <w:b/>
          <w:bCs/>
          <w:i/>
          <w:iCs/>
          <w:sz w:val="28"/>
          <w:szCs w:val="28"/>
          <w:lang w:val="en-US"/>
        </w:rPr>
        <w:t>sacred</w:t>
      </w:r>
      <w:r w:rsidRPr="007768F5">
        <w:rPr>
          <w:rFonts w:ascii="Garamond" w:hAnsi="Garamond"/>
          <w:b/>
          <w:bCs/>
          <w:sz w:val="28"/>
          <w:szCs w:val="28"/>
          <w:lang w:val="en-US"/>
        </w:rPr>
        <w:t xml:space="preserve"> – the threshold</w:t>
      </w:r>
      <w:r w:rsidR="00F25D56">
        <w:rPr>
          <w:rFonts w:ascii="Garamond" w:hAnsi="Garamond"/>
          <w:b/>
          <w:bCs/>
          <w:sz w:val="28"/>
          <w:szCs w:val="28"/>
          <w:lang w:val="en-US"/>
        </w:rPr>
        <w:t xml:space="preserve"> </w:t>
      </w:r>
      <w:r w:rsidR="00F25D56" w:rsidRPr="00F25D56">
        <w:rPr>
          <w:rFonts w:ascii="Garamond" w:hAnsi="Garamond"/>
          <w:sz w:val="28"/>
          <w:szCs w:val="28"/>
          <w:lang w:val="en-US"/>
        </w:rPr>
        <w:t>(fig.</w:t>
      </w:r>
      <w:r w:rsidR="00F25D56">
        <w:rPr>
          <w:rFonts w:ascii="Garamond" w:hAnsi="Garamond"/>
          <w:sz w:val="28"/>
          <w:szCs w:val="28"/>
          <w:lang w:val="en-US"/>
        </w:rPr>
        <w:t>4</w:t>
      </w:r>
      <w:r w:rsidR="00F25D56" w:rsidRPr="00F25D56">
        <w:rPr>
          <w:rFonts w:ascii="Garamond" w:hAnsi="Garamond"/>
          <w:sz w:val="28"/>
          <w:szCs w:val="28"/>
          <w:lang w:val="en-US"/>
        </w:rPr>
        <w:t>)</w:t>
      </w:r>
    </w:p>
    <w:p w:rsidR="00582FDE" w:rsidRPr="007768F5" w:rsidRDefault="00582FDE" w:rsidP="007C19D5">
      <w:pPr>
        <w:spacing w:line="360" w:lineRule="auto"/>
        <w:jc w:val="both"/>
        <w:rPr>
          <w:rFonts w:ascii="Garamond" w:hAnsi="Garamond"/>
          <w:lang w:val="en-US"/>
        </w:rPr>
      </w:pPr>
      <w:r w:rsidRPr="007768F5">
        <w:rPr>
          <w:rFonts w:ascii="Garamond" w:hAnsi="Garamond"/>
          <w:lang w:val="en-US"/>
        </w:rPr>
        <w:t xml:space="preserve">On the top, in the churchyard, the church’s walls materialize the rupture between sacred and profane worlds – the threshold that opposes and separates the two worlds side-by-side. Two elements in particular – a tall door and a narrow window materialize the passageway as presented by Eliade, the entrance into the sacred. </w:t>
      </w:r>
    </w:p>
    <w:p w:rsidR="00582FDE" w:rsidRPr="007768F5" w:rsidRDefault="00582FDE" w:rsidP="007C19D5">
      <w:pPr>
        <w:spacing w:line="360" w:lineRule="auto"/>
        <w:jc w:val="both"/>
        <w:rPr>
          <w:rFonts w:ascii="Garamond" w:hAnsi="Garamond"/>
          <w:lang w:val="en-US"/>
        </w:rPr>
      </w:pPr>
      <w:r w:rsidRPr="007768F5">
        <w:rPr>
          <w:rFonts w:ascii="Garamond" w:hAnsi="Garamond"/>
          <w:lang w:val="en-US"/>
        </w:rPr>
        <w:lastRenderedPageBreak/>
        <w:t xml:space="preserve">The large 10m high door, in the center of a 30m square façade is the main one of these elements. It opens only on special occasions (weddings, funerals, processions), the usual entrance to the church </w:t>
      </w:r>
      <w:r w:rsidR="00794AC3" w:rsidRPr="007768F5">
        <w:rPr>
          <w:rFonts w:ascii="Garamond" w:hAnsi="Garamond"/>
          <w:lang w:val="en-US"/>
        </w:rPr>
        <w:t>being on the right-hand side</w:t>
      </w:r>
      <w:r w:rsidRPr="007768F5">
        <w:rPr>
          <w:rFonts w:ascii="Garamond" w:hAnsi="Garamond"/>
          <w:lang w:val="en-US"/>
        </w:rPr>
        <w:t>, under the belfry.</w:t>
      </w:r>
      <w:r w:rsidR="007768F5" w:rsidRPr="007768F5">
        <w:rPr>
          <w:rStyle w:val="Refdenotaderodap"/>
          <w:rFonts w:ascii="Garamond" w:hAnsi="Garamond"/>
          <w:lang w:val="en-US"/>
        </w:rPr>
        <w:t xml:space="preserve"> </w:t>
      </w:r>
      <w:r w:rsidR="007768F5" w:rsidRPr="007768F5">
        <w:rPr>
          <w:rStyle w:val="Refdenotaderodap"/>
          <w:rFonts w:ascii="Garamond" w:hAnsi="Garamond"/>
          <w:lang w:val="en-US"/>
        </w:rPr>
        <w:footnoteReference w:id="45"/>
      </w:r>
      <w:r w:rsidRPr="007768F5">
        <w:rPr>
          <w:rFonts w:ascii="Garamond" w:hAnsi="Garamond"/>
          <w:lang w:val="en-US"/>
        </w:rPr>
        <w:t xml:space="preserve"> Both actions – stopping in front of the closed door and entering on (through) the side – call for symbolic interpretation where the sacred is latent. The agency of entering “</w:t>
      </w:r>
      <w:r w:rsidR="00794AC3" w:rsidRPr="007768F5">
        <w:rPr>
          <w:rFonts w:ascii="Garamond" w:hAnsi="Garamond"/>
          <w:lang w:val="en-US"/>
        </w:rPr>
        <w:t>weighs</w:t>
      </w:r>
      <w:r w:rsidRPr="007768F5">
        <w:rPr>
          <w:rFonts w:ascii="Garamond" w:hAnsi="Garamond"/>
          <w:lang w:val="en-US"/>
        </w:rPr>
        <w:t>” as if to invite the awareness of the</w:t>
      </w:r>
      <w:r w:rsidR="00794AC3" w:rsidRPr="007768F5">
        <w:t xml:space="preserve"> </w:t>
      </w:r>
      <w:r w:rsidR="00794AC3" w:rsidRPr="007768F5">
        <w:rPr>
          <w:rFonts w:ascii="Garamond" w:hAnsi="Garamond"/>
          <w:lang w:val="en-US"/>
        </w:rPr>
        <w:t>act</w:t>
      </w:r>
      <w:r w:rsidRPr="007768F5">
        <w:rPr>
          <w:rFonts w:ascii="Garamond" w:hAnsi="Garamond"/>
          <w:lang w:val="en-US"/>
        </w:rPr>
        <w:t xml:space="preserve">, the passage from the profane space to the sacred precinct, to the </w:t>
      </w:r>
      <w:r w:rsidRPr="007768F5">
        <w:rPr>
          <w:rFonts w:ascii="Garamond" w:hAnsi="Garamond"/>
          <w:i/>
          <w:iCs/>
          <w:lang w:val="en-US"/>
        </w:rPr>
        <w:t>center</w:t>
      </w:r>
      <w:r w:rsidRPr="007768F5">
        <w:rPr>
          <w:rFonts w:ascii="Garamond" w:hAnsi="Garamond"/>
          <w:lang w:val="en-US"/>
        </w:rPr>
        <w:t xml:space="preserve">, from where communication with God becomes possible, </w:t>
      </w:r>
      <w:r w:rsidR="00794AC3" w:rsidRPr="007768F5">
        <w:rPr>
          <w:rFonts w:ascii="Garamond" w:hAnsi="Garamond"/>
          <w:lang w:val="en-US"/>
        </w:rPr>
        <w:t>according to Eliade</w:t>
      </w:r>
      <w:r w:rsidRPr="007768F5">
        <w:rPr>
          <w:rFonts w:ascii="Garamond" w:hAnsi="Garamond"/>
          <w:lang w:val="en-US"/>
        </w:rPr>
        <w:t>.</w:t>
      </w:r>
      <w:r w:rsidRPr="007768F5">
        <w:rPr>
          <w:rStyle w:val="Refdenotaderodap"/>
          <w:rFonts w:ascii="Garamond" w:hAnsi="Garamond"/>
          <w:lang w:val="en-US"/>
        </w:rPr>
        <w:footnoteReference w:id="46"/>
      </w:r>
    </w:p>
    <w:p w:rsidR="00582FDE" w:rsidRPr="0008262A" w:rsidRDefault="00582FDE" w:rsidP="007C19D5">
      <w:pPr>
        <w:spacing w:line="360" w:lineRule="auto"/>
        <w:jc w:val="both"/>
        <w:rPr>
          <w:rFonts w:ascii="Garamond" w:hAnsi="Garamond"/>
          <w:lang w:val="en-US"/>
        </w:rPr>
      </w:pPr>
      <w:r w:rsidRPr="007768F5">
        <w:rPr>
          <w:rFonts w:ascii="Garamond" w:hAnsi="Garamond"/>
          <w:lang w:val="en-US"/>
        </w:rPr>
        <w:t>Although Siza justifies the door’s height in a balanced relationship with the landscape, i.e., in functional reasons, Higino highlights its role as boundary. In the light of biblical quotations, he stresses the door’s unusualness as ‘tailored accordingly to the One who inhabits it’</w:t>
      </w:r>
      <w:r w:rsidR="007768F5" w:rsidRPr="007768F5">
        <w:rPr>
          <w:rFonts w:ascii="Garamond" w:hAnsi="Garamond"/>
          <w:lang w:val="en-US"/>
        </w:rPr>
        <w:t xml:space="preserve"> </w:t>
      </w:r>
      <w:r w:rsidRPr="007768F5">
        <w:rPr>
          <w:rFonts w:ascii="Garamond" w:hAnsi="Garamond"/>
          <w:lang w:val="en-US"/>
        </w:rPr>
        <w:t>and opening into a space of constrained tolerance: ‘Whoever crosses this door must know what is the height of tolerance: not too wide, but high enough’.</w:t>
      </w:r>
      <w:r w:rsidR="007768F5" w:rsidRPr="007768F5">
        <w:rPr>
          <w:rStyle w:val="Refdenotaderodap"/>
          <w:rFonts w:ascii="Garamond" w:hAnsi="Garamond"/>
          <w:lang w:val="en-US"/>
        </w:rPr>
        <w:footnoteReference w:id="47"/>
      </w:r>
      <w:r w:rsidRPr="007768F5">
        <w:rPr>
          <w:rFonts w:ascii="Garamond" w:hAnsi="Garamond"/>
          <w:lang w:val="en-US"/>
        </w:rPr>
        <w:t xml:space="preserve"> Additionally, the door itself symbolizes something</w:t>
      </w:r>
      <w:r w:rsidRPr="00BB1CC8">
        <w:rPr>
          <w:rFonts w:ascii="Garamond" w:hAnsi="Garamond"/>
          <w:lang w:val="en-US"/>
        </w:rPr>
        <w:t xml:space="preserve"> more for Christians, </w:t>
      </w:r>
      <w:r w:rsidRPr="0008262A">
        <w:rPr>
          <w:rFonts w:ascii="Garamond" w:hAnsi="Garamond"/>
          <w:i/>
          <w:iCs/>
          <w:lang w:val="en-US"/>
        </w:rPr>
        <w:t>salvation</w:t>
      </w:r>
      <w:r w:rsidRPr="00BB1CC8">
        <w:rPr>
          <w:rFonts w:ascii="Garamond" w:hAnsi="Garamond"/>
          <w:lang w:val="en-US"/>
        </w:rPr>
        <w:t xml:space="preserve">: </w:t>
      </w:r>
      <w:r>
        <w:rPr>
          <w:rFonts w:ascii="Garamond" w:hAnsi="Garamond"/>
          <w:lang w:val="en-US"/>
        </w:rPr>
        <w:t>‘</w:t>
      </w:r>
      <w:r w:rsidRPr="0008262A">
        <w:rPr>
          <w:rFonts w:ascii="Garamond" w:hAnsi="Garamond"/>
          <w:lang w:val="en-US"/>
        </w:rPr>
        <w:t xml:space="preserve">I am the door: by me if any man enter in, he shall be saved, and shall go </w:t>
      </w:r>
      <w:r w:rsidRPr="007768F5">
        <w:rPr>
          <w:rFonts w:ascii="Garamond" w:hAnsi="Garamond"/>
          <w:lang w:val="en-US"/>
        </w:rPr>
        <w:t>in and go out, and shall find pasture’.</w:t>
      </w:r>
      <w:r w:rsidR="00794AC3" w:rsidRPr="007768F5">
        <w:rPr>
          <w:rFonts w:ascii="Garamond" w:hAnsi="Garamond"/>
          <w:lang w:val="en-US"/>
        </w:rPr>
        <w:t xml:space="preserve"> (John, 10:9)</w:t>
      </w:r>
    </w:p>
    <w:p w:rsidR="00582FDE" w:rsidRPr="007768F5" w:rsidRDefault="00582FDE" w:rsidP="007C19D5">
      <w:pPr>
        <w:spacing w:line="360" w:lineRule="auto"/>
        <w:jc w:val="both"/>
        <w:rPr>
          <w:rFonts w:ascii="Garamond" w:hAnsi="Garamond"/>
          <w:lang w:val="en-US"/>
        </w:rPr>
      </w:pPr>
      <w:r w:rsidRPr="00241E9C">
        <w:rPr>
          <w:rFonts w:ascii="Garamond" w:hAnsi="Garamond"/>
          <w:lang w:val="en-US"/>
        </w:rPr>
        <w:t xml:space="preserve">The second </w:t>
      </w:r>
      <w:r>
        <w:rPr>
          <w:rFonts w:ascii="Garamond" w:hAnsi="Garamond"/>
          <w:lang w:val="en-US"/>
        </w:rPr>
        <w:t>threshold</w:t>
      </w:r>
      <w:r w:rsidRPr="00241E9C">
        <w:rPr>
          <w:rFonts w:ascii="Garamond" w:hAnsi="Garamond"/>
          <w:lang w:val="en-US"/>
        </w:rPr>
        <w:t xml:space="preserve"> is the narrow and </w:t>
      </w:r>
      <w:r w:rsidR="00794AC3" w:rsidRPr="00794AC3">
        <w:rPr>
          <w:rFonts w:ascii="Garamond" w:hAnsi="Garamond"/>
          <w:lang w:val="en-US"/>
        </w:rPr>
        <w:t xml:space="preserve">long </w:t>
      </w:r>
      <w:r w:rsidRPr="00241E9C">
        <w:rPr>
          <w:rFonts w:ascii="Garamond" w:hAnsi="Garamond"/>
          <w:lang w:val="en-US"/>
        </w:rPr>
        <w:t>window to the right of whoever enters. The world shows itself in this 0.</w:t>
      </w:r>
      <w:r w:rsidRPr="007768F5">
        <w:rPr>
          <w:rFonts w:ascii="Garamond" w:hAnsi="Garamond"/>
          <w:lang w:val="en-US"/>
        </w:rPr>
        <w:t>5m x 16m slot as if reminding to believers, as Higino says, that out ‘there is the meaning of their faith and mission’.</w:t>
      </w:r>
      <w:r w:rsidRPr="007768F5">
        <w:rPr>
          <w:rStyle w:val="Refdenotaderodap"/>
          <w:rFonts w:ascii="Garamond" w:hAnsi="Garamond"/>
          <w:lang w:val="en-US"/>
        </w:rPr>
        <w:footnoteReference w:id="48"/>
      </w:r>
      <w:r w:rsidRPr="007768F5">
        <w:rPr>
          <w:rFonts w:ascii="Garamond" w:hAnsi="Garamond"/>
          <w:lang w:val="en-US"/>
        </w:rPr>
        <w:t xml:space="preserve"> In the context of Christianity, this connection with the mundane, or profane, also recalls one of the precepts of the Gothic style, as the then new</w:t>
      </w:r>
      <w:r w:rsidR="00794AC3" w:rsidRPr="007768F5">
        <w:t xml:space="preserve"> </w:t>
      </w:r>
      <w:r w:rsidR="00794AC3" w:rsidRPr="007768F5">
        <w:rPr>
          <w:rFonts w:ascii="Garamond" w:hAnsi="Garamond"/>
          <w:lang w:val="en-US"/>
        </w:rPr>
        <w:t>structural skeleton</w:t>
      </w:r>
      <w:r w:rsidRPr="007768F5">
        <w:rPr>
          <w:rFonts w:ascii="Garamond" w:hAnsi="Garamond"/>
          <w:lang w:val="en-US"/>
        </w:rPr>
        <w:t xml:space="preserve"> allows </w:t>
      </w:r>
      <w:r w:rsidR="00794AC3" w:rsidRPr="007768F5">
        <w:rPr>
          <w:rFonts w:ascii="Garamond" w:hAnsi="Garamond"/>
          <w:lang w:val="en-US"/>
        </w:rPr>
        <w:t>a dissolution</w:t>
      </w:r>
      <w:r w:rsidRPr="007768F5">
        <w:rPr>
          <w:rFonts w:ascii="Garamond" w:hAnsi="Garamond"/>
          <w:lang w:val="en-US"/>
        </w:rPr>
        <w:t xml:space="preserve"> of the outer walls and symbolically communicates the will </w:t>
      </w:r>
      <w:r w:rsidR="00794AC3" w:rsidRPr="007768F5">
        <w:rPr>
          <w:rFonts w:ascii="Garamond" w:hAnsi="Garamond"/>
          <w:lang w:val="en-US"/>
        </w:rPr>
        <w:t>of</w:t>
      </w:r>
      <w:r w:rsidRPr="007768F5">
        <w:rPr>
          <w:rFonts w:ascii="Garamond" w:hAnsi="Garamond"/>
          <w:lang w:val="en-US"/>
        </w:rPr>
        <w:t xml:space="preserve"> the Church to interact with the city.</w:t>
      </w:r>
      <w:r w:rsidRPr="007768F5">
        <w:rPr>
          <w:rStyle w:val="Refdenotaderodap"/>
          <w:rFonts w:ascii="Garamond" w:hAnsi="Garamond"/>
          <w:lang w:val="en-US"/>
        </w:rPr>
        <w:footnoteReference w:id="49"/>
      </w:r>
      <w:r w:rsidRPr="007768F5">
        <w:rPr>
          <w:rFonts w:ascii="Garamond" w:hAnsi="Garamond"/>
          <w:lang w:val="en-US"/>
        </w:rPr>
        <w:t xml:space="preserve"> This window seemingly responds to an equivalent </w:t>
      </w:r>
      <w:r w:rsidR="00794AC3" w:rsidRPr="007768F5">
        <w:rPr>
          <w:rFonts w:ascii="Garamond" w:hAnsi="Garamond"/>
          <w:lang w:val="en-US"/>
        </w:rPr>
        <w:t>aim</w:t>
      </w:r>
      <w:r w:rsidRPr="007768F5">
        <w:rPr>
          <w:rFonts w:ascii="Garamond" w:hAnsi="Garamond"/>
          <w:lang w:val="en-US"/>
        </w:rPr>
        <w:t xml:space="preserve"> by bringing the </w:t>
      </w:r>
      <w:r w:rsidR="00794AC3" w:rsidRPr="007768F5">
        <w:rPr>
          <w:rFonts w:ascii="Garamond" w:hAnsi="Garamond"/>
          <w:lang w:val="en-US"/>
        </w:rPr>
        <w:t>c</w:t>
      </w:r>
      <w:r w:rsidRPr="007768F5">
        <w:rPr>
          <w:rFonts w:ascii="Garamond" w:hAnsi="Garamond"/>
          <w:lang w:val="en-US"/>
        </w:rPr>
        <w:t>hurch closer to the world outside that, according to José Ferreira, has been taking place since the beginning of the 20th century, consolidating and expanding as consequence of the Second Vatican Council.</w:t>
      </w:r>
      <w:r w:rsidRPr="007768F5">
        <w:rPr>
          <w:rStyle w:val="Refdenotaderodap"/>
          <w:rFonts w:ascii="Garamond" w:hAnsi="Garamond"/>
          <w:lang w:val="en-US"/>
        </w:rPr>
        <w:footnoteReference w:id="50"/>
      </w:r>
      <w:r w:rsidRPr="007768F5">
        <w:rPr>
          <w:rFonts w:ascii="Garamond" w:hAnsi="Garamond"/>
          <w:lang w:val="en-US"/>
        </w:rPr>
        <w:t xml:space="preserve"> Siza seems to confirm it as he acknowledges that ‘recent changes in the liturgy contrast with this vision of a closed and segregated space’.</w:t>
      </w:r>
      <w:r w:rsidRPr="007768F5">
        <w:rPr>
          <w:rStyle w:val="Refdenotaderodap"/>
          <w:rFonts w:ascii="Garamond" w:hAnsi="Garamond"/>
          <w:lang w:val="en-US"/>
        </w:rPr>
        <w:footnoteReference w:id="51"/>
      </w:r>
      <w:r w:rsidRPr="007768F5">
        <w:rPr>
          <w:rFonts w:ascii="Garamond" w:hAnsi="Garamond"/>
          <w:lang w:val="en-US"/>
        </w:rPr>
        <w:t xml:space="preserve"> </w:t>
      </w:r>
    </w:p>
    <w:p w:rsidR="00582FDE" w:rsidRPr="00C5314A" w:rsidRDefault="00582FDE" w:rsidP="007C19D5">
      <w:pPr>
        <w:spacing w:line="360" w:lineRule="auto"/>
        <w:jc w:val="both"/>
        <w:rPr>
          <w:rFonts w:ascii="Garamond" w:hAnsi="Garamond"/>
          <w:lang w:val="en-US"/>
        </w:rPr>
      </w:pPr>
      <w:r w:rsidRPr="007768F5">
        <w:rPr>
          <w:rFonts w:ascii="Garamond" w:hAnsi="Garamond"/>
          <w:lang w:val="en-US"/>
        </w:rPr>
        <w:t xml:space="preserve">Additionally, </w:t>
      </w:r>
      <w:r w:rsidR="00794AC3" w:rsidRPr="007768F5">
        <w:rPr>
          <w:rFonts w:ascii="Garamond" w:hAnsi="Garamond"/>
          <w:lang w:val="en-US"/>
        </w:rPr>
        <w:t xml:space="preserve">the framing directed </w:t>
      </w:r>
      <w:r w:rsidRPr="007768F5">
        <w:rPr>
          <w:rFonts w:ascii="Garamond" w:hAnsi="Garamond"/>
          <w:lang w:val="en-US"/>
        </w:rPr>
        <w:t xml:space="preserve">towards the </w:t>
      </w:r>
      <w:r w:rsidR="00794AC3" w:rsidRPr="007768F5">
        <w:rPr>
          <w:rFonts w:ascii="Garamond" w:hAnsi="Garamond"/>
          <w:lang w:val="en-US"/>
        </w:rPr>
        <w:t xml:space="preserve">mountainous </w:t>
      </w:r>
      <w:r w:rsidRPr="007768F5">
        <w:rPr>
          <w:rFonts w:ascii="Garamond" w:hAnsi="Garamond"/>
          <w:lang w:val="en-US"/>
        </w:rPr>
        <w:t>landscape by this window seems to</w:t>
      </w:r>
      <w:r w:rsidR="00794AC3" w:rsidRPr="007768F5">
        <w:t xml:space="preserve"> </w:t>
      </w:r>
      <w:r w:rsidR="00794AC3" w:rsidRPr="007768F5">
        <w:rPr>
          <w:rFonts w:ascii="Garamond" w:hAnsi="Garamond"/>
          <w:lang w:val="en-US"/>
        </w:rPr>
        <w:t>call forth</w:t>
      </w:r>
      <w:r w:rsidRPr="007768F5">
        <w:rPr>
          <w:rFonts w:ascii="Garamond" w:hAnsi="Garamond"/>
          <w:lang w:val="en-US"/>
        </w:rPr>
        <w:t xml:space="preserve"> an </w:t>
      </w:r>
      <w:r w:rsidRPr="007768F5">
        <w:rPr>
          <w:rFonts w:ascii="Garamond" w:hAnsi="Garamond"/>
          <w:i/>
          <w:iCs/>
          <w:lang w:val="en-US"/>
        </w:rPr>
        <w:t>axis mundi</w:t>
      </w:r>
      <w:r w:rsidRPr="007768F5">
        <w:rPr>
          <w:rFonts w:ascii="Garamond" w:hAnsi="Garamond"/>
          <w:lang w:val="en-US"/>
        </w:rPr>
        <w:t xml:space="preserve"> at a distance, </w:t>
      </w:r>
      <w:r w:rsidR="00794AC3" w:rsidRPr="007768F5">
        <w:rPr>
          <w:rFonts w:ascii="Garamond" w:hAnsi="Garamond"/>
          <w:lang w:val="en-US"/>
        </w:rPr>
        <w:t>a</w:t>
      </w:r>
      <w:r w:rsidRPr="007768F5">
        <w:rPr>
          <w:rFonts w:ascii="Garamond" w:hAnsi="Garamond"/>
          <w:lang w:val="en-US"/>
        </w:rPr>
        <w:t xml:space="preserve"> sacred character of profane nature, which every human being has within. The horizon that Siza wanted to bring to those </w:t>
      </w:r>
      <w:r w:rsidR="00794AC3" w:rsidRPr="007768F5">
        <w:rPr>
          <w:rFonts w:ascii="Garamond" w:hAnsi="Garamond"/>
          <w:lang w:val="en-US"/>
        </w:rPr>
        <w:t xml:space="preserve">sitting </w:t>
      </w:r>
      <w:r w:rsidRPr="007768F5">
        <w:rPr>
          <w:rFonts w:ascii="Garamond" w:hAnsi="Garamond"/>
          <w:lang w:val="en-US"/>
        </w:rPr>
        <w:t>inside the church can then be a trigger to that consciousness, even if he did not mention it.</w:t>
      </w:r>
      <w:r w:rsidRPr="007768F5">
        <w:rPr>
          <w:rStyle w:val="Refdenotaderodap"/>
          <w:rFonts w:ascii="Garamond" w:hAnsi="Garamond"/>
          <w:lang w:val="en-US"/>
        </w:rPr>
        <w:footnoteReference w:id="52"/>
      </w:r>
      <w:r w:rsidRPr="007768F5">
        <w:rPr>
          <w:rFonts w:ascii="Garamond" w:hAnsi="Garamond"/>
          <w:lang w:val="en-US"/>
        </w:rPr>
        <w:t xml:space="preserve"> This interpretation </w:t>
      </w:r>
      <w:r w:rsidR="00794AC3" w:rsidRPr="007768F5">
        <w:rPr>
          <w:rFonts w:ascii="Garamond" w:hAnsi="Garamond"/>
          <w:lang w:val="en-US"/>
        </w:rPr>
        <w:t xml:space="preserve">seems reinforced </w:t>
      </w:r>
      <w:r w:rsidRPr="007768F5">
        <w:rPr>
          <w:rFonts w:ascii="Garamond" w:hAnsi="Garamond"/>
          <w:lang w:val="en-US"/>
        </w:rPr>
        <w:t xml:space="preserve">as the church </w:t>
      </w:r>
      <w:r w:rsidR="00794AC3" w:rsidRPr="007768F5">
        <w:rPr>
          <w:rFonts w:ascii="Garamond" w:hAnsi="Garamond"/>
          <w:lang w:val="en-US"/>
        </w:rPr>
        <w:t>stands above the surrounding city – looking down on rooftops – seeming that one</w:t>
      </w:r>
      <w:r w:rsidR="00794AC3" w:rsidRPr="00794AC3">
        <w:rPr>
          <w:rFonts w:ascii="Garamond" w:hAnsi="Garamond"/>
          <w:lang w:val="en-US"/>
        </w:rPr>
        <w:t xml:space="preserve"> is no longer in it, but </w:t>
      </w:r>
      <w:r w:rsidR="00794AC3" w:rsidRPr="00794AC3">
        <w:rPr>
          <w:rFonts w:ascii="Garamond" w:hAnsi="Garamond"/>
          <w:i/>
          <w:iCs/>
          <w:lang w:val="en-US"/>
        </w:rPr>
        <w:t>elevated</w:t>
      </w:r>
      <w:r w:rsidRPr="000354DE">
        <w:rPr>
          <w:rFonts w:ascii="Garamond" w:hAnsi="Garamond"/>
          <w:lang w:val="en-US"/>
        </w:rPr>
        <w:t>; farther from the profane and closer to heaven.</w:t>
      </w:r>
    </w:p>
    <w:p w:rsidR="00582FDE" w:rsidRPr="00FA358A" w:rsidRDefault="00582FDE" w:rsidP="00582FDE">
      <w:pPr>
        <w:rPr>
          <w:rFonts w:ascii="Garamond" w:hAnsi="Garamond"/>
          <w:lang w:val="en-US"/>
        </w:rPr>
      </w:pPr>
    </w:p>
    <w:p w:rsidR="00582FDE" w:rsidRPr="00FA358A" w:rsidRDefault="00582FDE" w:rsidP="00582FDE">
      <w:pPr>
        <w:rPr>
          <w:rFonts w:ascii="Garamond" w:hAnsi="Garamond"/>
          <w:lang w:val="en-US"/>
        </w:rPr>
      </w:pPr>
    </w:p>
    <w:p w:rsidR="00582FDE" w:rsidRPr="00FA358A" w:rsidRDefault="00582FDE" w:rsidP="00582FDE">
      <w:pPr>
        <w:rPr>
          <w:rFonts w:ascii="Garamond" w:hAnsi="Garamond"/>
          <w:lang w:val="en-US"/>
        </w:rPr>
      </w:pPr>
    </w:p>
    <w:p w:rsidR="00AE5278" w:rsidRDefault="00AE5278" w:rsidP="00AE5278">
      <w:pPr>
        <w:keepNext/>
        <w:jc w:val="center"/>
      </w:pPr>
      <w:r w:rsidRPr="008570AD">
        <w:rPr>
          <w:noProof/>
        </w:rPr>
        <w:lastRenderedPageBreak/>
        <w:drawing>
          <wp:inline distT="0" distB="0" distL="0" distR="0" wp14:anchorId="1A8502C4" wp14:editId="7BC7DA3D">
            <wp:extent cx="6120130" cy="3082290"/>
            <wp:effectExtent l="0" t="0" r="0" b="3810"/>
            <wp:docPr id="21" name="Imagem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20130" cy="3082290"/>
                    </a:xfrm>
                    <a:prstGeom prst="rect">
                      <a:avLst/>
                    </a:prstGeom>
                  </pic:spPr>
                </pic:pic>
              </a:graphicData>
            </a:graphic>
          </wp:inline>
        </w:drawing>
      </w:r>
    </w:p>
    <w:p w:rsidR="00582FDE" w:rsidRPr="00FA358A" w:rsidRDefault="00AE5278" w:rsidP="00AE5278">
      <w:pPr>
        <w:pStyle w:val="Legenda"/>
        <w:jc w:val="center"/>
        <w:rPr>
          <w:rFonts w:ascii="Garamond" w:hAnsi="Garamond"/>
          <w:lang w:val="en-US"/>
        </w:rPr>
      </w:pPr>
      <w:r>
        <w:t xml:space="preserve">Figura </w:t>
      </w:r>
      <w:r>
        <w:fldChar w:fldCharType="begin"/>
      </w:r>
      <w:r>
        <w:instrText xml:space="preserve"> SEQ Figura \* ARABIC </w:instrText>
      </w:r>
      <w:r>
        <w:fldChar w:fldCharType="separate"/>
      </w:r>
      <w:r w:rsidR="00FA358A">
        <w:rPr>
          <w:noProof/>
        </w:rPr>
        <w:t>4</w:t>
      </w:r>
      <w:r>
        <w:fldChar w:fldCharType="end"/>
      </w:r>
    </w:p>
    <w:p w:rsidR="00582FDE" w:rsidRPr="00FA358A" w:rsidRDefault="00582FDE" w:rsidP="00582FDE">
      <w:pPr>
        <w:rPr>
          <w:rFonts w:ascii="Garamond" w:hAnsi="Garamond"/>
          <w:lang w:val="en-US"/>
        </w:rPr>
      </w:pPr>
    </w:p>
    <w:p w:rsidR="00582FDE" w:rsidRPr="00FA358A" w:rsidRDefault="00582FDE" w:rsidP="00582FDE">
      <w:pPr>
        <w:rPr>
          <w:rFonts w:ascii="Garamond" w:hAnsi="Garamond"/>
          <w:lang w:val="en-US"/>
        </w:rPr>
      </w:pPr>
    </w:p>
    <w:p w:rsidR="00582FDE" w:rsidRPr="004721D0" w:rsidRDefault="00582FDE" w:rsidP="007C19D5">
      <w:pPr>
        <w:spacing w:line="360" w:lineRule="auto"/>
        <w:ind w:firstLine="708"/>
        <w:jc w:val="both"/>
        <w:rPr>
          <w:rFonts w:ascii="Garamond" w:hAnsi="Garamond"/>
          <w:b/>
          <w:bCs/>
          <w:sz w:val="28"/>
          <w:szCs w:val="28"/>
          <w:lang w:val="en-US"/>
        </w:rPr>
      </w:pPr>
      <w:r w:rsidRPr="004721D0">
        <w:rPr>
          <w:rFonts w:ascii="Garamond" w:hAnsi="Garamond"/>
          <w:b/>
          <w:bCs/>
          <w:sz w:val="28"/>
          <w:szCs w:val="28"/>
          <w:lang w:val="en-US"/>
        </w:rPr>
        <w:t>Approaching God – white, height and light</w:t>
      </w:r>
      <w:r w:rsidR="00F25D56">
        <w:rPr>
          <w:rFonts w:ascii="Garamond" w:hAnsi="Garamond"/>
          <w:b/>
          <w:bCs/>
          <w:sz w:val="28"/>
          <w:szCs w:val="28"/>
          <w:lang w:val="en-US"/>
        </w:rPr>
        <w:t xml:space="preserve"> </w:t>
      </w:r>
      <w:bookmarkStart w:id="9" w:name="_Hlk61042010"/>
      <w:r w:rsidR="00F25D56" w:rsidRPr="00F25D56">
        <w:rPr>
          <w:rFonts w:ascii="Garamond" w:hAnsi="Garamond"/>
          <w:sz w:val="28"/>
          <w:szCs w:val="28"/>
          <w:lang w:val="en-US"/>
        </w:rPr>
        <w:t>(fig.5)</w:t>
      </w:r>
      <w:bookmarkEnd w:id="9"/>
    </w:p>
    <w:p w:rsidR="00582FDE" w:rsidRPr="007768F5" w:rsidRDefault="00582FDE" w:rsidP="007C19D5">
      <w:pPr>
        <w:spacing w:line="360" w:lineRule="auto"/>
        <w:jc w:val="both"/>
        <w:rPr>
          <w:rFonts w:ascii="Garamond" w:hAnsi="Garamond"/>
          <w:lang w:val="en-US"/>
        </w:rPr>
      </w:pPr>
      <w:r w:rsidRPr="007768F5">
        <w:rPr>
          <w:rFonts w:ascii="Garamond" w:hAnsi="Garamond"/>
          <w:lang w:val="en-US"/>
        </w:rPr>
        <w:t>Once the threshold is</w:t>
      </w:r>
      <w:r w:rsidR="00794AC3" w:rsidRPr="007768F5">
        <w:t xml:space="preserve"> </w:t>
      </w:r>
      <w:r w:rsidR="00794AC3" w:rsidRPr="007768F5">
        <w:rPr>
          <w:rFonts w:ascii="Garamond" w:hAnsi="Garamond"/>
          <w:lang w:val="en-US"/>
        </w:rPr>
        <w:t>surpassed</w:t>
      </w:r>
      <w:r w:rsidRPr="007768F5">
        <w:rPr>
          <w:rFonts w:ascii="Garamond" w:hAnsi="Garamond"/>
          <w:lang w:val="en-US"/>
        </w:rPr>
        <w:t xml:space="preserve">, the feeling of </w:t>
      </w:r>
      <w:r w:rsidR="00794AC3" w:rsidRPr="007768F5">
        <w:rPr>
          <w:rFonts w:ascii="Garamond" w:hAnsi="Garamond"/>
          <w:lang w:val="en-US"/>
        </w:rPr>
        <w:t xml:space="preserve">removal </w:t>
      </w:r>
      <w:r w:rsidRPr="007768F5">
        <w:rPr>
          <w:rFonts w:ascii="Garamond" w:hAnsi="Garamond"/>
          <w:lang w:val="en-US"/>
        </w:rPr>
        <w:t>from the profane results – essentially – from the inner atmosphere. It is the combination of the white colo</w:t>
      </w:r>
      <w:r w:rsidR="00794AC3" w:rsidRPr="007768F5">
        <w:rPr>
          <w:rFonts w:ascii="Garamond" w:hAnsi="Garamond"/>
          <w:lang w:val="en-US"/>
        </w:rPr>
        <w:t>u</w:t>
      </w:r>
      <w:r w:rsidRPr="007768F5">
        <w:rPr>
          <w:rFonts w:ascii="Garamond" w:hAnsi="Garamond"/>
          <w:lang w:val="en-US"/>
        </w:rPr>
        <w:t xml:space="preserve">r, the height and the </w:t>
      </w:r>
      <w:r w:rsidR="00794AC3" w:rsidRPr="007768F5">
        <w:rPr>
          <w:rFonts w:ascii="Garamond" w:hAnsi="Garamond"/>
          <w:lang w:val="en-US"/>
        </w:rPr>
        <w:t>light sources</w:t>
      </w:r>
      <w:r w:rsidRPr="007768F5">
        <w:rPr>
          <w:rFonts w:ascii="Garamond" w:hAnsi="Garamond"/>
          <w:lang w:val="en-US"/>
        </w:rPr>
        <w:t>, pulling the gaze upwards, towards the ‘remote God’, as Eliade refers to It.</w:t>
      </w:r>
      <w:r w:rsidRPr="007768F5">
        <w:rPr>
          <w:rStyle w:val="Refdenotaderodap"/>
          <w:rFonts w:ascii="Garamond" w:hAnsi="Garamond"/>
          <w:lang w:val="en-US"/>
        </w:rPr>
        <w:footnoteReference w:id="53"/>
      </w:r>
      <w:r w:rsidRPr="007768F5">
        <w:rPr>
          <w:rFonts w:ascii="Garamond" w:hAnsi="Garamond"/>
          <w:lang w:val="en-US"/>
        </w:rPr>
        <w:t xml:space="preserve"> After those previously mentioned, the «true» </w:t>
      </w:r>
      <w:r w:rsidRPr="007768F5">
        <w:rPr>
          <w:rFonts w:ascii="Garamond" w:hAnsi="Garamond"/>
          <w:i/>
          <w:iCs/>
          <w:lang w:val="en-US"/>
        </w:rPr>
        <w:t>axis mundi</w:t>
      </w:r>
      <w:r w:rsidRPr="007768F5">
        <w:rPr>
          <w:rFonts w:ascii="Garamond" w:hAnsi="Garamond"/>
          <w:lang w:val="en-US"/>
        </w:rPr>
        <w:t xml:space="preserve"> seems to reveal itself through these three-combined dimensions, reinforced by the stripping of the walls, which create an ambiance of recollection, of</w:t>
      </w:r>
      <w:r w:rsidR="00794AC3" w:rsidRPr="007768F5">
        <w:t xml:space="preserve"> </w:t>
      </w:r>
      <w:r w:rsidR="00794AC3" w:rsidRPr="007768F5">
        <w:rPr>
          <w:rFonts w:ascii="Garamond" w:hAnsi="Garamond"/>
          <w:lang w:val="en-US"/>
        </w:rPr>
        <w:t>introspection</w:t>
      </w:r>
      <w:r w:rsidRPr="007768F5">
        <w:rPr>
          <w:rFonts w:ascii="Garamond" w:hAnsi="Garamond"/>
          <w:lang w:val="en-US"/>
        </w:rPr>
        <w:t xml:space="preserve">. Although Siza aimed at creating a place for each person’s </w:t>
      </w:r>
      <w:r w:rsidR="00794AC3" w:rsidRPr="007768F5">
        <w:rPr>
          <w:rFonts w:ascii="Garamond" w:hAnsi="Garamond"/>
          <w:lang w:val="en-US"/>
        </w:rPr>
        <w:t>introspection</w:t>
      </w:r>
      <w:r w:rsidRPr="007768F5">
        <w:rPr>
          <w:rFonts w:ascii="Garamond" w:hAnsi="Garamond"/>
          <w:lang w:val="en-US"/>
        </w:rPr>
        <w:t>,</w:t>
      </w:r>
      <w:r w:rsidRPr="007768F5">
        <w:rPr>
          <w:rStyle w:val="Refdenotaderodap"/>
          <w:rFonts w:ascii="Garamond" w:hAnsi="Garamond"/>
          <w:lang w:val="en-US"/>
        </w:rPr>
        <w:t xml:space="preserve"> </w:t>
      </w:r>
      <w:r w:rsidRPr="007768F5">
        <w:rPr>
          <w:rFonts w:ascii="Garamond" w:hAnsi="Garamond"/>
          <w:lang w:val="en-US"/>
        </w:rPr>
        <w:t>prayer and meditation, he does not justify neither color, height, or light in direct relation to spirituality.</w:t>
      </w:r>
      <w:r w:rsidR="007768F5" w:rsidRPr="007768F5">
        <w:rPr>
          <w:rStyle w:val="Refdenotaderodap"/>
          <w:rFonts w:ascii="Garamond" w:hAnsi="Garamond"/>
          <w:lang w:val="en-US"/>
        </w:rPr>
        <w:footnoteReference w:id="54"/>
      </w:r>
      <w:r w:rsidRPr="007768F5">
        <w:rPr>
          <w:rFonts w:ascii="Garamond" w:hAnsi="Garamond"/>
          <w:lang w:val="en-US"/>
        </w:rPr>
        <w:t xml:space="preserve"> He makes use of functional or aesthetic reasons instead. This does not prevent, however, that in the particular context of a church those attributes do not benefit a certain character of intimacy and recollection from where the sacred may emanate.</w:t>
      </w:r>
    </w:p>
    <w:p w:rsidR="00582FDE" w:rsidRPr="007768F5" w:rsidRDefault="00582FDE" w:rsidP="00AE5278">
      <w:pPr>
        <w:spacing w:after="120" w:line="360" w:lineRule="auto"/>
        <w:jc w:val="both"/>
        <w:rPr>
          <w:rFonts w:ascii="Garamond" w:hAnsi="Garamond"/>
          <w:lang w:val="en-US"/>
        </w:rPr>
      </w:pPr>
      <w:r w:rsidRPr="007768F5">
        <w:rPr>
          <w:rFonts w:ascii="Garamond" w:hAnsi="Garamond"/>
          <w:lang w:val="en-US"/>
        </w:rPr>
        <w:t xml:space="preserve">The meaning of the white color, as presented by Kandinsky, seems to support this reading, since it represents ‘the joy and the immaculate purity’, which tune with the qualities ascribed to </w:t>
      </w:r>
      <w:r w:rsidR="00794AC3" w:rsidRPr="007768F5">
        <w:rPr>
          <w:rFonts w:ascii="Garamond" w:hAnsi="Garamond"/>
          <w:lang w:val="en-US"/>
        </w:rPr>
        <w:t>the Virgin Mary</w:t>
      </w:r>
      <w:r w:rsidRPr="007768F5">
        <w:rPr>
          <w:rFonts w:ascii="Garamond" w:hAnsi="Garamond"/>
          <w:lang w:val="en-US"/>
        </w:rPr>
        <w:t>, to whom the space is devoted.</w:t>
      </w:r>
      <w:r w:rsidRPr="007768F5">
        <w:rPr>
          <w:rStyle w:val="Refdenotaderodap"/>
          <w:rFonts w:ascii="Garamond" w:hAnsi="Garamond"/>
          <w:lang w:val="en-US"/>
        </w:rPr>
        <w:footnoteReference w:id="55"/>
      </w:r>
      <w:r w:rsidRPr="007768F5">
        <w:rPr>
          <w:rFonts w:ascii="Garamond" w:hAnsi="Garamond"/>
          <w:lang w:val="en-US"/>
        </w:rPr>
        <w:t xml:space="preserve"> And Kandinsky lists yet another meaning that, if transposed to the church, also supports the call for recollection:</w:t>
      </w:r>
    </w:p>
    <w:p w:rsidR="00582FDE" w:rsidRPr="007768F5" w:rsidRDefault="00582FDE" w:rsidP="007C19D5">
      <w:pPr>
        <w:spacing w:line="360" w:lineRule="auto"/>
        <w:ind w:left="567"/>
        <w:jc w:val="both"/>
        <w:rPr>
          <w:rFonts w:ascii="Garamond" w:hAnsi="Garamond"/>
          <w:sz w:val="20"/>
          <w:szCs w:val="20"/>
          <w:lang w:val="en-US"/>
        </w:rPr>
      </w:pPr>
      <w:r w:rsidRPr="007768F5">
        <w:rPr>
          <w:rFonts w:ascii="Garamond" w:hAnsi="Garamond"/>
          <w:sz w:val="20"/>
          <w:szCs w:val="20"/>
          <w:lang w:val="en-US"/>
        </w:rPr>
        <w:t xml:space="preserve">White is a symbol of a world from which all colour… has disappeared. This world is so far above </w:t>
      </w:r>
      <w:r w:rsidRPr="00D44FE2">
        <w:rPr>
          <w:rFonts w:ascii="Garamond" w:hAnsi="Garamond"/>
          <w:sz w:val="20"/>
          <w:szCs w:val="20"/>
          <w:lang w:val="en-US"/>
        </w:rPr>
        <w:t>us that we c</w:t>
      </w:r>
      <w:r>
        <w:rPr>
          <w:rFonts w:ascii="Garamond" w:hAnsi="Garamond"/>
          <w:sz w:val="20"/>
          <w:szCs w:val="20"/>
          <w:lang w:val="en-US"/>
        </w:rPr>
        <w:t xml:space="preserve">annot perceive any sound coming from it. There is a great silence which… appears to us as a formidable, indestructible wall, though infinitely cold, reaching up to eternity. For this </w:t>
      </w:r>
      <w:r w:rsidRPr="007768F5">
        <w:rPr>
          <w:rFonts w:ascii="Garamond" w:hAnsi="Garamond"/>
          <w:sz w:val="20"/>
          <w:szCs w:val="20"/>
          <w:lang w:val="en-US"/>
        </w:rPr>
        <w:t>reason, white affects us with the absoluteness of a great silence.</w:t>
      </w:r>
      <w:r w:rsidRPr="007768F5">
        <w:rPr>
          <w:rStyle w:val="Refdenotaderodap"/>
          <w:rFonts w:ascii="Garamond" w:hAnsi="Garamond"/>
          <w:sz w:val="20"/>
          <w:szCs w:val="20"/>
          <w:lang w:val="pt-PT"/>
        </w:rPr>
        <w:footnoteReference w:id="56"/>
      </w:r>
      <w:r w:rsidRPr="007768F5">
        <w:rPr>
          <w:rFonts w:ascii="Garamond" w:hAnsi="Garamond"/>
          <w:sz w:val="20"/>
          <w:szCs w:val="20"/>
          <w:lang w:val="en-US"/>
        </w:rPr>
        <w:t xml:space="preserve">  </w:t>
      </w:r>
    </w:p>
    <w:p w:rsidR="00582FDE" w:rsidRPr="007768F5" w:rsidRDefault="00582FDE" w:rsidP="007C19D5">
      <w:pPr>
        <w:spacing w:line="360" w:lineRule="auto"/>
        <w:jc w:val="both"/>
        <w:rPr>
          <w:rFonts w:ascii="Garamond" w:hAnsi="Garamond"/>
          <w:lang w:val="en-US"/>
        </w:rPr>
      </w:pPr>
      <w:r w:rsidRPr="007768F5">
        <w:rPr>
          <w:rFonts w:ascii="Garamond" w:hAnsi="Garamond"/>
          <w:lang w:val="en-US"/>
        </w:rPr>
        <w:lastRenderedPageBreak/>
        <w:t>Still taking Kandinsky's interpretation, white also represents height, directly corresponding with the vertical line.</w:t>
      </w:r>
      <w:r w:rsidR="007768F5" w:rsidRPr="007768F5">
        <w:rPr>
          <w:rStyle w:val="Refdenotaderodap"/>
          <w:rFonts w:ascii="Garamond" w:hAnsi="Garamond"/>
          <w:lang w:val="en-US"/>
        </w:rPr>
        <w:footnoteReference w:id="57"/>
      </w:r>
      <w:r w:rsidR="007768F5" w:rsidRPr="007768F5">
        <w:rPr>
          <w:rFonts w:ascii="Garamond" w:hAnsi="Garamond"/>
          <w:lang w:val="en-US"/>
        </w:rPr>
        <w:t xml:space="preserve"> </w:t>
      </w:r>
      <w:r w:rsidRPr="007768F5">
        <w:rPr>
          <w:rFonts w:ascii="Garamond" w:hAnsi="Garamond"/>
          <w:lang w:val="en-US"/>
        </w:rPr>
        <w:t xml:space="preserve"> </w:t>
      </w:r>
      <w:r w:rsidR="008010FB" w:rsidRPr="007768F5">
        <w:rPr>
          <w:rFonts w:ascii="Garamond" w:hAnsi="Garamond"/>
          <w:lang w:val="en-US"/>
        </w:rPr>
        <w:t>Stemming</w:t>
      </w:r>
      <w:r w:rsidRPr="007768F5">
        <w:rPr>
          <w:rFonts w:ascii="Garamond" w:hAnsi="Garamond"/>
          <w:lang w:val="en-US"/>
        </w:rPr>
        <w:t xml:space="preserve"> from the </w:t>
      </w:r>
      <w:r w:rsidRPr="007768F5">
        <w:rPr>
          <w:rFonts w:ascii="Garamond" w:hAnsi="Garamond"/>
          <w:i/>
          <w:iCs/>
          <w:lang w:val="en-US"/>
        </w:rPr>
        <w:t>point</w:t>
      </w:r>
      <w:r w:rsidRPr="007768F5">
        <w:rPr>
          <w:rFonts w:ascii="Garamond" w:hAnsi="Garamond"/>
          <w:lang w:val="en-US"/>
        </w:rPr>
        <w:t>, the vertical expresses that prime tension, but also the endless movement in one direction, which, being upwards, represents height.</w:t>
      </w:r>
      <w:r w:rsidRPr="007768F5">
        <w:rPr>
          <w:rStyle w:val="Refdenotaderodap"/>
          <w:rFonts w:ascii="Garamond" w:hAnsi="Garamond"/>
          <w:lang w:val="en-US"/>
        </w:rPr>
        <w:footnoteReference w:id="58"/>
      </w:r>
      <w:r w:rsidRPr="007768F5">
        <w:rPr>
          <w:rFonts w:ascii="Garamond" w:hAnsi="Garamond"/>
          <w:lang w:val="en-US"/>
        </w:rPr>
        <w:t xml:space="preserve"> And it also expresses silence, that is, the ‘scarcely audible whispering and stillness’, once again resembling the properties of the white colo</w:t>
      </w:r>
      <w:r w:rsidR="008010FB" w:rsidRPr="007768F5">
        <w:rPr>
          <w:rFonts w:ascii="Garamond" w:hAnsi="Garamond"/>
          <w:lang w:val="en-US"/>
        </w:rPr>
        <w:t>u</w:t>
      </w:r>
      <w:r w:rsidRPr="007768F5">
        <w:rPr>
          <w:rFonts w:ascii="Garamond" w:hAnsi="Garamond"/>
          <w:lang w:val="en-US"/>
        </w:rPr>
        <w:t>r.</w:t>
      </w:r>
      <w:r w:rsidR="007768F5" w:rsidRPr="007768F5">
        <w:rPr>
          <w:rStyle w:val="Refdenotaderodap"/>
          <w:rFonts w:ascii="Garamond" w:hAnsi="Garamond"/>
          <w:lang w:val="en-US"/>
        </w:rPr>
        <w:footnoteReference w:id="59"/>
      </w:r>
      <w:r w:rsidRPr="007768F5">
        <w:rPr>
          <w:rFonts w:ascii="Garamond" w:hAnsi="Garamond"/>
          <w:lang w:val="en-US"/>
        </w:rPr>
        <w:t xml:space="preserve"> In fact, these parallels show both white and the vertical line as representing related values, the first in pictorial form, and the second in graphic form.</w:t>
      </w:r>
      <w:r w:rsidRPr="007768F5">
        <w:rPr>
          <w:rStyle w:val="Refdenotaderodap"/>
          <w:rFonts w:ascii="Garamond" w:hAnsi="Garamond"/>
          <w:lang w:val="en-US"/>
        </w:rPr>
        <w:footnoteReference w:id="60"/>
      </w:r>
    </w:p>
    <w:p w:rsidR="00582FDE" w:rsidRDefault="00582FDE" w:rsidP="007C19D5">
      <w:pPr>
        <w:spacing w:line="360" w:lineRule="auto"/>
        <w:jc w:val="both"/>
        <w:rPr>
          <w:rFonts w:ascii="Garamond" w:hAnsi="Garamond"/>
          <w:lang w:val="en-US"/>
        </w:rPr>
      </w:pPr>
      <w:r w:rsidRPr="007768F5">
        <w:rPr>
          <w:rFonts w:ascii="Garamond" w:hAnsi="Garamond"/>
          <w:lang w:val="en-US"/>
        </w:rPr>
        <w:t xml:space="preserve">In Santa Maria Church, white and height mutually reinforce, confirming and reaffirming both qualities of silence and of the upward direction. Despite making no reference to any symbolism, Siza explores both. He states that, contextually, verticality is ‘very strong’ and he stresses it through geometric/formal </w:t>
      </w:r>
      <w:r w:rsidR="008010FB" w:rsidRPr="007768F5">
        <w:rPr>
          <w:rFonts w:ascii="Garamond" w:hAnsi="Garamond"/>
          <w:lang w:val="en-US"/>
        </w:rPr>
        <w:t>devices</w:t>
      </w:r>
      <w:r w:rsidRPr="007768F5">
        <w:rPr>
          <w:rFonts w:ascii="Garamond" w:hAnsi="Garamond"/>
          <w:lang w:val="en-US"/>
        </w:rPr>
        <w:t>. In his own words: ‘despite the nave having (has?) a square section, the</w:t>
      </w:r>
      <w:r w:rsidR="008010FB" w:rsidRPr="007768F5">
        <w:t xml:space="preserve"> </w:t>
      </w:r>
      <w:r w:rsidR="008010FB" w:rsidRPr="007768F5">
        <w:rPr>
          <w:rFonts w:ascii="Garamond" w:hAnsi="Garamond"/>
          <w:lang w:val="en-US"/>
        </w:rPr>
        <w:t>interplay</w:t>
      </w:r>
      <w:r w:rsidRPr="007768F5">
        <w:rPr>
          <w:rFonts w:ascii="Garamond" w:hAnsi="Garamond"/>
          <w:lang w:val="en-US"/>
        </w:rPr>
        <w:t xml:space="preserve"> of certain elements, such as the two openings behind the altar, </w:t>
      </w:r>
      <w:r w:rsidR="008010FB" w:rsidRPr="007768F5">
        <w:rPr>
          <w:rFonts w:ascii="Garamond" w:hAnsi="Garamond"/>
          <w:lang w:val="en-US"/>
        </w:rPr>
        <w:t xml:space="preserve">provides </w:t>
      </w:r>
      <w:r w:rsidRPr="007768F5">
        <w:rPr>
          <w:rFonts w:ascii="Garamond" w:hAnsi="Garamond"/>
          <w:lang w:val="en-US"/>
        </w:rPr>
        <w:t>the sense of elevation’.</w:t>
      </w:r>
      <w:r w:rsidRPr="007768F5">
        <w:rPr>
          <w:rStyle w:val="Refdenotaderodap"/>
          <w:rFonts w:ascii="Garamond" w:hAnsi="Garamond"/>
          <w:lang w:val="en-US"/>
        </w:rPr>
        <w:footnoteReference w:id="61"/>
      </w:r>
    </w:p>
    <w:p w:rsidR="008010FB" w:rsidRPr="00FA358A" w:rsidRDefault="00582FDE" w:rsidP="007C19D5">
      <w:pPr>
        <w:spacing w:line="360" w:lineRule="auto"/>
        <w:jc w:val="both"/>
        <w:rPr>
          <w:rFonts w:ascii="Garamond" w:hAnsi="Garamond"/>
          <w:lang w:val="en-US"/>
        </w:rPr>
      </w:pPr>
      <w:r w:rsidRPr="00290D07">
        <w:rPr>
          <w:rFonts w:ascii="Garamond" w:hAnsi="Garamond"/>
          <w:lang w:val="en-US"/>
        </w:rPr>
        <w:t>It is also in the need to emphasize the vertical</w:t>
      </w:r>
      <w:r>
        <w:rPr>
          <w:rFonts w:ascii="Garamond" w:hAnsi="Garamond"/>
          <w:lang w:val="en-US"/>
        </w:rPr>
        <w:t xml:space="preserve"> dimension </w:t>
      </w:r>
      <w:r w:rsidRPr="00290D07">
        <w:rPr>
          <w:rFonts w:ascii="Garamond" w:hAnsi="Garamond"/>
          <w:lang w:val="en-US"/>
        </w:rPr>
        <w:t xml:space="preserve">that </w:t>
      </w:r>
      <w:r w:rsidRPr="007768F5">
        <w:rPr>
          <w:rFonts w:ascii="Garamond" w:hAnsi="Garamond"/>
          <w:lang w:val="en-US"/>
        </w:rPr>
        <w:t xml:space="preserve">he </w:t>
      </w:r>
      <w:r w:rsidRPr="00FA358A">
        <w:rPr>
          <w:rFonts w:ascii="Garamond" w:hAnsi="Garamond"/>
          <w:lang w:val="en-US"/>
        </w:rPr>
        <w:t>justifies the shape of the apse, as well as the curved wall opposite to the long narrow window.</w:t>
      </w:r>
      <w:r w:rsidR="007768F5" w:rsidRPr="00FA358A">
        <w:rPr>
          <w:rStyle w:val="Refdenotaderodap"/>
          <w:rFonts w:ascii="Garamond" w:hAnsi="Garamond"/>
          <w:lang w:val="en-US"/>
        </w:rPr>
        <w:footnoteReference w:id="62"/>
      </w:r>
      <w:r w:rsidR="007768F5" w:rsidRPr="00FA358A">
        <w:rPr>
          <w:rFonts w:ascii="Garamond" w:hAnsi="Garamond"/>
          <w:lang w:val="en-US"/>
        </w:rPr>
        <w:t xml:space="preserve"> </w:t>
      </w:r>
      <w:r w:rsidRPr="00FA358A">
        <w:rPr>
          <w:rFonts w:ascii="Garamond" w:hAnsi="Garamond"/>
          <w:lang w:val="en-US"/>
        </w:rPr>
        <w:t xml:space="preserve"> This shaping tenses the space upwards, narrowing it (tapering? splaying?) towards the ceiling, i.e., symbolically, towards the sky.</w:t>
      </w:r>
    </w:p>
    <w:p w:rsidR="008010FB" w:rsidRPr="007768F5" w:rsidRDefault="00582FDE" w:rsidP="007C19D5">
      <w:pPr>
        <w:spacing w:line="360" w:lineRule="auto"/>
        <w:jc w:val="both"/>
        <w:rPr>
          <w:rFonts w:ascii="Garamond" w:hAnsi="Garamond"/>
          <w:lang w:val="en-US"/>
        </w:rPr>
      </w:pPr>
      <w:r w:rsidRPr="00FA358A">
        <w:rPr>
          <w:rFonts w:ascii="Garamond" w:hAnsi="Garamond"/>
          <w:lang w:val="en-US"/>
        </w:rPr>
        <w:t xml:space="preserve">White and height also enhance the dynamics of light, reflecting </w:t>
      </w:r>
      <w:r w:rsidR="008010FB" w:rsidRPr="00FA358A">
        <w:rPr>
          <w:rFonts w:ascii="Garamond" w:hAnsi="Garamond"/>
          <w:lang w:val="en-US"/>
        </w:rPr>
        <w:t>and allowing it space to reverberate</w:t>
      </w:r>
      <w:r w:rsidRPr="00FA358A">
        <w:rPr>
          <w:rFonts w:ascii="Garamond" w:hAnsi="Garamond"/>
          <w:lang w:val="en-US"/>
        </w:rPr>
        <w:t>, which is widely explored by Siza in creating the atmosphere he wants. Taking advantage of the colo</w:t>
      </w:r>
      <w:r w:rsidR="008010FB" w:rsidRPr="00FA358A">
        <w:rPr>
          <w:rFonts w:ascii="Garamond" w:hAnsi="Garamond"/>
          <w:lang w:val="en-US"/>
        </w:rPr>
        <w:t>u</w:t>
      </w:r>
      <w:r w:rsidRPr="00FA358A">
        <w:rPr>
          <w:rFonts w:ascii="Garamond" w:hAnsi="Garamond"/>
          <w:lang w:val="en-US"/>
        </w:rPr>
        <w:t xml:space="preserve">r, of the extension of the walls (in width and height), and, as well, of both geometry and relative abstraction </w:t>
      </w:r>
      <w:r w:rsidRPr="008010FB">
        <w:rPr>
          <w:rFonts w:ascii="Garamond" w:hAnsi="Garamond"/>
          <w:lang w:val="en-US"/>
        </w:rPr>
        <w:t xml:space="preserve">of the volumes, </w:t>
      </w:r>
      <w:r w:rsidRPr="007768F5">
        <w:rPr>
          <w:rFonts w:ascii="Garamond" w:hAnsi="Garamond"/>
          <w:lang w:val="en-US"/>
        </w:rPr>
        <w:t>Siza refers ‘the bath of light both on the curved shapes of the sides of the apse and on the space of the church in general’.</w:t>
      </w:r>
      <w:r w:rsidRPr="007768F5">
        <w:rPr>
          <w:rStyle w:val="Refdenotaderodap"/>
          <w:rFonts w:ascii="Garamond" w:hAnsi="Garamond"/>
          <w:lang w:val="pt-PT"/>
        </w:rPr>
        <w:footnoteReference w:id="63"/>
      </w:r>
      <w:r w:rsidRPr="007768F5">
        <w:rPr>
          <w:rFonts w:ascii="Garamond" w:hAnsi="Garamond"/>
          <w:lang w:val="en-US"/>
        </w:rPr>
        <w:t xml:space="preserve"> Varying in time, following the sun movement, the natural light</w:t>
      </w:r>
      <w:r w:rsidR="008010FB" w:rsidRPr="007768F5">
        <w:rPr>
          <w:rFonts w:ascii="Garamond" w:hAnsi="Garamond"/>
          <w:lang w:val="en-US"/>
        </w:rPr>
        <w:t xml:space="preserve"> </w:t>
      </w:r>
      <w:r w:rsidRPr="007768F5">
        <w:rPr>
          <w:rFonts w:ascii="Garamond" w:hAnsi="Garamond"/>
          <w:lang w:val="en-US"/>
        </w:rPr>
        <w:t xml:space="preserve">passes directly through the clear glass windows – the three upper </w:t>
      </w:r>
      <w:r w:rsidR="008010FB" w:rsidRPr="007768F5">
        <w:rPr>
          <w:rFonts w:ascii="Garamond" w:hAnsi="Garamond"/>
          <w:lang w:val="en-US"/>
        </w:rPr>
        <w:t xml:space="preserve">voids </w:t>
      </w:r>
      <w:r w:rsidRPr="007768F5">
        <w:rPr>
          <w:rFonts w:ascii="Garamond" w:hAnsi="Garamond"/>
          <w:lang w:val="en-US"/>
        </w:rPr>
        <w:t xml:space="preserve">and the horizontal </w:t>
      </w:r>
      <w:r w:rsidR="008010FB" w:rsidRPr="007768F5">
        <w:rPr>
          <w:rFonts w:ascii="Garamond" w:hAnsi="Garamond"/>
          <w:lang w:val="en-US"/>
        </w:rPr>
        <w:t xml:space="preserve">slit </w:t>
      </w:r>
      <w:r w:rsidRPr="007768F5">
        <w:rPr>
          <w:rFonts w:ascii="Garamond" w:hAnsi="Garamond"/>
          <w:lang w:val="en-US"/>
        </w:rPr>
        <w:t>on the opposite wall – and enters ‘filtered by a tall chimney’ through the two doors behind the altar; occasionally it also comes in directly through the tall door on the main facade.</w:t>
      </w:r>
      <w:r w:rsidR="008010FB" w:rsidRPr="007768F5">
        <w:rPr>
          <w:rStyle w:val="Refdenotaderodap"/>
          <w:rFonts w:ascii="Garamond" w:hAnsi="Garamond"/>
          <w:lang w:val="en-US"/>
        </w:rPr>
        <w:t xml:space="preserve"> </w:t>
      </w:r>
      <w:r w:rsidR="008010FB" w:rsidRPr="007768F5">
        <w:rPr>
          <w:rStyle w:val="Refdenotaderodap"/>
          <w:rFonts w:ascii="Garamond" w:hAnsi="Garamond"/>
          <w:lang w:val="pt-PT"/>
        </w:rPr>
        <w:footnoteReference w:id="64"/>
      </w:r>
      <w:r w:rsidRPr="007768F5">
        <w:rPr>
          <w:rFonts w:ascii="Garamond" w:hAnsi="Garamond"/>
          <w:lang w:val="en-US"/>
        </w:rPr>
        <w:t xml:space="preserve"> </w:t>
      </w:r>
    </w:p>
    <w:p w:rsidR="00582FDE" w:rsidRPr="007768F5" w:rsidRDefault="00582FDE" w:rsidP="007C19D5">
      <w:pPr>
        <w:spacing w:line="360" w:lineRule="auto"/>
        <w:jc w:val="both"/>
        <w:rPr>
          <w:rFonts w:ascii="Garamond" w:hAnsi="Garamond"/>
          <w:lang w:val="en-US"/>
        </w:rPr>
      </w:pPr>
      <w:r w:rsidRPr="007768F5">
        <w:rPr>
          <w:rFonts w:ascii="Garamond" w:hAnsi="Garamond"/>
          <w:lang w:val="en-US"/>
        </w:rPr>
        <w:t>Both the importance and the role Siza ascribes to the light in the different</w:t>
      </w:r>
      <w:r w:rsidRPr="008010FB">
        <w:rPr>
          <w:rFonts w:ascii="Garamond" w:hAnsi="Garamond"/>
          <w:lang w:val="en-US"/>
        </w:rPr>
        <w:t xml:space="preserve"> ways in which he distributes and locates it within the church, recalls, </w:t>
      </w:r>
      <w:r w:rsidR="008010FB" w:rsidRPr="008010FB">
        <w:rPr>
          <w:rFonts w:ascii="Garamond" w:hAnsi="Garamond"/>
          <w:lang w:val="en-US"/>
        </w:rPr>
        <w:t>even without his acknowledgement</w:t>
      </w:r>
      <w:r w:rsidRPr="008010FB">
        <w:rPr>
          <w:rFonts w:ascii="Garamond" w:hAnsi="Garamond"/>
          <w:lang w:val="en-US"/>
        </w:rPr>
        <w:t xml:space="preserve">, the period of History in which the theme of light, imbued </w:t>
      </w:r>
      <w:r w:rsidR="008010FB" w:rsidRPr="008010FB">
        <w:rPr>
          <w:rFonts w:ascii="Garamond" w:hAnsi="Garamond"/>
          <w:lang w:val="en-US"/>
        </w:rPr>
        <w:t xml:space="preserve">with </w:t>
      </w:r>
      <w:r w:rsidRPr="008010FB">
        <w:rPr>
          <w:rFonts w:ascii="Garamond" w:hAnsi="Garamond"/>
          <w:lang w:val="en-US"/>
        </w:rPr>
        <w:t xml:space="preserve">divine attributes, most decisively qualified the Christian religious architecture. The Middle Ages, and in </w:t>
      </w:r>
      <w:r w:rsidRPr="007768F5">
        <w:rPr>
          <w:rFonts w:ascii="Garamond" w:hAnsi="Garamond"/>
          <w:lang w:val="en-US"/>
        </w:rPr>
        <w:t xml:space="preserve">particular the Gothic style, </w:t>
      </w:r>
      <w:r w:rsidR="008010FB" w:rsidRPr="007768F5">
        <w:rPr>
          <w:rFonts w:ascii="Garamond" w:hAnsi="Garamond"/>
          <w:lang w:val="en-US"/>
        </w:rPr>
        <w:t>with its stress on transparent structures</w:t>
      </w:r>
      <w:r w:rsidRPr="007768F5">
        <w:rPr>
          <w:rFonts w:ascii="Garamond" w:hAnsi="Garamond"/>
          <w:lang w:val="en-US"/>
        </w:rPr>
        <w:t xml:space="preserve">, is an </w:t>
      </w:r>
      <w:r w:rsidR="008010FB" w:rsidRPr="007768F5">
        <w:rPr>
          <w:rFonts w:ascii="Garamond" w:hAnsi="Garamond"/>
          <w:lang w:val="en-US"/>
        </w:rPr>
        <w:t>obvious</w:t>
      </w:r>
      <w:r w:rsidRPr="007768F5">
        <w:rPr>
          <w:rFonts w:ascii="Garamond" w:hAnsi="Garamond"/>
          <w:lang w:val="en-US"/>
        </w:rPr>
        <w:t xml:space="preserve"> reference, also brought to mind by the height of the nave. However, it is not the filtered</w:t>
      </w:r>
      <w:r w:rsidR="008010FB" w:rsidRPr="007768F5">
        <w:rPr>
          <w:rFonts w:ascii="Garamond" w:hAnsi="Garamond"/>
          <w:lang w:val="en-US"/>
        </w:rPr>
        <w:t>/pigmented</w:t>
      </w:r>
      <w:r w:rsidRPr="007768F5">
        <w:rPr>
          <w:rFonts w:ascii="Garamond" w:hAnsi="Garamond"/>
          <w:lang w:val="en-US"/>
        </w:rPr>
        <w:t xml:space="preserve"> light through the stained glass, which is characteristic of the Gothic, that Siza’s church evokes and the architect deliberately refuses as it would suppress ‘continuity and transparency’.</w:t>
      </w:r>
      <w:r w:rsidRPr="007768F5">
        <w:rPr>
          <w:rStyle w:val="Refdenotaderodap"/>
          <w:rFonts w:ascii="Garamond" w:hAnsi="Garamond"/>
          <w:lang w:val="en-US"/>
        </w:rPr>
        <w:footnoteReference w:id="65"/>
      </w:r>
      <w:r w:rsidRPr="007768F5">
        <w:rPr>
          <w:rFonts w:ascii="Garamond" w:hAnsi="Garamond"/>
          <w:lang w:val="en-US"/>
        </w:rPr>
        <w:t xml:space="preserve"> Rather, it is the white, natural light, as in the expression advocated by the medieval religious reformist movements </w:t>
      </w:r>
      <w:r w:rsidRPr="007768F5">
        <w:rPr>
          <w:rFonts w:ascii="Garamond" w:hAnsi="Garamond"/>
          <w:lang w:val="en-US"/>
        </w:rPr>
        <w:lastRenderedPageBreak/>
        <w:t>against the splendo</w:t>
      </w:r>
      <w:r w:rsidR="008010FB" w:rsidRPr="007768F5">
        <w:rPr>
          <w:rFonts w:ascii="Garamond" w:hAnsi="Garamond"/>
          <w:lang w:val="en-US"/>
        </w:rPr>
        <w:t>u</w:t>
      </w:r>
      <w:r w:rsidRPr="007768F5">
        <w:rPr>
          <w:rFonts w:ascii="Garamond" w:hAnsi="Garamond"/>
          <w:lang w:val="en-US"/>
        </w:rPr>
        <w:t xml:space="preserve">r of the </w:t>
      </w:r>
      <w:r w:rsidR="008010FB" w:rsidRPr="007768F5">
        <w:rPr>
          <w:rFonts w:ascii="Garamond" w:hAnsi="Garamond"/>
          <w:lang w:val="en-US"/>
        </w:rPr>
        <w:t xml:space="preserve">institutional </w:t>
      </w:r>
      <w:r w:rsidRPr="007768F5">
        <w:rPr>
          <w:rFonts w:ascii="Garamond" w:hAnsi="Garamond"/>
          <w:lang w:val="en-US"/>
        </w:rPr>
        <w:t xml:space="preserve">Church. Spiro Kostof’s description of the Cistercians and the spatial precepts they voiced in the 11th century seem to </w:t>
      </w:r>
      <w:r w:rsidR="008010FB" w:rsidRPr="007768F5">
        <w:rPr>
          <w:rFonts w:ascii="Garamond" w:hAnsi="Garamond"/>
          <w:lang w:val="en-US"/>
        </w:rPr>
        <w:t>fit</w:t>
      </w:r>
      <w:r w:rsidRPr="007768F5">
        <w:rPr>
          <w:rFonts w:ascii="Garamond" w:hAnsi="Garamond"/>
          <w:lang w:val="en-US"/>
        </w:rPr>
        <w:t xml:space="preserve"> Siza’s church in more than one </w:t>
      </w:r>
      <w:r w:rsidR="008010FB" w:rsidRPr="007768F5">
        <w:rPr>
          <w:rFonts w:ascii="Garamond" w:hAnsi="Garamond"/>
          <w:lang w:val="en-US"/>
        </w:rPr>
        <w:t>aspect</w:t>
      </w:r>
      <w:r w:rsidRPr="007768F5">
        <w:rPr>
          <w:rFonts w:ascii="Garamond" w:hAnsi="Garamond"/>
          <w:lang w:val="en-US"/>
        </w:rPr>
        <w:t>. Demonstrating against any decoration that distracted the worshiper from prayer and introspection, they proclaimed ‘one has to rely on beautiful construction with perfect, lucid detailing, a special feel for light, and a sense for architectural proportion which is infallible’.</w:t>
      </w:r>
      <w:r w:rsidRPr="007768F5">
        <w:rPr>
          <w:rStyle w:val="Refdenotaderodap"/>
          <w:rFonts w:ascii="Garamond" w:hAnsi="Garamond"/>
          <w:lang w:val="en-US"/>
        </w:rPr>
        <w:footnoteReference w:id="66"/>
      </w:r>
      <w:r w:rsidRPr="007768F5">
        <w:rPr>
          <w:rFonts w:ascii="Garamond" w:hAnsi="Garamond"/>
          <w:lang w:val="en-US"/>
        </w:rPr>
        <w:t xml:space="preserve">  The idea of light they advocated was not that of the ‘then fashionable stained glass’, but that of windows with clear panes, which conveyed its truest nature.</w:t>
      </w:r>
      <w:r w:rsidRPr="007768F5">
        <w:rPr>
          <w:rStyle w:val="Refdenotaderodap"/>
          <w:rFonts w:ascii="Garamond" w:hAnsi="Garamond"/>
          <w:lang w:val="pt-PT"/>
        </w:rPr>
        <w:footnoteReference w:id="67"/>
      </w:r>
      <w:r w:rsidRPr="007768F5">
        <w:rPr>
          <w:rFonts w:ascii="Garamond" w:hAnsi="Garamond"/>
          <w:lang w:val="en-US"/>
        </w:rPr>
        <w:t xml:space="preserve">  </w:t>
      </w:r>
    </w:p>
    <w:p w:rsidR="00582FDE" w:rsidRPr="009C5CBA" w:rsidRDefault="00582FDE" w:rsidP="00AE5278">
      <w:pPr>
        <w:spacing w:line="360" w:lineRule="auto"/>
        <w:jc w:val="both"/>
        <w:rPr>
          <w:rFonts w:ascii="Garamond" w:hAnsi="Garamond"/>
          <w:lang w:val="en-US"/>
        </w:rPr>
      </w:pPr>
      <w:r w:rsidRPr="007768F5">
        <w:rPr>
          <w:rFonts w:ascii="Garamond" w:hAnsi="Garamond"/>
          <w:lang w:val="en-US"/>
        </w:rPr>
        <w:t xml:space="preserve">Particular impact has the indirect light coming through the two vertical slots behind the altar. Siza justifies it as an alternative </w:t>
      </w:r>
      <w:r w:rsidR="008010FB" w:rsidRPr="007768F5">
        <w:rPr>
          <w:rFonts w:ascii="Garamond" w:hAnsi="Garamond"/>
          <w:lang w:val="en-US"/>
        </w:rPr>
        <w:t xml:space="preserve">emphasis </w:t>
      </w:r>
      <w:r w:rsidRPr="007768F5">
        <w:rPr>
          <w:rFonts w:ascii="Garamond" w:hAnsi="Garamond"/>
          <w:lang w:val="en-US"/>
        </w:rPr>
        <w:t>to traditional paintings on the apse’s wall, serving the creation of ‘a tremulous atmosphere while avoiding a “backlight” effect around the priest’.</w:t>
      </w:r>
      <w:r w:rsidRPr="007768F5">
        <w:rPr>
          <w:rStyle w:val="Refdenotaderodap"/>
          <w:rFonts w:ascii="Garamond" w:hAnsi="Garamond"/>
          <w:lang w:val="en-US"/>
        </w:rPr>
        <w:footnoteReference w:id="68"/>
      </w:r>
      <w:r w:rsidRPr="007768F5">
        <w:rPr>
          <w:rFonts w:ascii="Garamond" w:hAnsi="Garamond"/>
          <w:lang w:val="en-US"/>
        </w:rPr>
        <w:t xml:space="preserve">  Nonetheless, besides its practical advantages, the reading they inspire is diverse. Kenneth Frampton refers to it as ‘supernatural’, evoking ‘the sensation of primordial shapes, not to say pagan’, Curtis stresses his ‘most haunting effects’ that ‘almost suggest hidden presences’, while to Philip Jodidio the ‘two light columns’ insinuate ‘the presence of a cross without actually drawing it’.</w:t>
      </w:r>
      <w:r w:rsidRPr="007768F5">
        <w:rPr>
          <w:rStyle w:val="Refdenotaderodap"/>
          <w:rFonts w:ascii="Garamond" w:hAnsi="Garamond"/>
          <w:lang w:val="en-US"/>
        </w:rPr>
        <w:footnoteReference w:id="69"/>
      </w: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46"/>
        <w:gridCol w:w="3396"/>
        <w:gridCol w:w="2996"/>
      </w:tblGrid>
      <w:tr w:rsidR="00AE5278" w:rsidTr="00311218">
        <w:tc>
          <w:tcPr>
            <w:tcW w:w="3246" w:type="dxa"/>
          </w:tcPr>
          <w:p w:rsidR="00AE5278" w:rsidRDefault="00AE5278" w:rsidP="00582FDE">
            <w:pPr>
              <w:jc w:val="center"/>
              <w:rPr>
                <w:rFonts w:ascii="Garamond" w:hAnsi="Garamond"/>
                <w:b/>
                <w:bCs/>
                <w:lang w:val="en-US"/>
              </w:rPr>
            </w:pPr>
            <w:r w:rsidRPr="000C5EB6">
              <w:rPr>
                <w:noProof/>
              </w:rPr>
              <w:drawing>
                <wp:inline distT="0" distB="0" distL="0" distR="0" wp14:anchorId="7FA79E16" wp14:editId="5C68A528">
                  <wp:extent cx="1921124" cy="2520000"/>
                  <wp:effectExtent l="0" t="0" r="3175" b="0"/>
                  <wp:docPr id="16" name="Imagem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921124" cy="2520000"/>
                          </a:xfrm>
                          <a:prstGeom prst="rect">
                            <a:avLst/>
                          </a:prstGeom>
                        </pic:spPr>
                      </pic:pic>
                    </a:graphicData>
                  </a:graphic>
                </wp:inline>
              </w:drawing>
            </w:r>
          </w:p>
        </w:tc>
        <w:tc>
          <w:tcPr>
            <w:tcW w:w="3396" w:type="dxa"/>
          </w:tcPr>
          <w:p w:rsidR="00AE5278" w:rsidRPr="00AE5278" w:rsidRDefault="00AE5278" w:rsidP="00AE5278">
            <w:pPr>
              <w:keepNext/>
              <w:jc w:val="center"/>
            </w:pPr>
            <w:r>
              <w:rPr>
                <w:noProof/>
              </w:rPr>
              <w:drawing>
                <wp:inline distT="0" distB="0" distL="0" distR="0" wp14:anchorId="5D9599D6" wp14:editId="4F3B9290">
                  <wp:extent cx="2016000" cy="2526852"/>
                  <wp:effectExtent l="0" t="0" r="3810" b="6985"/>
                  <wp:docPr id="17" name="Imagem 17" descr="EUMiesAw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UMiesAwar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16000" cy="2526852"/>
                          </a:xfrm>
                          <a:prstGeom prst="rect">
                            <a:avLst/>
                          </a:prstGeom>
                          <a:noFill/>
                          <a:ln>
                            <a:noFill/>
                          </a:ln>
                        </pic:spPr>
                      </pic:pic>
                    </a:graphicData>
                  </a:graphic>
                </wp:inline>
              </w:drawing>
            </w:r>
          </w:p>
        </w:tc>
        <w:tc>
          <w:tcPr>
            <w:tcW w:w="2996" w:type="dxa"/>
          </w:tcPr>
          <w:p w:rsidR="00AE5278" w:rsidRDefault="00AE5278" w:rsidP="00582FDE">
            <w:pPr>
              <w:jc w:val="center"/>
              <w:rPr>
                <w:rFonts w:ascii="Garamond" w:hAnsi="Garamond"/>
                <w:b/>
                <w:bCs/>
                <w:lang w:val="en-US"/>
              </w:rPr>
            </w:pPr>
            <w:r>
              <w:rPr>
                <w:rFonts w:ascii="Garamond" w:hAnsi="Garamond"/>
                <w:noProof/>
                <w:lang w:val="pt-PT"/>
              </w:rPr>
              <w:drawing>
                <wp:inline distT="0" distB="0" distL="0" distR="0" wp14:anchorId="26C49BDC" wp14:editId="5F9C18E4">
                  <wp:extent cx="2538000" cy="1692000"/>
                  <wp:effectExtent l="3810" t="0" r="0" b="0"/>
                  <wp:docPr id="8"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2540.JPG"/>
                          <pic:cNvPicPr/>
                        </pic:nvPicPr>
                        <pic:blipFill>
                          <a:blip r:embed="rId18" cstate="print">
                            <a:extLst>
                              <a:ext uri="{28A0092B-C50C-407E-A947-70E740481C1C}">
                                <a14:useLocalDpi xmlns:a14="http://schemas.microsoft.com/office/drawing/2010/main" val="0"/>
                              </a:ext>
                            </a:extLst>
                          </a:blip>
                          <a:stretch>
                            <a:fillRect/>
                          </a:stretch>
                        </pic:blipFill>
                        <pic:spPr>
                          <a:xfrm rot="16200000">
                            <a:off x="0" y="0"/>
                            <a:ext cx="2538000" cy="1692000"/>
                          </a:xfrm>
                          <a:prstGeom prst="rect">
                            <a:avLst/>
                          </a:prstGeom>
                        </pic:spPr>
                      </pic:pic>
                    </a:graphicData>
                  </a:graphic>
                </wp:inline>
              </w:drawing>
            </w:r>
          </w:p>
        </w:tc>
      </w:tr>
    </w:tbl>
    <w:p w:rsidR="00AE5278" w:rsidRPr="00AE5278" w:rsidRDefault="00AE5278" w:rsidP="00AE5278">
      <w:pPr>
        <w:rPr>
          <w:rFonts w:ascii="Garamond" w:hAnsi="Garamond"/>
          <w:b/>
          <w:bCs/>
          <w:sz w:val="4"/>
          <w:szCs w:val="4"/>
          <w:lang w:val="en-US"/>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09"/>
        <w:gridCol w:w="3209"/>
        <w:gridCol w:w="3210"/>
      </w:tblGrid>
      <w:tr w:rsidR="00AE5278" w:rsidTr="00311218">
        <w:tc>
          <w:tcPr>
            <w:tcW w:w="3209" w:type="dxa"/>
          </w:tcPr>
          <w:p w:rsidR="00AE5278" w:rsidRDefault="00AE5278" w:rsidP="00AE5278">
            <w:pPr>
              <w:spacing w:line="360" w:lineRule="auto"/>
              <w:jc w:val="center"/>
              <w:rPr>
                <w:rFonts w:ascii="Garamond" w:hAnsi="Garamond"/>
                <w:sz w:val="20"/>
                <w:szCs w:val="20"/>
                <w:lang w:val="pt-PT"/>
              </w:rPr>
            </w:pPr>
            <w:r>
              <w:rPr>
                <w:noProof/>
              </w:rPr>
              <w:drawing>
                <wp:inline distT="0" distB="0" distL="0" distR="0" wp14:anchorId="593001F2" wp14:editId="21C78C83">
                  <wp:extent cx="1704647" cy="2160000"/>
                  <wp:effectExtent l="0" t="0" r="0" b="0"/>
                  <wp:docPr id="18" name="Imagem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704647" cy="2160000"/>
                          </a:xfrm>
                          <a:prstGeom prst="rect">
                            <a:avLst/>
                          </a:prstGeom>
                        </pic:spPr>
                      </pic:pic>
                    </a:graphicData>
                  </a:graphic>
                </wp:inline>
              </w:drawing>
            </w:r>
          </w:p>
        </w:tc>
        <w:tc>
          <w:tcPr>
            <w:tcW w:w="3209" w:type="dxa"/>
          </w:tcPr>
          <w:p w:rsidR="00AE5278" w:rsidRPr="00FA358A" w:rsidRDefault="00AE5278" w:rsidP="00FA358A">
            <w:pPr>
              <w:keepNext/>
              <w:spacing w:line="360" w:lineRule="auto"/>
              <w:jc w:val="center"/>
            </w:pPr>
            <w:r w:rsidRPr="00276978">
              <w:rPr>
                <w:noProof/>
              </w:rPr>
              <w:drawing>
                <wp:inline distT="0" distB="0" distL="0" distR="0" wp14:anchorId="59DEDDAC" wp14:editId="55EAFE4D">
                  <wp:extent cx="2160000" cy="1432172"/>
                  <wp:effectExtent l="1905" t="0" r="0" b="0"/>
                  <wp:docPr id="19" name="Imagem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rot="5400000">
                            <a:off x="0" y="0"/>
                            <a:ext cx="2160000" cy="1432172"/>
                          </a:xfrm>
                          <a:prstGeom prst="rect">
                            <a:avLst/>
                          </a:prstGeom>
                        </pic:spPr>
                      </pic:pic>
                    </a:graphicData>
                  </a:graphic>
                </wp:inline>
              </w:drawing>
            </w:r>
          </w:p>
        </w:tc>
        <w:tc>
          <w:tcPr>
            <w:tcW w:w="3210" w:type="dxa"/>
          </w:tcPr>
          <w:p w:rsidR="00AE5278" w:rsidRDefault="00AE5278" w:rsidP="00AE5278">
            <w:pPr>
              <w:spacing w:line="360" w:lineRule="auto"/>
              <w:jc w:val="center"/>
              <w:rPr>
                <w:rFonts w:ascii="Garamond" w:hAnsi="Garamond"/>
                <w:sz w:val="20"/>
                <w:szCs w:val="20"/>
                <w:lang w:val="pt-PT"/>
              </w:rPr>
            </w:pPr>
            <w:r>
              <w:rPr>
                <w:noProof/>
              </w:rPr>
              <w:drawing>
                <wp:inline distT="0" distB="0" distL="0" distR="0" wp14:anchorId="376020C7" wp14:editId="7DD652CC">
                  <wp:extent cx="2124000" cy="1714435"/>
                  <wp:effectExtent l="0" t="4763" r="5398" b="5397"/>
                  <wp:docPr id="20" name="Imagem 20" descr="archiweb.cz - Santa Maria Chu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rchiweb.cz - Santa Maria Church"/>
                          <pic:cNvPicPr>
                            <a:picLocks noChangeAspect="1" noChangeArrowheads="1"/>
                          </pic:cNvPicPr>
                        </pic:nvPicPr>
                        <pic:blipFill rotWithShape="1">
                          <a:blip r:embed="rId21">
                            <a:extLst>
                              <a:ext uri="{28A0092B-C50C-407E-A947-70E740481C1C}">
                                <a14:useLocalDpi xmlns:a14="http://schemas.microsoft.com/office/drawing/2010/main" val="0"/>
                              </a:ext>
                            </a:extLst>
                          </a:blip>
                          <a:srcRect l="22668" t="5001" r="8472" b="18816"/>
                          <a:stretch/>
                        </pic:blipFill>
                        <pic:spPr bwMode="auto">
                          <a:xfrm rot="16200000" flipH="1">
                            <a:off x="0" y="0"/>
                            <a:ext cx="2124000" cy="1714435"/>
                          </a:xfrm>
                          <a:prstGeom prst="rect">
                            <a:avLst/>
                          </a:prstGeom>
                          <a:noFill/>
                          <a:ln>
                            <a:noFill/>
                          </a:ln>
                          <a:extLst>
                            <a:ext uri="{53640926-AAD7-44D8-BBD7-CCE9431645EC}">
                              <a14:shadowObscured xmlns:a14="http://schemas.microsoft.com/office/drawing/2010/main"/>
                            </a:ext>
                          </a:extLst>
                        </pic:spPr>
                      </pic:pic>
                    </a:graphicData>
                  </a:graphic>
                </wp:inline>
              </w:drawing>
            </w:r>
          </w:p>
        </w:tc>
      </w:tr>
    </w:tbl>
    <w:p w:rsidR="00582FDE" w:rsidRPr="00AE5278" w:rsidRDefault="00582FDE" w:rsidP="00582FDE">
      <w:pPr>
        <w:spacing w:line="360" w:lineRule="auto"/>
        <w:jc w:val="both"/>
        <w:rPr>
          <w:rFonts w:ascii="Garamond" w:hAnsi="Garamond"/>
          <w:sz w:val="4"/>
          <w:szCs w:val="4"/>
          <w:lang w:val="pt-PT"/>
        </w:rPr>
      </w:pPr>
    </w:p>
    <w:p w:rsidR="008010FB" w:rsidRDefault="008010FB" w:rsidP="007C19D5">
      <w:pPr>
        <w:spacing w:line="360" w:lineRule="auto"/>
        <w:ind w:firstLine="720"/>
        <w:jc w:val="both"/>
        <w:rPr>
          <w:rFonts w:ascii="Garamond" w:hAnsi="Garamond"/>
          <w:b/>
          <w:bCs/>
          <w:sz w:val="28"/>
          <w:szCs w:val="28"/>
          <w:lang w:val="en-US"/>
        </w:rPr>
      </w:pPr>
      <w:r w:rsidRPr="008010FB">
        <w:rPr>
          <w:rFonts w:ascii="Garamond" w:hAnsi="Garamond"/>
          <w:b/>
          <w:bCs/>
          <w:sz w:val="28"/>
          <w:szCs w:val="28"/>
          <w:lang w:val="en-US"/>
        </w:rPr>
        <w:lastRenderedPageBreak/>
        <w:t xml:space="preserve">Mapping the House – the plan </w:t>
      </w:r>
      <w:r w:rsidR="00F25D56" w:rsidRPr="00F25D56">
        <w:rPr>
          <w:rFonts w:ascii="Garamond" w:hAnsi="Garamond"/>
          <w:sz w:val="28"/>
          <w:szCs w:val="28"/>
          <w:lang w:val="en-US"/>
        </w:rPr>
        <w:t>(fig.6)</w:t>
      </w:r>
    </w:p>
    <w:p w:rsidR="00582FDE" w:rsidRPr="00423F3F" w:rsidRDefault="00582FDE" w:rsidP="007C19D5">
      <w:pPr>
        <w:spacing w:line="360" w:lineRule="auto"/>
        <w:jc w:val="both"/>
        <w:rPr>
          <w:rFonts w:ascii="Garamond" w:hAnsi="Garamond"/>
          <w:lang w:val="en-US"/>
        </w:rPr>
      </w:pPr>
      <w:r w:rsidRPr="00A44516">
        <w:rPr>
          <w:rFonts w:ascii="Garamond" w:hAnsi="Garamond"/>
          <w:lang w:val="en-US"/>
        </w:rPr>
        <w:t xml:space="preserve">Inside the church, </w:t>
      </w:r>
      <w:r>
        <w:rPr>
          <w:rFonts w:ascii="Garamond" w:hAnsi="Garamond"/>
          <w:lang w:val="en-US"/>
        </w:rPr>
        <w:t>saving</w:t>
      </w:r>
      <w:r w:rsidRPr="00A44516">
        <w:rPr>
          <w:rFonts w:ascii="Garamond" w:hAnsi="Garamond"/>
          <w:lang w:val="en-US"/>
        </w:rPr>
        <w:t xml:space="preserve"> the previously referred traits, the placing of the various liturgical </w:t>
      </w:r>
      <w:r w:rsidR="008010FB" w:rsidRPr="008010FB">
        <w:rPr>
          <w:rFonts w:ascii="Garamond" w:hAnsi="Garamond"/>
          <w:lang w:val="en-US"/>
        </w:rPr>
        <w:t xml:space="preserve">areas </w:t>
      </w:r>
      <w:r w:rsidRPr="00A44516">
        <w:rPr>
          <w:rFonts w:ascii="Garamond" w:hAnsi="Garamond"/>
          <w:lang w:val="en-US"/>
        </w:rPr>
        <w:t>within the rectangular nave seems familiar enough</w:t>
      </w:r>
      <w:r>
        <w:rPr>
          <w:rFonts w:ascii="Garamond" w:hAnsi="Garamond"/>
          <w:lang w:val="en-US"/>
        </w:rPr>
        <w:t xml:space="preserve">, </w:t>
      </w:r>
      <w:r w:rsidRPr="00423F3F">
        <w:rPr>
          <w:rFonts w:ascii="Garamond" w:hAnsi="Garamond"/>
          <w:lang w:val="en-US"/>
        </w:rPr>
        <w:t>the presbytery and the altar, in the background; the baptistery at the entrance</w:t>
      </w:r>
      <w:r>
        <w:rPr>
          <w:rFonts w:ascii="Garamond" w:hAnsi="Garamond"/>
          <w:lang w:val="en-US"/>
        </w:rPr>
        <w:t xml:space="preserve">. </w:t>
      </w:r>
    </w:p>
    <w:p w:rsidR="00582FDE" w:rsidRPr="00AF3A21" w:rsidRDefault="00582FDE" w:rsidP="007C19D5">
      <w:pPr>
        <w:spacing w:line="360" w:lineRule="auto"/>
        <w:jc w:val="both"/>
        <w:rPr>
          <w:rFonts w:ascii="Garamond" w:hAnsi="Garamond"/>
          <w:lang w:val="en-US"/>
        </w:rPr>
      </w:pPr>
      <w:r w:rsidRPr="00423F3F">
        <w:rPr>
          <w:rFonts w:ascii="Garamond" w:hAnsi="Garamond"/>
          <w:lang w:val="en-US"/>
        </w:rPr>
        <w:t xml:space="preserve">In the light of the changes </w:t>
      </w:r>
      <w:r>
        <w:rPr>
          <w:rFonts w:ascii="Garamond" w:hAnsi="Garamond"/>
          <w:lang w:val="en-US"/>
        </w:rPr>
        <w:t>ratified</w:t>
      </w:r>
      <w:r w:rsidRPr="00423F3F">
        <w:rPr>
          <w:rFonts w:ascii="Garamond" w:hAnsi="Garamond"/>
          <w:lang w:val="en-US"/>
        </w:rPr>
        <w:t xml:space="preserve"> by the </w:t>
      </w:r>
      <w:r w:rsidRPr="007768F5">
        <w:rPr>
          <w:rFonts w:ascii="Garamond" w:hAnsi="Garamond"/>
          <w:lang w:val="en-US"/>
        </w:rPr>
        <w:t>Second Vatican Council, one of the most evident was the orientation of the priest towards the congregation (</w:t>
      </w:r>
      <w:r w:rsidR="008010FB" w:rsidRPr="007768F5">
        <w:rPr>
          <w:rFonts w:ascii="Garamond" w:hAnsi="Garamond"/>
          <w:lang w:val="en-US"/>
        </w:rPr>
        <w:t>instead of facing the altar</w:t>
      </w:r>
      <w:r w:rsidRPr="007768F5">
        <w:rPr>
          <w:rFonts w:ascii="Garamond" w:hAnsi="Garamond"/>
          <w:lang w:val="en-US"/>
        </w:rPr>
        <w:t>), a fact that altered the logic of space and reduced the use of historical models as a design reference.</w:t>
      </w:r>
      <w:r w:rsidR="007768F5" w:rsidRPr="007768F5">
        <w:rPr>
          <w:rStyle w:val="Refdenotaderodap"/>
          <w:rFonts w:ascii="Garamond" w:hAnsi="Garamond"/>
          <w:lang w:val="en-US"/>
        </w:rPr>
        <w:footnoteReference w:id="70"/>
      </w:r>
      <w:r w:rsidRPr="007768F5">
        <w:rPr>
          <w:rFonts w:ascii="Garamond" w:hAnsi="Garamond"/>
          <w:lang w:val="en-US"/>
        </w:rPr>
        <w:t xml:space="preserve"> Siza intended to question the implications of the changes in his project, but globally he ended up conceiving a ‘substantially conservative’ church, as he himself acknowledges.</w:t>
      </w:r>
      <w:r w:rsidRPr="007768F5">
        <w:rPr>
          <w:rStyle w:val="Refdenotaderodap"/>
          <w:rFonts w:ascii="Garamond" w:hAnsi="Garamond"/>
          <w:lang w:val="en-US"/>
        </w:rPr>
        <w:footnoteReference w:id="71"/>
      </w:r>
      <w:r w:rsidRPr="007768F5">
        <w:rPr>
          <w:rFonts w:ascii="Garamond" w:hAnsi="Garamond"/>
          <w:lang w:val="en-US"/>
        </w:rPr>
        <w:t xml:space="preserve"> Finding no parallel between the</w:t>
      </w:r>
      <w:r w:rsidRPr="007768F5">
        <w:t xml:space="preserve"> </w:t>
      </w:r>
      <w:r w:rsidRPr="007768F5">
        <w:rPr>
          <w:rFonts w:ascii="Garamond" w:hAnsi="Garamond"/>
          <w:lang w:val="en-US"/>
        </w:rPr>
        <w:t>desired changes and ‘the real life of the Church, in the relationship between the Church and society', he chose to let go of the radical rupture whose scope anticipated, and sought instead to ‘preserve continuity with tradition’.</w:t>
      </w:r>
      <w:r w:rsidRPr="007768F5">
        <w:rPr>
          <w:rStyle w:val="Refdenotaderodap"/>
          <w:rFonts w:ascii="Garamond" w:hAnsi="Garamond"/>
          <w:lang w:val="en-US"/>
        </w:rPr>
        <w:footnoteReference w:id="72"/>
      </w:r>
      <w:r w:rsidRPr="007768F5">
        <w:rPr>
          <w:rFonts w:ascii="Garamond" w:hAnsi="Garamond"/>
          <w:lang w:val="en-US"/>
        </w:rPr>
        <w:t xml:space="preserve"> As Siza himself states, the ‘rigid axiality’ of the plan is a manifestation of this continuity, as well as other features that Curtis accounted for when interviewing him, such as the use of ‘some of the standard equipment of religiosity – altar, baptismal font, pulpit, tabernacle, cross, etc.’; despite their relative abstraction, they are still identifiable.</w:t>
      </w:r>
      <w:r w:rsidRPr="007768F5">
        <w:rPr>
          <w:rStyle w:val="Refdenotaderodap"/>
          <w:rFonts w:ascii="Garamond" w:hAnsi="Garamond"/>
          <w:lang w:val="en-US"/>
        </w:rPr>
        <w:footnoteReference w:id="73"/>
      </w:r>
      <w:r w:rsidRPr="00423F3F">
        <w:rPr>
          <w:rFonts w:ascii="Garamond" w:hAnsi="Garamond"/>
          <w:lang w:val="en-US"/>
        </w:rPr>
        <w:t xml:space="preserve"> </w:t>
      </w:r>
    </w:p>
    <w:p w:rsidR="00582FDE" w:rsidRDefault="00582FDE" w:rsidP="007C19D5">
      <w:pPr>
        <w:spacing w:line="360" w:lineRule="auto"/>
        <w:jc w:val="both"/>
        <w:rPr>
          <w:rFonts w:ascii="Garamond" w:hAnsi="Garamond"/>
          <w:lang w:val="en-US"/>
        </w:rPr>
      </w:pPr>
      <w:r w:rsidRPr="00CD3C9C">
        <w:rPr>
          <w:rFonts w:ascii="Garamond" w:hAnsi="Garamond"/>
          <w:lang w:val="en-US"/>
        </w:rPr>
        <w:t xml:space="preserve">The clearest example of this transformed, </w:t>
      </w:r>
      <w:r>
        <w:rPr>
          <w:rFonts w:ascii="Garamond" w:hAnsi="Garamond"/>
          <w:lang w:val="en-US"/>
        </w:rPr>
        <w:t>but</w:t>
      </w:r>
      <w:r w:rsidRPr="00CD3C9C">
        <w:rPr>
          <w:rFonts w:ascii="Garamond" w:hAnsi="Garamond"/>
          <w:lang w:val="en-US"/>
        </w:rPr>
        <w:t xml:space="preserve"> </w:t>
      </w:r>
      <w:r w:rsidRPr="00423F3F">
        <w:rPr>
          <w:rFonts w:ascii="Garamond" w:hAnsi="Garamond"/>
          <w:lang w:val="en-US"/>
        </w:rPr>
        <w:t>recognizable</w:t>
      </w:r>
      <w:r w:rsidRPr="00CD3C9C">
        <w:rPr>
          <w:rFonts w:ascii="Garamond" w:hAnsi="Garamond"/>
          <w:lang w:val="en-US"/>
        </w:rPr>
        <w:t xml:space="preserve"> iconography, occurs in the presbytery, with </w:t>
      </w:r>
      <w:r>
        <w:rPr>
          <w:rFonts w:ascii="Garamond" w:hAnsi="Garamond"/>
          <w:lang w:val="en-US"/>
        </w:rPr>
        <w:t>the ‘</w:t>
      </w:r>
      <w:r w:rsidRPr="00CD3C9C">
        <w:rPr>
          <w:rFonts w:ascii="Garamond" w:hAnsi="Garamond"/>
          <w:lang w:val="en-US"/>
        </w:rPr>
        <w:t>reverse-</w:t>
      </w:r>
      <w:r w:rsidRPr="007768F5">
        <w:rPr>
          <w:rFonts w:ascii="Garamond" w:hAnsi="Garamond"/>
          <w:lang w:val="en-US"/>
        </w:rPr>
        <w:t>apse’, as Curtis calls it, or ‘anti-apse’ as Frampton designates it, noticing this author that these ‘convex shapes derive from an inversion of the quadrants constituting the traditional apse’s semicircular geometry’.</w:t>
      </w:r>
      <w:r w:rsidRPr="007768F5">
        <w:rPr>
          <w:rStyle w:val="Refdenotaderodap"/>
          <w:rFonts w:ascii="Garamond" w:hAnsi="Garamond"/>
          <w:lang w:val="en-US"/>
        </w:rPr>
        <w:footnoteReference w:id="74"/>
      </w:r>
      <w:r w:rsidRPr="007768F5">
        <w:rPr>
          <w:rFonts w:ascii="Garamond" w:hAnsi="Garamond"/>
          <w:lang w:val="en-US"/>
        </w:rPr>
        <w:t xml:space="preserve"> Similarly, Patrick Lynch interprets both the curved forms of the apse and the space compression towards the presbytery (focusing one's attention upon the tabernacle) as a perspective effect that recalls the Baroque Portuguese churches from the 17th century.</w:t>
      </w:r>
      <w:r w:rsidRPr="007768F5">
        <w:rPr>
          <w:rStyle w:val="Refdenotaderodap"/>
          <w:rFonts w:ascii="Garamond" w:hAnsi="Garamond"/>
          <w:lang w:val="en-US"/>
        </w:rPr>
        <w:footnoteReference w:id="75"/>
      </w:r>
      <w:r w:rsidRPr="007768F5">
        <w:rPr>
          <w:rFonts w:ascii="Garamond" w:hAnsi="Garamond"/>
          <w:lang w:val="en-US"/>
        </w:rPr>
        <w:t xml:space="preserve"> Likewise </w:t>
      </w:r>
      <w:r w:rsidR="008010FB" w:rsidRPr="007768F5">
        <w:rPr>
          <w:rFonts w:ascii="Garamond" w:hAnsi="Garamond"/>
          <w:lang w:val="en-US"/>
        </w:rPr>
        <w:t xml:space="preserve">architect </w:t>
      </w:r>
      <w:r w:rsidRPr="007768F5">
        <w:rPr>
          <w:rFonts w:ascii="Garamond" w:hAnsi="Garamond"/>
          <w:lang w:val="en-US"/>
        </w:rPr>
        <w:t>Eduardo Souto Moura, the second Portuguese Pritzker awarded</w:t>
      </w:r>
      <w:r w:rsidR="007768F5" w:rsidRPr="007768F5">
        <w:rPr>
          <w:rFonts w:ascii="Garamond" w:hAnsi="Garamond"/>
          <w:lang w:val="en-US"/>
        </w:rPr>
        <w:t>,</w:t>
      </w:r>
      <w:r w:rsidRPr="007768F5">
        <w:rPr>
          <w:rFonts w:ascii="Garamond" w:hAnsi="Garamond"/>
          <w:lang w:val="en-US"/>
        </w:rPr>
        <w:t xml:space="preserve"> suspects that the church </w:t>
      </w:r>
      <w:r w:rsidRPr="007768F5">
        <w:rPr>
          <w:rFonts w:ascii="Garamond" w:hAnsi="Garamond"/>
          <w:i/>
          <w:iCs/>
          <w:lang w:val="en-US"/>
        </w:rPr>
        <w:t>Sant’Ivo alla Sapienza</w:t>
      </w:r>
      <w:r w:rsidRPr="007768F5">
        <w:rPr>
          <w:rFonts w:ascii="Garamond" w:hAnsi="Garamond"/>
          <w:lang w:val="en-US"/>
        </w:rPr>
        <w:t>, by Francesco Borromini, was the most likely (baroque) inspiration for the composition of the Santa Maria’s apse.</w:t>
      </w:r>
      <w:r w:rsidRPr="007768F5">
        <w:rPr>
          <w:rStyle w:val="Refdenotaderodap"/>
          <w:rFonts w:ascii="Garamond" w:hAnsi="Garamond"/>
          <w:lang w:val="en-US"/>
        </w:rPr>
        <w:footnoteReference w:id="76"/>
      </w:r>
      <w:r w:rsidRPr="007768F5">
        <w:rPr>
          <w:rFonts w:ascii="Garamond" w:hAnsi="Garamond"/>
          <w:lang w:val="en-US"/>
        </w:rPr>
        <w:t xml:space="preserve"> It is still Souto Moura who offers the explanation for the transformation of the apse, its stripping of ornaments and the placement of the cross and the tabernacle on the left </w:t>
      </w:r>
      <w:r w:rsidRPr="00573F9F">
        <w:rPr>
          <w:rFonts w:ascii="Garamond" w:hAnsi="Garamond"/>
          <w:lang w:val="en-US"/>
        </w:rPr>
        <w:t>on the altar, based on the new liturgy.</w:t>
      </w:r>
    </w:p>
    <w:p w:rsidR="008E440C" w:rsidRDefault="00582FDE" w:rsidP="008E440C">
      <w:pPr>
        <w:spacing w:line="360" w:lineRule="auto"/>
        <w:jc w:val="both"/>
        <w:rPr>
          <w:rFonts w:ascii="Garamond" w:hAnsi="Garamond"/>
          <w:lang w:val="en-US"/>
        </w:rPr>
      </w:pPr>
      <w:r w:rsidRPr="00CF3878">
        <w:rPr>
          <w:rFonts w:ascii="Garamond" w:hAnsi="Garamond"/>
          <w:lang w:val="en-US"/>
        </w:rPr>
        <w:t>The adoption of the</w:t>
      </w:r>
      <w:r>
        <w:rPr>
          <w:rFonts w:ascii="Garamond" w:hAnsi="Garamond"/>
          <w:lang w:val="en-US"/>
        </w:rPr>
        <w:t xml:space="preserve"> ‘</w:t>
      </w:r>
      <w:r w:rsidR="005375B5" w:rsidRPr="007768F5">
        <w:rPr>
          <w:rFonts w:ascii="Garamond" w:hAnsi="Garamond"/>
          <w:lang w:val="en-US"/>
        </w:rPr>
        <w:t>symmetrical</w:t>
      </w:r>
      <w:r w:rsidRPr="007768F5">
        <w:rPr>
          <w:rFonts w:ascii="Garamond" w:hAnsi="Garamond"/>
          <w:lang w:val="en-US"/>
        </w:rPr>
        <w:t xml:space="preserve"> disposition in the main south-west entrance, flanked by two square towers framing the door leading to the nave’ noted by Frampton is also highlighted by Souto Moura who refers it to traditional Portuguese churches, namely from the Minho region.</w:t>
      </w:r>
      <w:r w:rsidR="007768F5" w:rsidRPr="007768F5">
        <w:rPr>
          <w:rStyle w:val="Refdenotaderodap"/>
          <w:rFonts w:ascii="Garamond" w:hAnsi="Garamond"/>
          <w:lang w:val="en-US"/>
        </w:rPr>
        <w:t xml:space="preserve"> </w:t>
      </w:r>
      <w:r w:rsidR="007768F5" w:rsidRPr="007768F5">
        <w:rPr>
          <w:rStyle w:val="Refdenotaderodap"/>
          <w:rFonts w:ascii="Garamond" w:hAnsi="Garamond"/>
          <w:lang w:val="en-US"/>
        </w:rPr>
        <w:footnoteReference w:id="77"/>
      </w:r>
      <w:r w:rsidRPr="007768F5">
        <w:rPr>
          <w:rFonts w:ascii="Garamond" w:hAnsi="Garamond"/>
          <w:lang w:val="en-US"/>
        </w:rPr>
        <w:t xml:space="preserve"> He also points out several other parallels that prove Siza’s appropriation of</w:t>
      </w:r>
      <w:r w:rsidRPr="00CF3878">
        <w:rPr>
          <w:rFonts w:ascii="Garamond" w:hAnsi="Garamond"/>
          <w:lang w:val="en-US"/>
        </w:rPr>
        <w:t xml:space="preserve"> tradition, such as the side entrance to the church, which is usual in Portugal, the position of the baptistery at the entrance, before accessing the nave, as established </w:t>
      </w:r>
      <w:r w:rsidR="008E440C">
        <w:rPr>
          <w:rFonts w:ascii="Garamond" w:hAnsi="Garamond"/>
          <w:lang w:val="en-US"/>
        </w:rPr>
        <w:br w:type="page"/>
      </w:r>
    </w:p>
    <w:p w:rsidR="00FA358A" w:rsidRDefault="008E440C" w:rsidP="00FA358A">
      <w:pPr>
        <w:keepNext/>
        <w:spacing w:line="360" w:lineRule="auto"/>
        <w:jc w:val="center"/>
      </w:pPr>
      <w:r>
        <w:rPr>
          <w:rFonts w:ascii="Garamond" w:hAnsi="Garamond"/>
          <w:noProof/>
          <w:lang w:val="en-US"/>
        </w:rPr>
        <w:lastRenderedPageBreak/>
        <w:drawing>
          <wp:inline distT="0" distB="0" distL="0" distR="0">
            <wp:extent cx="5868000" cy="9216967"/>
            <wp:effectExtent l="0" t="0" r="0" b="3810"/>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lano.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868000" cy="9216967"/>
                    </a:xfrm>
                    <a:prstGeom prst="rect">
                      <a:avLst/>
                    </a:prstGeom>
                  </pic:spPr>
                </pic:pic>
              </a:graphicData>
            </a:graphic>
          </wp:inline>
        </w:drawing>
      </w:r>
    </w:p>
    <w:p w:rsidR="00FA358A" w:rsidRDefault="00FA358A" w:rsidP="00FA358A">
      <w:pPr>
        <w:pStyle w:val="Legenda"/>
        <w:jc w:val="center"/>
      </w:pPr>
      <w:r>
        <w:t>Figura 6</w:t>
      </w:r>
    </w:p>
    <w:p w:rsidR="00582FDE" w:rsidRDefault="00582FDE" w:rsidP="00FA358A">
      <w:pPr>
        <w:spacing w:line="360" w:lineRule="auto"/>
        <w:jc w:val="center"/>
        <w:rPr>
          <w:rFonts w:ascii="Garamond" w:hAnsi="Garamond"/>
          <w:lang w:val="en-US"/>
        </w:rPr>
      </w:pPr>
      <w:r w:rsidRPr="00CF3878">
        <w:rPr>
          <w:rFonts w:ascii="Garamond" w:hAnsi="Garamond"/>
          <w:lang w:val="en-US"/>
        </w:rPr>
        <w:lastRenderedPageBreak/>
        <w:t xml:space="preserve">in the liturgy, and the reference to the materiality of the </w:t>
      </w:r>
      <w:r w:rsidRPr="007768F5">
        <w:rPr>
          <w:rFonts w:ascii="Garamond" w:hAnsi="Garamond"/>
          <w:lang w:val="en-US"/>
        </w:rPr>
        <w:t>vernacular religious Portuguese architecture, through the use of tile on the walls and the wooden floor. As to the door, Siza himself explains it in his memory of visiting the (Norman) cathedral of Monreale, in Sicily (Italy) and the impact then felt as the tall opened door allowed to see him the</w:t>
      </w:r>
      <w:r w:rsidRPr="007768F5">
        <w:t xml:space="preserve"> </w:t>
      </w:r>
      <w:r w:rsidRPr="007768F5">
        <w:rPr>
          <w:rFonts w:ascii="Garamond" w:hAnsi="Garamond"/>
          <w:lang w:val="en-US"/>
        </w:rPr>
        <w:t>Christ Pantocrator in the background.</w:t>
      </w:r>
      <w:r w:rsidRPr="007768F5">
        <w:rPr>
          <w:rStyle w:val="Refdenotaderodap"/>
          <w:rFonts w:ascii="Garamond" w:hAnsi="Garamond"/>
          <w:lang w:val="en-US"/>
        </w:rPr>
        <w:footnoteReference w:id="78"/>
      </w:r>
    </w:p>
    <w:p w:rsidR="00582FDE" w:rsidRDefault="00582FDE" w:rsidP="007C19D5">
      <w:pPr>
        <w:spacing w:line="360" w:lineRule="auto"/>
        <w:jc w:val="both"/>
        <w:rPr>
          <w:rFonts w:ascii="Garamond" w:hAnsi="Garamond"/>
          <w:lang w:val="en-US"/>
        </w:rPr>
      </w:pPr>
    </w:p>
    <w:p w:rsidR="009A6BB6" w:rsidRDefault="009A6BB6" w:rsidP="007C19D5">
      <w:pPr>
        <w:spacing w:line="360" w:lineRule="auto"/>
        <w:jc w:val="both"/>
        <w:rPr>
          <w:rFonts w:ascii="Garamond" w:hAnsi="Garamond"/>
          <w:lang w:val="en-US"/>
        </w:rPr>
      </w:pPr>
    </w:p>
    <w:p w:rsidR="00582FDE" w:rsidRDefault="00582FDE" w:rsidP="00582FDE">
      <w:pPr>
        <w:spacing w:line="360" w:lineRule="auto"/>
        <w:jc w:val="both"/>
        <w:rPr>
          <w:rFonts w:ascii="Garamond" w:hAnsi="Garamond"/>
          <w:b/>
          <w:bCs/>
          <w:sz w:val="28"/>
          <w:szCs w:val="28"/>
          <w:lang w:val="en-US"/>
        </w:rPr>
      </w:pPr>
      <w:r w:rsidRPr="00100944">
        <w:rPr>
          <w:rFonts w:ascii="Garamond" w:hAnsi="Garamond"/>
          <w:b/>
          <w:bCs/>
          <w:sz w:val="28"/>
          <w:szCs w:val="28"/>
          <w:lang w:val="en-US"/>
        </w:rPr>
        <w:t>CONCLUSION</w:t>
      </w:r>
    </w:p>
    <w:p w:rsidR="009A6BB6" w:rsidRPr="00F25D56" w:rsidRDefault="00F25D56" w:rsidP="00100A89">
      <w:pPr>
        <w:spacing w:line="360" w:lineRule="auto"/>
        <w:jc w:val="both"/>
        <w:rPr>
          <w:rFonts w:ascii="Garamond" w:hAnsi="Garamond"/>
          <w:lang w:val="en-US"/>
        </w:rPr>
      </w:pPr>
      <w:r w:rsidRPr="00F25D56">
        <w:rPr>
          <w:rFonts w:ascii="Garamond" w:hAnsi="Garamond"/>
          <w:color w:val="000000"/>
          <w:shd w:val="clear" w:color="auto" w:fill="FFFFFF"/>
        </w:rPr>
        <w:t>The aim of this essay was to critically discuss the church of Santa Maria, designed by Álvaro Siza, in Marco de Canaveses (Portugal), as built sacred space, by focusing on the way through which the architect imparted sacredness to the structure. Rudolf Otto, Mircea Eliade and Émile Durkheim provided the conceptualization of the sacred. In the spatial context, the concepts of threshold (between sacred and profane space), centre (as world fulcrum) and axis (of rapport with the divine) anchored the analysis of some of the features of this church. The research hinged on a phenomenological approach – over an experience of the space in two different circumstances – that enabled to pinpoint the elements that struck me more intensely. The inherent subjective nature of this perception was balanced by the understanding of this domain that other thinkers had, and the recorded statements of the building’s architect on the assumptions and thought process of his design. Siza claims to have sought to question the idea of a church, but never alluded to the dimension of sacredness as an operative element. The sacred is nevertheless present through signs/symbols, explicit and/or hinted at. The way one is lead to approach the building, as one experiences the churchyard and the church entrance (the threshold and the connection between sacred and profane), inasmuch as how colour, height and light create the inner environment, and how liturgy is mapped on the space are the aspects considered and experienced. And thus one comes to the realisation of how therein lies the intertwining of several levels of sacredness, those able to be subjected to rationalization and others that words fail to encapsulate.</w:t>
      </w:r>
      <w:bookmarkStart w:id="10" w:name="_GoBack"/>
      <w:bookmarkEnd w:id="10"/>
    </w:p>
    <w:p w:rsidR="009A6BB6" w:rsidRPr="00F25D56" w:rsidRDefault="009A6BB6" w:rsidP="00100A89">
      <w:pPr>
        <w:spacing w:line="360" w:lineRule="auto"/>
        <w:jc w:val="both"/>
        <w:rPr>
          <w:rFonts w:ascii="Garamond" w:hAnsi="Garamond"/>
          <w:lang w:val="en-US"/>
        </w:rPr>
      </w:pPr>
    </w:p>
    <w:p w:rsidR="00582FDE" w:rsidRPr="00F25D56" w:rsidRDefault="00582FDE" w:rsidP="00100A89">
      <w:pPr>
        <w:spacing w:line="360" w:lineRule="auto"/>
        <w:jc w:val="both"/>
        <w:rPr>
          <w:rFonts w:ascii="Garamond" w:hAnsi="Garamond"/>
          <w:lang w:val="en-US"/>
        </w:rPr>
      </w:pPr>
    </w:p>
    <w:p w:rsidR="008E440C" w:rsidRPr="00F25D56" w:rsidRDefault="008E440C" w:rsidP="00100A89">
      <w:pPr>
        <w:spacing w:line="360" w:lineRule="auto"/>
        <w:jc w:val="both"/>
        <w:rPr>
          <w:rFonts w:ascii="Garamond" w:hAnsi="Garamond"/>
          <w:lang w:val="en-US"/>
        </w:rPr>
      </w:pPr>
    </w:p>
    <w:p w:rsidR="008E440C" w:rsidRPr="00F25D56" w:rsidRDefault="008E440C" w:rsidP="00100A89">
      <w:pPr>
        <w:spacing w:line="360" w:lineRule="auto"/>
        <w:jc w:val="both"/>
        <w:rPr>
          <w:rFonts w:ascii="Garamond" w:hAnsi="Garamond"/>
          <w:lang w:val="en-US"/>
        </w:rPr>
      </w:pPr>
    </w:p>
    <w:p w:rsidR="008E440C" w:rsidRPr="00F25D56" w:rsidRDefault="008E440C" w:rsidP="00100A89">
      <w:pPr>
        <w:spacing w:line="360" w:lineRule="auto"/>
        <w:jc w:val="both"/>
        <w:rPr>
          <w:rFonts w:ascii="Garamond" w:hAnsi="Garamond"/>
          <w:lang w:val="en-US"/>
        </w:rPr>
      </w:pPr>
    </w:p>
    <w:p w:rsidR="008E440C" w:rsidRPr="00F25D56" w:rsidRDefault="008E440C" w:rsidP="00100A89">
      <w:pPr>
        <w:spacing w:line="360" w:lineRule="auto"/>
        <w:jc w:val="both"/>
        <w:rPr>
          <w:rFonts w:ascii="Garamond" w:hAnsi="Garamond"/>
          <w:lang w:val="en-US"/>
        </w:rPr>
      </w:pPr>
    </w:p>
    <w:p w:rsidR="008E440C" w:rsidRPr="00F25D56" w:rsidRDefault="008E440C" w:rsidP="00100A89">
      <w:pPr>
        <w:spacing w:line="360" w:lineRule="auto"/>
        <w:jc w:val="both"/>
        <w:rPr>
          <w:rFonts w:ascii="Garamond" w:hAnsi="Garamond"/>
          <w:lang w:val="en-US"/>
        </w:rPr>
      </w:pPr>
    </w:p>
    <w:p w:rsidR="008E440C" w:rsidRPr="00F25D56" w:rsidRDefault="008E440C" w:rsidP="00100A89">
      <w:pPr>
        <w:spacing w:line="360" w:lineRule="auto"/>
        <w:jc w:val="both"/>
        <w:rPr>
          <w:rFonts w:ascii="Garamond" w:hAnsi="Garamond"/>
          <w:lang w:val="en-US"/>
        </w:rPr>
      </w:pPr>
    </w:p>
    <w:p w:rsidR="008E440C" w:rsidRPr="00F25D56" w:rsidRDefault="008E440C" w:rsidP="00100A89">
      <w:pPr>
        <w:spacing w:line="360" w:lineRule="auto"/>
        <w:jc w:val="both"/>
        <w:rPr>
          <w:rFonts w:ascii="Garamond" w:hAnsi="Garamond"/>
          <w:lang w:val="en-US"/>
        </w:rPr>
      </w:pPr>
    </w:p>
    <w:p w:rsidR="008E440C" w:rsidRPr="00F25D56" w:rsidRDefault="008E440C" w:rsidP="00100A89">
      <w:pPr>
        <w:spacing w:line="360" w:lineRule="auto"/>
        <w:jc w:val="both"/>
        <w:rPr>
          <w:rFonts w:ascii="Garamond" w:hAnsi="Garamond"/>
          <w:lang w:val="en-US"/>
        </w:rPr>
      </w:pPr>
    </w:p>
    <w:p w:rsidR="00582FDE" w:rsidRPr="00F25D56" w:rsidRDefault="00582FDE" w:rsidP="00100A89">
      <w:pPr>
        <w:spacing w:line="360" w:lineRule="auto"/>
        <w:jc w:val="both"/>
        <w:rPr>
          <w:rFonts w:ascii="Garamond" w:hAnsi="Garamond"/>
          <w:lang w:val="en-US"/>
        </w:rPr>
      </w:pPr>
      <w:r w:rsidRPr="00F25D56">
        <w:rPr>
          <w:rFonts w:ascii="Garamond" w:hAnsi="Garamond"/>
          <w:lang w:val="en-US"/>
        </w:rPr>
        <w:br w:type="page"/>
      </w:r>
    </w:p>
    <w:p w:rsidR="005375B5" w:rsidRDefault="005375B5" w:rsidP="005375B5">
      <w:pPr>
        <w:spacing w:line="360" w:lineRule="auto"/>
        <w:jc w:val="both"/>
        <w:rPr>
          <w:rFonts w:ascii="Garamond" w:hAnsi="Garamond"/>
          <w:lang w:val="en-US"/>
        </w:rPr>
      </w:pPr>
      <w:bookmarkStart w:id="11" w:name="_Hlk61000452"/>
      <w:bookmarkEnd w:id="4"/>
      <w:r w:rsidRPr="009C5CBA">
        <w:rPr>
          <w:rFonts w:ascii="Garamond" w:hAnsi="Garamond"/>
          <w:b/>
          <w:bCs/>
          <w:sz w:val="28"/>
          <w:szCs w:val="28"/>
          <w:lang w:val="en-US"/>
        </w:rPr>
        <w:lastRenderedPageBreak/>
        <w:t>REFERENCES</w:t>
      </w:r>
    </w:p>
    <w:bookmarkEnd w:id="11"/>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Style w:val="fontstyle21"/>
          <w:rFonts w:ascii="Garamond" w:hAnsi="Garamond"/>
          <w:color w:val="auto"/>
          <w:sz w:val="22"/>
          <w:szCs w:val="22"/>
        </w:rPr>
        <w:t xml:space="preserve">Durkheim, Emile, </w:t>
      </w:r>
      <w:r w:rsidRPr="00316AD7">
        <w:rPr>
          <w:rStyle w:val="fontstyle21"/>
          <w:rFonts w:ascii="Garamond" w:hAnsi="Garamond"/>
          <w:i/>
          <w:iCs/>
          <w:color w:val="auto"/>
          <w:sz w:val="22"/>
          <w:szCs w:val="22"/>
        </w:rPr>
        <w:t>The Elementary Forms of Religious Life</w:t>
      </w:r>
      <w:r w:rsidRPr="00316AD7">
        <w:rPr>
          <w:rStyle w:val="fontstyle21"/>
          <w:rFonts w:ascii="Garamond" w:hAnsi="Garamond"/>
          <w:color w:val="auto"/>
          <w:sz w:val="22"/>
          <w:szCs w:val="22"/>
        </w:rPr>
        <w:t xml:space="preserve">, trans. </w:t>
      </w:r>
      <w:r w:rsidRPr="00316AD7">
        <w:rPr>
          <w:rStyle w:val="fontstyle21"/>
          <w:rFonts w:ascii="Garamond" w:hAnsi="Garamond"/>
          <w:color w:val="auto"/>
          <w:sz w:val="22"/>
          <w:szCs w:val="22"/>
          <w:lang w:val="fr-FR"/>
        </w:rPr>
        <w:t xml:space="preserve">Karen E. Fields (New York: Free Press, 1995) [or. edn., Les Formes élémentaires de la vie religieuse: Le système totémique en Australie (Paris: F. Alcan, 1912)], pp. xvii-li, 1-44, 57-61, 208-36, 303-13, 418-48. </w:t>
      </w:r>
      <w:r w:rsidRPr="00316AD7">
        <w:rPr>
          <w:rStyle w:val="fontstyle21"/>
          <w:rFonts w:ascii="Garamond" w:hAnsi="Garamond"/>
          <w:color w:val="auto"/>
          <w:sz w:val="22"/>
          <w:szCs w:val="22"/>
        </w:rPr>
        <w:t>PDF</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Style w:val="fontstyle21"/>
          <w:rFonts w:ascii="Garamond" w:hAnsi="Garamond"/>
          <w:color w:val="auto"/>
          <w:sz w:val="22"/>
          <w:szCs w:val="22"/>
        </w:rPr>
        <w:t xml:space="preserve">Eliade, Mircea, </w:t>
      </w:r>
      <w:r w:rsidRPr="00316AD7">
        <w:rPr>
          <w:rStyle w:val="fontstyle21"/>
          <w:rFonts w:ascii="Garamond" w:hAnsi="Garamond"/>
          <w:i/>
          <w:iCs/>
          <w:color w:val="auto"/>
          <w:sz w:val="22"/>
          <w:szCs w:val="22"/>
        </w:rPr>
        <w:t>The Sacred and the Profane</w:t>
      </w:r>
      <w:r w:rsidRPr="00316AD7">
        <w:rPr>
          <w:rStyle w:val="fontstyle21"/>
          <w:rFonts w:ascii="Garamond" w:hAnsi="Garamond"/>
          <w:color w:val="auto"/>
          <w:sz w:val="22"/>
          <w:szCs w:val="22"/>
        </w:rPr>
        <w:t xml:space="preserve"> (New York: Harcourt Brace, 1959. PDF</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Fonts w:ascii="Garamond" w:hAnsi="Garamond"/>
          <w:color w:val="auto"/>
          <w:sz w:val="22"/>
          <w:szCs w:val="22"/>
        </w:rPr>
        <w:t>Denscombe, Martyn</w:t>
      </w:r>
      <w:r w:rsidRPr="00316AD7">
        <w:rPr>
          <w:rStyle w:val="fontstyle01"/>
          <w:rFonts w:ascii="Garamond" w:hAnsi="Garamond"/>
          <w:color w:val="auto"/>
        </w:rPr>
        <w:t xml:space="preserve">, </w:t>
      </w:r>
      <w:r w:rsidRPr="00316AD7">
        <w:rPr>
          <w:rStyle w:val="fontstyle01"/>
          <w:rFonts w:ascii="Garamond" w:hAnsi="Garamond"/>
          <w:i/>
          <w:iCs/>
          <w:color w:val="auto"/>
        </w:rPr>
        <w:t xml:space="preserve">The Good Research Guide, for small-scale social research projects </w:t>
      </w:r>
      <w:r w:rsidRPr="00316AD7">
        <w:rPr>
          <w:rFonts w:ascii="Garamond" w:hAnsi="Garamond"/>
          <w:color w:val="auto"/>
          <w:sz w:val="22"/>
          <w:szCs w:val="22"/>
        </w:rPr>
        <w:t>(Berkshire/England, Open University Press, 2010), p. 93-105 [‘Phenomenology’]. PDF</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Style w:val="fontstyle21"/>
          <w:rFonts w:ascii="Garamond" w:hAnsi="Garamond"/>
          <w:color w:val="auto"/>
          <w:sz w:val="22"/>
          <w:szCs w:val="22"/>
        </w:rPr>
        <w:t xml:space="preserve">Day, Katie, ‘The Construction of Sacred Space in the Urban Ecology’, </w:t>
      </w:r>
      <w:r w:rsidRPr="00316AD7">
        <w:rPr>
          <w:rStyle w:val="fontstyle21"/>
          <w:rFonts w:ascii="Garamond" w:hAnsi="Garamond"/>
          <w:i/>
          <w:iCs/>
          <w:color w:val="auto"/>
          <w:sz w:val="22"/>
          <w:szCs w:val="22"/>
        </w:rPr>
        <w:t>CrossCurrents</w:t>
      </w:r>
      <w:r w:rsidRPr="00316AD7">
        <w:rPr>
          <w:rStyle w:val="fontstyle21"/>
          <w:rFonts w:ascii="Garamond" w:hAnsi="Garamond"/>
          <w:color w:val="auto"/>
          <w:sz w:val="22"/>
          <w:szCs w:val="22"/>
        </w:rPr>
        <w:t>, vol. 58, no. 3 (2008), pp. 426–440</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bookmarkStart w:id="12" w:name="_Hlk61015544"/>
      <w:r w:rsidRPr="00316AD7">
        <w:rPr>
          <w:rStyle w:val="fontstyle21"/>
          <w:rFonts w:ascii="Garamond" w:hAnsi="Garamond"/>
          <w:color w:val="auto"/>
          <w:sz w:val="22"/>
          <w:szCs w:val="22"/>
          <w:lang w:val="pt-PT"/>
        </w:rPr>
        <w:t xml:space="preserve">Ferreira, José, ‘A Liturgia antes do Concílio Vaticano II’, </w:t>
      </w:r>
      <w:r w:rsidRPr="00316AD7">
        <w:rPr>
          <w:rStyle w:val="fontstyle21"/>
          <w:rFonts w:ascii="Garamond" w:hAnsi="Garamond"/>
          <w:i/>
          <w:iCs/>
          <w:color w:val="auto"/>
          <w:sz w:val="22"/>
          <w:szCs w:val="22"/>
          <w:lang w:val="pt-PT"/>
        </w:rPr>
        <w:t>Boletim de Pastoral Litúrgica</w:t>
      </w:r>
      <w:r w:rsidRPr="00316AD7">
        <w:rPr>
          <w:rStyle w:val="fontstyle21"/>
          <w:rFonts w:ascii="Garamond" w:hAnsi="Garamond"/>
          <w:color w:val="auto"/>
          <w:sz w:val="22"/>
          <w:szCs w:val="22"/>
          <w:lang w:val="pt-PT"/>
        </w:rPr>
        <w:t>, 32 (1983), pp. 3-9. PDF</w:t>
      </w:r>
      <w:bookmarkEnd w:id="12"/>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r w:rsidRPr="00316AD7">
        <w:rPr>
          <w:rStyle w:val="fontstyle21"/>
          <w:rFonts w:ascii="Garamond" w:hAnsi="Garamond"/>
          <w:color w:val="auto"/>
          <w:sz w:val="22"/>
          <w:szCs w:val="22"/>
          <w:lang w:val="pt-PT"/>
        </w:rPr>
        <w:t xml:space="preserve">Fields, Karen E., Introduction to </w:t>
      </w:r>
      <w:r w:rsidRPr="00316AD7">
        <w:rPr>
          <w:rStyle w:val="fontstyle21"/>
          <w:rFonts w:ascii="Garamond" w:hAnsi="Garamond"/>
          <w:i/>
          <w:iCs/>
          <w:color w:val="auto"/>
          <w:sz w:val="22"/>
          <w:szCs w:val="22"/>
          <w:lang w:val="pt-PT"/>
        </w:rPr>
        <w:t>The Elementary Forms of Religious Life</w:t>
      </w:r>
      <w:r w:rsidRPr="00316AD7">
        <w:rPr>
          <w:rStyle w:val="fontstyle21"/>
          <w:rFonts w:ascii="Garamond" w:hAnsi="Garamond"/>
          <w:color w:val="auto"/>
          <w:sz w:val="22"/>
          <w:szCs w:val="22"/>
          <w:lang w:val="pt-PT"/>
        </w:rPr>
        <w:t xml:space="preserve">, by Emile Durkheim, pp. xvii-li (New York: Free Press, 1995) [or. edn.., </w:t>
      </w:r>
      <w:r w:rsidRPr="00316AD7">
        <w:rPr>
          <w:rStyle w:val="fontstyle21"/>
          <w:rFonts w:ascii="Garamond" w:hAnsi="Garamond"/>
          <w:i/>
          <w:iCs/>
          <w:color w:val="auto"/>
          <w:sz w:val="22"/>
          <w:szCs w:val="22"/>
          <w:lang w:val="pt-PT"/>
        </w:rPr>
        <w:t>Les Formes élémentaires de la vie religieuse: Le système totémique en Australie</w:t>
      </w:r>
      <w:r w:rsidRPr="00316AD7">
        <w:rPr>
          <w:rStyle w:val="fontstyle21"/>
          <w:rFonts w:ascii="Garamond" w:hAnsi="Garamond"/>
          <w:color w:val="auto"/>
          <w:sz w:val="22"/>
          <w:szCs w:val="22"/>
          <w:lang w:val="pt-PT"/>
        </w:rPr>
        <w:t>, (Paris: F. Alcan, 1912)], PDF</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Style w:val="fontstyle21"/>
          <w:rFonts w:ascii="Garamond" w:hAnsi="Garamond"/>
          <w:color w:val="auto"/>
          <w:sz w:val="22"/>
          <w:szCs w:val="22"/>
        </w:rPr>
        <w:t xml:space="preserve">Harvey, John W. Translator’s Preface to </w:t>
      </w:r>
      <w:r w:rsidRPr="00316AD7">
        <w:rPr>
          <w:rStyle w:val="fontstyle21"/>
          <w:rFonts w:ascii="Garamond" w:hAnsi="Garamond"/>
          <w:i/>
          <w:iCs/>
          <w:color w:val="auto"/>
          <w:sz w:val="22"/>
          <w:szCs w:val="22"/>
        </w:rPr>
        <w:t>The Idea of the Holy</w:t>
      </w:r>
      <w:r w:rsidRPr="00316AD7">
        <w:rPr>
          <w:rStyle w:val="fontstyle21"/>
          <w:rFonts w:ascii="Garamond" w:hAnsi="Garamond"/>
          <w:color w:val="auto"/>
          <w:sz w:val="22"/>
          <w:szCs w:val="22"/>
        </w:rPr>
        <w:t>, by Rudolf Otto (London, Oxford University Press 1936?) [or. edn., Das Heilige (1917)] PDF, pp. ix-xix</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Style w:val="fontstyle21"/>
          <w:rFonts w:ascii="Garamond" w:hAnsi="Garamond"/>
          <w:color w:val="auto"/>
          <w:sz w:val="22"/>
          <w:szCs w:val="22"/>
        </w:rPr>
        <w:t xml:space="preserve">Martin Heidegger, ‘Building Dwelling Thinking’, in </w:t>
      </w:r>
      <w:r w:rsidRPr="00316AD7">
        <w:rPr>
          <w:rStyle w:val="fontstyle21"/>
          <w:rFonts w:ascii="Garamond" w:hAnsi="Garamond"/>
          <w:i/>
          <w:iCs/>
          <w:color w:val="auto"/>
          <w:sz w:val="22"/>
          <w:szCs w:val="22"/>
        </w:rPr>
        <w:t>Poetry, Language, Thought</w:t>
      </w:r>
      <w:r w:rsidRPr="00316AD7">
        <w:rPr>
          <w:rStyle w:val="fontstyle21"/>
          <w:rFonts w:ascii="Garamond" w:hAnsi="Garamond"/>
          <w:color w:val="auto"/>
          <w:sz w:val="22"/>
          <w:szCs w:val="22"/>
        </w:rPr>
        <w:t>, trans. Albert Hofstadter (New York: Harper Colophon Books, 1971), s.p. PDF</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Style w:val="fontstyle21"/>
          <w:rFonts w:ascii="Garamond" w:hAnsi="Garamond"/>
          <w:color w:val="auto"/>
          <w:sz w:val="22"/>
          <w:szCs w:val="22"/>
        </w:rPr>
        <w:t xml:space="preserve">Kandinsky, Wassily, </w:t>
      </w:r>
      <w:r w:rsidRPr="00316AD7">
        <w:rPr>
          <w:rStyle w:val="fontstyle21"/>
          <w:rFonts w:ascii="Garamond" w:hAnsi="Garamond"/>
          <w:i/>
          <w:iCs/>
          <w:color w:val="auto"/>
          <w:sz w:val="22"/>
          <w:szCs w:val="22"/>
        </w:rPr>
        <w:t>Point and Line to Plane</w:t>
      </w:r>
      <w:r w:rsidRPr="00316AD7">
        <w:rPr>
          <w:rStyle w:val="fontstyle21"/>
          <w:rFonts w:ascii="Garamond" w:hAnsi="Garamond"/>
          <w:color w:val="auto"/>
          <w:sz w:val="22"/>
          <w:szCs w:val="22"/>
        </w:rPr>
        <w:t>, ed. by Hilla Rebay, trans. Howard Dearstyne and Hilla Rebay (Solomon R. Guggenheim Foundation, New York, 1947) [or. edn., Punkt und Linie zu Flache, ed. by Walter Gropius and L. Moholy-Nagy (s.l., BAUHAUS BOOKS, 1926)] PDF</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Style w:val="fontstyle21"/>
          <w:rFonts w:ascii="Garamond" w:hAnsi="Garamond"/>
          <w:color w:val="auto"/>
          <w:sz w:val="22"/>
          <w:szCs w:val="22"/>
        </w:rPr>
        <w:t xml:space="preserve">Kandinsky, Wassily, </w:t>
      </w:r>
      <w:r w:rsidRPr="00316AD7">
        <w:rPr>
          <w:rStyle w:val="fontstyle21"/>
          <w:rFonts w:ascii="Garamond" w:hAnsi="Garamond"/>
          <w:i/>
          <w:iCs/>
          <w:color w:val="auto"/>
          <w:sz w:val="22"/>
          <w:szCs w:val="22"/>
        </w:rPr>
        <w:t>On the Spiritual in Art</w:t>
      </w:r>
      <w:r w:rsidRPr="00316AD7">
        <w:rPr>
          <w:rStyle w:val="fontstyle21"/>
          <w:rFonts w:ascii="Garamond" w:hAnsi="Garamond"/>
          <w:color w:val="auto"/>
          <w:sz w:val="22"/>
          <w:szCs w:val="22"/>
        </w:rPr>
        <w:t>, ed. by Hilla Rebay, (Solomon R. Guggenheim Foundation, New York, 1946) [or. edn., Uber das Geistige in der Kunst (s.l., 1912)] PDF</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Style w:val="fontstyle21"/>
          <w:rFonts w:ascii="Garamond" w:hAnsi="Garamond"/>
          <w:color w:val="auto"/>
          <w:sz w:val="22"/>
          <w:szCs w:val="22"/>
        </w:rPr>
        <w:t xml:space="preserve">Kostof, Spiro, </w:t>
      </w:r>
      <w:r w:rsidRPr="00316AD7">
        <w:rPr>
          <w:rStyle w:val="fontstyle21"/>
          <w:rFonts w:ascii="Garamond" w:hAnsi="Garamond"/>
          <w:i/>
          <w:iCs/>
          <w:color w:val="auto"/>
          <w:sz w:val="22"/>
          <w:szCs w:val="22"/>
        </w:rPr>
        <w:t>History of Architecture. Settings and Rituals</w:t>
      </w:r>
      <w:r w:rsidRPr="00316AD7">
        <w:rPr>
          <w:rStyle w:val="fontstyle21"/>
          <w:rFonts w:ascii="Garamond" w:hAnsi="Garamond"/>
          <w:color w:val="auto"/>
          <w:sz w:val="22"/>
          <w:szCs w:val="22"/>
        </w:rPr>
        <w:t xml:space="preserve"> (New York/Oxford: Oxford University Press, 1995), pp. 323-48 [‘The French Manner’]</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bookmarkStart w:id="13" w:name="_Hlk61015501"/>
      <w:r w:rsidRPr="00316AD7">
        <w:rPr>
          <w:rStyle w:val="fontstyle21"/>
          <w:rFonts w:ascii="Garamond" w:hAnsi="Garamond"/>
          <w:color w:val="auto"/>
          <w:sz w:val="22"/>
          <w:szCs w:val="22"/>
        </w:rPr>
        <w:t xml:space="preserve">Norberg-Schulz, Christian, </w:t>
      </w:r>
      <w:r w:rsidRPr="00316AD7">
        <w:rPr>
          <w:rStyle w:val="fontstyle21"/>
          <w:rFonts w:ascii="Garamond" w:hAnsi="Garamond"/>
          <w:i/>
          <w:iCs/>
          <w:color w:val="auto"/>
          <w:sz w:val="22"/>
          <w:szCs w:val="22"/>
        </w:rPr>
        <w:t>Arquitectura Occidental</w:t>
      </w:r>
      <w:r w:rsidRPr="00316AD7">
        <w:rPr>
          <w:rStyle w:val="fontstyle21"/>
          <w:rFonts w:ascii="Garamond" w:hAnsi="Garamond"/>
          <w:color w:val="auto"/>
          <w:sz w:val="22"/>
          <w:szCs w:val="22"/>
        </w:rPr>
        <w:t xml:space="preserve"> (Barcelona: Gustavo Gili, 1999), pp. 94-114 (‘La arquitectura gótica’). PDF</w:t>
      </w:r>
    </w:p>
    <w:bookmarkEnd w:id="13"/>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en-US"/>
        </w:rPr>
      </w:pPr>
      <w:r w:rsidRPr="00316AD7">
        <w:rPr>
          <w:rStyle w:val="fontstyle21"/>
          <w:rFonts w:ascii="Garamond" w:hAnsi="Garamond"/>
          <w:color w:val="auto"/>
          <w:sz w:val="22"/>
          <w:szCs w:val="22"/>
        </w:rPr>
        <w:t xml:space="preserve">Otto, Rudolf, </w:t>
      </w:r>
      <w:r w:rsidRPr="00316AD7">
        <w:rPr>
          <w:rStyle w:val="fontstyle21"/>
          <w:rFonts w:ascii="Garamond" w:hAnsi="Garamond"/>
          <w:i/>
          <w:iCs/>
          <w:color w:val="auto"/>
          <w:sz w:val="22"/>
          <w:szCs w:val="22"/>
        </w:rPr>
        <w:t>The Idea of the Holy</w:t>
      </w:r>
      <w:r w:rsidRPr="00316AD7">
        <w:rPr>
          <w:rStyle w:val="fontstyle21"/>
          <w:rFonts w:ascii="Garamond" w:hAnsi="Garamond"/>
          <w:color w:val="auto"/>
          <w:sz w:val="22"/>
          <w:szCs w:val="22"/>
        </w:rPr>
        <w:t xml:space="preserve">, trans. John W. Harvey (London, Oxford University Press 1936?) </w:t>
      </w:r>
      <w:r w:rsidRPr="00316AD7">
        <w:rPr>
          <w:rStyle w:val="fontstyle21"/>
          <w:rFonts w:ascii="Garamond" w:hAnsi="Garamond"/>
          <w:color w:val="auto"/>
          <w:sz w:val="22"/>
          <w:szCs w:val="22"/>
          <w:lang w:val="en-US"/>
        </w:rPr>
        <w:t>[or. edn., Das Heilige (1917)]</w:t>
      </w:r>
      <w:r w:rsidRPr="00316AD7">
        <w:rPr>
          <w:rStyle w:val="fontstyle21"/>
          <w:rFonts w:ascii="Garamond" w:hAnsi="Garamond"/>
          <w:color w:val="auto"/>
          <w:sz w:val="22"/>
          <w:szCs w:val="22"/>
        </w:rPr>
        <w:t xml:space="preserve"> PDF</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Style w:val="fontstyle21"/>
          <w:rFonts w:ascii="Garamond" w:hAnsi="Garamond"/>
          <w:color w:val="auto"/>
          <w:sz w:val="22"/>
          <w:szCs w:val="22"/>
        </w:rPr>
        <w:t xml:space="preserve">Pickering, W. S. F., ‘The Eternality of the Sacred: Durkheim's Error?’, </w:t>
      </w:r>
      <w:r w:rsidRPr="00316AD7">
        <w:rPr>
          <w:rStyle w:val="fontstyle21"/>
          <w:rFonts w:ascii="Garamond" w:hAnsi="Garamond"/>
          <w:i/>
          <w:iCs/>
          <w:color w:val="auto"/>
          <w:sz w:val="22"/>
          <w:szCs w:val="22"/>
          <w:lang w:val="en-US"/>
        </w:rPr>
        <w:t>Archives de Sciences Sociales des Religions</w:t>
      </w:r>
      <w:r w:rsidRPr="00316AD7">
        <w:rPr>
          <w:rStyle w:val="fontstyle21"/>
          <w:rFonts w:ascii="Garamond" w:hAnsi="Garamond"/>
          <w:color w:val="auto"/>
          <w:sz w:val="22"/>
          <w:szCs w:val="22"/>
          <w:lang w:val="en-US"/>
        </w:rPr>
        <w:t>, vol. 35, no. 69 (1990), pp. 91–108</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Style w:val="fontstyle21"/>
          <w:rFonts w:ascii="Garamond" w:hAnsi="Garamond"/>
          <w:color w:val="auto"/>
          <w:sz w:val="22"/>
          <w:szCs w:val="22"/>
        </w:rPr>
        <w:t xml:space="preserve">Rennie, Bryan S., ‘Mircea Eliade and the Perception of the Sacred in the Profane: Intention, Reduction, and Cognitive Theory’, </w:t>
      </w:r>
      <w:r w:rsidRPr="00316AD7">
        <w:rPr>
          <w:rStyle w:val="fontstyle21"/>
          <w:rFonts w:ascii="Garamond" w:hAnsi="Garamond"/>
          <w:i/>
          <w:iCs/>
          <w:color w:val="auto"/>
          <w:sz w:val="22"/>
          <w:szCs w:val="22"/>
        </w:rPr>
        <w:t>The Finnish Society for the Study of Religion, Temenos</w:t>
      </w:r>
      <w:r w:rsidRPr="00316AD7">
        <w:rPr>
          <w:rStyle w:val="fontstyle21"/>
          <w:rFonts w:ascii="Garamond" w:hAnsi="Garamond"/>
          <w:color w:val="auto"/>
          <w:sz w:val="22"/>
          <w:szCs w:val="22"/>
        </w:rPr>
        <w:t>, vol. 43, 1 (2007), pp. 73-98</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rPr>
      </w:pPr>
      <w:r w:rsidRPr="00316AD7">
        <w:rPr>
          <w:rStyle w:val="fontstyle21"/>
          <w:rFonts w:ascii="Garamond" w:hAnsi="Garamond"/>
          <w:color w:val="auto"/>
          <w:sz w:val="22"/>
          <w:szCs w:val="22"/>
        </w:rPr>
        <w:t xml:space="preserve">Tilley, Christopher, </w:t>
      </w:r>
      <w:r w:rsidRPr="00316AD7">
        <w:rPr>
          <w:rStyle w:val="fontstyle21"/>
          <w:rFonts w:ascii="Garamond" w:hAnsi="Garamond"/>
          <w:i/>
          <w:iCs/>
          <w:color w:val="auto"/>
          <w:sz w:val="22"/>
          <w:szCs w:val="22"/>
        </w:rPr>
        <w:t>The Phenomenology of Landscape</w:t>
      </w:r>
      <w:r w:rsidRPr="00316AD7">
        <w:rPr>
          <w:rStyle w:val="fontstyle21"/>
          <w:rFonts w:ascii="Garamond" w:hAnsi="Garamond"/>
          <w:color w:val="auto"/>
          <w:sz w:val="22"/>
          <w:szCs w:val="22"/>
        </w:rPr>
        <w:t xml:space="preserve"> (London, Berg, 1994)</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en-US"/>
        </w:rPr>
      </w:pPr>
    </w:p>
    <w:p w:rsidR="00316AD7" w:rsidRPr="00316AD7" w:rsidRDefault="00316AD7" w:rsidP="00316AD7">
      <w:pPr>
        <w:pStyle w:val="NormalWeb"/>
        <w:spacing w:before="120" w:beforeAutospacing="0" w:after="0" w:afterAutospacing="0"/>
        <w:jc w:val="both"/>
        <w:rPr>
          <w:rStyle w:val="fontstyle21"/>
          <w:rFonts w:ascii="Garamond" w:hAnsi="Garamond"/>
          <w:b/>
          <w:bCs/>
          <w:color w:val="auto"/>
          <w:sz w:val="22"/>
          <w:szCs w:val="22"/>
          <w:lang w:val="pt-PT"/>
        </w:rPr>
      </w:pPr>
      <w:r w:rsidRPr="00316AD7">
        <w:rPr>
          <w:rStyle w:val="fontstyle21"/>
          <w:rFonts w:ascii="Garamond" w:hAnsi="Garamond"/>
          <w:b/>
          <w:bCs/>
          <w:color w:val="auto"/>
          <w:sz w:val="22"/>
          <w:szCs w:val="22"/>
          <w:lang w:val="pt-PT"/>
        </w:rPr>
        <w:t>On Álvaro Siza</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bookmarkStart w:id="14" w:name="_Hlk61014684"/>
      <w:r w:rsidRPr="00316AD7">
        <w:rPr>
          <w:rStyle w:val="fontstyle21"/>
          <w:rFonts w:ascii="Garamond" w:hAnsi="Garamond"/>
          <w:color w:val="auto"/>
          <w:sz w:val="22"/>
          <w:szCs w:val="22"/>
          <w:lang w:val="pt-PT"/>
        </w:rPr>
        <w:t xml:space="preserve">AAVV, </w:t>
      </w:r>
      <w:r w:rsidRPr="00316AD7">
        <w:rPr>
          <w:rStyle w:val="fontstyle21"/>
          <w:rFonts w:ascii="Garamond" w:hAnsi="Garamond"/>
          <w:i/>
          <w:iCs/>
          <w:color w:val="auto"/>
          <w:sz w:val="22"/>
          <w:szCs w:val="22"/>
          <w:lang w:val="pt-PT"/>
        </w:rPr>
        <w:t>Igreja de Santa Maria/Church of St Mary. Marco de Canaveses</w:t>
      </w:r>
      <w:r w:rsidRPr="00316AD7">
        <w:rPr>
          <w:rStyle w:val="fontstyle21"/>
          <w:rFonts w:ascii="Garamond" w:hAnsi="Garamond"/>
          <w:color w:val="auto"/>
          <w:sz w:val="22"/>
          <w:szCs w:val="22"/>
          <w:lang w:val="pt-PT"/>
        </w:rPr>
        <w:t xml:space="preserve"> (Marco de Canaveses: Igreja de Santa Maria, 2016)</w:t>
      </w:r>
    </w:p>
    <w:bookmarkEnd w:id="14"/>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es-ES"/>
        </w:rPr>
      </w:pPr>
      <w:r w:rsidRPr="00316AD7">
        <w:rPr>
          <w:rStyle w:val="fontstyle21"/>
          <w:rFonts w:ascii="Garamond" w:hAnsi="Garamond"/>
          <w:color w:val="auto"/>
          <w:sz w:val="22"/>
          <w:szCs w:val="22"/>
          <w:lang w:val="es-ES"/>
        </w:rPr>
        <w:t xml:space="preserve">Curtis, William J. R., ‘Notas sobre la intervención: ALVARO SIZA | Notes on Invention: ALVARO SIZA’, </w:t>
      </w:r>
      <w:r w:rsidRPr="00316AD7">
        <w:rPr>
          <w:rStyle w:val="fontstyle21"/>
          <w:rFonts w:ascii="Garamond" w:hAnsi="Garamond"/>
          <w:i/>
          <w:iCs/>
          <w:color w:val="auto"/>
          <w:sz w:val="22"/>
          <w:szCs w:val="22"/>
          <w:lang w:val="es-ES"/>
        </w:rPr>
        <w:t>El Croquis</w:t>
      </w:r>
      <w:r w:rsidRPr="00316AD7">
        <w:rPr>
          <w:rStyle w:val="fontstyle21"/>
          <w:rFonts w:ascii="Garamond" w:hAnsi="Garamond"/>
          <w:color w:val="auto"/>
          <w:sz w:val="22"/>
          <w:szCs w:val="22"/>
          <w:lang w:val="es-ES"/>
        </w:rPr>
        <w:t>, 95 (1999), pp. 22-31</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r w:rsidRPr="00316AD7">
        <w:rPr>
          <w:rStyle w:val="fontstyle21"/>
          <w:rFonts w:ascii="Garamond" w:hAnsi="Garamond"/>
          <w:color w:val="auto"/>
          <w:sz w:val="22"/>
          <w:szCs w:val="22"/>
          <w:lang w:val="en-US"/>
        </w:rPr>
        <w:t xml:space="preserve">Frampton, Kenneth, in AAVV, </w:t>
      </w:r>
      <w:r w:rsidRPr="00316AD7">
        <w:rPr>
          <w:rStyle w:val="fontstyle21"/>
          <w:rFonts w:ascii="Garamond" w:hAnsi="Garamond"/>
          <w:i/>
          <w:iCs/>
          <w:color w:val="auto"/>
          <w:sz w:val="22"/>
          <w:szCs w:val="22"/>
          <w:lang w:val="en-US"/>
        </w:rPr>
        <w:t xml:space="preserve">Igreja de Santa Maria/Church of St Mary. </w:t>
      </w:r>
      <w:r w:rsidRPr="00316AD7">
        <w:rPr>
          <w:rStyle w:val="fontstyle21"/>
          <w:rFonts w:ascii="Garamond" w:hAnsi="Garamond"/>
          <w:i/>
          <w:iCs/>
          <w:color w:val="auto"/>
          <w:sz w:val="22"/>
          <w:szCs w:val="22"/>
          <w:lang w:val="pt-PT"/>
        </w:rPr>
        <w:t>Marco de Canaveses</w:t>
      </w:r>
      <w:r w:rsidRPr="00316AD7">
        <w:rPr>
          <w:rStyle w:val="fontstyle21"/>
          <w:rFonts w:ascii="Garamond" w:hAnsi="Garamond"/>
          <w:color w:val="auto"/>
          <w:sz w:val="22"/>
          <w:szCs w:val="22"/>
          <w:lang w:val="pt-PT"/>
        </w:rPr>
        <w:t xml:space="preserve"> (Marco de Canaveses: Igreja de Santa Maria, 2016), pp.63-5</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r w:rsidRPr="00316AD7">
        <w:rPr>
          <w:rStyle w:val="fontstyle21"/>
          <w:rFonts w:ascii="Garamond" w:hAnsi="Garamond"/>
          <w:color w:val="auto"/>
          <w:sz w:val="22"/>
          <w:szCs w:val="22"/>
          <w:lang w:val="en-US"/>
        </w:rPr>
        <w:t xml:space="preserve">Jodidio, Philip, in AAVV, </w:t>
      </w:r>
      <w:r w:rsidRPr="00316AD7">
        <w:rPr>
          <w:rStyle w:val="fontstyle21"/>
          <w:rFonts w:ascii="Garamond" w:hAnsi="Garamond"/>
          <w:i/>
          <w:iCs/>
          <w:color w:val="auto"/>
          <w:sz w:val="22"/>
          <w:szCs w:val="22"/>
          <w:lang w:val="en-US"/>
        </w:rPr>
        <w:t xml:space="preserve">Igreja de Santa Maria/Church of St Mary. </w:t>
      </w:r>
      <w:r w:rsidRPr="00316AD7">
        <w:rPr>
          <w:rStyle w:val="fontstyle21"/>
          <w:rFonts w:ascii="Garamond" w:hAnsi="Garamond"/>
          <w:i/>
          <w:iCs/>
          <w:color w:val="auto"/>
          <w:sz w:val="22"/>
          <w:szCs w:val="22"/>
          <w:lang w:val="pt-PT"/>
        </w:rPr>
        <w:t>Marco de Canaveses</w:t>
      </w:r>
      <w:r w:rsidRPr="00316AD7">
        <w:rPr>
          <w:rStyle w:val="fontstyle21"/>
          <w:rFonts w:ascii="Garamond" w:hAnsi="Garamond"/>
          <w:color w:val="auto"/>
          <w:sz w:val="22"/>
          <w:szCs w:val="22"/>
          <w:lang w:val="pt-PT"/>
        </w:rPr>
        <w:t xml:space="preserve"> (Marco de Canaveses: Igreja de Santa Maria, 2016), pp.65-6</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en-US"/>
        </w:rPr>
      </w:pPr>
      <w:r w:rsidRPr="00316AD7">
        <w:rPr>
          <w:rStyle w:val="fontstyle21"/>
          <w:rFonts w:ascii="Garamond" w:hAnsi="Garamond"/>
          <w:color w:val="auto"/>
          <w:sz w:val="22"/>
          <w:szCs w:val="22"/>
          <w:lang w:val="en-US"/>
        </w:rPr>
        <w:t>Lynch, Patrick,</w:t>
      </w:r>
      <w:r w:rsidRPr="00316AD7">
        <w:rPr>
          <w:rFonts w:ascii="Garamond" w:hAnsi="Garamond"/>
          <w:color w:val="auto"/>
          <w:sz w:val="22"/>
          <w:szCs w:val="22"/>
          <w:lang w:val="en-US"/>
        </w:rPr>
        <w:t xml:space="preserve"> ‘</w:t>
      </w:r>
      <w:r w:rsidRPr="00316AD7">
        <w:rPr>
          <w:rStyle w:val="fontstyle21"/>
          <w:rFonts w:ascii="Garamond" w:hAnsi="Garamond"/>
          <w:color w:val="auto"/>
          <w:sz w:val="22"/>
          <w:szCs w:val="22"/>
          <w:lang w:val="en-US"/>
        </w:rPr>
        <w:t xml:space="preserve">Alvaro Siza and Santa Maria at Marco de Canavezes’, </w:t>
      </w:r>
      <w:r w:rsidRPr="00316AD7">
        <w:rPr>
          <w:rStyle w:val="fontstyle21"/>
          <w:rFonts w:ascii="Garamond" w:hAnsi="Garamond"/>
          <w:i/>
          <w:iCs/>
          <w:color w:val="auto"/>
          <w:sz w:val="22"/>
          <w:szCs w:val="22"/>
          <w:lang w:val="en-US"/>
        </w:rPr>
        <w:t>Building Material</w:t>
      </w:r>
      <w:r w:rsidRPr="00316AD7">
        <w:rPr>
          <w:rStyle w:val="fontstyle21"/>
          <w:rFonts w:ascii="Garamond" w:hAnsi="Garamond"/>
          <w:color w:val="auto"/>
          <w:sz w:val="22"/>
          <w:szCs w:val="22"/>
          <w:lang w:val="en-US"/>
        </w:rPr>
        <w:t>, 20 (2016), pp. 41-55</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r w:rsidRPr="00316AD7">
        <w:rPr>
          <w:rStyle w:val="fontstyle21"/>
          <w:rFonts w:ascii="Garamond" w:hAnsi="Garamond"/>
          <w:color w:val="auto"/>
          <w:sz w:val="22"/>
          <w:szCs w:val="22"/>
          <w:lang w:val="pt-PT"/>
        </w:rPr>
        <w:t xml:space="preserve">Souto de Moura, Eduardo, </w:t>
      </w:r>
      <w:r w:rsidRPr="00316AD7">
        <w:rPr>
          <w:rStyle w:val="fontstyle21"/>
          <w:rFonts w:ascii="Garamond" w:hAnsi="Garamond"/>
          <w:i/>
          <w:iCs/>
          <w:color w:val="auto"/>
          <w:sz w:val="22"/>
          <w:szCs w:val="22"/>
          <w:lang w:val="pt-PT"/>
        </w:rPr>
        <w:t>Testemunho sobre Álvaro Siza</w:t>
      </w:r>
      <w:r w:rsidRPr="00316AD7">
        <w:rPr>
          <w:rStyle w:val="fontstyle21"/>
          <w:rFonts w:ascii="Garamond" w:hAnsi="Garamond"/>
          <w:color w:val="auto"/>
          <w:sz w:val="22"/>
          <w:szCs w:val="22"/>
          <w:lang w:val="pt-PT"/>
        </w:rPr>
        <w:t xml:space="preserve"> , EXPOSIÇÃO SIZA (2019) | SERRALVES, online vídeo recording, YouTube, 7 April 2020 </w:t>
      </w:r>
      <w:hyperlink r:id="rId23" w:history="1">
        <w:r w:rsidRPr="00316AD7">
          <w:rPr>
            <w:rStyle w:val="Hiperligao"/>
            <w:rFonts w:ascii="Garamond" w:hAnsi="Garamond"/>
            <w:color w:val="auto"/>
            <w:sz w:val="22"/>
            <w:szCs w:val="22"/>
            <w:lang w:val="pt-PT"/>
          </w:rPr>
          <w:t>https://www.youtube.com/watch?v=InmIyFzmi28</w:t>
        </w:r>
      </w:hyperlink>
      <w:r w:rsidRPr="00316AD7">
        <w:rPr>
          <w:rStyle w:val="fontstyle21"/>
          <w:rFonts w:ascii="Garamond" w:hAnsi="Garamond"/>
          <w:color w:val="auto"/>
          <w:sz w:val="22"/>
          <w:szCs w:val="22"/>
          <w:lang w:val="pt-PT"/>
        </w:rPr>
        <w:t xml:space="preserve"> [accessed 17 December 2020]</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bookmarkStart w:id="15" w:name="_Hlk61014080"/>
      <w:r w:rsidRPr="00316AD7">
        <w:rPr>
          <w:rStyle w:val="fontstyle21"/>
          <w:rFonts w:ascii="Garamond" w:hAnsi="Garamond"/>
          <w:color w:val="auto"/>
          <w:sz w:val="22"/>
          <w:szCs w:val="22"/>
          <w:lang w:val="en-US"/>
        </w:rPr>
        <w:lastRenderedPageBreak/>
        <w:t xml:space="preserve">Pallasmaa, Juhani, in AAVV, </w:t>
      </w:r>
      <w:r w:rsidRPr="00316AD7">
        <w:rPr>
          <w:rStyle w:val="fontstyle21"/>
          <w:rFonts w:ascii="Garamond" w:hAnsi="Garamond"/>
          <w:i/>
          <w:iCs/>
          <w:color w:val="auto"/>
          <w:sz w:val="22"/>
          <w:szCs w:val="22"/>
          <w:lang w:val="en-US"/>
        </w:rPr>
        <w:t xml:space="preserve">Igreja de Santa Maria/Church of St Mary. </w:t>
      </w:r>
      <w:r w:rsidRPr="00316AD7">
        <w:rPr>
          <w:rStyle w:val="fontstyle21"/>
          <w:rFonts w:ascii="Garamond" w:hAnsi="Garamond"/>
          <w:i/>
          <w:iCs/>
          <w:color w:val="auto"/>
          <w:sz w:val="22"/>
          <w:szCs w:val="22"/>
          <w:lang w:val="pt-PT"/>
        </w:rPr>
        <w:t>Marco de Canaveses</w:t>
      </w:r>
      <w:r w:rsidRPr="00316AD7">
        <w:rPr>
          <w:rStyle w:val="fontstyle21"/>
          <w:rFonts w:ascii="Garamond" w:hAnsi="Garamond"/>
          <w:color w:val="auto"/>
          <w:sz w:val="22"/>
          <w:szCs w:val="22"/>
          <w:lang w:val="pt-PT"/>
        </w:rPr>
        <w:t xml:space="preserve"> (Marco de Canaveses: Igreja de Santa Maria, 2016), pp.67-9</w:t>
      </w:r>
      <w:bookmarkEnd w:id="15"/>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bookmarkStart w:id="16" w:name="_Hlk61014584"/>
      <w:r w:rsidRPr="00316AD7">
        <w:rPr>
          <w:rStyle w:val="fontstyle21"/>
          <w:rFonts w:ascii="Garamond" w:hAnsi="Garamond"/>
          <w:color w:val="auto"/>
          <w:sz w:val="22"/>
          <w:szCs w:val="22"/>
          <w:lang w:val="pt-PT"/>
        </w:rPr>
        <w:t xml:space="preserve">Pessanha, Matilde, </w:t>
      </w:r>
      <w:r w:rsidRPr="00316AD7">
        <w:rPr>
          <w:rStyle w:val="fontstyle21"/>
          <w:rFonts w:ascii="Garamond" w:hAnsi="Garamond"/>
          <w:i/>
          <w:iCs/>
          <w:color w:val="auto"/>
          <w:sz w:val="22"/>
          <w:szCs w:val="22"/>
          <w:lang w:val="pt-PT"/>
        </w:rPr>
        <w:t>SIZA, Lugares Sagrados – Monumentos</w:t>
      </w:r>
      <w:r w:rsidRPr="00316AD7">
        <w:rPr>
          <w:rStyle w:val="fontstyle21"/>
          <w:rFonts w:ascii="Garamond" w:hAnsi="Garamond"/>
          <w:color w:val="auto"/>
          <w:sz w:val="22"/>
          <w:szCs w:val="22"/>
          <w:lang w:val="pt-PT"/>
        </w:rPr>
        <w:t xml:space="preserve"> (Porto: Campo de Letras, 2003), pp. 81-94 [‘Igreja de Santa Maria: Como um Soldado dado à luz pela Terra Mãe’]</w:t>
      </w:r>
      <w:bookmarkEnd w:id="16"/>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p>
    <w:p w:rsidR="00316AD7" w:rsidRPr="00316AD7" w:rsidRDefault="00316AD7" w:rsidP="00316AD7">
      <w:pPr>
        <w:pStyle w:val="NormalWeb"/>
        <w:spacing w:before="120" w:beforeAutospacing="0" w:after="0" w:afterAutospacing="0"/>
        <w:jc w:val="both"/>
        <w:rPr>
          <w:rStyle w:val="fontstyle21"/>
          <w:rFonts w:ascii="Garamond" w:hAnsi="Garamond"/>
          <w:b/>
          <w:bCs/>
          <w:color w:val="auto"/>
          <w:sz w:val="22"/>
          <w:szCs w:val="22"/>
          <w:lang w:val="pt-PT"/>
        </w:rPr>
      </w:pPr>
      <w:r w:rsidRPr="00316AD7">
        <w:rPr>
          <w:rStyle w:val="fontstyle21"/>
          <w:rFonts w:ascii="Garamond" w:hAnsi="Garamond"/>
          <w:b/>
          <w:bCs/>
          <w:color w:val="auto"/>
          <w:sz w:val="22"/>
          <w:szCs w:val="22"/>
          <w:lang w:val="pt-PT"/>
        </w:rPr>
        <w:t>PRIMARY SOURCES</w:t>
      </w:r>
    </w:p>
    <w:p w:rsidR="00316AD7" w:rsidRPr="00316AD7" w:rsidRDefault="00316AD7" w:rsidP="00316AD7">
      <w:pPr>
        <w:pStyle w:val="NormalWeb"/>
        <w:spacing w:before="120" w:beforeAutospacing="0" w:after="0" w:afterAutospacing="0"/>
        <w:jc w:val="both"/>
        <w:rPr>
          <w:rStyle w:val="fontstyle21"/>
          <w:rFonts w:ascii="Garamond" w:hAnsi="Garamond"/>
          <w:b/>
          <w:bCs/>
          <w:color w:val="auto"/>
          <w:sz w:val="22"/>
          <w:szCs w:val="22"/>
          <w:lang w:val="pt-PT"/>
        </w:rPr>
      </w:pPr>
      <w:r w:rsidRPr="00316AD7">
        <w:rPr>
          <w:rStyle w:val="fontstyle21"/>
          <w:rFonts w:ascii="Garamond" w:hAnsi="Garamond"/>
          <w:b/>
          <w:bCs/>
          <w:color w:val="auto"/>
          <w:sz w:val="22"/>
          <w:szCs w:val="22"/>
          <w:lang w:val="pt-PT"/>
        </w:rPr>
        <w:t>Interviews</w:t>
      </w:r>
    </w:p>
    <w:p w:rsidR="00316AD7" w:rsidRPr="002B2C94" w:rsidRDefault="00316AD7" w:rsidP="00316AD7">
      <w:pPr>
        <w:pStyle w:val="NormalWeb"/>
        <w:spacing w:before="120" w:beforeAutospacing="0" w:after="0" w:afterAutospacing="0"/>
        <w:jc w:val="both"/>
        <w:rPr>
          <w:rStyle w:val="fontstyle21"/>
          <w:rFonts w:ascii="Garamond" w:hAnsi="Garamond"/>
          <w:color w:val="auto"/>
          <w:sz w:val="22"/>
          <w:szCs w:val="22"/>
          <w:lang w:val="pt-PT"/>
        </w:rPr>
      </w:pPr>
      <w:bookmarkStart w:id="17" w:name="_Hlk61002854"/>
      <w:r w:rsidRPr="002B2C94">
        <w:rPr>
          <w:rStyle w:val="fontstyle21"/>
          <w:rFonts w:ascii="Garamond" w:hAnsi="Garamond"/>
          <w:color w:val="auto"/>
          <w:sz w:val="22"/>
          <w:szCs w:val="22"/>
          <w:lang w:val="pt-PT"/>
        </w:rPr>
        <w:t xml:space="preserve">Curtis, William J. R., ‘Una Conversación [con Álvaro Siza], A conversation [with Álvaro Siza], </w:t>
      </w:r>
      <w:r w:rsidRPr="002B2C94">
        <w:rPr>
          <w:rStyle w:val="fontstyle21"/>
          <w:rFonts w:ascii="Garamond" w:hAnsi="Garamond"/>
          <w:i/>
          <w:iCs/>
          <w:color w:val="auto"/>
          <w:sz w:val="22"/>
          <w:szCs w:val="22"/>
          <w:lang w:val="pt-PT"/>
        </w:rPr>
        <w:t>El Croquis</w:t>
      </w:r>
      <w:r w:rsidRPr="002B2C94">
        <w:rPr>
          <w:rStyle w:val="fontstyle21"/>
          <w:rFonts w:ascii="Garamond" w:hAnsi="Garamond"/>
          <w:color w:val="auto"/>
          <w:sz w:val="22"/>
          <w:szCs w:val="22"/>
          <w:lang w:val="pt-PT"/>
        </w:rPr>
        <w:t>, 95 (1999), pp. 6-21</w:t>
      </w:r>
    </w:p>
    <w:bookmarkEnd w:id="17"/>
    <w:p w:rsidR="00316AD7" w:rsidRPr="00FA358A" w:rsidRDefault="00316AD7" w:rsidP="00316AD7">
      <w:pPr>
        <w:pStyle w:val="NormalWeb"/>
        <w:spacing w:before="120" w:beforeAutospacing="0" w:after="0" w:afterAutospacing="0"/>
        <w:jc w:val="both"/>
        <w:rPr>
          <w:rStyle w:val="fontstyle21"/>
          <w:rFonts w:ascii="Garamond" w:hAnsi="Garamond"/>
          <w:color w:val="auto"/>
          <w:sz w:val="22"/>
          <w:szCs w:val="22"/>
          <w:lang w:val="pt-PT"/>
        </w:rPr>
      </w:pPr>
      <w:r w:rsidRPr="00FA358A">
        <w:rPr>
          <w:rStyle w:val="fontstyle21"/>
          <w:rFonts w:ascii="Garamond" w:hAnsi="Garamond"/>
          <w:color w:val="auto"/>
          <w:sz w:val="22"/>
          <w:szCs w:val="22"/>
          <w:lang w:val="pt-PT"/>
        </w:rPr>
        <w:t xml:space="preserve">Gonçalves, Vítor, </w:t>
      </w:r>
      <w:r w:rsidRPr="00FA358A">
        <w:rPr>
          <w:rStyle w:val="fontstyle21"/>
          <w:rFonts w:ascii="Garamond" w:hAnsi="Garamond"/>
          <w:i/>
          <w:iCs/>
          <w:color w:val="auto"/>
          <w:sz w:val="22"/>
          <w:szCs w:val="22"/>
          <w:lang w:val="pt-PT"/>
        </w:rPr>
        <w:t>Pode o Chão Ser Céu?</w:t>
      </w:r>
      <w:r w:rsidRPr="00FA358A">
        <w:rPr>
          <w:rStyle w:val="fontstyle21"/>
          <w:rFonts w:ascii="Garamond" w:hAnsi="Garamond"/>
          <w:color w:val="auto"/>
          <w:sz w:val="22"/>
          <w:szCs w:val="22"/>
          <w:lang w:val="pt-PT"/>
        </w:rPr>
        <w:t xml:space="preserve"> interview with Siza Vieira and José Tolentino Mendonça, </w:t>
      </w:r>
      <w:bookmarkStart w:id="18" w:name="_Hlk61000275"/>
      <w:r w:rsidRPr="00FA358A">
        <w:rPr>
          <w:rStyle w:val="fontstyle21"/>
          <w:rFonts w:ascii="Garamond" w:hAnsi="Garamond"/>
          <w:color w:val="auto"/>
          <w:sz w:val="22"/>
          <w:szCs w:val="22"/>
          <w:lang w:val="pt-PT"/>
        </w:rPr>
        <w:t>online vídeo recording, YouTube, 29 May 2019 https://www.youtube.com/watch?v=S0dOScVhosw&amp;t=1047s [accessed 17 October 2020]</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r w:rsidRPr="00316AD7">
        <w:rPr>
          <w:rStyle w:val="fontstyle21"/>
          <w:rFonts w:ascii="Garamond" w:hAnsi="Garamond"/>
          <w:color w:val="auto"/>
          <w:sz w:val="22"/>
          <w:szCs w:val="22"/>
          <w:lang w:val="en-US"/>
        </w:rPr>
        <w:t xml:space="preserve">Machabert, Dominique, and Beaudouin, Laurent, in AAVV, Igreja de Santa Maria/Church of St Mary. </w:t>
      </w:r>
      <w:r w:rsidRPr="00316AD7">
        <w:rPr>
          <w:rStyle w:val="fontstyle21"/>
          <w:rFonts w:ascii="Garamond" w:hAnsi="Garamond"/>
          <w:color w:val="auto"/>
          <w:sz w:val="22"/>
          <w:szCs w:val="22"/>
          <w:lang w:val="pt-PT"/>
        </w:rPr>
        <w:t>Marco de Canaveses (Marco de Canaveses: Igreja de Santa Maria, 2016), pp.59-62</w:t>
      </w:r>
      <w:bookmarkEnd w:id="18"/>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r w:rsidRPr="00316AD7">
        <w:rPr>
          <w:rStyle w:val="fontstyle21"/>
          <w:rFonts w:ascii="Garamond" w:hAnsi="Garamond"/>
          <w:color w:val="auto"/>
          <w:sz w:val="22"/>
          <w:szCs w:val="22"/>
          <w:lang w:val="pt-PT"/>
        </w:rPr>
        <w:t xml:space="preserve">Ribeiro, Anabela Mota, ‘Siza fala da vida de Álvaro’, </w:t>
      </w:r>
      <w:r w:rsidRPr="00316AD7">
        <w:rPr>
          <w:rStyle w:val="fontstyle21"/>
          <w:rFonts w:ascii="Garamond" w:hAnsi="Garamond"/>
          <w:i/>
          <w:iCs/>
          <w:color w:val="auto"/>
          <w:sz w:val="22"/>
          <w:szCs w:val="22"/>
          <w:lang w:val="pt-PT"/>
        </w:rPr>
        <w:t>Público</w:t>
      </w:r>
      <w:r w:rsidRPr="00316AD7">
        <w:rPr>
          <w:rStyle w:val="fontstyle21"/>
          <w:rFonts w:ascii="Garamond" w:hAnsi="Garamond"/>
          <w:color w:val="auto"/>
          <w:sz w:val="22"/>
          <w:szCs w:val="22"/>
          <w:lang w:val="pt-PT"/>
        </w:rPr>
        <w:t xml:space="preserve">, 5 April 2009, </w:t>
      </w:r>
      <w:hyperlink r:id="rId24" w:history="1">
        <w:r w:rsidRPr="00316AD7">
          <w:rPr>
            <w:rStyle w:val="Hiperligao"/>
            <w:rFonts w:ascii="Garamond" w:hAnsi="Garamond"/>
            <w:color w:val="auto"/>
            <w:sz w:val="22"/>
            <w:szCs w:val="22"/>
            <w:lang w:val="pt-PT"/>
          </w:rPr>
          <w:t>https://www.publico.pt/2009/04/05/jornal/siza-fala-da-vida-de-alvaro-301742</w:t>
        </w:r>
      </w:hyperlink>
      <w:r w:rsidRPr="00316AD7">
        <w:rPr>
          <w:rStyle w:val="fontstyle21"/>
          <w:rFonts w:ascii="Garamond" w:hAnsi="Garamond"/>
          <w:color w:val="auto"/>
          <w:sz w:val="22"/>
          <w:szCs w:val="22"/>
          <w:lang w:val="pt-PT"/>
        </w:rPr>
        <w:t xml:space="preserve"> [accessed 11 November 2020]</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p>
    <w:p w:rsidR="00316AD7" w:rsidRPr="00316AD7" w:rsidRDefault="00316AD7" w:rsidP="00316AD7">
      <w:pPr>
        <w:pStyle w:val="NormalWeb"/>
        <w:spacing w:before="120" w:beforeAutospacing="0" w:after="0" w:afterAutospacing="0"/>
        <w:jc w:val="both"/>
        <w:rPr>
          <w:rStyle w:val="fontstyle21"/>
          <w:rFonts w:ascii="Garamond" w:hAnsi="Garamond"/>
          <w:b/>
          <w:bCs/>
          <w:color w:val="auto"/>
          <w:sz w:val="22"/>
          <w:szCs w:val="22"/>
          <w:lang w:val="pt-PT"/>
        </w:rPr>
      </w:pPr>
      <w:r w:rsidRPr="00316AD7">
        <w:rPr>
          <w:rStyle w:val="fontstyle21"/>
          <w:rFonts w:ascii="Garamond" w:hAnsi="Garamond"/>
          <w:b/>
          <w:bCs/>
          <w:color w:val="auto"/>
          <w:sz w:val="22"/>
          <w:szCs w:val="22"/>
          <w:lang w:val="pt-PT"/>
        </w:rPr>
        <w:t>Siza’s Writings</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r w:rsidRPr="00316AD7">
        <w:rPr>
          <w:rStyle w:val="fontstyle21"/>
          <w:rFonts w:ascii="Garamond" w:hAnsi="Garamond"/>
          <w:color w:val="auto"/>
          <w:sz w:val="22"/>
          <w:szCs w:val="22"/>
          <w:lang w:val="pt-PT"/>
        </w:rPr>
        <w:t xml:space="preserve">Siza, Álvaro, </w:t>
      </w:r>
      <w:r w:rsidRPr="00316AD7">
        <w:rPr>
          <w:rStyle w:val="fontstyle21"/>
          <w:rFonts w:ascii="Garamond" w:hAnsi="Garamond"/>
          <w:i/>
          <w:iCs/>
          <w:color w:val="auto"/>
          <w:sz w:val="22"/>
          <w:szCs w:val="22"/>
          <w:lang w:val="pt-PT"/>
        </w:rPr>
        <w:t>Imaginar a Evidência</w:t>
      </w:r>
      <w:r w:rsidRPr="00316AD7">
        <w:rPr>
          <w:rStyle w:val="fontstyle21"/>
          <w:rFonts w:ascii="Garamond" w:hAnsi="Garamond"/>
          <w:color w:val="auto"/>
          <w:sz w:val="22"/>
          <w:szCs w:val="22"/>
          <w:lang w:val="pt-PT"/>
        </w:rPr>
        <w:t xml:space="preserve"> (Lisboa: Edições 70, 1998)</w:t>
      </w:r>
    </w:p>
    <w:p w:rsidR="00316AD7"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r w:rsidRPr="00316AD7">
        <w:rPr>
          <w:rStyle w:val="fontstyle21"/>
          <w:rFonts w:ascii="Garamond" w:hAnsi="Garamond"/>
          <w:color w:val="auto"/>
          <w:sz w:val="22"/>
          <w:szCs w:val="22"/>
          <w:lang w:val="pt-PT"/>
        </w:rPr>
        <w:t>Siza, Álvaro</w:t>
      </w:r>
      <w:bookmarkStart w:id="19" w:name="_Hlk61002747"/>
      <w:r w:rsidRPr="00316AD7">
        <w:rPr>
          <w:rStyle w:val="fontstyle21"/>
          <w:rFonts w:ascii="Garamond" w:hAnsi="Garamond"/>
          <w:color w:val="auto"/>
          <w:sz w:val="22"/>
          <w:szCs w:val="22"/>
          <w:lang w:val="pt-PT"/>
        </w:rPr>
        <w:t xml:space="preserve">, </w:t>
      </w:r>
      <w:r w:rsidRPr="00316AD7">
        <w:rPr>
          <w:rStyle w:val="fontstyle21"/>
          <w:rFonts w:ascii="Garamond" w:hAnsi="Garamond"/>
          <w:i/>
          <w:iCs/>
          <w:color w:val="auto"/>
          <w:sz w:val="22"/>
          <w:szCs w:val="22"/>
          <w:lang w:val="pt-PT"/>
        </w:rPr>
        <w:t>As cidades de Álvaro Siza</w:t>
      </w:r>
      <w:r w:rsidRPr="00316AD7">
        <w:rPr>
          <w:rStyle w:val="fontstyle21"/>
          <w:rFonts w:ascii="Garamond" w:hAnsi="Garamond"/>
          <w:color w:val="auto"/>
          <w:sz w:val="22"/>
          <w:szCs w:val="22"/>
          <w:lang w:val="pt-PT"/>
        </w:rPr>
        <w:t>, ed. Carlos Castanheira e Chiara Porcu</w:t>
      </w:r>
      <w:r w:rsidRPr="00316AD7">
        <w:rPr>
          <w:rStyle w:val="fontstyle21"/>
          <w:rFonts w:ascii="Garamond" w:hAnsi="Garamond"/>
          <w:i/>
          <w:iCs/>
          <w:color w:val="auto"/>
          <w:sz w:val="22"/>
          <w:szCs w:val="22"/>
          <w:lang w:val="pt-PT"/>
        </w:rPr>
        <w:t xml:space="preserve"> </w:t>
      </w:r>
      <w:r w:rsidRPr="00316AD7">
        <w:rPr>
          <w:rStyle w:val="fontstyle21"/>
          <w:rFonts w:ascii="Garamond" w:hAnsi="Garamond"/>
          <w:color w:val="auto"/>
          <w:sz w:val="22"/>
          <w:szCs w:val="22"/>
          <w:lang w:val="pt-PT"/>
        </w:rPr>
        <w:t>(Lisboa: Figueirinhas, 2001) [‘Complexo Paroquial da Igreja de Santa Maria – Marco de Canaveses. Memória descritiva’], s.p.</w:t>
      </w:r>
      <w:bookmarkEnd w:id="19"/>
    </w:p>
    <w:p w:rsidR="001A22F4" w:rsidRPr="00316AD7" w:rsidRDefault="00316AD7" w:rsidP="00316AD7">
      <w:pPr>
        <w:pStyle w:val="NormalWeb"/>
        <w:spacing w:before="120" w:beforeAutospacing="0" w:after="0" w:afterAutospacing="0"/>
        <w:jc w:val="both"/>
        <w:rPr>
          <w:rStyle w:val="fontstyle21"/>
          <w:rFonts w:ascii="Garamond" w:hAnsi="Garamond"/>
          <w:color w:val="auto"/>
          <w:sz w:val="22"/>
          <w:szCs w:val="22"/>
          <w:lang w:val="pt-PT"/>
        </w:rPr>
      </w:pPr>
      <w:bookmarkStart w:id="20" w:name="_Hlk61015188"/>
      <w:r w:rsidRPr="00316AD7">
        <w:rPr>
          <w:rStyle w:val="fontstyle21"/>
          <w:rFonts w:ascii="Garamond" w:hAnsi="Garamond"/>
          <w:color w:val="auto"/>
          <w:sz w:val="22"/>
          <w:szCs w:val="22"/>
          <w:lang w:val="pt-PT"/>
        </w:rPr>
        <w:t xml:space="preserve">Siza, Álvaro, and Higino, Nuno, </w:t>
      </w:r>
      <w:r w:rsidRPr="00316AD7">
        <w:rPr>
          <w:rStyle w:val="fontstyle21"/>
          <w:rFonts w:ascii="Garamond" w:hAnsi="Garamond"/>
          <w:i/>
          <w:iCs/>
          <w:color w:val="auto"/>
          <w:sz w:val="22"/>
          <w:szCs w:val="22"/>
          <w:lang w:val="pt-PT"/>
        </w:rPr>
        <w:t>Igreja de Santa Maria – Marco de Canaveses</w:t>
      </w:r>
      <w:r w:rsidRPr="00316AD7">
        <w:rPr>
          <w:rStyle w:val="fontstyle21"/>
          <w:rFonts w:ascii="Garamond" w:hAnsi="Garamond"/>
          <w:color w:val="auto"/>
          <w:sz w:val="22"/>
          <w:szCs w:val="22"/>
          <w:lang w:val="pt-PT"/>
        </w:rPr>
        <w:t xml:space="preserve"> (s.l.: Paróquia de Santa Marinha de Fornos e Francisco Guedes, 1998)</w:t>
      </w:r>
      <w:bookmarkEnd w:id="20"/>
    </w:p>
    <w:sectPr w:rsidR="001A22F4" w:rsidRPr="00316AD7" w:rsidSect="00681C92">
      <w:pgSz w:w="11906" w:h="16838" w:code="9"/>
      <w:pgMar w:top="851" w:right="1134" w:bottom="567" w:left="1134" w:header="567" w:footer="567"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1476" w:rsidRDefault="00FF1476" w:rsidP="00AD5D5A">
      <w:r>
        <w:separator/>
      </w:r>
    </w:p>
  </w:endnote>
  <w:endnote w:type="continuationSeparator" w:id="0">
    <w:p w:rsidR="00FF1476" w:rsidRDefault="00FF1476"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1CC2" w:rsidRDefault="007A1CC2">
    <w:pPr>
      <w:pStyle w:val="Rodap"/>
      <w:jc w:val="center"/>
      <w:rPr>
        <w:rFonts w:ascii="Garamond" w:hAnsi="Garamond"/>
        <w:b/>
        <w:bCs/>
        <w:sz w:val="20"/>
        <w:szCs w:val="20"/>
      </w:rPr>
    </w:pPr>
  </w:p>
  <w:p w:rsidR="007A1CC2" w:rsidRPr="007318C2" w:rsidRDefault="007A1CC2" w:rsidP="006B0D85">
    <w:pPr>
      <w:pStyle w:val="Rodap"/>
      <w:jc w:val="center"/>
    </w:pPr>
    <w:r w:rsidRPr="007318C2">
      <w:rPr>
        <w:rFonts w:ascii="Garamond" w:hAnsi="Garamond"/>
        <w:b/>
        <w:bCs/>
        <w:sz w:val="20"/>
        <w:szCs w:val="20"/>
        <w:lang w:val="pt-PT"/>
      </w:rPr>
      <w:t>Sara Sucena 1917253____________</w:t>
    </w:r>
    <w:r w:rsidRPr="007318C2">
      <w:rPr>
        <w:rFonts w:ascii="Garamond" w:hAnsi="Garamond"/>
        <w:b/>
        <w:bCs/>
        <w:sz w:val="20"/>
        <w:szCs w:val="20"/>
      </w:rPr>
      <w:fldChar w:fldCharType="begin"/>
    </w:r>
    <w:r w:rsidRPr="007318C2">
      <w:rPr>
        <w:rFonts w:ascii="Garamond" w:hAnsi="Garamond"/>
        <w:b/>
        <w:bCs/>
        <w:sz w:val="20"/>
        <w:szCs w:val="20"/>
      </w:rPr>
      <w:instrText>PAGE</w:instrText>
    </w:r>
    <w:r w:rsidRPr="007318C2">
      <w:rPr>
        <w:rFonts w:ascii="Garamond" w:hAnsi="Garamond"/>
        <w:b/>
        <w:bCs/>
        <w:sz w:val="20"/>
        <w:szCs w:val="20"/>
      </w:rPr>
      <w:fldChar w:fldCharType="separate"/>
    </w:r>
    <w:r>
      <w:rPr>
        <w:rFonts w:ascii="Garamond" w:hAnsi="Garamond"/>
        <w:b/>
        <w:bCs/>
        <w:noProof/>
        <w:sz w:val="20"/>
        <w:szCs w:val="20"/>
      </w:rPr>
      <w:t>10</w:t>
    </w:r>
    <w:r w:rsidRPr="007318C2">
      <w:rPr>
        <w:rFonts w:ascii="Garamond" w:hAnsi="Garamond"/>
        <w:b/>
        <w:bCs/>
        <w:sz w:val="20"/>
        <w:szCs w:val="20"/>
      </w:rPr>
      <w:fldChar w:fldCharType="end"/>
    </w:r>
    <w:r>
      <w:rPr>
        <w:rFonts w:ascii="Garamond" w:hAnsi="Garamond"/>
        <w:b/>
        <w:bCs/>
        <w:sz w:val="20"/>
        <w:szCs w:val="20"/>
        <w:lang w:val="pt-PT"/>
      </w:rPr>
      <w:t>/</w:t>
    </w:r>
    <w:r w:rsidRPr="007318C2">
      <w:rPr>
        <w:rFonts w:ascii="Garamond" w:hAnsi="Garamond"/>
        <w:b/>
        <w:bCs/>
        <w:sz w:val="20"/>
        <w:szCs w:val="20"/>
      </w:rPr>
      <w:fldChar w:fldCharType="begin"/>
    </w:r>
    <w:r w:rsidRPr="007318C2">
      <w:rPr>
        <w:rFonts w:ascii="Garamond" w:hAnsi="Garamond"/>
        <w:b/>
        <w:bCs/>
        <w:sz w:val="20"/>
        <w:szCs w:val="20"/>
      </w:rPr>
      <w:instrText>NUMPAGES</w:instrText>
    </w:r>
    <w:r w:rsidRPr="007318C2">
      <w:rPr>
        <w:rFonts w:ascii="Garamond" w:hAnsi="Garamond"/>
        <w:b/>
        <w:bCs/>
        <w:sz w:val="20"/>
        <w:szCs w:val="20"/>
      </w:rPr>
      <w:fldChar w:fldCharType="separate"/>
    </w:r>
    <w:r>
      <w:rPr>
        <w:rFonts w:ascii="Garamond" w:hAnsi="Garamond"/>
        <w:b/>
        <w:bCs/>
        <w:noProof/>
        <w:sz w:val="20"/>
        <w:szCs w:val="20"/>
      </w:rPr>
      <w:t>10</w:t>
    </w:r>
    <w:r w:rsidRPr="007318C2">
      <w:rPr>
        <w:rFonts w:ascii="Garamond" w:hAnsi="Garamond"/>
        <w:b/>
        <w:bCs/>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1CC2" w:rsidRDefault="007A1CC2">
    <w:pPr>
      <w:pStyle w:val="Rodap"/>
      <w:jc w:val="center"/>
    </w:pPr>
  </w:p>
  <w:p w:rsidR="007A1CC2" w:rsidRDefault="007A1CC2">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1476" w:rsidRDefault="00FF1476" w:rsidP="00AD5D5A">
      <w:r>
        <w:separator/>
      </w:r>
    </w:p>
  </w:footnote>
  <w:footnote w:type="continuationSeparator" w:id="0">
    <w:p w:rsidR="00FF1476" w:rsidRDefault="00FF1476" w:rsidP="00AD5D5A">
      <w:r>
        <w:continuationSeparator/>
      </w:r>
    </w:p>
  </w:footnote>
  <w:footnote w:id="1">
    <w:p w:rsidR="007A1CC2" w:rsidRPr="00122A90" w:rsidRDefault="007A1CC2">
      <w:pPr>
        <w:pStyle w:val="Textodenotaderodap"/>
        <w:rPr>
          <w:lang w:val="en-US"/>
        </w:rPr>
      </w:pPr>
      <w:r>
        <w:rPr>
          <w:rStyle w:val="Refdenotaderodap"/>
        </w:rPr>
        <w:footnoteRef/>
      </w:r>
      <w:r>
        <w:t xml:space="preserve"> </w:t>
      </w:r>
      <w:r w:rsidRPr="0006592B">
        <w:rPr>
          <w:rFonts w:ascii="Garamond" w:hAnsi="Garamond"/>
          <w:sz w:val="18"/>
          <w:szCs w:val="18"/>
          <w:lang w:val="en-US"/>
        </w:rPr>
        <w:t xml:space="preserve">Mircea Eliade, </w:t>
      </w:r>
      <w:r w:rsidRPr="0006592B">
        <w:rPr>
          <w:rFonts w:ascii="Garamond" w:hAnsi="Garamond"/>
          <w:i/>
          <w:iCs/>
          <w:sz w:val="18"/>
          <w:szCs w:val="18"/>
          <w:lang w:val="en-US"/>
        </w:rPr>
        <w:t>The Sacred and the Profane</w:t>
      </w:r>
      <w:r w:rsidRPr="0006592B">
        <w:rPr>
          <w:rFonts w:ascii="Garamond" w:hAnsi="Garamond"/>
          <w:sz w:val="18"/>
          <w:szCs w:val="18"/>
          <w:lang w:val="en-US"/>
        </w:rPr>
        <w:t xml:space="preserve"> (New York: Harcourt Brace, 1959), p.</w:t>
      </w:r>
      <w:r>
        <w:rPr>
          <w:rFonts w:ascii="Garamond" w:hAnsi="Garamond"/>
          <w:sz w:val="18"/>
          <w:szCs w:val="18"/>
          <w:lang w:val="en-US"/>
        </w:rPr>
        <w:t xml:space="preserve"> 8.</w:t>
      </w:r>
    </w:p>
  </w:footnote>
  <w:footnote w:id="2">
    <w:p w:rsidR="007A1CC2" w:rsidRPr="00BD3734" w:rsidRDefault="007A1CC2" w:rsidP="00582FDE">
      <w:pPr>
        <w:pStyle w:val="Textodenotaderodap"/>
        <w:rPr>
          <w:rFonts w:ascii="Garamond" w:hAnsi="Garamond"/>
          <w:sz w:val="18"/>
          <w:szCs w:val="18"/>
          <w:lang w:val="en-US"/>
        </w:rPr>
      </w:pPr>
      <w:r w:rsidRPr="00F07051">
        <w:rPr>
          <w:rStyle w:val="Refdenotaderodap"/>
          <w:rFonts w:ascii="Garamond" w:hAnsi="Garamond"/>
          <w:sz w:val="18"/>
          <w:szCs w:val="18"/>
        </w:rPr>
        <w:footnoteRef/>
      </w:r>
      <w:r w:rsidRPr="00BD3734">
        <w:rPr>
          <w:rFonts w:ascii="Garamond" w:hAnsi="Garamond"/>
          <w:sz w:val="18"/>
          <w:szCs w:val="18"/>
          <w:lang w:val="en-US"/>
        </w:rPr>
        <w:t xml:space="preserve">Rudolf Otto, </w:t>
      </w:r>
      <w:r w:rsidRPr="00BD3734">
        <w:rPr>
          <w:rFonts w:ascii="Garamond" w:hAnsi="Garamond"/>
          <w:i/>
          <w:iCs/>
          <w:sz w:val="18"/>
          <w:szCs w:val="18"/>
          <w:lang w:val="en-US"/>
        </w:rPr>
        <w:t>The Idea of the Holy</w:t>
      </w:r>
      <w:r w:rsidRPr="00BD3734">
        <w:rPr>
          <w:rFonts w:ascii="Garamond" w:hAnsi="Garamond"/>
          <w:sz w:val="18"/>
          <w:szCs w:val="18"/>
          <w:lang w:val="en-US"/>
        </w:rPr>
        <w:t>, trans. John W. Harvey (London, Oxford University Press 1936?) [or. edn., Das Heilige (1917)] PDF, p.5.</w:t>
      </w:r>
    </w:p>
  </w:footnote>
  <w:footnote w:id="3">
    <w:p w:rsidR="007A1CC2" w:rsidRPr="0006592B" w:rsidRDefault="007A1CC2" w:rsidP="0006592B">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BD3734">
        <w:rPr>
          <w:rFonts w:ascii="Garamond" w:hAnsi="Garamond"/>
          <w:sz w:val="18"/>
          <w:szCs w:val="18"/>
          <w:lang w:val="en-US"/>
        </w:rPr>
        <w:t xml:space="preserve"> </w:t>
      </w:r>
      <w:r w:rsidRPr="0006592B">
        <w:rPr>
          <w:rFonts w:ascii="Garamond" w:hAnsi="Garamond"/>
          <w:sz w:val="18"/>
          <w:szCs w:val="18"/>
          <w:lang w:val="en-US"/>
        </w:rPr>
        <w:t xml:space="preserve">Otto, </w:t>
      </w:r>
      <w:r w:rsidRPr="0006592B">
        <w:rPr>
          <w:rFonts w:ascii="Garamond" w:hAnsi="Garamond"/>
          <w:i/>
          <w:iCs/>
          <w:sz w:val="18"/>
          <w:szCs w:val="18"/>
          <w:lang w:val="en-US"/>
        </w:rPr>
        <w:t>The Idea of the Holy</w:t>
      </w:r>
      <w:r w:rsidRPr="0006592B">
        <w:rPr>
          <w:rFonts w:ascii="Garamond" w:hAnsi="Garamond"/>
          <w:sz w:val="18"/>
          <w:szCs w:val="18"/>
          <w:lang w:val="en-US"/>
        </w:rPr>
        <w:t>, p.</w:t>
      </w:r>
      <w:r>
        <w:rPr>
          <w:rFonts w:ascii="Garamond" w:hAnsi="Garamond"/>
          <w:sz w:val="18"/>
          <w:szCs w:val="18"/>
          <w:lang w:val="en-US"/>
        </w:rPr>
        <w:t xml:space="preserve"> </w:t>
      </w:r>
      <w:r w:rsidRPr="0006592B">
        <w:rPr>
          <w:rFonts w:ascii="Garamond" w:hAnsi="Garamond"/>
          <w:sz w:val="18"/>
          <w:szCs w:val="18"/>
          <w:lang w:val="en-US"/>
        </w:rPr>
        <w:t>61.</w:t>
      </w:r>
    </w:p>
  </w:footnote>
  <w:footnote w:id="4">
    <w:p w:rsidR="007A1CC2" w:rsidRPr="0006592B" w:rsidRDefault="007A1CC2" w:rsidP="0006592B">
      <w:pPr>
        <w:pStyle w:val="Textodenotaderodap"/>
        <w:jc w:val="both"/>
        <w:rPr>
          <w:rFonts w:ascii="Garamond" w:hAnsi="Garamond"/>
          <w:sz w:val="18"/>
          <w:szCs w:val="18"/>
          <w:lang w:val="en-US"/>
        </w:rPr>
      </w:pPr>
      <w:r w:rsidRPr="0006592B">
        <w:rPr>
          <w:rStyle w:val="Refdenotaderodap"/>
          <w:rFonts w:ascii="Garamond" w:hAnsi="Garamond"/>
          <w:sz w:val="18"/>
          <w:szCs w:val="18"/>
        </w:rPr>
        <w:footnoteRef/>
      </w:r>
      <w:r w:rsidRPr="0006592B">
        <w:rPr>
          <w:rFonts w:ascii="Garamond" w:hAnsi="Garamond"/>
          <w:sz w:val="18"/>
          <w:szCs w:val="18"/>
          <w:lang w:val="en-US"/>
        </w:rPr>
        <w:t xml:space="preserve"> Otto, </w:t>
      </w:r>
      <w:r w:rsidRPr="0006592B">
        <w:rPr>
          <w:rFonts w:ascii="Garamond" w:hAnsi="Garamond"/>
          <w:i/>
          <w:iCs/>
          <w:sz w:val="18"/>
          <w:szCs w:val="18"/>
          <w:lang w:val="en-US"/>
        </w:rPr>
        <w:t>The Idea of the Holy</w:t>
      </w:r>
      <w:r w:rsidRPr="0006592B">
        <w:rPr>
          <w:rFonts w:ascii="Garamond" w:hAnsi="Garamond"/>
          <w:sz w:val="18"/>
          <w:szCs w:val="18"/>
          <w:lang w:val="en-US"/>
        </w:rPr>
        <w:t>, p.</w:t>
      </w:r>
      <w:r>
        <w:rPr>
          <w:rFonts w:ascii="Garamond" w:hAnsi="Garamond"/>
          <w:sz w:val="18"/>
          <w:szCs w:val="18"/>
          <w:lang w:val="en-US"/>
        </w:rPr>
        <w:t xml:space="preserve"> </w:t>
      </w:r>
      <w:r w:rsidRPr="0006592B">
        <w:rPr>
          <w:rFonts w:ascii="Garamond" w:hAnsi="Garamond"/>
          <w:sz w:val="18"/>
          <w:szCs w:val="18"/>
          <w:lang w:val="en-US"/>
        </w:rPr>
        <w:t>2.</w:t>
      </w:r>
    </w:p>
  </w:footnote>
  <w:footnote w:id="5">
    <w:p w:rsidR="007A1CC2" w:rsidRPr="0006592B" w:rsidRDefault="007A1CC2" w:rsidP="0006592B">
      <w:pPr>
        <w:pStyle w:val="Textodenotaderodap"/>
        <w:jc w:val="both"/>
        <w:rPr>
          <w:rFonts w:ascii="Garamond" w:hAnsi="Garamond"/>
          <w:sz w:val="18"/>
          <w:szCs w:val="18"/>
          <w:lang w:val="en-US"/>
        </w:rPr>
      </w:pPr>
      <w:r w:rsidRPr="0006592B">
        <w:rPr>
          <w:rStyle w:val="Refdenotaderodap"/>
          <w:rFonts w:ascii="Garamond" w:hAnsi="Garamond"/>
          <w:sz w:val="18"/>
          <w:szCs w:val="18"/>
        </w:rPr>
        <w:footnoteRef/>
      </w:r>
      <w:r w:rsidRPr="0006592B">
        <w:rPr>
          <w:rFonts w:ascii="Garamond" w:hAnsi="Garamond"/>
          <w:sz w:val="18"/>
          <w:szCs w:val="18"/>
          <w:lang w:val="en-US"/>
        </w:rPr>
        <w:t xml:space="preserve"> Otto, </w:t>
      </w:r>
      <w:r w:rsidRPr="0006592B">
        <w:rPr>
          <w:rFonts w:ascii="Garamond" w:hAnsi="Garamond"/>
          <w:i/>
          <w:iCs/>
          <w:sz w:val="18"/>
          <w:szCs w:val="18"/>
          <w:lang w:val="en-US"/>
        </w:rPr>
        <w:t>The Idea of the Holy</w:t>
      </w:r>
      <w:r w:rsidRPr="0006592B">
        <w:rPr>
          <w:rFonts w:ascii="Garamond" w:hAnsi="Garamond"/>
          <w:sz w:val="18"/>
          <w:szCs w:val="18"/>
          <w:lang w:val="en-US"/>
        </w:rPr>
        <w:t>, p.</w:t>
      </w:r>
      <w:r>
        <w:rPr>
          <w:rFonts w:ascii="Garamond" w:hAnsi="Garamond"/>
          <w:sz w:val="18"/>
          <w:szCs w:val="18"/>
          <w:lang w:val="en-US"/>
        </w:rPr>
        <w:t xml:space="preserve"> </w:t>
      </w:r>
      <w:r w:rsidRPr="0006592B">
        <w:rPr>
          <w:rFonts w:ascii="Garamond" w:hAnsi="Garamond"/>
          <w:sz w:val="18"/>
          <w:szCs w:val="18"/>
          <w:lang w:val="en-US"/>
        </w:rPr>
        <w:t>62.</w:t>
      </w:r>
    </w:p>
  </w:footnote>
  <w:footnote w:id="6">
    <w:p w:rsidR="007A1CC2" w:rsidRPr="0006592B" w:rsidRDefault="007A1CC2" w:rsidP="0006592B">
      <w:pPr>
        <w:pStyle w:val="NormalWeb"/>
        <w:spacing w:before="0" w:beforeAutospacing="0" w:after="0" w:afterAutospacing="0"/>
        <w:jc w:val="both"/>
        <w:rPr>
          <w:rFonts w:ascii="Garamond" w:hAnsi="Garamond"/>
          <w:color w:val="auto"/>
          <w:sz w:val="18"/>
          <w:szCs w:val="18"/>
          <w:lang w:val="en-US"/>
        </w:rPr>
      </w:pPr>
      <w:r w:rsidRPr="0006592B">
        <w:rPr>
          <w:rStyle w:val="Refdenotaderodap"/>
          <w:rFonts w:ascii="Garamond" w:hAnsi="Garamond"/>
          <w:color w:val="auto"/>
          <w:sz w:val="18"/>
          <w:szCs w:val="18"/>
        </w:rPr>
        <w:footnoteRef/>
      </w:r>
      <w:r w:rsidRPr="0006592B">
        <w:rPr>
          <w:rFonts w:ascii="Garamond" w:hAnsi="Garamond"/>
          <w:color w:val="auto"/>
          <w:sz w:val="18"/>
          <w:szCs w:val="18"/>
          <w:lang w:val="en-US"/>
        </w:rPr>
        <w:t xml:space="preserve"> </w:t>
      </w:r>
      <w:r w:rsidRPr="0006592B">
        <w:rPr>
          <w:rStyle w:val="fontstyle21"/>
          <w:rFonts w:ascii="Garamond" w:hAnsi="Garamond"/>
          <w:color w:val="auto"/>
          <w:sz w:val="18"/>
          <w:szCs w:val="18"/>
        </w:rPr>
        <w:t xml:space="preserve">John W. Harvey, Translator’s Preface to </w:t>
      </w:r>
      <w:r w:rsidRPr="0006592B">
        <w:rPr>
          <w:rStyle w:val="fontstyle21"/>
          <w:rFonts w:ascii="Garamond" w:hAnsi="Garamond"/>
          <w:i/>
          <w:iCs/>
          <w:color w:val="auto"/>
          <w:sz w:val="18"/>
          <w:szCs w:val="18"/>
        </w:rPr>
        <w:t>The Idea of the Holy</w:t>
      </w:r>
      <w:r w:rsidRPr="0006592B">
        <w:rPr>
          <w:rStyle w:val="fontstyle21"/>
          <w:rFonts w:ascii="Garamond" w:hAnsi="Garamond"/>
          <w:color w:val="auto"/>
          <w:sz w:val="18"/>
          <w:szCs w:val="18"/>
        </w:rPr>
        <w:t xml:space="preserve">, by Rudolf Otto (London, Oxford University Press 1936?) [or. edn., Das Heilige (1917)] PDF, </w:t>
      </w:r>
      <w:r w:rsidRPr="0006592B">
        <w:rPr>
          <w:rFonts w:ascii="Garamond" w:hAnsi="Garamond"/>
          <w:color w:val="auto"/>
          <w:sz w:val="18"/>
          <w:szCs w:val="18"/>
          <w:lang w:val="en-US"/>
        </w:rPr>
        <w:t>p.</w:t>
      </w:r>
      <w:r>
        <w:rPr>
          <w:rFonts w:ascii="Garamond" w:hAnsi="Garamond"/>
          <w:color w:val="auto"/>
          <w:sz w:val="18"/>
          <w:szCs w:val="18"/>
          <w:lang w:val="en-US"/>
        </w:rPr>
        <w:t xml:space="preserve"> </w:t>
      </w:r>
      <w:r w:rsidRPr="0006592B">
        <w:rPr>
          <w:rFonts w:ascii="Garamond" w:hAnsi="Garamond"/>
          <w:color w:val="auto"/>
          <w:sz w:val="18"/>
          <w:szCs w:val="18"/>
          <w:lang w:val="en-US"/>
        </w:rPr>
        <w:t>xvi</w:t>
      </w:r>
      <w:r>
        <w:rPr>
          <w:rFonts w:ascii="Garamond" w:hAnsi="Garamond"/>
          <w:color w:val="auto"/>
          <w:sz w:val="18"/>
          <w:szCs w:val="18"/>
          <w:lang w:val="en-US"/>
        </w:rPr>
        <w:t>.</w:t>
      </w:r>
    </w:p>
  </w:footnote>
  <w:footnote w:id="7">
    <w:p w:rsidR="007A1CC2" w:rsidRPr="0006592B" w:rsidRDefault="007A1CC2" w:rsidP="0006592B">
      <w:pPr>
        <w:pStyle w:val="Textodenotaderodap"/>
        <w:jc w:val="both"/>
        <w:rPr>
          <w:rFonts w:ascii="Garamond" w:hAnsi="Garamond"/>
          <w:sz w:val="18"/>
          <w:szCs w:val="18"/>
          <w:lang w:val="en-US"/>
        </w:rPr>
      </w:pPr>
      <w:r w:rsidRPr="0006592B">
        <w:rPr>
          <w:rStyle w:val="Refdenotaderodap"/>
          <w:rFonts w:ascii="Garamond" w:hAnsi="Garamond"/>
          <w:sz w:val="18"/>
          <w:szCs w:val="18"/>
        </w:rPr>
        <w:footnoteRef/>
      </w:r>
      <w:r w:rsidRPr="0006592B">
        <w:rPr>
          <w:rFonts w:ascii="Garamond" w:hAnsi="Garamond"/>
          <w:sz w:val="18"/>
          <w:szCs w:val="18"/>
          <w:lang w:val="en-US"/>
        </w:rPr>
        <w:t xml:space="preserve"> </w:t>
      </w:r>
      <w:r w:rsidRPr="00100944">
        <w:rPr>
          <w:rFonts w:ascii="Garamond" w:hAnsi="Garamond"/>
          <w:sz w:val="18"/>
          <w:szCs w:val="18"/>
          <w:lang w:val="en-US"/>
        </w:rPr>
        <w:t xml:space="preserve">Eliade, </w:t>
      </w:r>
      <w:r w:rsidRPr="00100944">
        <w:rPr>
          <w:rFonts w:ascii="Garamond" w:hAnsi="Garamond"/>
          <w:i/>
          <w:iCs/>
          <w:sz w:val="18"/>
          <w:szCs w:val="18"/>
          <w:lang w:val="en-US"/>
        </w:rPr>
        <w:t>The Sacred</w:t>
      </w:r>
      <w:r w:rsidRPr="00100944">
        <w:rPr>
          <w:rFonts w:ascii="Garamond" w:hAnsi="Garamond"/>
          <w:sz w:val="18"/>
          <w:szCs w:val="18"/>
          <w:lang w:val="en-US"/>
        </w:rPr>
        <w:t>, p.</w:t>
      </w:r>
      <w:r>
        <w:rPr>
          <w:rFonts w:ascii="Garamond" w:hAnsi="Garamond"/>
          <w:sz w:val="18"/>
          <w:szCs w:val="18"/>
          <w:lang w:val="en-US"/>
        </w:rPr>
        <w:t xml:space="preserve"> </w:t>
      </w:r>
      <w:r w:rsidRPr="0006592B">
        <w:rPr>
          <w:rFonts w:ascii="Garamond" w:hAnsi="Garamond"/>
          <w:sz w:val="18"/>
          <w:szCs w:val="18"/>
          <w:lang w:val="en-US"/>
        </w:rPr>
        <w:t>14.</w:t>
      </w:r>
    </w:p>
  </w:footnote>
  <w:footnote w:id="8">
    <w:p w:rsidR="007A1CC2" w:rsidRPr="00863ECA" w:rsidRDefault="007A1CC2" w:rsidP="00582FDE">
      <w:pPr>
        <w:pStyle w:val="Textodenotaderodap"/>
        <w:jc w:val="both"/>
        <w:rPr>
          <w:rFonts w:ascii="Garamond" w:hAnsi="Garamond"/>
          <w:sz w:val="18"/>
          <w:szCs w:val="18"/>
          <w:highlight w:val="green"/>
          <w:lang w:val="fr-FR"/>
        </w:rPr>
      </w:pPr>
      <w:r w:rsidRPr="00863ECA">
        <w:rPr>
          <w:rStyle w:val="Refdenotaderodap"/>
          <w:rFonts w:ascii="Garamond" w:hAnsi="Garamond"/>
          <w:sz w:val="18"/>
          <w:szCs w:val="18"/>
        </w:rPr>
        <w:footnoteRef/>
      </w:r>
      <w:r w:rsidRPr="00863ECA">
        <w:rPr>
          <w:rFonts w:ascii="Garamond" w:hAnsi="Garamond"/>
          <w:sz w:val="18"/>
          <w:szCs w:val="18"/>
          <w:lang w:val="en-US"/>
        </w:rPr>
        <w:t xml:space="preserve"> Émile Durkheim, </w:t>
      </w:r>
      <w:r w:rsidRPr="00863ECA">
        <w:rPr>
          <w:rFonts w:ascii="Garamond" w:hAnsi="Garamond"/>
          <w:i/>
          <w:iCs/>
          <w:sz w:val="18"/>
          <w:szCs w:val="18"/>
          <w:lang w:val="en-US"/>
        </w:rPr>
        <w:t>The Elementary Forms of Religious Life</w:t>
      </w:r>
      <w:r w:rsidRPr="00863ECA">
        <w:rPr>
          <w:rFonts w:ascii="Garamond" w:hAnsi="Garamond"/>
          <w:sz w:val="18"/>
          <w:szCs w:val="18"/>
          <w:lang w:val="en-US"/>
        </w:rPr>
        <w:t xml:space="preserve">, trans. </w:t>
      </w:r>
      <w:r w:rsidRPr="00863ECA">
        <w:rPr>
          <w:rFonts w:ascii="Garamond" w:hAnsi="Garamond"/>
          <w:sz w:val="18"/>
          <w:szCs w:val="18"/>
          <w:lang w:val="fr-FR"/>
        </w:rPr>
        <w:t xml:space="preserve">Karen E. Fields (New York, Free Press 1995) [or. edn.., </w:t>
      </w:r>
      <w:r w:rsidRPr="00863ECA">
        <w:rPr>
          <w:rFonts w:ascii="Garamond" w:hAnsi="Garamond"/>
          <w:i/>
          <w:iCs/>
          <w:sz w:val="18"/>
          <w:szCs w:val="18"/>
          <w:lang w:val="fr-FR"/>
        </w:rPr>
        <w:t>Les Formes élémentaires de la vie religieuse: Le système totémique en Australie</w:t>
      </w:r>
      <w:r w:rsidRPr="00863ECA">
        <w:rPr>
          <w:rFonts w:ascii="Garamond" w:hAnsi="Garamond"/>
          <w:sz w:val="18"/>
          <w:szCs w:val="18"/>
          <w:lang w:val="fr-FR"/>
        </w:rPr>
        <w:t xml:space="preserve"> (Paris; F. Alcan, 1912)], p</w:t>
      </w:r>
      <w:r>
        <w:rPr>
          <w:rFonts w:ascii="Garamond" w:hAnsi="Garamond"/>
          <w:sz w:val="18"/>
          <w:szCs w:val="18"/>
          <w:lang w:val="fr-FR"/>
        </w:rPr>
        <w:t>p</w:t>
      </w:r>
      <w:r w:rsidRPr="00863ECA">
        <w:rPr>
          <w:rFonts w:ascii="Garamond" w:hAnsi="Garamond"/>
          <w:sz w:val="18"/>
          <w:szCs w:val="18"/>
          <w:lang w:val="fr-FR"/>
        </w:rPr>
        <w:t xml:space="preserve">. </w:t>
      </w:r>
      <w:r w:rsidRPr="00863ECA">
        <w:rPr>
          <w:rFonts w:ascii="Garamond" w:hAnsi="Garamond"/>
          <w:sz w:val="18"/>
          <w:szCs w:val="18"/>
          <w:lang w:val="de-DE"/>
        </w:rPr>
        <w:t xml:space="preserve">9, </w:t>
      </w:r>
      <w:r w:rsidRPr="00863ECA">
        <w:rPr>
          <w:rFonts w:ascii="Garamond" w:hAnsi="Garamond"/>
          <w:sz w:val="18"/>
          <w:szCs w:val="18"/>
          <w:lang w:val="fr-FR"/>
        </w:rPr>
        <w:t xml:space="preserve">44, </w:t>
      </w:r>
      <w:r w:rsidRPr="00863ECA">
        <w:rPr>
          <w:rFonts w:ascii="Garamond" w:hAnsi="Garamond"/>
          <w:sz w:val="18"/>
          <w:szCs w:val="18"/>
          <w:lang w:val="de-DE"/>
        </w:rPr>
        <w:t>442-3.</w:t>
      </w:r>
    </w:p>
  </w:footnote>
  <w:footnote w:id="9">
    <w:p w:rsidR="007A1CC2" w:rsidRPr="00100944" w:rsidRDefault="007A1CC2" w:rsidP="00582FDE">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rPr>
        <w:t xml:space="preserve"> </w:t>
      </w:r>
      <w:r w:rsidRPr="00100944">
        <w:rPr>
          <w:rFonts w:ascii="Garamond" w:hAnsi="Garamond"/>
          <w:sz w:val="18"/>
          <w:szCs w:val="18"/>
          <w:lang w:val="en-US"/>
        </w:rPr>
        <w:t>Durkheim,</w:t>
      </w:r>
      <w:r w:rsidRPr="00100944">
        <w:rPr>
          <w:rFonts w:ascii="Garamond" w:hAnsi="Garamond"/>
          <w:i/>
          <w:iCs/>
          <w:sz w:val="18"/>
          <w:szCs w:val="18"/>
          <w:lang w:val="en-US"/>
        </w:rPr>
        <w:t xml:space="preserve"> Forms</w:t>
      </w:r>
      <w:r w:rsidRPr="00100944">
        <w:rPr>
          <w:rFonts w:ascii="Garamond" w:hAnsi="Garamond"/>
          <w:sz w:val="18"/>
          <w:szCs w:val="18"/>
          <w:lang w:val="en-US"/>
        </w:rPr>
        <w:t>, p. 36.</w:t>
      </w:r>
    </w:p>
  </w:footnote>
  <w:footnote w:id="10">
    <w:p w:rsidR="007A1CC2" w:rsidRPr="00863ECA" w:rsidRDefault="007A1CC2" w:rsidP="00582FDE">
      <w:pPr>
        <w:pStyle w:val="Textodenotaderodap"/>
        <w:jc w:val="both"/>
        <w:rPr>
          <w:rFonts w:ascii="Garamond" w:hAnsi="Garamond"/>
          <w:sz w:val="18"/>
          <w:szCs w:val="18"/>
        </w:rPr>
      </w:pPr>
      <w:r w:rsidRPr="00100944">
        <w:rPr>
          <w:rStyle w:val="Refdenotaderodap"/>
          <w:rFonts w:ascii="Garamond" w:hAnsi="Garamond"/>
          <w:sz w:val="18"/>
          <w:szCs w:val="18"/>
        </w:rPr>
        <w:footnoteRef/>
      </w:r>
      <w:r w:rsidRPr="00273426">
        <w:rPr>
          <w:rFonts w:ascii="Garamond" w:hAnsi="Garamond"/>
          <w:sz w:val="18"/>
          <w:szCs w:val="18"/>
        </w:rPr>
        <w:t xml:space="preserve">Karen E. Fields, Introduction to </w:t>
      </w:r>
      <w:r w:rsidRPr="00273426">
        <w:rPr>
          <w:rFonts w:ascii="Garamond" w:hAnsi="Garamond"/>
          <w:i/>
          <w:iCs/>
          <w:sz w:val="18"/>
          <w:szCs w:val="18"/>
        </w:rPr>
        <w:t>The Elementary Forms of Religious Life</w:t>
      </w:r>
      <w:r w:rsidRPr="00273426">
        <w:rPr>
          <w:rFonts w:ascii="Garamond" w:hAnsi="Garamond"/>
          <w:sz w:val="18"/>
          <w:szCs w:val="18"/>
        </w:rPr>
        <w:t xml:space="preserve">, by Emile Durkheim (New York, Free Press 1995) [or. edn.., </w:t>
      </w:r>
      <w:r w:rsidRPr="00273426">
        <w:rPr>
          <w:rFonts w:ascii="Garamond" w:hAnsi="Garamond"/>
          <w:i/>
          <w:iCs/>
          <w:sz w:val="18"/>
          <w:szCs w:val="18"/>
        </w:rPr>
        <w:t>Les Formes élémentaires de la vie religieuse: Le système totémique en Australie</w:t>
      </w:r>
      <w:r w:rsidRPr="00273426">
        <w:rPr>
          <w:rFonts w:ascii="Garamond" w:hAnsi="Garamond"/>
          <w:sz w:val="18"/>
          <w:szCs w:val="18"/>
        </w:rPr>
        <w:t xml:space="preserve">, (Paris; F. Alcan, 1912)], pp. </w:t>
      </w:r>
      <w:r w:rsidRPr="00273426">
        <w:rPr>
          <w:rFonts w:ascii="Garamond" w:hAnsi="Garamond"/>
          <w:sz w:val="18"/>
          <w:szCs w:val="18"/>
          <w:lang w:val="en-US"/>
        </w:rPr>
        <w:t>xxii</w:t>
      </w:r>
      <w:r w:rsidRPr="00100944">
        <w:rPr>
          <w:rFonts w:ascii="Garamond" w:hAnsi="Garamond"/>
          <w:sz w:val="18"/>
          <w:szCs w:val="18"/>
          <w:lang w:val="en-US"/>
        </w:rPr>
        <w:t xml:space="preserve"> and Durkheim,</w:t>
      </w:r>
      <w:r w:rsidRPr="00100944">
        <w:rPr>
          <w:rFonts w:ascii="Garamond" w:hAnsi="Garamond"/>
          <w:i/>
          <w:iCs/>
          <w:sz w:val="18"/>
          <w:szCs w:val="18"/>
          <w:lang w:val="en-US"/>
        </w:rPr>
        <w:t xml:space="preserve"> Forms</w:t>
      </w:r>
      <w:r w:rsidRPr="00100944">
        <w:rPr>
          <w:rFonts w:ascii="Garamond" w:hAnsi="Garamond"/>
          <w:sz w:val="18"/>
          <w:szCs w:val="18"/>
          <w:lang w:val="en-US"/>
        </w:rPr>
        <w:t>, p. 223.</w:t>
      </w:r>
    </w:p>
  </w:footnote>
  <w:footnote w:id="11">
    <w:p w:rsidR="007A1CC2" w:rsidRPr="00100944" w:rsidRDefault="007A1CC2" w:rsidP="00582FDE">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rPr>
        <w:t xml:space="preserve"> </w:t>
      </w:r>
      <w:r w:rsidRPr="00100944">
        <w:rPr>
          <w:rFonts w:ascii="Garamond" w:hAnsi="Garamond"/>
          <w:sz w:val="18"/>
          <w:szCs w:val="18"/>
          <w:lang w:val="en-US"/>
        </w:rPr>
        <w:t>Durkheim,</w:t>
      </w:r>
      <w:r w:rsidRPr="00100944">
        <w:rPr>
          <w:rFonts w:ascii="Garamond" w:hAnsi="Garamond"/>
          <w:i/>
          <w:iCs/>
          <w:sz w:val="18"/>
          <w:szCs w:val="18"/>
          <w:lang w:val="en-US"/>
        </w:rPr>
        <w:t xml:space="preserve"> Forms</w:t>
      </w:r>
      <w:r w:rsidRPr="00100944">
        <w:rPr>
          <w:rFonts w:ascii="Garamond" w:hAnsi="Garamond"/>
          <w:sz w:val="18"/>
          <w:szCs w:val="18"/>
          <w:lang w:val="en-US"/>
        </w:rPr>
        <w:t>, p. 44.</w:t>
      </w:r>
    </w:p>
  </w:footnote>
  <w:footnote w:id="12">
    <w:p w:rsidR="007A1CC2" w:rsidRPr="00100944" w:rsidRDefault="007A1CC2" w:rsidP="00582FDE">
      <w:pPr>
        <w:pStyle w:val="Textodenotaderodap"/>
        <w:jc w:val="both"/>
        <w:rPr>
          <w:rFonts w:ascii="Garamond" w:hAnsi="Garamond"/>
          <w:sz w:val="18"/>
          <w:szCs w:val="18"/>
          <w:lang w:val="de-DE"/>
        </w:rPr>
      </w:pPr>
      <w:r w:rsidRPr="00100944">
        <w:rPr>
          <w:rStyle w:val="Refdenotaderodap"/>
          <w:rFonts w:ascii="Garamond" w:hAnsi="Garamond"/>
          <w:sz w:val="18"/>
          <w:szCs w:val="18"/>
        </w:rPr>
        <w:footnoteRef/>
      </w:r>
      <w:r w:rsidRPr="00100944">
        <w:rPr>
          <w:rFonts w:ascii="Garamond" w:hAnsi="Garamond"/>
          <w:sz w:val="18"/>
          <w:szCs w:val="18"/>
          <w:lang w:val="de-DE"/>
        </w:rPr>
        <w:t xml:space="preserve"> </w:t>
      </w:r>
      <w:r w:rsidRPr="00100944">
        <w:rPr>
          <w:rFonts w:ascii="Garamond" w:hAnsi="Garamond"/>
          <w:sz w:val="18"/>
          <w:szCs w:val="18"/>
          <w:lang w:val="en-US"/>
        </w:rPr>
        <w:t>Durkheim,</w:t>
      </w:r>
      <w:r w:rsidRPr="00100944">
        <w:rPr>
          <w:rFonts w:ascii="Garamond" w:hAnsi="Garamond"/>
          <w:i/>
          <w:iCs/>
          <w:sz w:val="18"/>
          <w:szCs w:val="18"/>
          <w:lang w:val="en-US"/>
        </w:rPr>
        <w:t xml:space="preserve"> Forms</w:t>
      </w:r>
      <w:r w:rsidRPr="00100944">
        <w:rPr>
          <w:rFonts w:ascii="Garamond" w:hAnsi="Garamond"/>
          <w:sz w:val="18"/>
          <w:szCs w:val="18"/>
          <w:lang w:val="en-US"/>
        </w:rPr>
        <w:t xml:space="preserve">, pp. </w:t>
      </w:r>
      <w:r w:rsidRPr="00100944">
        <w:rPr>
          <w:rFonts w:ascii="Garamond" w:hAnsi="Garamond"/>
          <w:sz w:val="18"/>
          <w:szCs w:val="18"/>
          <w:lang w:val="de-DE"/>
        </w:rPr>
        <w:t>230, 424.</w:t>
      </w:r>
    </w:p>
  </w:footnote>
  <w:footnote w:id="13">
    <w:p w:rsidR="007A1CC2" w:rsidRPr="00863ECA" w:rsidRDefault="007A1CC2" w:rsidP="00863ECA">
      <w:pPr>
        <w:pStyle w:val="NormalWeb"/>
        <w:spacing w:before="0" w:beforeAutospacing="0" w:after="0" w:afterAutospacing="0"/>
        <w:jc w:val="both"/>
        <w:rPr>
          <w:rFonts w:ascii="Garamond" w:hAnsi="Garamond"/>
          <w:color w:val="auto"/>
          <w:sz w:val="18"/>
          <w:szCs w:val="18"/>
        </w:rPr>
      </w:pPr>
      <w:r w:rsidRPr="00100944">
        <w:rPr>
          <w:rStyle w:val="Refdenotaderodap"/>
          <w:rFonts w:ascii="Garamond" w:hAnsi="Garamond"/>
          <w:color w:val="auto"/>
          <w:sz w:val="18"/>
          <w:szCs w:val="18"/>
        </w:rPr>
        <w:footnoteRef/>
      </w:r>
      <w:r w:rsidRPr="00100944">
        <w:rPr>
          <w:rFonts w:ascii="Garamond" w:hAnsi="Garamond"/>
          <w:color w:val="auto"/>
          <w:sz w:val="18"/>
          <w:szCs w:val="18"/>
        </w:rPr>
        <w:t xml:space="preserve"> </w:t>
      </w:r>
      <w:r w:rsidRPr="00100944">
        <w:rPr>
          <w:rStyle w:val="fontstyle21"/>
          <w:rFonts w:ascii="Garamond" w:hAnsi="Garamond"/>
          <w:color w:val="auto"/>
          <w:sz w:val="18"/>
          <w:szCs w:val="18"/>
        </w:rPr>
        <w:t xml:space="preserve">W. S. F. Pickering, ‘The Eternality of the Sacred: Durkheim's Error?’, </w:t>
      </w:r>
      <w:r w:rsidRPr="00100944">
        <w:rPr>
          <w:rStyle w:val="fontstyle21"/>
          <w:rFonts w:ascii="Garamond" w:hAnsi="Garamond"/>
          <w:i/>
          <w:iCs/>
          <w:color w:val="auto"/>
          <w:sz w:val="18"/>
          <w:szCs w:val="18"/>
          <w:lang w:val="en-US"/>
        </w:rPr>
        <w:t>Archives de Sciences Sociales des Religions</w:t>
      </w:r>
      <w:r w:rsidRPr="00100944">
        <w:rPr>
          <w:rStyle w:val="fontstyle21"/>
          <w:rFonts w:ascii="Garamond" w:hAnsi="Garamond"/>
          <w:color w:val="auto"/>
          <w:sz w:val="18"/>
          <w:szCs w:val="18"/>
          <w:lang w:val="en-US"/>
        </w:rPr>
        <w:t>, vol. 35, no. 69 (1990), p. 93</w:t>
      </w:r>
      <w:r>
        <w:rPr>
          <w:rStyle w:val="fontstyle21"/>
          <w:rFonts w:ascii="Garamond" w:hAnsi="Garamond"/>
          <w:color w:val="auto"/>
          <w:sz w:val="18"/>
          <w:szCs w:val="18"/>
          <w:lang w:val="en-US"/>
        </w:rPr>
        <w:t>.</w:t>
      </w:r>
    </w:p>
  </w:footnote>
  <w:footnote w:id="14">
    <w:p w:rsidR="007A1CC2" w:rsidRPr="00100944" w:rsidRDefault="007A1CC2" w:rsidP="00582FDE">
      <w:pPr>
        <w:pStyle w:val="Textodenotaderodap"/>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rPr>
        <w:t xml:space="preserve"> Fields, </w:t>
      </w:r>
      <w:r w:rsidRPr="00100944">
        <w:rPr>
          <w:rFonts w:ascii="Garamond" w:hAnsi="Garamond"/>
          <w:i/>
          <w:iCs/>
          <w:sz w:val="18"/>
          <w:szCs w:val="18"/>
        </w:rPr>
        <w:t>Introduction</w:t>
      </w:r>
      <w:r w:rsidRPr="00100944">
        <w:rPr>
          <w:rFonts w:ascii="Garamond" w:hAnsi="Garamond"/>
          <w:sz w:val="18"/>
          <w:szCs w:val="18"/>
        </w:rPr>
        <w:t>,</w:t>
      </w:r>
      <w:r w:rsidRPr="00100944">
        <w:rPr>
          <w:rFonts w:ascii="Garamond" w:hAnsi="Garamond"/>
          <w:sz w:val="18"/>
          <w:szCs w:val="18"/>
          <w:lang w:val="en-US"/>
        </w:rPr>
        <w:t xml:space="preserve"> p</w:t>
      </w:r>
      <w:r>
        <w:rPr>
          <w:rFonts w:ascii="Garamond" w:hAnsi="Garamond"/>
          <w:sz w:val="18"/>
          <w:szCs w:val="18"/>
          <w:lang w:val="en-US"/>
        </w:rPr>
        <w:t>p</w:t>
      </w:r>
      <w:r w:rsidRPr="00100944">
        <w:rPr>
          <w:rFonts w:ascii="Garamond" w:hAnsi="Garamond"/>
          <w:sz w:val="18"/>
          <w:szCs w:val="18"/>
          <w:lang w:val="en-US"/>
        </w:rPr>
        <w:t>. xliv</w:t>
      </w:r>
      <w:r>
        <w:rPr>
          <w:rFonts w:ascii="Garamond" w:hAnsi="Garamond"/>
          <w:sz w:val="18"/>
          <w:szCs w:val="18"/>
          <w:lang w:val="en-US"/>
        </w:rPr>
        <w:t xml:space="preserve">, </w:t>
      </w:r>
      <w:r w:rsidRPr="00100944">
        <w:rPr>
          <w:rFonts w:ascii="Garamond" w:hAnsi="Garamond"/>
          <w:sz w:val="18"/>
          <w:szCs w:val="18"/>
        </w:rPr>
        <w:t>xlvi.</w:t>
      </w:r>
    </w:p>
  </w:footnote>
  <w:footnote w:id="15">
    <w:p w:rsidR="007A1CC2" w:rsidRPr="00100944" w:rsidRDefault="007A1CC2" w:rsidP="00582FDE">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rPr>
        <w:t xml:space="preserve"> </w:t>
      </w:r>
      <w:r w:rsidRPr="00100944">
        <w:rPr>
          <w:rFonts w:ascii="Garamond" w:hAnsi="Garamond"/>
          <w:sz w:val="18"/>
          <w:szCs w:val="18"/>
          <w:lang w:val="en-US"/>
        </w:rPr>
        <w:t xml:space="preserve">Eliade, </w:t>
      </w:r>
      <w:r w:rsidRPr="00100944">
        <w:rPr>
          <w:rFonts w:ascii="Garamond" w:hAnsi="Garamond"/>
          <w:i/>
          <w:iCs/>
          <w:sz w:val="18"/>
          <w:szCs w:val="18"/>
          <w:lang w:val="en-US"/>
        </w:rPr>
        <w:t>The Sacred</w:t>
      </w:r>
      <w:r w:rsidRPr="00100944">
        <w:rPr>
          <w:rFonts w:ascii="Garamond" w:hAnsi="Garamond"/>
          <w:sz w:val="18"/>
          <w:szCs w:val="18"/>
          <w:lang w:val="en-US"/>
        </w:rPr>
        <w:t>, p. 11.</w:t>
      </w:r>
    </w:p>
  </w:footnote>
  <w:footnote w:id="16">
    <w:p w:rsidR="007A1CC2" w:rsidRPr="00100944" w:rsidRDefault="007A1CC2" w:rsidP="00582FDE">
      <w:pPr>
        <w:pStyle w:val="NormalWeb"/>
        <w:spacing w:before="0" w:beforeAutospacing="0" w:after="0" w:afterAutospacing="0"/>
        <w:jc w:val="both"/>
        <w:rPr>
          <w:rFonts w:ascii="Garamond" w:hAnsi="Garamond"/>
          <w:color w:val="auto"/>
          <w:sz w:val="18"/>
          <w:szCs w:val="18"/>
        </w:rPr>
      </w:pPr>
      <w:r w:rsidRPr="00100944">
        <w:rPr>
          <w:rStyle w:val="Refdenotaderodap"/>
          <w:rFonts w:ascii="Garamond" w:hAnsi="Garamond"/>
          <w:sz w:val="18"/>
          <w:szCs w:val="18"/>
        </w:rPr>
        <w:footnoteRef/>
      </w:r>
      <w:r w:rsidRPr="00100944">
        <w:rPr>
          <w:rFonts w:ascii="Garamond" w:hAnsi="Garamond"/>
          <w:sz w:val="18"/>
          <w:szCs w:val="18"/>
        </w:rPr>
        <w:t xml:space="preserve"> </w:t>
      </w:r>
      <w:r w:rsidRPr="00100944">
        <w:rPr>
          <w:rStyle w:val="fontstyle21"/>
          <w:rFonts w:ascii="Garamond" w:hAnsi="Garamond"/>
          <w:color w:val="auto"/>
          <w:sz w:val="18"/>
          <w:szCs w:val="18"/>
        </w:rPr>
        <w:t xml:space="preserve">Katie Day, “The Construction of Sacred Space in the Urban Ecology”, </w:t>
      </w:r>
      <w:r w:rsidRPr="00100944">
        <w:rPr>
          <w:rStyle w:val="fontstyle21"/>
          <w:rFonts w:ascii="Garamond" w:hAnsi="Garamond"/>
          <w:i/>
          <w:iCs/>
          <w:color w:val="auto"/>
          <w:sz w:val="18"/>
          <w:szCs w:val="18"/>
        </w:rPr>
        <w:t>CrossCurrents</w:t>
      </w:r>
      <w:r w:rsidRPr="00100944">
        <w:rPr>
          <w:rStyle w:val="fontstyle21"/>
          <w:rFonts w:ascii="Garamond" w:hAnsi="Garamond"/>
          <w:color w:val="auto"/>
          <w:sz w:val="18"/>
          <w:szCs w:val="18"/>
        </w:rPr>
        <w:t xml:space="preserve">, vol. 58, no. 3 (2008), p. 426, and </w:t>
      </w:r>
      <w:r w:rsidRPr="00100944">
        <w:rPr>
          <w:rFonts w:ascii="Garamond" w:hAnsi="Garamond"/>
          <w:sz w:val="18"/>
          <w:szCs w:val="18"/>
          <w:lang w:val="en-US"/>
        </w:rPr>
        <w:t xml:space="preserve">Eliade, </w:t>
      </w:r>
      <w:r w:rsidRPr="00100944">
        <w:rPr>
          <w:rFonts w:ascii="Garamond" w:hAnsi="Garamond"/>
          <w:i/>
          <w:iCs/>
          <w:sz w:val="18"/>
          <w:szCs w:val="18"/>
          <w:lang w:val="en-US"/>
        </w:rPr>
        <w:t>The Sacred</w:t>
      </w:r>
      <w:r w:rsidRPr="00100944">
        <w:rPr>
          <w:rFonts w:ascii="Garamond" w:hAnsi="Garamond"/>
          <w:sz w:val="18"/>
          <w:szCs w:val="18"/>
          <w:lang w:val="en-US"/>
        </w:rPr>
        <w:t>, p. 11.</w:t>
      </w:r>
    </w:p>
  </w:footnote>
  <w:footnote w:id="17">
    <w:p w:rsidR="007A1CC2" w:rsidRPr="00100944" w:rsidRDefault="007A1CC2" w:rsidP="00582FDE">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rPr>
        <w:t xml:space="preserve"> </w:t>
      </w:r>
      <w:r w:rsidRPr="00100944">
        <w:rPr>
          <w:rFonts w:ascii="Garamond" w:hAnsi="Garamond"/>
          <w:sz w:val="18"/>
          <w:szCs w:val="18"/>
          <w:lang w:val="en-US"/>
        </w:rPr>
        <w:t xml:space="preserve">Eliade, </w:t>
      </w:r>
      <w:r w:rsidRPr="00100944">
        <w:rPr>
          <w:rFonts w:ascii="Garamond" w:hAnsi="Garamond"/>
          <w:i/>
          <w:iCs/>
          <w:sz w:val="18"/>
          <w:szCs w:val="18"/>
          <w:lang w:val="en-US"/>
        </w:rPr>
        <w:t>The Sacred</w:t>
      </w:r>
      <w:r w:rsidRPr="00100944">
        <w:rPr>
          <w:rFonts w:ascii="Garamond" w:hAnsi="Garamond"/>
          <w:sz w:val="18"/>
          <w:szCs w:val="18"/>
          <w:lang w:val="en-US"/>
        </w:rPr>
        <w:t>, p</w:t>
      </w:r>
      <w:r>
        <w:rPr>
          <w:rFonts w:ascii="Garamond" w:hAnsi="Garamond"/>
          <w:sz w:val="18"/>
          <w:szCs w:val="18"/>
          <w:lang w:val="en-US"/>
        </w:rPr>
        <w:t>p</w:t>
      </w:r>
      <w:r w:rsidRPr="00100944">
        <w:rPr>
          <w:rFonts w:ascii="Garamond" w:hAnsi="Garamond"/>
          <w:sz w:val="18"/>
          <w:szCs w:val="18"/>
          <w:lang w:val="en-US"/>
        </w:rPr>
        <w:t>. 14, 15.</w:t>
      </w:r>
    </w:p>
  </w:footnote>
  <w:footnote w:id="18">
    <w:p w:rsidR="007A1CC2" w:rsidRPr="00100944" w:rsidRDefault="007A1CC2" w:rsidP="00582FDE">
      <w:pPr>
        <w:pStyle w:val="NormalWeb"/>
        <w:spacing w:before="0" w:beforeAutospacing="0" w:after="0" w:afterAutospacing="0"/>
        <w:jc w:val="both"/>
        <w:rPr>
          <w:rFonts w:ascii="Garamond" w:hAnsi="Garamond"/>
          <w:color w:val="auto"/>
          <w:sz w:val="18"/>
          <w:szCs w:val="18"/>
        </w:rPr>
      </w:pPr>
      <w:r w:rsidRPr="00100944">
        <w:rPr>
          <w:rStyle w:val="Refdenotaderodap"/>
          <w:rFonts w:ascii="Garamond" w:hAnsi="Garamond"/>
          <w:sz w:val="18"/>
          <w:szCs w:val="18"/>
        </w:rPr>
        <w:footnoteRef/>
      </w:r>
      <w:r w:rsidRPr="00100944">
        <w:rPr>
          <w:rFonts w:ascii="Garamond" w:hAnsi="Garamond"/>
          <w:sz w:val="18"/>
          <w:szCs w:val="18"/>
          <w:lang w:val="en-US"/>
        </w:rPr>
        <w:t xml:space="preserve"> Eliade, </w:t>
      </w:r>
      <w:r w:rsidRPr="00100944">
        <w:rPr>
          <w:rFonts w:ascii="Garamond" w:hAnsi="Garamond"/>
          <w:i/>
          <w:iCs/>
          <w:sz w:val="18"/>
          <w:szCs w:val="18"/>
          <w:lang w:val="en-US"/>
        </w:rPr>
        <w:t>cit in</w:t>
      </w:r>
      <w:r w:rsidRPr="00100944">
        <w:rPr>
          <w:rStyle w:val="fontstyle21"/>
          <w:rFonts w:ascii="Garamond" w:hAnsi="Garamond"/>
          <w:color w:val="auto"/>
          <w:sz w:val="18"/>
          <w:szCs w:val="18"/>
        </w:rPr>
        <w:t>, Bryan S. Rennie, ‘Mircea Eliade and the Perception of the Sacred in the Profane: Intention, Reduction, and Cognitive Theory’,</w:t>
      </w:r>
      <w:r w:rsidRPr="00100944">
        <w:rPr>
          <w:rFonts w:ascii="Garamond" w:hAnsi="Garamond"/>
          <w:color w:val="auto"/>
          <w:sz w:val="18"/>
          <w:szCs w:val="18"/>
        </w:rPr>
        <w:t xml:space="preserve"> </w:t>
      </w:r>
      <w:r w:rsidRPr="00100944">
        <w:rPr>
          <w:rFonts w:ascii="Garamond" w:hAnsi="Garamond"/>
          <w:i/>
          <w:iCs/>
          <w:color w:val="auto"/>
          <w:sz w:val="18"/>
          <w:szCs w:val="18"/>
        </w:rPr>
        <w:t>The Finnish Society for the Study of Religion, Temenos</w:t>
      </w:r>
      <w:r w:rsidRPr="00100944">
        <w:rPr>
          <w:rFonts w:ascii="Garamond" w:hAnsi="Garamond"/>
          <w:color w:val="auto"/>
          <w:sz w:val="18"/>
          <w:szCs w:val="18"/>
        </w:rPr>
        <w:t xml:space="preserve">, vol. 43, 1 (2007), </w:t>
      </w:r>
      <w:r>
        <w:rPr>
          <w:rFonts w:ascii="Garamond" w:hAnsi="Garamond"/>
          <w:color w:val="auto"/>
          <w:sz w:val="18"/>
          <w:szCs w:val="18"/>
        </w:rPr>
        <w:t xml:space="preserve">p. </w:t>
      </w:r>
      <w:r w:rsidRPr="00100944">
        <w:rPr>
          <w:rFonts w:ascii="Garamond" w:hAnsi="Garamond"/>
          <w:color w:val="auto"/>
          <w:sz w:val="18"/>
          <w:szCs w:val="18"/>
        </w:rPr>
        <w:t>83.</w:t>
      </w:r>
    </w:p>
  </w:footnote>
  <w:footnote w:id="19">
    <w:p w:rsidR="007A1CC2" w:rsidRPr="00100944" w:rsidRDefault="007A1CC2" w:rsidP="00582FDE">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lang w:val="en-US"/>
        </w:rPr>
        <w:t xml:space="preserve"> Eliade, </w:t>
      </w:r>
      <w:r w:rsidRPr="00100944">
        <w:rPr>
          <w:rFonts w:ascii="Garamond" w:hAnsi="Garamond"/>
          <w:i/>
          <w:iCs/>
          <w:sz w:val="18"/>
          <w:szCs w:val="18"/>
          <w:lang w:val="en-US"/>
        </w:rPr>
        <w:t>The Sacred</w:t>
      </w:r>
      <w:r w:rsidRPr="00100944">
        <w:rPr>
          <w:rFonts w:ascii="Garamond" w:hAnsi="Garamond"/>
          <w:sz w:val="18"/>
          <w:szCs w:val="18"/>
          <w:lang w:val="en-US"/>
        </w:rPr>
        <w:t>, p. 12.</w:t>
      </w:r>
    </w:p>
  </w:footnote>
  <w:footnote w:id="20">
    <w:p w:rsidR="007768F5" w:rsidRPr="00100944" w:rsidRDefault="007768F5" w:rsidP="007768F5">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lang w:val="en-US"/>
        </w:rPr>
        <w:t xml:space="preserve"> Eliade, </w:t>
      </w:r>
      <w:r w:rsidRPr="00100944">
        <w:rPr>
          <w:rFonts w:ascii="Garamond" w:hAnsi="Garamond"/>
          <w:i/>
          <w:iCs/>
          <w:sz w:val="18"/>
          <w:szCs w:val="18"/>
          <w:lang w:val="en-US"/>
        </w:rPr>
        <w:t>The Sacred</w:t>
      </w:r>
      <w:r w:rsidRPr="00100944">
        <w:rPr>
          <w:rFonts w:ascii="Garamond" w:hAnsi="Garamond"/>
          <w:sz w:val="18"/>
          <w:szCs w:val="18"/>
          <w:lang w:val="en-US"/>
        </w:rPr>
        <w:t>, p. 25.</w:t>
      </w:r>
    </w:p>
  </w:footnote>
  <w:footnote w:id="21">
    <w:p w:rsidR="007A1CC2" w:rsidRPr="00100944" w:rsidRDefault="007A1CC2" w:rsidP="00582FDE">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lang w:val="en-US"/>
        </w:rPr>
        <w:t xml:space="preserve"> Eliade, </w:t>
      </w:r>
      <w:r w:rsidRPr="00100944">
        <w:rPr>
          <w:rFonts w:ascii="Garamond" w:hAnsi="Garamond"/>
          <w:i/>
          <w:iCs/>
          <w:sz w:val="18"/>
          <w:szCs w:val="18"/>
          <w:lang w:val="en-US"/>
        </w:rPr>
        <w:t>The Sacred</w:t>
      </w:r>
      <w:r w:rsidRPr="00100944">
        <w:rPr>
          <w:rFonts w:ascii="Garamond" w:hAnsi="Garamond"/>
          <w:sz w:val="18"/>
          <w:szCs w:val="18"/>
          <w:lang w:val="en-US"/>
        </w:rPr>
        <w:t>, p. 29.</w:t>
      </w:r>
    </w:p>
  </w:footnote>
  <w:footnote w:id="22">
    <w:p w:rsidR="007A1CC2" w:rsidRPr="00100944" w:rsidRDefault="007A1CC2" w:rsidP="00582FDE">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lang w:val="en-US"/>
        </w:rPr>
        <w:t xml:space="preserve"> Eliade, </w:t>
      </w:r>
      <w:r w:rsidRPr="00100944">
        <w:rPr>
          <w:rFonts w:ascii="Garamond" w:hAnsi="Garamond"/>
          <w:i/>
          <w:iCs/>
          <w:sz w:val="18"/>
          <w:szCs w:val="18"/>
          <w:lang w:val="en-US"/>
        </w:rPr>
        <w:t>The Sacred</w:t>
      </w:r>
      <w:r w:rsidRPr="00100944">
        <w:rPr>
          <w:rFonts w:ascii="Garamond" w:hAnsi="Garamond"/>
          <w:sz w:val="18"/>
          <w:szCs w:val="18"/>
          <w:lang w:val="en-US"/>
        </w:rPr>
        <w:t>, pp. 25, 36-7.</w:t>
      </w:r>
    </w:p>
  </w:footnote>
  <w:footnote w:id="23">
    <w:p w:rsidR="007A1CC2" w:rsidRPr="00100944" w:rsidRDefault="007A1CC2" w:rsidP="00582FDE">
      <w:pPr>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lang w:val="en-US"/>
        </w:rPr>
        <w:t xml:space="preserve"> Eliade, </w:t>
      </w:r>
      <w:r w:rsidRPr="00100944">
        <w:rPr>
          <w:rFonts w:ascii="Garamond" w:hAnsi="Garamond"/>
          <w:i/>
          <w:iCs/>
          <w:sz w:val="18"/>
          <w:szCs w:val="18"/>
          <w:lang w:val="en-US"/>
        </w:rPr>
        <w:t>The Sacred</w:t>
      </w:r>
      <w:r w:rsidRPr="00100944">
        <w:rPr>
          <w:rFonts w:ascii="Garamond" w:hAnsi="Garamond"/>
          <w:sz w:val="18"/>
          <w:szCs w:val="18"/>
          <w:lang w:val="en-US"/>
        </w:rPr>
        <w:t>, pp. 42-3.</w:t>
      </w:r>
    </w:p>
  </w:footnote>
  <w:footnote w:id="24">
    <w:p w:rsidR="007A1CC2" w:rsidRPr="00100944" w:rsidRDefault="007A1CC2" w:rsidP="00582FDE">
      <w:pPr>
        <w:pStyle w:val="Textodenotaderodap"/>
        <w:jc w:val="both"/>
        <w:rPr>
          <w:rFonts w:ascii="Garamond" w:hAnsi="Garamond"/>
          <w:sz w:val="18"/>
          <w:szCs w:val="18"/>
        </w:rPr>
      </w:pPr>
      <w:r w:rsidRPr="00100944">
        <w:rPr>
          <w:rStyle w:val="Refdenotaderodap"/>
          <w:rFonts w:ascii="Garamond" w:hAnsi="Garamond"/>
          <w:sz w:val="18"/>
          <w:szCs w:val="18"/>
        </w:rPr>
        <w:footnoteRef/>
      </w:r>
      <w:r w:rsidRPr="00100944">
        <w:rPr>
          <w:rFonts w:ascii="Garamond" w:hAnsi="Garamond"/>
          <w:sz w:val="18"/>
          <w:szCs w:val="18"/>
        </w:rPr>
        <w:t xml:space="preserve"> </w:t>
      </w:r>
      <w:bookmarkStart w:id="6" w:name="_Hlk61002166"/>
      <w:r w:rsidRPr="00100944">
        <w:rPr>
          <w:rFonts w:ascii="Garamond" w:hAnsi="Garamond"/>
          <w:sz w:val="18"/>
          <w:szCs w:val="18"/>
        </w:rPr>
        <w:t>Martyn Denscombe</w:t>
      </w:r>
      <w:r w:rsidRPr="00100944">
        <w:rPr>
          <w:rStyle w:val="fontstyle01"/>
          <w:rFonts w:ascii="Garamond" w:hAnsi="Garamond"/>
          <w:sz w:val="18"/>
          <w:szCs w:val="18"/>
        </w:rPr>
        <w:t xml:space="preserve">, </w:t>
      </w:r>
      <w:r w:rsidRPr="00100944">
        <w:rPr>
          <w:rStyle w:val="fontstyle01"/>
          <w:rFonts w:ascii="Garamond" w:hAnsi="Garamond"/>
          <w:i/>
          <w:iCs/>
          <w:sz w:val="18"/>
          <w:szCs w:val="18"/>
        </w:rPr>
        <w:t>The Good Research Guide</w:t>
      </w:r>
      <w:r>
        <w:rPr>
          <w:rStyle w:val="fontstyle01"/>
          <w:rFonts w:ascii="Garamond" w:hAnsi="Garamond"/>
          <w:i/>
          <w:iCs/>
          <w:sz w:val="18"/>
          <w:szCs w:val="18"/>
        </w:rPr>
        <w:t xml:space="preserve">, for small-scale social research projects </w:t>
      </w:r>
      <w:r w:rsidRPr="00100944">
        <w:rPr>
          <w:rFonts w:ascii="Garamond" w:hAnsi="Garamond"/>
          <w:sz w:val="18"/>
          <w:szCs w:val="18"/>
        </w:rPr>
        <w:t>(Berkshire/England, Open University Press, 2010), p. 94</w:t>
      </w:r>
      <w:bookmarkEnd w:id="6"/>
      <w:r w:rsidRPr="00100944">
        <w:rPr>
          <w:rFonts w:ascii="Garamond" w:hAnsi="Garamond"/>
          <w:sz w:val="18"/>
          <w:szCs w:val="18"/>
        </w:rPr>
        <w:t>.</w:t>
      </w:r>
    </w:p>
  </w:footnote>
  <w:footnote w:id="25">
    <w:p w:rsidR="007A1CC2" w:rsidRPr="00100944" w:rsidRDefault="007A1CC2" w:rsidP="00582FDE">
      <w:pPr>
        <w:pStyle w:val="Textodenotaderodap"/>
        <w:jc w:val="both"/>
        <w:rPr>
          <w:rFonts w:ascii="Garamond" w:hAnsi="Garamond"/>
          <w:sz w:val="18"/>
          <w:szCs w:val="18"/>
        </w:rPr>
      </w:pPr>
      <w:r w:rsidRPr="00100944">
        <w:rPr>
          <w:rStyle w:val="Refdenotaderodap"/>
          <w:rFonts w:ascii="Garamond" w:hAnsi="Garamond"/>
          <w:sz w:val="18"/>
          <w:szCs w:val="18"/>
        </w:rPr>
        <w:footnoteRef/>
      </w:r>
      <w:r w:rsidRPr="00100944">
        <w:rPr>
          <w:rFonts w:ascii="Garamond" w:hAnsi="Garamond"/>
          <w:sz w:val="18"/>
          <w:szCs w:val="18"/>
        </w:rPr>
        <w:t xml:space="preserve"> Denscombe</w:t>
      </w:r>
      <w:r w:rsidRPr="00100944">
        <w:rPr>
          <w:rStyle w:val="fontstyle01"/>
          <w:rFonts w:ascii="Garamond" w:hAnsi="Garamond"/>
          <w:sz w:val="18"/>
          <w:szCs w:val="18"/>
        </w:rPr>
        <w:t xml:space="preserve">, </w:t>
      </w:r>
      <w:r w:rsidRPr="00100944">
        <w:rPr>
          <w:rStyle w:val="fontstyle01"/>
          <w:rFonts w:ascii="Garamond" w:hAnsi="Garamond"/>
          <w:i/>
          <w:iCs/>
          <w:sz w:val="18"/>
          <w:szCs w:val="18"/>
        </w:rPr>
        <w:t>The Good Research Guide</w:t>
      </w:r>
      <w:r w:rsidRPr="00100944">
        <w:rPr>
          <w:rFonts w:ascii="Garamond" w:hAnsi="Garamond"/>
          <w:sz w:val="18"/>
          <w:szCs w:val="18"/>
        </w:rPr>
        <w:t>, p. 98-9</w:t>
      </w:r>
      <w:r w:rsidRPr="00100944">
        <w:rPr>
          <w:rFonts w:ascii="Garamond" w:hAnsi="Garamond"/>
          <w:color w:val="0070C0"/>
          <w:sz w:val="18"/>
          <w:szCs w:val="18"/>
        </w:rPr>
        <w:t>.</w:t>
      </w:r>
    </w:p>
  </w:footnote>
  <w:footnote w:id="26">
    <w:p w:rsidR="007A1CC2" w:rsidRPr="00100944" w:rsidRDefault="007A1CC2" w:rsidP="00582FDE">
      <w:pPr>
        <w:pStyle w:val="Textodenotaderodap"/>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rPr>
        <w:t xml:space="preserve"> Christopher Tilley, </w:t>
      </w:r>
      <w:r w:rsidRPr="00100944">
        <w:rPr>
          <w:rFonts w:ascii="Garamond" w:hAnsi="Garamond"/>
          <w:i/>
          <w:iCs/>
          <w:sz w:val="18"/>
          <w:szCs w:val="18"/>
        </w:rPr>
        <w:t>The Phenomenology of Landscape</w:t>
      </w:r>
      <w:r w:rsidRPr="00100944">
        <w:rPr>
          <w:rFonts w:ascii="Garamond" w:hAnsi="Garamond"/>
          <w:sz w:val="18"/>
          <w:szCs w:val="18"/>
        </w:rPr>
        <w:t xml:space="preserve"> (London, Berg, 1994), p. 10</w:t>
      </w:r>
      <w:r>
        <w:rPr>
          <w:rFonts w:ascii="Garamond" w:hAnsi="Garamond"/>
          <w:sz w:val="18"/>
          <w:szCs w:val="18"/>
        </w:rPr>
        <w:t>.</w:t>
      </w:r>
    </w:p>
  </w:footnote>
  <w:footnote w:id="27">
    <w:p w:rsidR="007A1CC2" w:rsidRPr="0073372D" w:rsidRDefault="007A1CC2" w:rsidP="00582FDE">
      <w:pPr>
        <w:pStyle w:val="Textodenotaderodap"/>
        <w:rPr>
          <w:rFonts w:ascii="Garamond" w:hAnsi="Garamond"/>
          <w:sz w:val="18"/>
          <w:szCs w:val="18"/>
          <w:lang w:val="pt-PT"/>
        </w:rPr>
      </w:pPr>
      <w:r w:rsidRPr="00100944">
        <w:rPr>
          <w:rStyle w:val="Refdenotaderodap"/>
          <w:rFonts w:ascii="Garamond" w:hAnsi="Garamond"/>
          <w:sz w:val="18"/>
          <w:szCs w:val="18"/>
        </w:rPr>
        <w:footnoteRef/>
      </w:r>
      <w:r w:rsidRPr="0073372D">
        <w:rPr>
          <w:rFonts w:ascii="Garamond" w:hAnsi="Garamond"/>
          <w:sz w:val="18"/>
          <w:szCs w:val="18"/>
          <w:lang w:val="pt-PT"/>
        </w:rPr>
        <w:t xml:space="preserve"> Tilley, </w:t>
      </w:r>
      <w:r w:rsidRPr="0073372D">
        <w:rPr>
          <w:rFonts w:ascii="Garamond" w:hAnsi="Garamond"/>
          <w:i/>
          <w:iCs/>
          <w:sz w:val="18"/>
          <w:szCs w:val="18"/>
          <w:lang w:val="pt-PT"/>
        </w:rPr>
        <w:t>The Phenomenology</w:t>
      </w:r>
      <w:r w:rsidRPr="0073372D">
        <w:rPr>
          <w:rFonts w:ascii="Garamond" w:hAnsi="Garamond"/>
          <w:sz w:val="18"/>
          <w:szCs w:val="18"/>
          <w:lang w:val="pt-PT"/>
        </w:rPr>
        <w:t>, p. 15-7</w:t>
      </w:r>
      <w:r>
        <w:rPr>
          <w:rFonts w:ascii="Garamond" w:hAnsi="Garamond"/>
          <w:sz w:val="18"/>
          <w:szCs w:val="18"/>
          <w:lang w:val="pt-PT"/>
        </w:rPr>
        <w:t>.</w:t>
      </w:r>
    </w:p>
  </w:footnote>
  <w:footnote w:id="28">
    <w:p w:rsidR="007A1CC2" w:rsidRPr="006F3635" w:rsidRDefault="007A1CC2" w:rsidP="00582FDE">
      <w:pPr>
        <w:pStyle w:val="Textodenotaderodap"/>
        <w:rPr>
          <w:rFonts w:ascii="Garamond" w:hAnsi="Garamond"/>
          <w:sz w:val="18"/>
          <w:szCs w:val="18"/>
          <w:lang w:val="pt-PT"/>
        </w:rPr>
      </w:pPr>
      <w:r w:rsidRPr="006F3635">
        <w:rPr>
          <w:rStyle w:val="Refdenotaderodap"/>
          <w:rFonts w:ascii="Garamond" w:hAnsi="Garamond"/>
          <w:sz w:val="18"/>
          <w:szCs w:val="18"/>
        </w:rPr>
        <w:footnoteRef/>
      </w:r>
      <w:r w:rsidRPr="006F3635">
        <w:rPr>
          <w:rFonts w:ascii="Garamond" w:hAnsi="Garamond"/>
          <w:sz w:val="18"/>
          <w:szCs w:val="18"/>
          <w:lang w:val="pt-PT"/>
        </w:rPr>
        <w:t xml:space="preserve"> Álvaro Siza, </w:t>
      </w:r>
      <w:r w:rsidRPr="006F3635">
        <w:rPr>
          <w:rFonts w:ascii="Garamond" w:hAnsi="Garamond"/>
          <w:i/>
          <w:iCs/>
          <w:sz w:val="18"/>
          <w:szCs w:val="18"/>
          <w:lang w:val="pt-PT"/>
        </w:rPr>
        <w:t>As cidades de Álvaro Siza</w:t>
      </w:r>
      <w:r w:rsidRPr="006F3635">
        <w:rPr>
          <w:rFonts w:ascii="Garamond" w:hAnsi="Garamond"/>
          <w:sz w:val="18"/>
          <w:szCs w:val="18"/>
          <w:lang w:val="pt-PT"/>
        </w:rPr>
        <w:t>, ed. Carlos Castanheira e Chiara Porcu (Lisboa: Figueirinhas, 2001) [‘Complexo Paroquial da Igreja de Santa Maria – Marco de Canaveses. Memória descritiva’], s.p.</w:t>
      </w:r>
    </w:p>
  </w:footnote>
  <w:footnote w:id="29">
    <w:p w:rsidR="007A1CC2" w:rsidRPr="006F3635" w:rsidRDefault="007A1CC2" w:rsidP="00582FDE">
      <w:pPr>
        <w:pStyle w:val="Textodenotaderodap"/>
        <w:jc w:val="both"/>
        <w:rPr>
          <w:rFonts w:ascii="Garamond" w:hAnsi="Garamond"/>
          <w:sz w:val="18"/>
          <w:szCs w:val="18"/>
          <w:lang w:val="pt-PT"/>
        </w:rPr>
      </w:pPr>
      <w:r w:rsidRPr="006F3635">
        <w:rPr>
          <w:rStyle w:val="Refdenotaderodap"/>
          <w:rFonts w:ascii="Garamond" w:hAnsi="Garamond"/>
          <w:sz w:val="18"/>
          <w:szCs w:val="18"/>
        </w:rPr>
        <w:footnoteRef/>
      </w:r>
      <w:r w:rsidRPr="006F3635">
        <w:rPr>
          <w:rFonts w:ascii="Garamond" w:hAnsi="Garamond"/>
          <w:sz w:val="18"/>
          <w:szCs w:val="18"/>
          <w:lang w:val="pt-PT"/>
        </w:rPr>
        <w:t xml:space="preserve"> Álvaro Siza, </w:t>
      </w:r>
      <w:r w:rsidRPr="006F3635">
        <w:rPr>
          <w:rFonts w:ascii="Garamond" w:hAnsi="Garamond"/>
          <w:i/>
          <w:iCs/>
          <w:sz w:val="18"/>
          <w:szCs w:val="18"/>
          <w:lang w:val="pt-PT"/>
        </w:rPr>
        <w:t>Imaginar a Evidência</w:t>
      </w:r>
      <w:r w:rsidRPr="006F3635">
        <w:rPr>
          <w:rFonts w:ascii="Garamond" w:hAnsi="Garamond"/>
          <w:sz w:val="18"/>
          <w:szCs w:val="18"/>
          <w:lang w:val="pt-PT"/>
        </w:rPr>
        <w:t xml:space="preserve"> (Lisboa: Edições 70, 2000), p.</w:t>
      </w:r>
      <w:r>
        <w:rPr>
          <w:rFonts w:ascii="Garamond" w:hAnsi="Garamond"/>
          <w:sz w:val="18"/>
          <w:szCs w:val="18"/>
          <w:lang w:val="pt-PT"/>
        </w:rPr>
        <w:t xml:space="preserve"> </w:t>
      </w:r>
      <w:r w:rsidRPr="006F3635">
        <w:rPr>
          <w:rFonts w:ascii="Garamond" w:hAnsi="Garamond"/>
          <w:sz w:val="18"/>
          <w:szCs w:val="18"/>
          <w:lang w:val="pt-PT"/>
        </w:rPr>
        <w:t xml:space="preserve">49 and William J. R. Curtis, ‘Una Conversación [con Álvaro Siza], A conversation [with Álvaro Siza], </w:t>
      </w:r>
      <w:r w:rsidRPr="006F3635">
        <w:rPr>
          <w:rFonts w:ascii="Garamond" w:hAnsi="Garamond"/>
          <w:i/>
          <w:iCs/>
          <w:sz w:val="18"/>
          <w:szCs w:val="18"/>
          <w:lang w:val="pt-PT"/>
        </w:rPr>
        <w:t>El Croquis</w:t>
      </w:r>
      <w:r w:rsidRPr="006F3635">
        <w:rPr>
          <w:rFonts w:ascii="Garamond" w:hAnsi="Garamond"/>
          <w:sz w:val="18"/>
          <w:szCs w:val="18"/>
          <w:lang w:val="pt-PT"/>
        </w:rPr>
        <w:t>, 95 (1999), p.</w:t>
      </w:r>
      <w:r>
        <w:rPr>
          <w:rFonts w:ascii="Garamond" w:hAnsi="Garamond"/>
          <w:sz w:val="18"/>
          <w:szCs w:val="18"/>
          <w:lang w:val="pt-PT"/>
        </w:rPr>
        <w:t xml:space="preserve"> </w:t>
      </w:r>
      <w:r w:rsidRPr="006F3635">
        <w:rPr>
          <w:rFonts w:ascii="Garamond" w:hAnsi="Garamond"/>
          <w:sz w:val="18"/>
          <w:szCs w:val="18"/>
          <w:lang w:val="pt-PT"/>
        </w:rPr>
        <w:t>14.</w:t>
      </w:r>
    </w:p>
  </w:footnote>
  <w:footnote w:id="30">
    <w:p w:rsidR="007768F5" w:rsidRPr="006F3635" w:rsidRDefault="007768F5" w:rsidP="007768F5">
      <w:pPr>
        <w:pStyle w:val="Textodenotaderodap"/>
        <w:jc w:val="both"/>
        <w:rPr>
          <w:rFonts w:ascii="Garamond" w:hAnsi="Garamond"/>
          <w:sz w:val="18"/>
          <w:szCs w:val="18"/>
          <w:lang w:val="es-ES"/>
        </w:rPr>
      </w:pPr>
      <w:r w:rsidRPr="006F3635">
        <w:rPr>
          <w:rStyle w:val="Refdenotaderodap"/>
          <w:rFonts w:ascii="Garamond" w:hAnsi="Garamond"/>
          <w:sz w:val="18"/>
          <w:szCs w:val="18"/>
        </w:rPr>
        <w:footnoteRef/>
      </w:r>
      <w:r w:rsidRPr="006F3635">
        <w:rPr>
          <w:rFonts w:ascii="Garamond" w:hAnsi="Garamond"/>
          <w:sz w:val="18"/>
          <w:szCs w:val="18"/>
          <w:lang w:val="es-ES"/>
        </w:rPr>
        <w:t xml:space="preserve"> William J. R. Curtis, ‘Notas sobre la intervención: ALVARO SIZA | Notes on Invention: ALVARO SIZA’, </w:t>
      </w:r>
      <w:r w:rsidRPr="006F3635">
        <w:rPr>
          <w:rFonts w:ascii="Garamond" w:hAnsi="Garamond"/>
          <w:i/>
          <w:iCs/>
          <w:sz w:val="18"/>
          <w:szCs w:val="18"/>
          <w:lang w:val="es-ES"/>
        </w:rPr>
        <w:t>El Croquis</w:t>
      </w:r>
      <w:r w:rsidRPr="006F3635">
        <w:rPr>
          <w:rFonts w:ascii="Garamond" w:hAnsi="Garamond"/>
          <w:sz w:val="18"/>
          <w:szCs w:val="18"/>
          <w:lang w:val="es-ES"/>
        </w:rPr>
        <w:t>, 95 (1999), p.</w:t>
      </w:r>
      <w:r>
        <w:rPr>
          <w:rFonts w:ascii="Garamond" w:hAnsi="Garamond"/>
          <w:sz w:val="18"/>
          <w:szCs w:val="18"/>
          <w:lang w:val="es-ES"/>
        </w:rPr>
        <w:t xml:space="preserve"> </w:t>
      </w:r>
      <w:r w:rsidRPr="006F3635">
        <w:rPr>
          <w:rFonts w:ascii="Garamond" w:hAnsi="Garamond"/>
          <w:sz w:val="18"/>
          <w:szCs w:val="18"/>
          <w:lang w:val="es-ES"/>
        </w:rPr>
        <w:t>27.</w:t>
      </w:r>
    </w:p>
  </w:footnote>
  <w:footnote w:id="31">
    <w:p w:rsidR="007A1CC2" w:rsidRPr="006F3635" w:rsidRDefault="007A1CC2" w:rsidP="00582FDE">
      <w:pPr>
        <w:pStyle w:val="Textodenotaderodap"/>
        <w:rPr>
          <w:rFonts w:ascii="Garamond" w:hAnsi="Garamond"/>
          <w:sz w:val="18"/>
          <w:szCs w:val="18"/>
          <w:lang w:val="es-ES"/>
        </w:rPr>
      </w:pPr>
      <w:r w:rsidRPr="006F3635">
        <w:rPr>
          <w:rStyle w:val="Refdenotaderodap"/>
          <w:rFonts w:ascii="Garamond" w:hAnsi="Garamond"/>
          <w:sz w:val="18"/>
          <w:szCs w:val="18"/>
        </w:rPr>
        <w:footnoteRef/>
      </w:r>
      <w:r w:rsidRPr="006F3635">
        <w:rPr>
          <w:rFonts w:ascii="Garamond" w:hAnsi="Garamond"/>
          <w:sz w:val="18"/>
          <w:szCs w:val="18"/>
          <w:lang w:val="es-ES"/>
        </w:rPr>
        <w:t xml:space="preserve"> Siza, </w:t>
      </w:r>
      <w:r w:rsidRPr="006F3635">
        <w:rPr>
          <w:rFonts w:ascii="Garamond" w:hAnsi="Garamond"/>
          <w:i/>
          <w:iCs/>
          <w:sz w:val="18"/>
          <w:szCs w:val="18"/>
          <w:lang w:val="es-ES"/>
        </w:rPr>
        <w:t>Imaginar a Evidência</w:t>
      </w:r>
      <w:r w:rsidRPr="006F3635">
        <w:rPr>
          <w:rFonts w:ascii="Garamond" w:hAnsi="Garamond"/>
          <w:sz w:val="18"/>
          <w:szCs w:val="18"/>
          <w:lang w:val="es-ES"/>
        </w:rPr>
        <w:t xml:space="preserve">, p.63 and Curtis, </w:t>
      </w:r>
      <w:r w:rsidRPr="006F3635">
        <w:rPr>
          <w:rFonts w:ascii="Garamond" w:hAnsi="Garamond"/>
          <w:i/>
          <w:iCs/>
          <w:sz w:val="18"/>
          <w:szCs w:val="18"/>
          <w:lang w:val="es-ES"/>
        </w:rPr>
        <w:t>Una Conversación</w:t>
      </w:r>
      <w:r w:rsidRPr="006F3635">
        <w:rPr>
          <w:rFonts w:ascii="Garamond" w:hAnsi="Garamond"/>
          <w:sz w:val="18"/>
          <w:szCs w:val="18"/>
          <w:lang w:val="es-ES"/>
        </w:rPr>
        <w:t>, p.</w:t>
      </w:r>
      <w:r>
        <w:rPr>
          <w:rFonts w:ascii="Garamond" w:hAnsi="Garamond"/>
          <w:sz w:val="18"/>
          <w:szCs w:val="18"/>
          <w:lang w:val="es-ES"/>
        </w:rPr>
        <w:t xml:space="preserve"> </w:t>
      </w:r>
      <w:r w:rsidRPr="006F3635">
        <w:rPr>
          <w:rFonts w:ascii="Garamond" w:hAnsi="Garamond"/>
          <w:sz w:val="18"/>
          <w:szCs w:val="18"/>
          <w:lang w:val="es-ES"/>
        </w:rPr>
        <w:t>12.</w:t>
      </w:r>
    </w:p>
  </w:footnote>
  <w:footnote w:id="32">
    <w:p w:rsidR="007768F5" w:rsidRPr="00FA358A" w:rsidRDefault="007768F5" w:rsidP="007768F5">
      <w:pPr>
        <w:pStyle w:val="Textodenotaderodap"/>
        <w:rPr>
          <w:rFonts w:ascii="Garamond" w:hAnsi="Garamond"/>
          <w:sz w:val="18"/>
          <w:szCs w:val="18"/>
          <w:lang w:val="pt-PT"/>
        </w:rPr>
      </w:pPr>
      <w:r w:rsidRPr="00020A3A">
        <w:rPr>
          <w:rStyle w:val="Refdenotaderodap"/>
          <w:rFonts w:ascii="Garamond" w:hAnsi="Garamond"/>
          <w:sz w:val="18"/>
          <w:szCs w:val="18"/>
        </w:rPr>
        <w:footnoteRef/>
      </w:r>
      <w:r w:rsidRPr="00FA358A">
        <w:rPr>
          <w:rFonts w:ascii="Garamond" w:hAnsi="Garamond"/>
          <w:sz w:val="18"/>
          <w:szCs w:val="18"/>
          <w:lang w:val="es-ES"/>
        </w:rPr>
        <w:t xml:space="preserve"> Curtis, </w:t>
      </w:r>
      <w:r w:rsidRPr="00FA358A">
        <w:rPr>
          <w:rFonts w:ascii="Garamond" w:hAnsi="Garamond"/>
          <w:i/>
          <w:iCs/>
          <w:sz w:val="18"/>
          <w:szCs w:val="18"/>
          <w:lang w:val="es-ES"/>
        </w:rPr>
        <w:t>Una Conversación</w:t>
      </w:r>
      <w:r w:rsidRPr="00FA358A">
        <w:rPr>
          <w:rFonts w:ascii="Garamond" w:hAnsi="Garamond"/>
          <w:sz w:val="18"/>
          <w:szCs w:val="18"/>
          <w:lang w:val="es-ES"/>
        </w:rPr>
        <w:t xml:space="preserve">, p. 12 and Siza </w:t>
      </w:r>
      <w:r w:rsidRPr="00FA358A">
        <w:rPr>
          <w:rFonts w:ascii="Garamond" w:hAnsi="Garamond"/>
          <w:i/>
          <w:iCs/>
          <w:sz w:val="18"/>
          <w:szCs w:val="18"/>
          <w:lang w:val="es-ES"/>
        </w:rPr>
        <w:t>cit. in</w:t>
      </w:r>
      <w:r w:rsidRPr="00FA358A">
        <w:rPr>
          <w:rFonts w:ascii="Garamond" w:hAnsi="Garamond"/>
          <w:sz w:val="18"/>
          <w:szCs w:val="18"/>
          <w:lang w:val="es-ES"/>
        </w:rPr>
        <w:t xml:space="preserve"> Juhani Pallasmaa, in AAVV, Igreja de Santa Maria/Church of St Mary. </w:t>
      </w:r>
      <w:r w:rsidRPr="00020A3A">
        <w:rPr>
          <w:rFonts w:ascii="Garamond" w:hAnsi="Garamond"/>
          <w:sz w:val="18"/>
          <w:szCs w:val="18"/>
          <w:lang w:val="pt-PT"/>
        </w:rPr>
        <w:t>Marco de Canaveses (Marco de Canaveses: Igreja de Santa Maria, 2016), p.</w:t>
      </w:r>
      <w:r>
        <w:rPr>
          <w:rFonts w:ascii="Garamond" w:hAnsi="Garamond"/>
          <w:sz w:val="18"/>
          <w:szCs w:val="18"/>
          <w:lang w:val="pt-PT"/>
        </w:rPr>
        <w:t xml:space="preserve"> </w:t>
      </w:r>
      <w:r w:rsidRPr="00020A3A">
        <w:rPr>
          <w:rFonts w:ascii="Garamond" w:hAnsi="Garamond"/>
          <w:sz w:val="18"/>
          <w:szCs w:val="18"/>
          <w:lang w:val="pt-PT"/>
        </w:rPr>
        <w:t>68</w:t>
      </w:r>
      <w:r>
        <w:rPr>
          <w:rFonts w:ascii="Garamond" w:hAnsi="Garamond"/>
          <w:sz w:val="18"/>
          <w:szCs w:val="18"/>
          <w:lang w:val="pt-PT"/>
        </w:rPr>
        <w:t>.</w:t>
      </w:r>
    </w:p>
  </w:footnote>
  <w:footnote w:id="33">
    <w:p w:rsidR="007A1CC2" w:rsidRPr="006F3635" w:rsidRDefault="007A1CC2">
      <w:pPr>
        <w:pStyle w:val="Textodenotaderodap"/>
        <w:rPr>
          <w:rFonts w:ascii="Garamond" w:hAnsi="Garamond"/>
          <w:sz w:val="18"/>
          <w:szCs w:val="18"/>
          <w:lang w:val="es-ES"/>
        </w:rPr>
      </w:pPr>
      <w:r w:rsidRPr="006F3635">
        <w:rPr>
          <w:rStyle w:val="Refdenotaderodap"/>
          <w:rFonts w:ascii="Garamond" w:hAnsi="Garamond"/>
          <w:sz w:val="18"/>
          <w:szCs w:val="18"/>
        </w:rPr>
        <w:footnoteRef/>
      </w:r>
      <w:r w:rsidRPr="006F3635">
        <w:rPr>
          <w:rFonts w:ascii="Garamond" w:hAnsi="Garamond"/>
          <w:sz w:val="18"/>
          <w:szCs w:val="18"/>
          <w:lang w:val="es-ES"/>
        </w:rPr>
        <w:t xml:space="preserve"> Curtis, </w:t>
      </w:r>
      <w:r w:rsidRPr="006F3635">
        <w:rPr>
          <w:rFonts w:ascii="Garamond" w:hAnsi="Garamond"/>
          <w:i/>
          <w:iCs/>
          <w:sz w:val="18"/>
          <w:szCs w:val="18"/>
          <w:lang w:val="es-ES"/>
        </w:rPr>
        <w:t>Una Conversación</w:t>
      </w:r>
      <w:r w:rsidRPr="006F3635">
        <w:rPr>
          <w:rFonts w:ascii="Garamond" w:hAnsi="Garamond"/>
          <w:sz w:val="18"/>
          <w:szCs w:val="18"/>
          <w:lang w:val="es-ES"/>
        </w:rPr>
        <w:t>, p.</w:t>
      </w:r>
      <w:r>
        <w:rPr>
          <w:rFonts w:ascii="Garamond" w:hAnsi="Garamond"/>
          <w:sz w:val="18"/>
          <w:szCs w:val="18"/>
          <w:lang w:val="es-ES"/>
        </w:rPr>
        <w:t xml:space="preserve"> </w:t>
      </w:r>
      <w:r w:rsidRPr="006F3635">
        <w:rPr>
          <w:rFonts w:ascii="Garamond" w:hAnsi="Garamond"/>
          <w:sz w:val="18"/>
          <w:szCs w:val="18"/>
          <w:lang w:val="es-ES"/>
        </w:rPr>
        <w:t>12.</w:t>
      </w:r>
    </w:p>
  </w:footnote>
  <w:footnote w:id="34">
    <w:p w:rsidR="007A1CC2" w:rsidRPr="00100944" w:rsidRDefault="007A1CC2" w:rsidP="00582FDE">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100944">
        <w:rPr>
          <w:rFonts w:ascii="Garamond" w:hAnsi="Garamond"/>
          <w:sz w:val="18"/>
          <w:szCs w:val="18"/>
          <w:lang w:val="pt-PT"/>
        </w:rPr>
        <w:t xml:space="preserve"> ‘É uma casa. Basicamente é uma casa. Mas depois pelas referências que motiva, [pel]as relações, transforma-se em algo diferente de qualquer casa. Sem dúvida</w:t>
      </w:r>
      <w:r>
        <w:rPr>
          <w:rFonts w:ascii="Garamond" w:hAnsi="Garamond"/>
          <w:sz w:val="18"/>
          <w:szCs w:val="18"/>
          <w:lang w:val="pt-PT"/>
        </w:rPr>
        <w:t>.</w:t>
      </w:r>
      <w:r w:rsidRPr="00100944">
        <w:rPr>
          <w:rFonts w:ascii="Garamond" w:hAnsi="Garamond"/>
          <w:sz w:val="18"/>
          <w:szCs w:val="18"/>
          <w:lang w:val="pt-PT"/>
        </w:rPr>
        <w:t>’</w:t>
      </w:r>
      <w:r>
        <w:rPr>
          <w:rFonts w:ascii="Garamond" w:hAnsi="Garamond"/>
          <w:sz w:val="18"/>
          <w:szCs w:val="18"/>
          <w:lang w:val="pt-PT"/>
        </w:rPr>
        <w:t xml:space="preserve"> In </w:t>
      </w:r>
      <w:r w:rsidRPr="00E33457">
        <w:rPr>
          <w:rFonts w:ascii="Garamond" w:hAnsi="Garamond"/>
          <w:sz w:val="18"/>
          <w:szCs w:val="18"/>
          <w:lang w:val="pt-PT"/>
        </w:rPr>
        <w:t xml:space="preserve">Vítor Gonçalves, </w:t>
      </w:r>
      <w:r w:rsidRPr="0098026B">
        <w:rPr>
          <w:rFonts w:ascii="Garamond" w:hAnsi="Garamond"/>
          <w:i/>
          <w:iCs/>
          <w:sz w:val="18"/>
          <w:szCs w:val="18"/>
          <w:lang w:val="pt-PT"/>
        </w:rPr>
        <w:t>Pode o Chão Ser Céu?</w:t>
      </w:r>
      <w:r w:rsidRPr="00E33457">
        <w:rPr>
          <w:rFonts w:ascii="Garamond" w:hAnsi="Garamond"/>
          <w:sz w:val="18"/>
          <w:szCs w:val="18"/>
          <w:lang w:val="pt-PT"/>
        </w:rPr>
        <w:t xml:space="preserve"> interview with Siza Vieira and José Tolentino Mendonça, online vídeo recording, YouTube, 29 May 2019 https://www.youtube.com/watch?v=S0dOScVhosw&amp;t=1047s [accessed 17 October 2020] </w:t>
      </w:r>
      <w:r w:rsidRPr="00100944">
        <w:rPr>
          <w:rFonts w:ascii="Garamond" w:hAnsi="Garamond"/>
          <w:sz w:val="18"/>
          <w:szCs w:val="18"/>
          <w:lang w:val="pt-PT"/>
        </w:rPr>
        <w:t>[47m14s]</w:t>
      </w:r>
    </w:p>
  </w:footnote>
  <w:footnote w:id="35">
    <w:p w:rsidR="007A1CC2" w:rsidRPr="00100944" w:rsidRDefault="007A1CC2" w:rsidP="00582FDE">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E33457">
        <w:rPr>
          <w:rFonts w:ascii="Garamond" w:hAnsi="Garamond"/>
          <w:sz w:val="18"/>
          <w:szCs w:val="18"/>
          <w:lang w:val="en-US"/>
        </w:rPr>
        <w:t xml:space="preserve"> Dominique Machabert and Laurent Beaudouin, in AAVV, </w:t>
      </w:r>
      <w:r w:rsidRPr="00E33457">
        <w:rPr>
          <w:rFonts w:ascii="Garamond" w:hAnsi="Garamond"/>
          <w:i/>
          <w:iCs/>
          <w:sz w:val="18"/>
          <w:szCs w:val="18"/>
          <w:lang w:val="en-US"/>
        </w:rPr>
        <w:t xml:space="preserve">Igreja de Santa Maria/Church of St Mary. </w:t>
      </w:r>
      <w:r w:rsidRPr="00E33457">
        <w:rPr>
          <w:rFonts w:ascii="Garamond" w:hAnsi="Garamond"/>
          <w:i/>
          <w:iCs/>
          <w:sz w:val="18"/>
          <w:szCs w:val="18"/>
          <w:lang w:val="pt-PT"/>
        </w:rPr>
        <w:t>Marco de Canaveses</w:t>
      </w:r>
      <w:r w:rsidRPr="00E33457">
        <w:rPr>
          <w:rFonts w:ascii="Garamond" w:hAnsi="Garamond"/>
          <w:sz w:val="18"/>
          <w:szCs w:val="18"/>
          <w:lang w:val="pt-PT"/>
        </w:rPr>
        <w:t xml:space="preserve"> (Marco de Canaveses: Igreja de Santa Maria, 2016), p.</w:t>
      </w:r>
      <w:r>
        <w:rPr>
          <w:rFonts w:ascii="Garamond" w:hAnsi="Garamond"/>
          <w:sz w:val="18"/>
          <w:szCs w:val="18"/>
          <w:lang w:val="pt-PT"/>
        </w:rPr>
        <w:t xml:space="preserve"> </w:t>
      </w:r>
      <w:r w:rsidRPr="00E33457">
        <w:rPr>
          <w:rFonts w:ascii="Garamond" w:hAnsi="Garamond"/>
          <w:sz w:val="18"/>
          <w:szCs w:val="18"/>
          <w:lang w:val="pt-PT"/>
        </w:rPr>
        <w:t>59</w:t>
      </w:r>
      <w:r>
        <w:rPr>
          <w:rFonts w:ascii="Garamond" w:hAnsi="Garamond"/>
          <w:sz w:val="18"/>
          <w:szCs w:val="18"/>
          <w:lang w:val="pt-PT"/>
        </w:rPr>
        <w:t>.</w:t>
      </w:r>
    </w:p>
  </w:footnote>
  <w:footnote w:id="36">
    <w:p w:rsidR="007A1CC2" w:rsidRPr="00E33457" w:rsidRDefault="007A1CC2" w:rsidP="00582FDE">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E33457">
        <w:rPr>
          <w:rFonts w:ascii="Garamond" w:hAnsi="Garamond"/>
          <w:sz w:val="18"/>
          <w:szCs w:val="18"/>
          <w:lang w:val="en-US"/>
        </w:rPr>
        <w:t xml:space="preserve"> Machabert and Beaudouin, </w:t>
      </w:r>
      <w:r w:rsidRPr="00E33457">
        <w:rPr>
          <w:rFonts w:ascii="Garamond" w:hAnsi="Garamond"/>
          <w:i/>
          <w:iCs/>
          <w:sz w:val="18"/>
          <w:szCs w:val="18"/>
          <w:lang w:val="en-US"/>
        </w:rPr>
        <w:t>Igreja de Santa Maria/Church of St Mary</w:t>
      </w:r>
      <w:r w:rsidRPr="00E33457">
        <w:rPr>
          <w:rFonts w:ascii="Garamond" w:hAnsi="Garamond"/>
          <w:sz w:val="18"/>
          <w:szCs w:val="18"/>
          <w:lang w:val="en-US"/>
        </w:rPr>
        <w:t>, p.</w:t>
      </w:r>
      <w:r>
        <w:rPr>
          <w:rFonts w:ascii="Garamond" w:hAnsi="Garamond"/>
          <w:sz w:val="18"/>
          <w:szCs w:val="18"/>
          <w:lang w:val="en-US"/>
        </w:rPr>
        <w:t xml:space="preserve"> </w:t>
      </w:r>
      <w:r w:rsidRPr="00E33457">
        <w:rPr>
          <w:rFonts w:ascii="Garamond" w:hAnsi="Garamond"/>
          <w:sz w:val="18"/>
          <w:szCs w:val="18"/>
          <w:lang w:val="en-US"/>
        </w:rPr>
        <w:t>59</w:t>
      </w:r>
      <w:r>
        <w:rPr>
          <w:rFonts w:ascii="Garamond" w:hAnsi="Garamond"/>
          <w:sz w:val="18"/>
          <w:szCs w:val="18"/>
          <w:lang w:val="en-US"/>
        </w:rPr>
        <w:t>.</w:t>
      </w:r>
    </w:p>
  </w:footnote>
  <w:footnote w:id="37">
    <w:p w:rsidR="007A1CC2" w:rsidRPr="00100944" w:rsidRDefault="007A1CC2" w:rsidP="00582FDE">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100944">
        <w:rPr>
          <w:rFonts w:ascii="Garamond" w:hAnsi="Garamond"/>
          <w:sz w:val="18"/>
          <w:szCs w:val="18"/>
          <w:lang w:val="pt-PT"/>
        </w:rPr>
        <w:t>‘</w:t>
      </w:r>
      <w:r>
        <w:rPr>
          <w:rFonts w:ascii="Garamond" w:hAnsi="Garamond"/>
          <w:sz w:val="18"/>
          <w:szCs w:val="18"/>
          <w:lang w:val="pt-PT"/>
        </w:rPr>
        <w:t>…</w:t>
      </w:r>
      <w:r w:rsidRPr="00100944">
        <w:rPr>
          <w:rFonts w:ascii="Garamond" w:hAnsi="Garamond"/>
          <w:sz w:val="18"/>
          <w:szCs w:val="18"/>
          <w:lang w:val="pt-PT"/>
        </w:rPr>
        <w:t>há qualquer coisa que se pode chamar de religiosidade em toda a arquitectura. Religiosidade no sentido de atmosfera, conforto, ligação com tudo. A arquitectura tem isso, independentemente de ser uma igreja. Não esquecer que uma casa é um abrigo, um lugar de intimidade e recolhimento. A uma igreja chama-se a casa de Deus. É inerente à arquitectura essa componente de silêncio, de protecção, de comunidade.’</w:t>
      </w:r>
      <w:r>
        <w:rPr>
          <w:rFonts w:ascii="Garamond" w:hAnsi="Garamond"/>
          <w:sz w:val="18"/>
          <w:szCs w:val="18"/>
          <w:lang w:val="pt-PT"/>
        </w:rPr>
        <w:t xml:space="preserve"> In</w:t>
      </w:r>
      <w:r w:rsidRPr="00AC5FDC">
        <w:rPr>
          <w:lang w:val="pt-PT"/>
        </w:rPr>
        <w:t xml:space="preserve"> </w:t>
      </w:r>
      <w:r w:rsidRPr="00100944">
        <w:rPr>
          <w:rFonts w:ascii="Garamond" w:hAnsi="Garamond"/>
          <w:sz w:val="18"/>
          <w:szCs w:val="18"/>
          <w:lang w:val="pt-PT"/>
        </w:rPr>
        <w:t>Anabela Mota Ribeiro</w:t>
      </w:r>
      <w:r>
        <w:rPr>
          <w:rFonts w:ascii="Garamond" w:hAnsi="Garamond"/>
          <w:sz w:val="18"/>
          <w:szCs w:val="18"/>
          <w:lang w:val="pt-PT"/>
        </w:rPr>
        <w:t>,</w:t>
      </w:r>
      <w:r w:rsidRPr="00AC5FDC">
        <w:rPr>
          <w:rFonts w:ascii="Garamond" w:hAnsi="Garamond"/>
          <w:sz w:val="18"/>
          <w:szCs w:val="18"/>
          <w:lang w:val="pt-PT"/>
        </w:rPr>
        <w:t xml:space="preserve"> ‘Siza fala da vida de Álvaro’, </w:t>
      </w:r>
      <w:r w:rsidRPr="0098026B">
        <w:rPr>
          <w:rFonts w:ascii="Garamond" w:hAnsi="Garamond"/>
          <w:i/>
          <w:iCs/>
          <w:sz w:val="18"/>
          <w:szCs w:val="18"/>
          <w:lang w:val="pt-PT"/>
        </w:rPr>
        <w:t>Público</w:t>
      </w:r>
      <w:r w:rsidRPr="00AC5FDC">
        <w:rPr>
          <w:rFonts w:ascii="Garamond" w:hAnsi="Garamond"/>
          <w:sz w:val="18"/>
          <w:szCs w:val="18"/>
          <w:lang w:val="pt-PT"/>
        </w:rPr>
        <w:t>, 5 April 2009, https://www.publico.pt/2009/04/05/jornal/siza-fala-da-vida-de-alvaro-301742 [accessed 11 November 2020]</w:t>
      </w:r>
      <w:r>
        <w:rPr>
          <w:rFonts w:ascii="Garamond" w:hAnsi="Garamond"/>
          <w:sz w:val="18"/>
          <w:szCs w:val="18"/>
          <w:lang w:val="pt-PT"/>
        </w:rPr>
        <w:t>, s.p.</w:t>
      </w:r>
    </w:p>
  </w:footnote>
  <w:footnote w:id="38">
    <w:p w:rsidR="007A1CC2" w:rsidRPr="00100944" w:rsidRDefault="007A1CC2" w:rsidP="00582FDE">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rPr>
        <w:t xml:space="preserve"> </w:t>
      </w:r>
      <w:bookmarkStart w:id="7" w:name="_Hlk61010701"/>
      <w:r w:rsidRPr="00100944">
        <w:rPr>
          <w:rFonts w:ascii="Garamond" w:hAnsi="Garamond"/>
          <w:sz w:val="18"/>
          <w:szCs w:val="18"/>
        </w:rPr>
        <w:t>Martin Heidegger</w:t>
      </w:r>
      <w:r>
        <w:rPr>
          <w:rFonts w:ascii="Garamond" w:hAnsi="Garamond"/>
          <w:sz w:val="18"/>
          <w:szCs w:val="18"/>
        </w:rPr>
        <w:t>,</w:t>
      </w:r>
      <w:r w:rsidRPr="00100944">
        <w:rPr>
          <w:rFonts w:ascii="Garamond" w:hAnsi="Garamond"/>
          <w:sz w:val="18"/>
          <w:szCs w:val="18"/>
        </w:rPr>
        <w:t xml:space="preserve"> ‘Building Dwelling Thinking’</w:t>
      </w:r>
      <w:r>
        <w:rPr>
          <w:rFonts w:ascii="Garamond" w:hAnsi="Garamond"/>
          <w:sz w:val="18"/>
          <w:szCs w:val="18"/>
        </w:rPr>
        <w:t xml:space="preserve">, </w:t>
      </w:r>
      <w:r w:rsidRPr="00100944">
        <w:rPr>
          <w:rFonts w:ascii="Garamond" w:hAnsi="Garamond"/>
          <w:sz w:val="18"/>
          <w:szCs w:val="18"/>
        </w:rPr>
        <w:t xml:space="preserve">in </w:t>
      </w:r>
      <w:r w:rsidRPr="0098026B">
        <w:rPr>
          <w:rFonts w:ascii="Garamond" w:hAnsi="Garamond"/>
          <w:i/>
          <w:iCs/>
          <w:sz w:val="18"/>
          <w:szCs w:val="18"/>
        </w:rPr>
        <w:t>Poetry, Language, Thought</w:t>
      </w:r>
      <w:r w:rsidRPr="00100944">
        <w:rPr>
          <w:rFonts w:ascii="Garamond" w:hAnsi="Garamond"/>
          <w:sz w:val="18"/>
          <w:szCs w:val="18"/>
        </w:rPr>
        <w:t>, trans</w:t>
      </w:r>
      <w:r>
        <w:rPr>
          <w:rFonts w:ascii="Garamond" w:hAnsi="Garamond"/>
          <w:sz w:val="18"/>
          <w:szCs w:val="18"/>
        </w:rPr>
        <w:t xml:space="preserve">. </w:t>
      </w:r>
      <w:r w:rsidRPr="00100944">
        <w:rPr>
          <w:rFonts w:ascii="Garamond" w:hAnsi="Garamond"/>
          <w:sz w:val="18"/>
          <w:szCs w:val="18"/>
        </w:rPr>
        <w:t xml:space="preserve">Albert Hofstadter </w:t>
      </w:r>
      <w:r>
        <w:rPr>
          <w:rFonts w:ascii="Garamond" w:hAnsi="Garamond"/>
          <w:sz w:val="18"/>
          <w:szCs w:val="18"/>
        </w:rPr>
        <w:t>(</w:t>
      </w:r>
      <w:r w:rsidRPr="00100944">
        <w:rPr>
          <w:rFonts w:ascii="Garamond" w:hAnsi="Garamond"/>
          <w:sz w:val="18"/>
          <w:szCs w:val="18"/>
        </w:rPr>
        <w:t>N</w:t>
      </w:r>
      <w:r>
        <w:rPr>
          <w:rFonts w:ascii="Garamond" w:hAnsi="Garamond"/>
          <w:sz w:val="18"/>
          <w:szCs w:val="18"/>
        </w:rPr>
        <w:t xml:space="preserve">ew </w:t>
      </w:r>
      <w:r w:rsidRPr="00100944">
        <w:rPr>
          <w:rFonts w:ascii="Garamond" w:hAnsi="Garamond"/>
          <w:sz w:val="18"/>
          <w:szCs w:val="18"/>
        </w:rPr>
        <w:t>Y</w:t>
      </w:r>
      <w:r>
        <w:rPr>
          <w:rFonts w:ascii="Garamond" w:hAnsi="Garamond"/>
          <w:sz w:val="18"/>
          <w:szCs w:val="18"/>
        </w:rPr>
        <w:t xml:space="preserve">ork: </w:t>
      </w:r>
      <w:r w:rsidRPr="00100944">
        <w:rPr>
          <w:rFonts w:ascii="Garamond" w:hAnsi="Garamond"/>
          <w:sz w:val="18"/>
          <w:szCs w:val="18"/>
        </w:rPr>
        <w:t>Harper Colophon Books, 1971</w:t>
      </w:r>
      <w:r>
        <w:rPr>
          <w:rFonts w:ascii="Garamond" w:hAnsi="Garamond"/>
          <w:sz w:val="18"/>
          <w:szCs w:val="18"/>
        </w:rPr>
        <w:t>)</w:t>
      </w:r>
      <w:r w:rsidRPr="00100944">
        <w:rPr>
          <w:rFonts w:ascii="Garamond" w:hAnsi="Garamond"/>
          <w:sz w:val="18"/>
          <w:szCs w:val="18"/>
        </w:rPr>
        <w:t xml:space="preserve">, </w:t>
      </w:r>
      <w:r>
        <w:rPr>
          <w:rFonts w:ascii="Garamond" w:hAnsi="Garamond"/>
          <w:sz w:val="18"/>
          <w:szCs w:val="18"/>
        </w:rPr>
        <w:t>s.</w:t>
      </w:r>
      <w:r w:rsidRPr="00100944">
        <w:rPr>
          <w:rFonts w:ascii="Garamond" w:hAnsi="Garamond"/>
          <w:sz w:val="18"/>
          <w:szCs w:val="18"/>
        </w:rPr>
        <w:t xml:space="preserve">p. </w:t>
      </w:r>
      <w:bookmarkEnd w:id="7"/>
    </w:p>
  </w:footnote>
  <w:footnote w:id="39">
    <w:p w:rsidR="007A1CC2" w:rsidRPr="00FA358A" w:rsidRDefault="007A1CC2" w:rsidP="004213AF">
      <w:pPr>
        <w:pStyle w:val="Textodenotaderodap"/>
        <w:jc w:val="both"/>
        <w:rPr>
          <w:rFonts w:ascii="Garamond" w:hAnsi="Garamond"/>
          <w:sz w:val="18"/>
          <w:szCs w:val="18"/>
          <w:lang w:val="en-US"/>
        </w:rPr>
      </w:pPr>
      <w:r w:rsidRPr="004213AF">
        <w:rPr>
          <w:rStyle w:val="Refdenotaderodap"/>
          <w:rFonts w:ascii="Garamond" w:hAnsi="Garamond"/>
          <w:sz w:val="18"/>
          <w:szCs w:val="18"/>
        </w:rPr>
        <w:footnoteRef/>
      </w:r>
      <w:r w:rsidRPr="00FA358A">
        <w:rPr>
          <w:rFonts w:ascii="Garamond" w:hAnsi="Garamond"/>
          <w:sz w:val="18"/>
          <w:szCs w:val="18"/>
          <w:lang w:val="en-US"/>
        </w:rPr>
        <w:t xml:space="preserve"> Siza, </w:t>
      </w:r>
      <w:r w:rsidRPr="00FA358A">
        <w:rPr>
          <w:rFonts w:ascii="Garamond" w:hAnsi="Garamond"/>
          <w:i/>
          <w:iCs/>
          <w:sz w:val="18"/>
          <w:szCs w:val="18"/>
          <w:lang w:val="en-US"/>
        </w:rPr>
        <w:t>Imaginar a Evidência</w:t>
      </w:r>
      <w:r w:rsidRPr="00FA358A">
        <w:rPr>
          <w:rFonts w:ascii="Garamond" w:hAnsi="Garamond"/>
          <w:sz w:val="18"/>
          <w:szCs w:val="18"/>
          <w:lang w:val="en-US"/>
        </w:rPr>
        <w:t>, p. 51.</w:t>
      </w:r>
    </w:p>
  </w:footnote>
  <w:footnote w:id="40">
    <w:p w:rsidR="007A1CC2" w:rsidRPr="002B2C94" w:rsidRDefault="007A1CC2" w:rsidP="004213AF">
      <w:pPr>
        <w:pStyle w:val="Textodenotaderodap"/>
        <w:jc w:val="both"/>
        <w:rPr>
          <w:rFonts w:ascii="Garamond" w:hAnsi="Garamond"/>
          <w:sz w:val="18"/>
          <w:szCs w:val="18"/>
          <w:lang w:val="en-US"/>
        </w:rPr>
      </w:pPr>
      <w:r w:rsidRPr="004213AF">
        <w:rPr>
          <w:rStyle w:val="Refdenotaderodap"/>
          <w:rFonts w:ascii="Garamond" w:hAnsi="Garamond"/>
          <w:sz w:val="18"/>
          <w:szCs w:val="18"/>
        </w:rPr>
        <w:footnoteRef/>
      </w:r>
      <w:r w:rsidRPr="002B2C94">
        <w:rPr>
          <w:rFonts w:ascii="Garamond" w:hAnsi="Garamond"/>
          <w:sz w:val="18"/>
          <w:szCs w:val="18"/>
          <w:lang w:val="en-US"/>
        </w:rPr>
        <w:t xml:space="preserve"> Curtis, </w:t>
      </w:r>
      <w:r w:rsidRPr="002B2C94">
        <w:rPr>
          <w:rFonts w:ascii="Garamond" w:hAnsi="Garamond"/>
          <w:i/>
          <w:iCs/>
          <w:sz w:val="18"/>
          <w:szCs w:val="18"/>
          <w:lang w:val="en-US"/>
        </w:rPr>
        <w:t>Una Conversación</w:t>
      </w:r>
      <w:r w:rsidRPr="002B2C94">
        <w:rPr>
          <w:rFonts w:ascii="Garamond" w:hAnsi="Garamond"/>
          <w:sz w:val="18"/>
          <w:szCs w:val="18"/>
          <w:lang w:val="en-US"/>
        </w:rPr>
        <w:t>, p. 11.</w:t>
      </w:r>
    </w:p>
  </w:footnote>
  <w:footnote w:id="41">
    <w:p w:rsidR="007A1CC2" w:rsidRPr="002B2C94" w:rsidRDefault="007A1CC2" w:rsidP="004213AF">
      <w:pPr>
        <w:pStyle w:val="Textodenotaderodap"/>
        <w:jc w:val="both"/>
        <w:rPr>
          <w:rFonts w:ascii="Garamond" w:hAnsi="Garamond"/>
          <w:sz w:val="18"/>
          <w:szCs w:val="18"/>
          <w:lang w:val="en-US"/>
        </w:rPr>
      </w:pPr>
      <w:r w:rsidRPr="004213AF">
        <w:rPr>
          <w:rStyle w:val="Refdenotaderodap"/>
          <w:rFonts w:ascii="Garamond" w:hAnsi="Garamond"/>
          <w:sz w:val="18"/>
          <w:szCs w:val="18"/>
        </w:rPr>
        <w:footnoteRef/>
      </w:r>
      <w:r w:rsidRPr="004213AF">
        <w:rPr>
          <w:rFonts w:ascii="Garamond" w:hAnsi="Garamond"/>
          <w:sz w:val="18"/>
          <w:szCs w:val="18"/>
          <w:lang w:val="en-US"/>
        </w:rPr>
        <w:t xml:space="preserve"> Nuno Higino, in AAVV, </w:t>
      </w:r>
      <w:r w:rsidRPr="004213AF">
        <w:rPr>
          <w:rFonts w:ascii="Garamond" w:hAnsi="Garamond"/>
          <w:i/>
          <w:iCs/>
          <w:sz w:val="18"/>
          <w:szCs w:val="18"/>
          <w:lang w:val="en-US"/>
        </w:rPr>
        <w:t xml:space="preserve">Igreja de Santa Maria/Church of St Mary. </w:t>
      </w:r>
      <w:r w:rsidRPr="002B2C94">
        <w:rPr>
          <w:rFonts w:ascii="Garamond" w:hAnsi="Garamond"/>
          <w:i/>
          <w:iCs/>
          <w:sz w:val="18"/>
          <w:szCs w:val="18"/>
          <w:lang w:val="en-US"/>
        </w:rPr>
        <w:t>Marco de Canaveses</w:t>
      </w:r>
      <w:r w:rsidRPr="002B2C94">
        <w:rPr>
          <w:rFonts w:ascii="Garamond" w:hAnsi="Garamond"/>
          <w:sz w:val="18"/>
          <w:szCs w:val="18"/>
          <w:lang w:val="en-US"/>
        </w:rPr>
        <w:t xml:space="preserve"> (Marco de Canaveses: Igreja de Santa Maria, 2016), p. 17.</w:t>
      </w:r>
    </w:p>
  </w:footnote>
  <w:footnote w:id="42">
    <w:p w:rsidR="007A1CC2" w:rsidRPr="004213AF" w:rsidRDefault="007A1CC2" w:rsidP="004213AF">
      <w:pPr>
        <w:pStyle w:val="Textodenotaderodap"/>
        <w:jc w:val="both"/>
        <w:rPr>
          <w:rFonts w:ascii="Garamond" w:hAnsi="Garamond"/>
          <w:sz w:val="18"/>
          <w:szCs w:val="18"/>
          <w:lang w:val="pt-PT"/>
        </w:rPr>
      </w:pPr>
      <w:r w:rsidRPr="004213AF">
        <w:rPr>
          <w:rStyle w:val="Refdenotaderodap"/>
          <w:rFonts w:ascii="Garamond" w:hAnsi="Garamond"/>
          <w:sz w:val="18"/>
          <w:szCs w:val="18"/>
        </w:rPr>
        <w:footnoteRef/>
      </w:r>
      <w:r w:rsidRPr="004213AF">
        <w:rPr>
          <w:rFonts w:ascii="Garamond" w:hAnsi="Garamond"/>
          <w:sz w:val="18"/>
          <w:szCs w:val="18"/>
          <w:lang w:val="pt-PT"/>
        </w:rPr>
        <w:t xml:space="preserve"> Pessanha, Matilde, SIZA, Lugares Sagrados – Monumentos (Porto: Campo de Letras, 2003), p. 94.</w:t>
      </w:r>
    </w:p>
  </w:footnote>
  <w:footnote w:id="43">
    <w:p w:rsidR="007A1CC2" w:rsidRPr="004213AF" w:rsidRDefault="007A1CC2" w:rsidP="004213AF">
      <w:pPr>
        <w:pStyle w:val="Textodenotaderodap"/>
        <w:jc w:val="both"/>
        <w:rPr>
          <w:rFonts w:ascii="Garamond" w:hAnsi="Garamond"/>
          <w:sz w:val="18"/>
          <w:szCs w:val="18"/>
          <w:lang w:val="en-US"/>
        </w:rPr>
      </w:pPr>
      <w:r w:rsidRPr="004213AF">
        <w:rPr>
          <w:rStyle w:val="Refdenotaderodap"/>
          <w:rFonts w:ascii="Garamond" w:hAnsi="Garamond"/>
          <w:sz w:val="18"/>
          <w:szCs w:val="18"/>
        </w:rPr>
        <w:footnoteRef/>
      </w:r>
      <w:r w:rsidRPr="004213AF">
        <w:rPr>
          <w:rFonts w:ascii="Garamond" w:hAnsi="Garamond"/>
          <w:sz w:val="18"/>
          <w:szCs w:val="18"/>
          <w:lang w:val="en-US"/>
        </w:rPr>
        <w:t xml:space="preserve"> Eliade, </w:t>
      </w:r>
      <w:r w:rsidRPr="004213AF">
        <w:rPr>
          <w:rFonts w:ascii="Garamond" w:hAnsi="Garamond"/>
          <w:i/>
          <w:iCs/>
          <w:sz w:val="18"/>
          <w:szCs w:val="18"/>
          <w:lang w:val="en-US"/>
        </w:rPr>
        <w:t>The Sacred</w:t>
      </w:r>
      <w:r w:rsidRPr="004213AF">
        <w:rPr>
          <w:rFonts w:ascii="Garamond" w:hAnsi="Garamond"/>
          <w:sz w:val="18"/>
          <w:szCs w:val="18"/>
          <w:lang w:val="en-US"/>
        </w:rPr>
        <w:t>, p. 37.</w:t>
      </w:r>
    </w:p>
  </w:footnote>
  <w:footnote w:id="44">
    <w:p w:rsidR="007A1CC2" w:rsidRPr="002B2C94" w:rsidRDefault="007A1CC2" w:rsidP="004213AF">
      <w:pPr>
        <w:pStyle w:val="Textodenotaderodap"/>
        <w:jc w:val="both"/>
        <w:rPr>
          <w:rFonts w:ascii="Garamond" w:hAnsi="Garamond"/>
          <w:sz w:val="18"/>
          <w:szCs w:val="18"/>
          <w:lang w:val="en-US"/>
        </w:rPr>
      </w:pPr>
      <w:r w:rsidRPr="004213AF">
        <w:rPr>
          <w:rStyle w:val="Refdenotaderodap"/>
          <w:rFonts w:ascii="Garamond" w:hAnsi="Garamond"/>
          <w:sz w:val="18"/>
          <w:szCs w:val="18"/>
        </w:rPr>
        <w:footnoteRef/>
      </w:r>
      <w:r w:rsidRPr="002B2C94">
        <w:rPr>
          <w:rFonts w:ascii="Garamond" w:hAnsi="Garamond"/>
          <w:sz w:val="18"/>
          <w:szCs w:val="18"/>
          <w:lang w:val="en-US"/>
        </w:rPr>
        <w:t xml:space="preserve"> Higino, </w:t>
      </w:r>
      <w:r w:rsidRPr="002B2C94">
        <w:rPr>
          <w:rFonts w:ascii="Garamond" w:hAnsi="Garamond"/>
          <w:i/>
          <w:iCs/>
          <w:sz w:val="18"/>
          <w:szCs w:val="18"/>
          <w:lang w:val="en-US"/>
        </w:rPr>
        <w:t>Igreja de Santa Maria/Church of St Mary</w:t>
      </w:r>
      <w:r w:rsidRPr="002B2C94">
        <w:rPr>
          <w:rFonts w:ascii="Garamond" w:hAnsi="Garamond"/>
          <w:sz w:val="18"/>
          <w:szCs w:val="18"/>
          <w:lang w:val="en-US"/>
        </w:rPr>
        <w:t>, p. 32.</w:t>
      </w:r>
    </w:p>
  </w:footnote>
  <w:footnote w:id="45">
    <w:p w:rsidR="007768F5" w:rsidRPr="004213AF" w:rsidRDefault="007768F5" w:rsidP="007768F5">
      <w:pPr>
        <w:pStyle w:val="Textodenotaderodap"/>
        <w:jc w:val="both"/>
        <w:rPr>
          <w:rFonts w:ascii="Garamond" w:hAnsi="Garamond"/>
          <w:sz w:val="18"/>
          <w:szCs w:val="18"/>
          <w:lang w:val="pt-PT"/>
        </w:rPr>
      </w:pPr>
      <w:r w:rsidRPr="004213AF">
        <w:rPr>
          <w:rStyle w:val="Refdenotaderodap"/>
          <w:rFonts w:ascii="Garamond" w:hAnsi="Garamond"/>
          <w:sz w:val="18"/>
          <w:szCs w:val="18"/>
        </w:rPr>
        <w:footnoteRef/>
      </w:r>
      <w:r w:rsidRPr="004213AF">
        <w:rPr>
          <w:rFonts w:ascii="Garamond" w:hAnsi="Garamond"/>
          <w:sz w:val="18"/>
          <w:szCs w:val="18"/>
          <w:lang w:val="pt-PT"/>
        </w:rPr>
        <w:t xml:space="preserve"> Siza, </w:t>
      </w:r>
      <w:r w:rsidRPr="004213AF">
        <w:rPr>
          <w:rFonts w:ascii="Garamond" w:hAnsi="Garamond"/>
          <w:i/>
          <w:iCs/>
          <w:sz w:val="18"/>
          <w:szCs w:val="18"/>
          <w:lang w:val="pt-PT"/>
        </w:rPr>
        <w:t xml:space="preserve">As cidades </w:t>
      </w:r>
      <w:r w:rsidRPr="004213AF">
        <w:rPr>
          <w:rFonts w:ascii="Garamond" w:hAnsi="Garamond"/>
          <w:sz w:val="18"/>
          <w:szCs w:val="18"/>
          <w:lang w:val="pt-PT"/>
        </w:rPr>
        <w:t>[‘Complexo Paroquial da Igreja de Santa Maria – Marco de Canaveses. Memória descritiva’], s.p.</w:t>
      </w:r>
      <w:r w:rsidRPr="007768F5">
        <w:rPr>
          <w:rFonts w:ascii="Garamond" w:hAnsi="Garamond"/>
          <w:sz w:val="18"/>
          <w:szCs w:val="18"/>
          <w:lang w:val="pt-PT"/>
        </w:rPr>
        <w:t xml:space="preserve"> </w:t>
      </w:r>
      <w:r>
        <w:rPr>
          <w:rFonts w:ascii="Garamond" w:hAnsi="Garamond"/>
          <w:sz w:val="18"/>
          <w:szCs w:val="18"/>
          <w:lang w:val="pt-PT"/>
        </w:rPr>
        <w:t xml:space="preserve">and </w:t>
      </w:r>
      <w:r w:rsidRPr="004213AF">
        <w:rPr>
          <w:rFonts w:ascii="Garamond" w:hAnsi="Garamond"/>
          <w:sz w:val="18"/>
          <w:szCs w:val="18"/>
          <w:lang w:val="pt-PT"/>
        </w:rPr>
        <w:t xml:space="preserve">Siza, </w:t>
      </w:r>
      <w:r w:rsidRPr="004213AF">
        <w:rPr>
          <w:rFonts w:ascii="Garamond" w:hAnsi="Garamond"/>
          <w:i/>
          <w:iCs/>
          <w:sz w:val="18"/>
          <w:szCs w:val="18"/>
          <w:lang w:val="pt-PT"/>
        </w:rPr>
        <w:t>Imaginar a Evidência</w:t>
      </w:r>
      <w:r w:rsidRPr="004213AF">
        <w:rPr>
          <w:rFonts w:ascii="Garamond" w:hAnsi="Garamond"/>
          <w:sz w:val="18"/>
          <w:szCs w:val="18"/>
          <w:lang w:val="pt-PT"/>
        </w:rPr>
        <w:t>, p. 51.</w:t>
      </w:r>
    </w:p>
  </w:footnote>
  <w:footnote w:id="46">
    <w:p w:rsidR="007A1CC2" w:rsidRPr="004213AF" w:rsidRDefault="007A1CC2" w:rsidP="004213AF">
      <w:pPr>
        <w:pStyle w:val="Textodenotaderodap"/>
        <w:jc w:val="both"/>
        <w:rPr>
          <w:rFonts w:ascii="Garamond" w:hAnsi="Garamond"/>
          <w:sz w:val="18"/>
          <w:szCs w:val="18"/>
          <w:lang w:val="pt-PT"/>
        </w:rPr>
      </w:pPr>
      <w:r w:rsidRPr="004213AF">
        <w:rPr>
          <w:rStyle w:val="Refdenotaderodap"/>
          <w:rFonts w:ascii="Garamond" w:hAnsi="Garamond"/>
          <w:sz w:val="18"/>
          <w:szCs w:val="18"/>
        </w:rPr>
        <w:footnoteRef/>
      </w:r>
      <w:r w:rsidRPr="004213AF">
        <w:rPr>
          <w:rFonts w:ascii="Garamond" w:hAnsi="Garamond"/>
          <w:sz w:val="18"/>
          <w:szCs w:val="18"/>
          <w:lang w:val="pt-PT"/>
        </w:rPr>
        <w:t xml:space="preserve"> Eliade, </w:t>
      </w:r>
      <w:r w:rsidRPr="004213AF">
        <w:rPr>
          <w:rFonts w:ascii="Garamond" w:hAnsi="Garamond"/>
          <w:i/>
          <w:iCs/>
          <w:sz w:val="18"/>
          <w:szCs w:val="18"/>
          <w:lang w:val="pt-PT"/>
        </w:rPr>
        <w:t>The Sacred</w:t>
      </w:r>
      <w:r w:rsidRPr="004213AF">
        <w:rPr>
          <w:rFonts w:ascii="Garamond" w:hAnsi="Garamond"/>
          <w:sz w:val="18"/>
          <w:szCs w:val="18"/>
          <w:lang w:val="pt-PT"/>
        </w:rPr>
        <w:t>, p. 37.</w:t>
      </w:r>
    </w:p>
  </w:footnote>
  <w:footnote w:id="47">
    <w:p w:rsidR="007768F5" w:rsidRPr="004213AF" w:rsidRDefault="007768F5" w:rsidP="007768F5">
      <w:pPr>
        <w:pStyle w:val="Textodenotaderodap"/>
        <w:jc w:val="both"/>
        <w:rPr>
          <w:rFonts w:ascii="Garamond" w:hAnsi="Garamond"/>
          <w:sz w:val="18"/>
          <w:szCs w:val="18"/>
          <w:lang w:val="pt-PT"/>
        </w:rPr>
      </w:pPr>
      <w:r w:rsidRPr="004213AF">
        <w:rPr>
          <w:rStyle w:val="Refdenotaderodap"/>
          <w:rFonts w:ascii="Garamond" w:hAnsi="Garamond"/>
          <w:sz w:val="18"/>
          <w:szCs w:val="18"/>
        </w:rPr>
        <w:footnoteRef/>
      </w:r>
      <w:r w:rsidRPr="004213AF">
        <w:rPr>
          <w:rFonts w:ascii="Garamond" w:hAnsi="Garamond"/>
          <w:sz w:val="18"/>
          <w:szCs w:val="18"/>
          <w:lang w:val="pt-PT"/>
        </w:rPr>
        <w:t xml:space="preserve"> Siza, </w:t>
      </w:r>
      <w:r w:rsidRPr="004213AF">
        <w:rPr>
          <w:rFonts w:ascii="Garamond" w:hAnsi="Garamond"/>
          <w:i/>
          <w:iCs/>
          <w:sz w:val="18"/>
          <w:szCs w:val="18"/>
          <w:lang w:val="pt-PT"/>
        </w:rPr>
        <w:t>Imaginar a Evidência</w:t>
      </w:r>
      <w:r w:rsidRPr="004213AF">
        <w:rPr>
          <w:rFonts w:ascii="Garamond" w:hAnsi="Garamond"/>
          <w:sz w:val="18"/>
          <w:szCs w:val="18"/>
          <w:lang w:val="pt-PT"/>
        </w:rPr>
        <w:t xml:space="preserve">, p. 51 and </w:t>
      </w:r>
      <w:r w:rsidRPr="004213AF">
        <w:rPr>
          <w:rStyle w:val="fontstyle21"/>
          <w:rFonts w:ascii="Garamond" w:hAnsi="Garamond"/>
          <w:color w:val="auto"/>
          <w:sz w:val="18"/>
          <w:szCs w:val="18"/>
          <w:lang w:val="pt-PT"/>
        </w:rPr>
        <w:t xml:space="preserve">Nuno Higino, ‘A Porta’, Álvaro Siza and Nuno Higino, </w:t>
      </w:r>
      <w:r w:rsidRPr="004213AF">
        <w:rPr>
          <w:rStyle w:val="fontstyle21"/>
          <w:rFonts w:ascii="Garamond" w:hAnsi="Garamond"/>
          <w:i/>
          <w:iCs/>
          <w:color w:val="auto"/>
          <w:sz w:val="18"/>
          <w:szCs w:val="18"/>
          <w:lang w:val="pt-PT"/>
        </w:rPr>
        <w:t>Igreja de Santa Maria – Marco de Canaveses</w:t>
      </w:r>
      <w:r w:rsidRPr="004213AF">
        <w:rPr>
          <w:rStyle w:val="fontstyle21"/>
          <w:rFonts w:ascii="Garamond" w:hAnsi="Garamond"/>
          <w:color w:val="auto"/>
          <w:sz w:val="18"/>
          <w:szCs w:val="18"/>
          <w:lang w:val="pt-PT"/>
        </w:rPr>
        <w:t xml:space="preserve"> (s.l., Paróquia de Santa Marinha de Fornos e Francisco Guedes, 1998), p. 20</w:t>
      </w:r>
      <w:r>
        <w:rPr>
          <w:rStyle w:val="fontstyle21"/>
          <w:rFonts w:ascii="Garamond" w:hAnsi="Garamond"/>
          <w:color w:val="auto"/>
          <w:sz w:val="18"/>
          <w:szCs w:val="18"/>
          <w:lang w:val="pt-PT"/>
        </w:rPr>
        <w:t xml:space="preserve"> and </w:t>
      </w:r>
      <w:r w:rsidRPr="004213AF">
        <w:rPr>
          <w:rStyle w:val="fontstyle21"/>
          <w:rFonts w:ascii="Garamond" w:hAnsi="Garamond"/>
          <w:color w:val="auto"/>
          <w:sz w:val="18"/>
          <w:szCs w:val="18"/>
          <w:lang w:val="pt-PT"/>
        </w:rPr>
        <w:t xml:space="preserve">Higino, </w:t>
      </w:r>
      <w:r w:rsidRPr="004213AF">
        <w:rPr>
          <w:rStyle w:val="fontstyle21"/>
          <w:rFonts w:ascii="Garamond" w:hAnsi="Garamond"/>
          <w:i/>
          <w:iCs/>
          <w:color w:val="auto"/>
          <w:sz w:val="18"/>
          <w:szCs w:val="18"/>
          <w:lang w:val="pt-PT"/>
        </w:rPr>
        <w:t>Igreja de Santa Maria – Marco de Canaveses</w:t>
      </w:r>
      <w:r w:rsidRPr="004213AF">
        <w:rPr>
          <w:rStyle w:val="fontstyle21"/>
          <w:rFonts w:ascii="Garamond" w:hAnsi="Garamond"/>
          <w:color w:val="auto"/>
          <w:sz w:val="18"/>
          <w:szCs w:val="18"/>
          <w:lang w:val="pt-PT"/>
        </w:rPr>
        <w:t>, p. 20.</w:t>
      </w:r>
    </w:p>
  </w:footnote>
  <w:footnote w:id="48">
    <w:p w:rsidR="007A1CC2" w:rsidRPr="004213AF" w:rsidRDefault="007A1CC2" w:rsidP="00582FDE">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4213AF">
        <w:rPr>
          <w:rFonts w:ascii="Garamond" w:hAnsi="Garamond"/>
          <w:sz w:val="18"/>
          <w:szCs w:val="18"/>
          <w:lang w:val="pt-PT"/>
        </w:rPr>
        <w:t xml:space="preserve"> Higino, </w:t>
      </w:r>
      <w:r w:rsidRPr="004213AF">
        <w:rPr>
          <w:rFonts w:ascii="Garamond" w:hAnsi="Garamond"/>
          <w:i/>
          <w:iCs/>
          <w:sz w:val="18"/>
          <w:szCs w:val="18"/>
          <w:lang w:val="pt-PT"/>
        </w:rPr>
        <w:t>Igreja de Santa Maria/Church of St Mary</w:t>
      </w:r>
      <w:r w:rsidRPr="004213AF">
        <w:rPr>
          <w:rFonts w:ascii="Garamond" w:hAnsi="Garamond"/>
          <w:sz w:val="18"/>
          <w:szCs w:val="18"/>
          <w:lang w:val="pt-PT"/>
        </w:rPr>
        <w:t>, p. 39.</w:t>
      </w:r>
    </w:p>
  </w:footnote>
  <w:footnote w:id="49">
    <w:p w:rsidR="007A1CC2" w:rsidRPr="004213AF" w:rsidRDefault="007A1CC2" w:rsidP="00582FDE">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4213AF">
        <w:rPr>
          <w:rFonts w:ascii="Garamond" w:hAnsi="Garamond"/>
          <w:sz w:val="18"/>
          <w:szCs w:val="18"/>
          <w:lang w:val="pt-PT"/>
        </w:rPr>
        <w:t xml:space="preserve"> Norberg-Schulz, Christian, </w:t>
      </w:r>
      <w:r w:rsidRPr="004213AF">
        <w:rPr>
          <w:rFonts w:ascii="Garamond" w:hAnsi="Garamond"/>
          <w:i/>
          <w:iCs/>
          <w:sz w:val="18"/>
          <w:szCs w:val="18"/>
          <w:lang w:val="pt-PT"/>
        </w:rPr>
        <w:t>Arquitectura Occidental</w:t>
      </w:r>
      <w:r w:rsidRPr="004213AF">
        <w:rPr>
          <w:rFonts w:ascii="Garamond" w:hAnsi="Garamond"/>
          <w:sz w:val="18"/>
          <w:szCs w:val="18"/>
          <w:lang w:val="pt-PT"/>
        </w:rPr>
        <w:t xml:space="preserve"> (Barcelona: Gustavo Gili, 1999), pp. 94.</w:t>
      </w:r>
    </w:p>
  </w:footnote>
  <w:footnote w:id="50">
    <w:p w:rsidR="007A1CC2" w:rsidRPr="00100944" w:rsidRDefault="007A1CC2" w:rsidP="00582FDE">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100944">
        <w:rPr>
          <w:rFonts w:ascii="Garamond" w:hAnsi="Garamond"/>
          <w:sz w:val="18"/>
          <w:szCs w:val="18"/>
          <w:lang w:val="pt-PT"/>
        </w:rPr>
        <w:t xml:space="preserve"> </w:t>
      </w:r>
      <w:r w:rsidRPr="004213AF">
        <w:rPr>
          <w:rFonts w:ascii="Garamond" w:hAnsi="Garamond"/>
          <w:sz w:val="18"/>
          <w:szCs w:val="18"/>
          <w:lang w:val="pt-PT"/>
        </w:rPr>
        <w:t xml:space="preserve">José Ferreira, ‘A Liturgia antes do Concílio Vaticano II’, </w:t>
      </w:r>
      <w:r w:rsidRPr="004213AF">
        <w:rPr>
          <w:rFonts w:ascii="Garamond" w:hAnsi="Garamond"/>
          <w:i/>
          <w:iCs/>
          <w:sz w:val="18"/>
          <w:szCs w:val="18"/>
          <w:lang w:val="pt-PT"/>
        </w:rPr>
        <w:t>Boletim de Pastoral Litúrgica</w:t>
      </w:r>
      <w:r w:rsidRPr="004213AF">
        <w:rPr>
          <w:rFonts w:ascii="Garamond" w:hAnsi="Garamond"/>
          <w:sz w:val="18"/>
          <w:szCs w:val="18"/>
          <w:lang w:val="pt-PT"/>
        </w:rPr>
        <w:t xml:space="preserve">, 32 (1983), pp. </w:t>
      </w:r>
      <w:r>
        <w:rPr>
          <w:rFonts w:ascii="Garamond" w:hAnsi="Garamond"/>
          <w:sz w:val="18"/>
          <w:szCs w:val="18"/>
          <w:lang w:val="pt-PT"/>
        </w:rPr>
        <w:t>7</w:t>
      </w:r>
      <w:r w:rsidRPr="004213AF">
        <w:rPr>
          <w:rFonts w:ascii="Garamond" w:hAnsi="Garamond"/>
          <w:sz w:val="18"/>
          <w:szCs w:val="18"/>
          <w:lang w:val="pt-PT"/>
        </w:rPr>
        <w:t>-9.</w:t>
      </w:r>
    </w:p>
  </w:footnote>
  <w:footnote w:id="51">
    <w:p w:rsidR="007A1CC2" w:rsidRPr="00100944" w:rsidRDefault="007A1CC2" w:rsidP="00582FDE">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100944">
        <w:rPr>
          <w:rFonts w:ascii="Garamond" w:hAnsi="Garamond"/>
          <w:sz w:val="18"/>
          <w:szCs w:val="18"/>
          <w:lang w:val="pt-PT"/>
        </w:rPr>
        <w:t xml:space="preserve"> </w:t>
      </w:r>
      <w:r w:rsidRPr="004213AF">
        <w:rPr>
          <w:rFonts w:ascii="Garamond" w:hAnsi="Garamond"/>
          <w:sz w:val="18"/>
          <w:szCs w:val="18"/>
          <w:lang w:val="pt-PT"/>
        </w:rPr>
        <w:t xml:space="preserve">Siza, </w:t>
      </w:r>
      <w:r w:rsidRPr="004213AF">
        <w:rPr>
          <w:rFonts w:ascii="Garamond" w:hAnsi="Garamond"/>
          <w:i/>
          <w:iCs/>
          <w:sz w:val="18"/>
          <w:szCs w:val="18"/>
          <w:lang w:val="pt-PT"/>
        </w:rPr>
        <w:t>Imaginar a Evidência</w:t>
      </w:r>
      <w:r w:rsidRPr="004213AF">
        <w:rPr>
          <w:rFonts w:ascii="Garamond" w:hAnsi="Garamond"/>
          <w:sz w:val="18"/>
          <w:szCs w:val="18"/>
          <w:lang w:val="pt-PT"/>
        </w:rPr>
        <w:t xml:space="preserve">, p. </w:t>
      </w:r>
      <w:r>
        <w:rPr>
          <w:rFonts w:ascii="Garamond" w:hAnsi="Garamond"/>
          <w:sz w:val="18"/>
          <w:szCs w:val="18"/>
          <w:lang w:val="pt-PT"/>
        </w:rPr>
        <w:t>6</w:t>
      </w:r>
      <w:r w:rsidRPr="004213AF">
        <w:rPr>
          <w:rFonts w:ascii="Garamond" w:hAnsi="Garamond"/>
          <w:sz w:val="18"/>
          <w:szCs w:val="18"/>
          <w:lang w:val="pt-PT"/>
        </w:rPr>
        <w:t>1</w:t>
      </w:r>
      <w:r>
        <w:rPr>
          <w:rFonts w:ascii="Garamond" w:hAnsi="Garamond"/>
          <w:sz w:val="18"/>
          <w:szCs w:val="18"/>
          <w:lang w:val="pt-PT"/>
        </w:rPr>
        <w:t>.</w:t>
      </w:r>
    </w:p>
  </w:footnote>
  <w:footnote w:id="52">
    <w:p w:rsidR="007A1CC2" w:rsidRPr="002B2C94" w:rsidRDefault="007A1CC2" w:rsidP="00582FDE">
      <w:pPr>
        <w:pStyle w:val="Textodenotaderodap"/>
        <w:jc w:val="both"/>
        <w:rPr>
          <w:rFonts w:ascii="Garamond" w:hAnsi="Garamond"/>
          <w:sz w:val="18"/>
          <w:szCs w:val="18"/>
          <w:lang w:val="es-ES"/>
        </w:rPr>
      </w:pPr>
      <w:r w:rsidRPr="00100944">
        <w:rPr>
          <w:rStyle w:val="Refdenotaderodap"/>
          <w:rFonts w:ascii="Garamond" w:hAnsi="Garamond"/>
          <w:sz w:val="18"/>
          <w:szCs w:val="18"/>
        </w:rPr>
        <w:footnoteRef/>
      </w:r>
      <w:r w:rsidRPr="002B2C94">
        <w:rPr>
          <w:rFonts w:ascii="Garamond" w:hAnsi="Garamond"/>
          <w:sz w:val="18"/>
          <w:szCs w:val="18"/>
          <w:lang w:val="es-ES"/>
        </w:rPr>
        <w:t xml:space="preserve"> Curtis, </w:t>
      </w:r>
      <w:r w:rsidRPr="002B2C94">
        <w:rPr>
          <w:rFonts w:ascii="Garamond" w:hAnsi="Garamond"/>
          <w:i/>
          <w:iCs/>
          <w:sz w:val="18"/>
          <w:szCs w:val="18"/>
          <w:lang w:val="es-ES"/>
        </w:rPr>
        <w:t>Una Conversación</w:t>
      </w:r>
      <w:r w:rsidRPr="002B2C94">
        <w:rPr>
          <w:rFonts w:ascii="Garamond" w:hAnsi="Garamond"/>
          <w:sz w:val="18"/>
          <w:szCs w:val="18"/>
          <w:lang w:val="es-ES"/>
        </w:rPr>
        <w:t>, p. 11.</w:t>
      </w:r>
    </w:p>
  </w:footnote>
  <w:footnote w:id="53">
    <w:p w:rsidR="007A1CC2" w:rsidRPr="002B2C94" w:rsidRDefault="007A1CC2" w:rsidP="00AE1628">
      <w:pPr>
        <w:pStyle w:val="Textodenotaderodap"/>
        <w:jc w:val="both"/>
        <w:rPr>
          <w:rFonts w:ascii="Garamond" w:hAnsi="Garamond"/>
          <w:sz w:val="18"/>
          <w:szCs w:val="18"/>
          <w:lang w:val="es-ES"/>
        </w:rPr>
      </w:pPr>
      <w:r w:rsidRPr="00100944">
        <w:rPr>
          <w:rStyle w:val="Refdenotaderodap"/>
          <w:rFonts w:ascii="Garamond" w:hAnsi="Garamond"/>
          <w:sz w:val="18"/>
          <w:szCs w:val="18"/>
        </w:rPr>
        <w:footnoteRef/>
      </w:r>
      <w:r w:rsidRPr="002B2C94">
        <w:rPr>
          <w:rFonts w:ascii="Garamond" w:hAnsi="Garamond"/>
          <w:sz w:val="18"/>
          <w:szCs w:val="18"/>
          <w:lang w:val="es-ES"/>
        </w:rPr>
        <w:t xml:space="preserve"> Eliade, </w:t>
      </w:r>
      <w:r w:rsidRPr="002B2C94">
        <w:rPr>
          <w:rFonts w:ascii="Garamond" w:hAnsi="Garamond"/>
          <w:i/>
          <w:iCs/>
          <w:sz w:val="18"/>
          <w:szCs w:val="18"/>
          <w:lang w:val="es-ES"/>
        </w:rPr>
        <w:t>The Sacred</w:t>
      </w:r>
      <w:r w:rsidRPr="002B2C94">
        <w:rPr>
          <w:rFonts w:ascii="Garamond" w:hAnsi="Garamond"/>
          <w:sz w:val="18"/>
          <w:szCs w:val="18"/>
          <w:lang w:val="es-ES"/>
        </w:rPr>
        <w:t>, p. 131.</w:t>
      </w:r>
    </w:p>
  </w:footnote>
  <w:footnote w:id="54">
    <w:p w:rsidR="007768F5" w:rsidRPr="00AE1628" w:rsidRDefault="007768F5" w:rsidP="007768F5">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AE1628">
        <w:rPr>
          <w:rFonts w:ascii="Garamond" w:hAnsi="Garamond"/>
          <w:sz w:val="18"/>
          <w:szCs w:val="18"/>
          <w:lang w:val="en-US"/>
        </w:rPr>
        <w:t xml:space="preserve"> </w:t>
      </w:r>
      <w:r w:rsidRPr="00E33457">
        <w:rPr>
          <w:rFonts w:ascii="Garamond" w:hAnsi="Garamond"/>
          <w:sz w:val="18"/>
          <w:szCs w:val="18"/>
          <w:lang w:val="en-US"/>
        </w:rPr>
        <w:t xml:space="preserve">Machabert and Beaudouin, </w:t>
      </w:r>
      <w:r w:rsidRPr="00E33457">
        <w:rPr>
          <w:rFonts w:ascii="Garamond" w:hAnsi="Garamond"/>
          <w:i/>
          <w:iCs/>
          <w:sz w:val="18"/>
          <w:szCs w:val="18"/>
          <w:lang w:val="en-US"/>
        </w:rPr>
        <w:t>Igreja de Santa Maria/Church of St Mary</w:t>
      </w:r>
      <w:r w:rsidRPr="00E33457">
        <w:rPr>
          <w:rFonts w:ascii="Garamond" w:hAnsi="Garamond"/>
          <w:sz w:val="18"/>
          <w:szCs w:val="18"/>
          <w:lang w:val="en-US"/>
        </w:rPr>
        <w:t>, p.</w:t>
      </w:r>
      <w:r>
        <w:rPr>
          <w:rFonts w:ascii="Garamond" w:hAnsi="Garamond"/>
          <w:sz w:val="18"/>
          <w:szCs w:val="18"/>
          <w:lang w:val="en-US"/>
        </w:rPr>
        <w:t xml:space="preserve"> </w:t>
      </w:r>
      <w:r w:rsidRPr="00AE1628">
        <w:rPr>
          <w:rFonts w:ascii="Garamond" w:hAnsi="Garamond"/>
          <w:sz w:val="18"/>
          <w:szCs w:val="18"/>
          <w:lang w:val="en-US"/>
        </w:rPr>
        <w:t>61.</w:t>
      </w:r>
    </w:p>
  </w:footnote>
  <w:footnote w:id="55">
    <w:p w:rsidR="007A1CC2" w:rsidRPr="00AE1628" w:rsidRDefault="007A1CC2" w:rsidP="00AE1628">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AE1628">
        <w:rPr>
          <w:rFonts w:ascii="Garamond" w:hAnsi="Garamond"/>
          <w:sz w:val="18"/>
          <w:szCs w:val="18"/>
          <w:lang w:val="en-US"/>
        </w:rPr>
        <w:t xml:space="preserve"> Wassily Kandinsky, </w:t>
      </w:r>
      <w:r w:rsidRPr="00AE1628">
        <w:rPr>
          <w:rFonts w:ascii="Garamond" w:hAnsi="Garamond"/>
          <w:i/>
          <w:iCs/>
          <w:sz w:val="18"/>
          <w:szCs w:val="18"/>
          <w:lang w:val="en-US"/>
        </w:rPr>
        <w:t>On the Spiritual in Art</w:t>
      </w:r>
      <w:r w:rsidRPr="00AE1628">
        <w:rPr>
          <w:rFonts w:ascii="Garamond" w:hAnsi="Garamond"/>
          <w:sz w:val="18"/>
          <w:szCs w:val="18"/>
          <w:lang w:val="en-US"/>
        </w:rPr>
        <w:t>, ed. by Hilla Rebay, (Solomon R. Guggenheim Foundation, New York, 1946) [or. edn., Uber das Geistige in der Kunst (s.l., 1912)] PDF</w:t>
      </w:r>
      <w:r>
        <w:rPr>
          <w:rFonts w:ascii="Garamond" w:hAnsi="Garamond"/>
          <w:sz w:val="18"/>
          <w:szCs w:val="18"/>
          <w:lang w:val="en-US"/>
        </w:rPr>
        <w:t xml:space="preserve">, </w:t>
      </w:r>
      <w:r w:rsidRPr="00AE1628">
        <w:rPr>
          <w:rFonts w:ascii="Garamond" w:hAnsi="Garamond"/>
          <w:sz w:val="18"/>
          <w:szCs w:val="18"/>
          <w:lang w:val="en-US"/>
        </w:rPr>
        <w:t>p. 68</w:t>
      </w:r>
      <w:r>
        <w:rPr>
          <w:rFonts w:ascii="Garamond" w:hAnsi="Garamond"/>
          <w:sz w:val="18"/>
          <w:szCs w:val="18"/>
          <w:lang w:val="en-US"/>
        </w:rPr>
        <w:t>.</w:t>
      </w:r>
    </w:p>
  </w:footnote>
  <w:footnote w:id="56">
    <w:p w:rsidR="007A1CC2" w:rsidRPr="00AE1628" w:rsidRDefault="007A1CC2" w:rsidP="00AE1628">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AE1628">
        <w:rPr>
          <w:rFonts w:ascii="Garamond" w:hAnsi="Garamond"/>
          <w:sz w:val="18"/>
          <w:szCs w:val="18"/>
          <w:lang w:val="en-US"/>
        </w:rPr>
        <w:t xml:space="preserve"> Kandinsky, </w:t>
      </w:r>
      <w:r w:rsidRPr="00AE1628">
        <w:rPr>
          <w:rFonts w:ascii="Garamond" w:hAnsi="Garamond"/>
          <w:i/>
          <w:iCs/>
          <w:sz w:val="18"/>
          <w:szCs w:val="18"/>
          <w:lang w:val="en-US"/>
        </w:rPr>
        <w:t>On the Spiritual in Art</w:t>
      </w:r>
      <w:r w:rsidRPr="00AE1628">
        <w:rPr>
          <w:rFonts w:ascii="Garamond" w:hAnsi="Garamond"/>
          <w:sz w:val="18"/>
          <w:szCs w:val="18"/>
          <w:lang w:val="en-US"/>
        </w:rPr>
        <w:t>, p.</w:t>
      </w:r>
      <w:r>
        <w:rPr>
          <w:rFonts w:ascii="Garamond" w:hAnsi="Garamond"/>
          <w:sz w:val="18"/>
          <w:szCs w:val="18"/>
          <w:lang w:val="en-US"/>
        </w:rPr>
        <w:t xml:space="preserve"> </w:t>
      </w:r>
      <w:r w:rsidRPr="00AE1628">
        <w:rPr>
          <w:rFonts w:ascii="Garamond" w:hAnsi="Garamond"/>
          <w:sz w:val="18"/>
          <w:szCs w:val="18"/>
          <w:lang w:val="en-US"/>
        </w:rPr>
        <w:t>68.</w:t>
      </w:r>
    </w:p>
  </w:footnote>
  <w:footnote w:id="57">
    <w:p w:rsidR="007768F5" w:rsidRPr="00100944" w:rsidRDefault="007768F5" w:rsidP="007768F5">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lang w:val="en-US"/>
        </w:rPr>
        <w:t xml:space="preserve"> </w:t>
      </w:r>
      <w:r w:rsidRPr="00AE1628">
        <w:rPr>
          <w:rFonts w:ascii="Garamond" w:hAnsi="Garamond"/>
          <w:sz w:val="18"/>
          <w:szCs w:val="18"/>
          <w:lang w:val="en-US"/>
        </w:rPr>
        <w:t xml:space="preserve">Wassily Kandinsky, </w:t>
      </w:r>
      <w:r w:rsidRPr="00AE1628">
        <w:rPr>
          <w:rFonts w:ascii="Garamond" w:hAnsi="Garamond"/>
          <w:i/>
          <w:iCs/>
          <w:sz w:val="18"/>
          <w:szCs w:val="18"/>
          <w:lang w:val="en-US"/>
        </w:rPr>
        <w:t>Point and Line to Plane</w:t>
      </w:r>
      <w:r w:rsidRPr="00AE1628">
        <w:rPr>
          <w:rFonts w:ascii="Garamond" w:hAnsi="Garamond"/>
          <w:sz w:val="18"/>
          <w:szCs w:val="18"/>
          <w:lang w:val="en-US"/>
        </w:rPr>
        <w:t>, ed. by Hilla Rebay, trans. Howard Dearstyne and Hilla Rebay (Solomon R. Guggenheim Foundation, New York, 1947) [or. edn., Punkt und Linie zu Flache, ed. by Walter Gropius and L. Moholy-Nagy (s.l., BAUHAUS BOOKS, 1926)] PDF</w:t>
      </w:r>
      <w:r>
        <w:rPr>
          <w:rFonts w:ascii="Garamond" w:hAnsi="Garamond"/>
          <w:sz w:val="18"/>
          <w:szCs w:val="18"/>
          <w:lang w:val="en-US"/>
        </w:rPr>
        <w:t xml:space="preserve">, </w:t>
      </w:r>
      <w:r w:rsidRPr="00100944">
        <w:rPr>
          <w:rFonts w:ascii="Garamond" w:hAnsi="Garamond"/>
          <w:sz w:val="18"/>
          <w:szCs w:val="18"/>
          <w:lang w:val="en-US"/>
        </w:rPr>
        <w:t>p. 63</w:t>
      </w:r>
      <w:r>
        <w:rPr>
          <w:rFonts w:ascii="Garamond" w:hAnsi="Garamond"/>
          <w:sz w:val="18"/>
          <w:szCs w:val="18"/>
          <w:lang w:val="en-US"/>
        </w:rPr>
        <w:t>.</w:t>
      </w:r>
    </w:p>
  </w:footnote>
  <w:footnote w:id="58">
    <w:p w:rsidR="007A1CC2" w:rsidRPr="00100944" w:rsidRDefault="007A1CC2" w:rsidP="00AE1628">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rPr>
        <w:t xml:space="preserve"> </w:t>
      </w:r>
      <w:r w:rsidRPr="00AE1628">
        <w:rPr>
          <w:rFonts w:ascii="Garamond" w:hAnsi="Garamond"/>
          <w:sz w:val="18"/>
          <w:szCs w:val="18"/>
          <w:lang w:val="en-US"/>
        </w:rPr>
        <w:t xml:space="preserve">Kandinsky, </w:t>
      </w:r>
      <w:r w:rsidRPr="00AE1628">
        <w:rPr>
          <w:rFonts w:ascii="Garamond" w:hAnsi="Garamond"/>
          <w:i/>
          <w:iCs/>
          <w:sz w:val="18"/>
          <w:szCs w:val="18"/>
          <w:lang w:val="en-US"/>
        </w:rPr>
        <w:t>Point and Line to Plane</w:t>
      </w:r>
      <w:r w:rsidRPr="00AE1628">
        <w:rPr>
          <w:rFonts w:ascii="Garamond" w:hAnsi="Garamond"/>
          <w:sz w:val="18"/>
          <w:szCs w:val="18"/>
          <w:lang w:val="en-US"/>
        </w:rPr>
        <w:t>,</w:t>
      </w:r>
      <w:r w:rsidRPr="00100944">
        <w:rPr>
          <w:rFonts w:ascii="Garamond" w:hAnsi="Garamond"/>
          <w:sz w:val="18"/>
          <w:szCs w:val="18"/>
          <w:lang w:val="en-US"/>
        </w:rPr>
        <w:t xml:space="preserve"> p. 59</w:t>
      </w:r>
      <w:r>
        <w:rPr>
          <w:rFonts w:ascii="Garamond" w:hAnsi="Garamond"/>
          <w:sz w:val="18"/>
          <w:szCs w:val="18"/>
          <w:lang w:val="en-US"/>
        </w:rPr>
        <w:t>.</w:t>
      </w:r>
    </w:p>
  </w:footnote>
  <w:footnote w:id="59">
    <w:p w:rsidR="007768F5" w:rsidRPr="00100944" w:rsidRDefault="007768F5" w:rsidP="007768F5">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rPr>
        <w:t xml:space="preserve"> </w:t>
      </w:r>
      <w:r w:rsidRPr="00AE1628">
        <w:rPr>
          <w:rFonts w:ascii="Garamond" w:hAnsi="Garamond"/>
          <w:sz w:val="18"/>
          <w:szCs w:val="18"/>
          <w:lang w:val="en-US"/>
        </w:rPr>
        <w:t xml:space="preserve">Kandinsky, </w:t>
      </w:r>
      <w:r w:rsidRPr="00AE1628">
        <w:rPr>
          <w:rFonts w:ascii="Garamond" w:hAnsi="Garamond"/>
          <w:i/>
          <w:iCs/>
          <w:sz w:val="18"/>
          <w:szCs w:val="18"/>
          <w:lang w:val="en-US"/>
        </w:rPr>
        <w:t>Point and Line to Plane</w:t>
      </w:r>
      <w:r w:rsidRPr="00AE1628">
        <w:rPr>
          <w:rFonts w:ascii="Garamond" w:hAnsi="Garamond"/>
          <w:sz w:val="18"/>
          <w:szCs w:val="18"/>
          <w:lang w:val="en-US"/>
        </w:rPr>
        <w:t>,</w:t>
      </w:r>
      <w:r w:rsidRPr="00100944">
        <w:rPr>
          <w:rFonts w:ascii="Garamond" w:hAnsi="Garamond"/>
          <w:sz w:val="18"/>
          <w:szCs w:val="18"/>
          <w:lang w:val="en-US"/>
        </w:rPr>
        <w:t xml:space="preserve"> p. 62</w:t>
      </w:r>
      <w:r>
        <w:rPr>
          <w:rFonts w:ascii="Garamond" w:hAnsi="Garamond"/>
          <w:sz w:val="18"/>
          <w:szCs w:val="18"/>
          <w:lang w:val="en-US"/>
        </w:rPr>
        <w:t>.</w:t>
      </w:r>
    </w:p>
  </w:footnote>
  <w:footnote w:id="60">
    <w:p w:rsidR="007A1CC2" w:rsidRPr="00100944" w:rsidRDefault="007A1CC2" w:rsidP="00AE1628">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rPr>
        <w:t xml:space="preserve"> </w:t>
      </w:r>
      <w:r w:rsidRPr="00AE1628">
        <w:rPr>
          <w:rFonts w:ascii="Garamond" w:hAnsi="Garamond"/>
          <w:sz w:val="18"/>
          <w:szCs w:val="18"/>
          <w:lang w:val="en-US"/>
        </w:rPr>
        <w:t xml:space="preserve">Kandinsky, </w:t>
      </w:r>
      <w:r w:rsidRPr="00AE1628">
        <w:rPr>
          <w:rFonts w:ascii="Garamond" w:hAnsi="Garamond"/>
          <w:i/>
          <w:iCs/>
          <w:sz w:val="18"/>
          <w:szCs w:val="18"/>
          <w:lang w:val="en-US"/>
        </w:rPr>
        <w:t>Point and Line to Plane</w:t>
      </w:r>
      <w:r w:rsidRPr="00AE1628">
        <w:rPr>
          <w:rFonts w:ascii="Garamond" w:hAnsi="Garamond"/>
          <w:sz w:val="18"/>
          <w:szCs w:val="18"/>
          <w:lang w:val="en-US"/>
        </w:rPr>
        <w:t>,</w:t>
      </w:r>
      <w:r w:rsidRPr="00100944">
        <w:rPr>
          <w:rFonts w:ascii="Garamond" w:hAnsi="Garamond"/>
          <w:sz w:val="18"/>
          <w:szCs w:val="18"/>
          <w:lang w:val="en-US"/>
        </w:rPr>
        <w:t xml:space="preserve"> p. 65</w:t>
      </w:r>
      <w:r>
        <w:rPr>
          <w:rFonts w:ascii="Garamond" w:hAnsi="Garamond"/>
          <w:sz w:val="18"/>
          <w:szCs w:val="18"/>
          <w:lang w:val="en-US"/>
        </w:rPr>
        <w:t>.</w:t>
      </w:r>
    </w:p>
  </w:footnote>
  <w:footnote w:id="61">
    <w:p w:rsidR="007A1CC2" w:rsidRPr="00100944" w:rsidRDefault="007A1CC2" w:rsidP="00AE1628">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100944">
        <w:rPr>
          <w:rFonts w:ascii="Garamond" w:hAnsi="Garamond"/>
          <w:sz w:val="18"/>
          <w:szCs w:val="18"/>
          <w:lang w:val="pt-PT"/>
        </w:rPr>
        <w:t xml:space="preserve"> ‘…apesar da nave ser de secção quadrada, a articulação de determinados elementos, tais como as duas aberturas por trás do altar, dá o sentido de elevação.’ </w:t>
      </w:r>
      <w:r>
        <w:rPr>
          <w:rFonts w:ascii="Garamond" w:hAnsi="Garamond"/>
          <w:sz w:val="18"/>
          <w:szCs w:val="18"/>
          <w:lang w:val="pt-PT"/>
        </w:rPr>
        <w:t xml:space="preserve">In </w:t>
      </w:r>
      <w:r w:rsidRPr="004213AF">
        <w:rPr>
          <w:rFonts w:ascii="Garamond" w:hAnsi="Garamond"/>
          <w:sz w:val="18"/>
          <w:szCs w:val="18"/>
          <w:lang w:val="pt-PT"/>
        </w:rPr>
        <w:t xml:space="preserve">Siza, </w:t>
      </w:r>
      <w:r w:rsidRPr="004213AF">
        <w:rPr>
          <w:rFonts w:ascii="Garamond" w:hAnsi="Garamond"/>
          <w:i/>
          <w:iCs/>
          <w:sz w:val="18"/>
          <w:szCs w:val="18"/>
          <w:lang w:val="pt-PT"/>
        </w:rPr>
        <w:t>Imaginar a Evidência</w:t>
      </w:r>
      <w:r w:rsidRPr="004213AF">
        <w:rPr>
          <w:rFonts w:ascii="Garamond" w:hAnsi="Garamond"/>
          <w:sz w:val="18"/>
          <w:szCs w:val="18"/>
          <w:lang w:val="pt-PT"/>
        </w:rPr>
        <w:t xml:space="preserve">, p. </w:t>
      </w:r>
      <w:r>
        <w:rPr>
          <w:rFonts w:ascii="Garamond" w:hAnsi="Garamond"/>
          <w:sz w:val="18"/>
          <w:szCs w:val="18"/>
          <w:lang w:val="pt-PT"/>
        </w:rPr>
        <w:t>63.</w:t>
      </w:r>
    </w:p>
  </w:footnote>
  <w:footnote w:id="62">
    <w:p w:rsidR="007768F5" w:rsidRPr="00100944" w:rsidRDefault="007768F5" w:rsidP="007768F5">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100944">
        <w:rPr>
          <w:rFonts w:ascii="Garamond" w:hAnsi="Garamond"/>
          <w:sz w:val="18"/>
          <w:szCs w:val="18"/>
          <w:lang w:val="pt-PT"/>
        </w:rPr>
        <w:t xml:space="preserve"> </w:t>
      </w:r>
      <w:r w:rsidRPr="004213AF">
        <w:rPr>
          <w:rFonts w:ascii="Garamond" w:hAnsi="Garamond"/>
          <w:sz w:val="18"/>
          <w:szCs w:val="18"/>
          <w:lang w:val="pt-PT"/>
        </w:rPr>
        <w:t xml:space="preserve">Curtis, </w:t>
      </w:r>
      <w:r w:rsidRPr="004213AF">
        <w:rPr>
          <w:rFonts w:ascii="Garamond" w:hAnsi="Garamond"/>
          <w:i/>
          <w:iCs/>
          <w:sz w:val="18"/>
          <w:szCs w:val="18"/>
          <w:lang w:val="pt-PT"/>
        </w:rPr>
        <w:t>Una Conversación</w:t>
      </w:r>
      <w:r w:rsidRPr="004213AF">
        <w:rPr>
          <w:rFonts w:ascii="Garamond" w:hAnsi="Garamond"/>
          <w:sz w:val="18"/>
          <w:szCs w:val="18"/>
          <w:lang w:val="pt-PT"/>
        </w:rPr>
        <w:t>, p. 1</w:t>
      </w:r>
      <w:r>
        <w:rPr>
          <w:rFonts w:ascii="Garamond" w:hAnsi="Garamond"/>
          <w:sz w:val="18"/>
          <w:szCs w:val="18"/>
          <w:lang w:val="pt-PT"/>
        </w:rPr>
        <w:t>3</w:t>
      </w:r>
      <w:r w:rsidRPr="004213AF">
        <w:rPr>
          <w:rFonts w:ascii="Garamond" w:hAnsi="Garamond"/>
          <w:sz w:val="18"/>
          <w:szCs w:val="18"/>
          <w:lang w:val="pt-PT"/>
        </w:rPr>
        <w:t>.</w:t>
      </w:r>
    </w:p>
  </w:footnote>
  <w:footnote w:id="63">
    <w:p w:rsidR="007A1CC2" w:rsidRPr="00100944" w:rsidRDefault="007A1CC2" w:rsidP="000C4362">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100944">
        <w:rPr>
          <w:rFonts w:ascii="Garamond" w:hAnsi="Garamond"/>
          <w:sz w:val="18"/>
          <w:szCs w:val="18"/>
          <w:lang w:val="pt-PT"/>
        </w:rPr>
        <w:t xml:space="preserve"> </w:t>
      </w:r>
      <w:r w:rsidRPr="00AE1628">
        <w:rPr>
          <w:rFonts w:ascii="Garamond" w:hAnsi="Garamond"/>
          <w:sz w:val="18"/>
          <w:szCs w:val="18"/>
          <w:lang w:val="pt-PT"/>
        </w:rPr>
        <w:t xml:space="preserve">Siza, </w:t>
      </w:r>
      <w:r w:rsidRPr="00AE1628">
        <w:rPr>
          <w:rFonts w:ascii="Garamond" w:hAnsi="Garamond"/>
          <w:i/>
          <w:iCs/>
          <w:sz w:val="18"/>
          <w:szCs w:val="18"/>
          <w:lang w:val="pt-PT"/>
        </w:rPr>
        <w:t>Imaginar a Evidência</w:t>
      </w:r>
      <w:r w:rsidRPr="00AE1628">
        <w:rPr>
          <w:rFonts w:ascii="Garamond" w:hAnsi="Garamond"/>
          <w:sz w:val="18"/>
          <w:szCs w:val="18"/>
          <w:lang w:val="pt-PT"/>
        </w:rPr>
        <w:t xml:space="preserve">, p. </w:t>
      </w:r>
      <w:r w:rsidRPr="00100944">
        <w:rPr>
          <w:rFonts w:ascii="Garamond" w:hAnsi="Garamond"/>
          <w:sz w:val="18"/>
          <w:szCs w:val="18"/>
          <w:lang w:val="pt-PT"/>
        </w:rPr>
        <w:t>53</w:t>
      </w:r>
      <w:r>
        <w:rPr>
          <w:rFonts w:ascii="Garamond" w:hAnsi="Garamond"/>
          <w:sz w:val="18"/>
          <w:szCs w:val="18"/>
          <w:lang w:val="pt-PT"/>
        </w:rPr>
        <w:t>.</w:t>
      </w:r>
    </w:p>
  </w:footnote>
  <w:footnote w:id="64">
    <w:p w:rsidR="008010FB" w:rsidRPr="00AE1628" w:rsidRDefault="008010FB" w:rsidP="008010FB">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AE1628">
        <w:rPr>
          <w:rFonts w:ascii="Garamond" w:hAnsi="Garamond"/>
          <w:sz w:val="18"/>
          <w:szCs w:val="18"/>
          <w:lang w:val="pt-PT"/>
        </w:rPr>
        <w:t xml:space="preserve"> Siza, </w:t>
      </w:r>
      <w:r w:rsidRPr="00AE1628">
        <w:rPr>
          <w:rFonts w:ascii="Garamond" w:hAnsi="Garamond"/>
          <w:i/>
          <w:iCs/>
          <w:sz w:val="18"/>
          <w:szCs w:val="18"/>
          <w:lang w:val="pt-PT"/>
        </w:rPr>
        <w:t>Imaginar a Evidência</w:t>
      </w:r>
      <w:r w:rsidRPr="00AE1628">
        <w:rPr>
          <w:rFonts w:ascii="Garamond" w:hAnsi="Garamond"/>
          <w:sz w:val="18"/>
          <w:szCs w:val="18"/>
          <w:lang w:val="pt-PT"/>
        </w:rPr>
        <w:t>, p.</w:t>
      </w:r>
      <w:r>
        <w:rPr>
          <w:rFonts w:ascii="Garamond" w:hAnsi="Garamond"/>
          <w:sz w:val="18"/>
          <w:szCs w:val="18"/>
          <w:lang w:val="pt-PT"/>
        </w:rPr>
        <w:t xml:space="preserve"> </w:t>
      </w:r>
      <w:r w:rsidRPr="00AE1628">
        <w:rPr>
          <w:rFonts w:ascii="Garamond" w:hAnsi="Garamond"/>
          <w:sz w:val="18"/>
          <w:szCs w:val="18"/>
          <w:lang w:val="pt-PT"/>
        </w:rPr>
        <w:t>53</w:t>
      </w:r>
      <w:r>
        <w:rPr>
          <w:rFonts w:ascii="Garamond" w:hAnsi="Garamond"/>
          <w:sz w:val="18"/>
          <w:szCs w:val="18"/>
          <w:lang w:val="pt-PT"/>
        </w:rPr>
        <w:t>.</w:t>
      </w:r>
    </w:p>
  </w:footnote>
  <w:footnote w:id="65">
    <w:p w:rsidR="007A1CC2" w:rsidRPr="00AE1628" w:rsidRDefault="007A1CC2" w:rsidP="000C4362">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AE1628">
        <w:rPr>
          <w:rFonts w:ascii="Garamond" w:hAnsi="Garamond"/>
          <w:sz w:val="18"/>
          <w:szCs w:val="18"/>
          <w:lang w:val="pt-PT"/>
        </w:rPr>
        <w:t xml:space="preserve"> Siza, </w:t>
      </w:r>
      <w:r w:rsidRPr="00AE1628">
        <w:rPr>
          <w:rFonts w:ascii="Garamond" w:hAnsi="Garamond"/>
          <w:i/>
          <w:iCs/>
          <w:sz w:val="18"/>
          <w:szCs w:val="18"/>
          <w:lang w:val="pt-PT"/>
        </w:rPr>
        <w:t>Imaginar a Evidência</w:t>
      </w:r>
      <w:r w:rsidRPr="00AE1628">
        <w:rPr>
          <w:rFonts w:ascii="Garamond" w:hAnsi="Garamond"/>
          <w:sz w:val="18"/>
          <w:szCs w:val="18"/>
          <w:lang w:val="pt-PT"/>
        </w:rPr>
        <w:t>, p. 6</w:t>
      </w:r>
      <w:r>
        <w:rPr>
          <w:rFonts w:ascii="Garamond" w:hAnsi="Garamond"/>
          <w:sz w:val="18"/>
          <w:szCs w:val="18"/>
          <w:lang w:val="pt-PT"/>
        </w:rPr>
        <w:t>1.</w:t>
      </w:r>
    </w:p>
  </w:footnote>
  <w:footnote w:id="66">
    <w:p w:rsidR="007A1CC2" w:rsidRPr="009C5CBA" w:rsidRDefault="007A1CC2" w:rsidP="000C4362">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9C5CBA">
        <w:rPr>
          <w:rFonts w:ascii="Garamond" w:hAnsi="Garamond"/>
          <w:sz w:val="18"/>
          <w:szCs w:val="18"/>
          <w:lang w:val="en-US"/>
        </w:rPr>
        <w:t xml:space="preserve"> </w:t>
      </w:r>
      <w:r w:rsidRPr="00AE1628">
        <w:rPr>
          <w:rFonts w:ascii="Garamond" w:hAnsi="Garamond"/>
          <w:sz w:val="18"/>
          <w:szCs w:val="18"/>
          <w:lang w:val="en-US"/>
        </w:rPr>
        <w:t xml:space="preserve">Spiro Kostof, </w:t>
      </w:r>
      <w:r w:rsidRPr="00AE1628">
        <w:rPr>
          <w:rFonts w:ascii="Garamond" w:hAnsi="Garamond"/>
          <w:i/>
          <w:iCs/>
          <w:sz w:val="18"/>
          <w:szCs w:val="18"/>
          <w:lang w:val="en-US"/>
        </w:rPr>
        <w:t>History of Architecture. Settings and Rituals</w:t>
      </w:r>
      <w:r w:rsidRPr="00AE1628">
        <w:rPr>
          <w:rFonts w:ascii="Garamond" w:hAnsi="Garamond"/>
          <w:sz w:val="18"/>
          <w:szCs w:val="18"/>
          <w:lang w:val="en-US"/>
        </w:rPr>
        <w:t xml:space="preserve"> (New York/Oxford: Oxford University Press, 1995), pp. 32</w:t>
      </w:r>
      <w:r>
        <w:rPr>
          <w:rFonts w:ascii="Garamond" w:hAnsi="Garamond"/>
          <w:sz w:val="18"/>
          <w:szCs w:val="18"/>
          <w:lang w:val="en-US"/>
        </w:rPr>
        <w:t>8.</w:t>
      </w:r>
    </w:p>
  </w:footnote>
  <w:footnote w:id="67">
    <w:p w:rsidR="007A1CC2" w:rsidRPr="00100944" w:rsidRDefault="007A1CC2" w:rsidP="000C4362">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100944">
        <w:rPr>
          <w:rFonts w:ascii="Garamond" w:hAnsi="Garamond"/>
          <w:sz w:val="18"/>
          <w:szCs w:val="18"/>
        </w:rPr>
        <w:t xml:space="preserve"> </w:t>
      </w:r>
      <w:r w:rsidRPr="00AE1628">
        <w:rPr>
          <w:rFonts w:ascii="Garamond" w:hAnsi="Garamond"/>
          <w:sz w:val="18"/>
          <w:szCs w:val="18"/>
          <w:lang w:val="en-US"/>
        </w:rPr>
        <w:t xml:space="preserve">Kostof, </w:t>
      </w:r>
      <w:r w:rsidRPr="00AE1628">
        <w:rPr>
          <w:rFonts w:ascii="Garamond" w:hAnsi="Garamond"/>
          <w:i/>
          <w:iCs/>
          <w:sz w:val="18"/>
          <w:szCs w:val="18"/>
          <w:lang w:val="en-US"/>
        </w:rPr>
        <w:t>History of Architecture</w:t>
      </w:r>
      <w:r w:rsidRPr="00100944">
        <w:rPr>
          <w:rFonts w:ascii="Garamond" w:hAnsi="Garamond"/>
          <w:sz w:val="18"/>
          <w:szCs w:val="18"/>
          <w:lang w:val="en-US"/>
        </w:rPr>
        <w:t>, p.328</w:t>
      </w:r>
      <w:r>
        <w:rPr>
          <w:rFonts w:ascii="Garamond" w:hAnsi="Garamond"/>
          <w:sz w:val="18"/>
          <w:szCs w:val="18"/>
          <w:lang w:val="en-US"/>
        </w:rPr>
        <w:t>.</w:t>
      </w:r>
    </w:p>
  </w:footnote>
  <w:footnote w:id="68">
    <w:p w:rsidR="007A1CC2" w:rsidRPr="002B2C94" w:rsidRDefault="007A1CC2" w:rsidP="000C4362">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2B2C94">
        <w:rPr>
          <w:rFonts w:ascii="Garamond" w:hAnsi="Garamond"/>
          <w:sz w:val="18"/>
          <w:szCs w:val="18"/>
          <w:lang w:val="en-US"/>
        </w:rPr>
        <w:t xml:space="preserve"> Curtis, </w:t>
      </w:r>
      <w:r w:rsidRPr="002B2C94">
        <w:rPr>
          <w:rFonts w:ascii="Garamond" w:hAnsi="Garamond"/>
          <w:i/>
          <w:iCs/>
          <w:sz w:val="18"/>
          <w:szCs w:val="18"/>
          <w:lang w:val="en-US"/>
        </w:rPr>
        <w:t>Una Conversación</w:t>
      </w:r>
      <w:r w:rsidRPr="002B2C94">
        <w:rPr>
          <w:rFonts w:ascii="Garamond" w:hAnsi="Garamond"/>
          <w:sz w:val="18"/>
          <w:szCs w:val="18"/>
          <w:lang w:val="en-US"/>
        </w:rPr>
        <w:t>, p. 13.</w:t>
      </w:r>
    </w:p>
  </w:footnote>
  <w:footnote w:id="69">
    <w:p w:rsidR="007A1CC2" w:rsidRPr="000C4362" w:rsidRDefault="007A1CC2" w:rsidP="00316AD7">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0C4362">
        <w:rPr>
          <w:rFonts w:ascii="Garamond" w:hAnsi="Garamond"/>
          <w:sz w:val="18"/>
          <w:szCs w:val="18"/>
          <w:lang w:val="en-US"/>
        </w:rPr>
        <w:t xml:space="preserve"> Kenneth Frampton</w:t>
      </w:r>
      <w:r>
        <w:rPr>
          <w:rFonts w:ascii="Garamond" w:hAnsi="Garamond"/>
          <w:sz w:val="18"/>
          <w:szCs w:val="18"/>
          <w:lang w:val="en-US"/>
        </w:rPr>
        <w:t>,</w:t>
      </w:r>
      <w:r w:rsidRPr="000C4362">
        <w:rPr>
          <w:rFonts w:ascii="Garamond" w:hAnsi="Garamond"/>
          <w:sz w:val="18"/>
          <w:szCs w:val="18"/>
          <w:lang w:val="en-US"/>
        </w:rPr>
        <w:t xml:space="preserve"> in AAVV, </w:t>
      </w:r>
      <w:r w:rsidRPr="000C4362">
        <w:rPr>
          <w:rFonts w:ascii="Garamond" w:hAnsi="Garamond"/>
          <w:i/>
          <w:iCs/>
          <w:sz w:val="18"/>
          <w:szCs w:val="18"/>
          <w:lang w:val="en-US"/>
        </w:rPr>
        <w:t>Igreja de Santa Maria/Church of St Mary. Marco de Canaveses</w:t>
      </w:r>
      <w:r w:rsidRPr="000C4362">
        <w:rPr>
          <w:rFonts w:ascii="Garamond" w:hAnsi="Garamond"/>
          <w:sz w:val="18"/>
          <w:szCs w:val="18"/>
          <w:lang w:val="en-US"/>
        </w:rPr>
        <w:t xml:space="preserve"> (Marco de Canaveses: Igreja de Santa Maria, 2016), p.</w:t>
      </w:r>
      <w:r>
        <w:rPr>
          <w:rFonts w:ascii="Garamond" w:hAnsi="Garamond"/>
          <w:sz w:val="18"/>
          <w:szCs w:val="18"/>
          <w:lang w:val="en-US"/>
        </w:rPr>
        <w:t xml:space="preserve"> </w:t>
      </w:r>
      <w:r w:rsidRPr="000C4362">
        <w:rPr>
          <w:rFonts w:ascii="Garamond" w:hAnsi="Garamond"/>
          <w:sz w:val="18"/>
          <w:szCs w:val="18"/>
          <w:lang w:val="en-US"/>
        </w:rPr>
        <w:t>6</w:t>
      </w:r>
      <w:r>
        <w:rPr>
          <w:rFonts w:ascii="Garamond" w:hAnsi="Garamond"/>
          <w:sz w:val="18"/>
          <w:szCs w:val="18"/>
          <w:lang w:val="en-US"/>
        </w:rPr>
        <w:t>4;</w:t>
      </w:r>
      <w:r w:rsidRPr="000C4362">
        <w:rPr>
          <w:rFonts w:ascii="Garamond" w:hAnsi="Garamond"/>
          <w:sz w:val="18"/>
          <w:szCs w:val="18"/>
          <w:lang w:val="en-US"/>
        </w:rPr>
        <w:t xml:space="preserve"> Curtis, </w:t>
      </w:r>
      <w:r w:rsidRPr="000C4362">
        <w:rPr>
          <w:rFonts w:ascii="Garamond" w:hAnsi="Garamond"/>
          <w:i/>
          <w:iCs/>
          <w:sz w:val="18"/>
          <w:szCs w:val="18"/>
          <w:lang w:val="en-US"/>
        </w:rPr>
        <w:t>Una Conversación</w:t>
      </w:r>
      <w:r w:rsidRPr="000C4362">
        <w:rPr>
          <w:rFonts w:ascii="Garamond" w:hAnsi="Garamond"/>
          <w:sz w:val="18"/>
          <w:szCs w:val="18"/>
          <w:lang w:val="en-US"/>
        </w:rPr>
        <w:t>, p. 13</w:t>
      </w:r>
      <w:r>
        <w:rPr>
          <w:rFonts w:ascii="Garamond" w:hAnsi="Garamond"/>
          <w:sz w:val="18"/>
          <w:szCs w:val="18"/>
          <w:lang w:val="en-US"/>
        </w:rPr>
        <w:t>,</w:t>
      </w:r>
      <w:r w:rsidRPr="000C4362">
        <w:rPr>
          <w:rFonts w:ascii="Garamond" w:hAnsi="Garamond"/>
          <w:sz w:val="18"/>
          <w:szCs w:val="18"/>
          <w:lang w:val="en-US"/>
        </w:rPr>
        <w:t xml:space="preserve"> and Philip Jodidio, in AAVV, </w:t>
      </w:r>
      <w:r w:rsidRPr="000C4362">
        <w:rPr>
          <w:rFonts w:ascii="Garamond" w:hAnsi="Garamond"/>
          <w:i/>
          <w:iCs/>
          <w:sz w:val="18"/>
          <w:szCs w:val="18"/>
          <w:lang w:val="en-US"/>
        </w:rPr>
        <w:t xml:space="preserve">Igreja de Santa Maria/Church of St Mary. </w:t>
      </w:r>
      <w:r w:rsidRPr="000C4362">
        <w:rPr>
          <w:rFonts w:ascii="Garamond" w:hAnsi="Garamond"/>
          <w:i/>
          <w:iCs/>
          <w:sz w:val="18"/>
          <w:szCs w:val="18"/>
          <w:lang w:val="pt-PT"/>
        </w:rPr>
        <w:t>Marco de Canaveses</w:t>
      </w:r>
      <w:r w:rsidRPr="000C4362">
        <w:rPr>
          <w:rFonts w:ascii="Garamond" w:hAnsi="Garamond"/>
          <w:sz w:val="18"/>
          <w:szCs w:val="18"/>
          <w:lang w:val="pt-PT"/>
        </w:rPr>
        <w:t xml:space="preserve"> (Marco de Canaveses: Igreja de Santa Maria, 2016), p.</w:t>
      </w:r>
      <w:r>
        <w:rPr>
          <w:rFonts w:ascii="Garamond" w:hAnsi="Garamond"/>
          <w:sz w:val="18"/>
          <w:szCs w:val="18"/>
          <w:lang w:val="pt-PT"/>
        </w:rPr>
        <w:t xml:space="preserve"> </w:t>
      </w:r>
      <w:r w:rsidRPr="000C4362">
        <w:rPr>
          <w:rFonts w:ascii="Garamond" w:hAnsi="Garamond"/>
          <w:sz w:val="18"/>
          <w:szCs w:val="18"/>
          <w:lang w:val="pt-PT"/>
        </w:rPr>
        <w:t>6</w:t>
      </w:r>
      <w:r>
        <w:rPr>
          <w:rFonts w:ascii="Garamond" w:hAnsi="Garamond"/>
          <w:sz w:val="18"/>
          <w:szCs w:val="18"/>
          <w:lang w:val="pt-PT"/>
        </w:rPr>
        <w:t>6.</w:t>
      </w:r>
    </w:p>
  </w:footnote>
  <w:footnote w:id="70">
    <w:p w:rsidR="007768F5" w:rsidRPr="00100944" w:rsidRDefault="007768F5" w:rsidP="007768F5">
      <w:pPr>
        <w:pStyle w:val="Textodenotaderodap"/>
        <w:rPr>
          <w:rFonts w:ascii="Garamond" w:hAnsi="Garamond"/>
          <w:sz w:val="18"/>
          <w:szCs w:val="18"/>
          <w:lang w:val="pt-PT"/>
        </w:rPr>
      </w:pPr>
      <w:r w:rsidRPr="00100944">
        <w:rPr>
          <w:rStyle w:val="Refdenotaderodap"/>
          <w:rFonts w:ascii="Garamond" w:hAnsi="Garamond"/>
          <w:sz w:val="18"/>
          <w:szCs w:val="18"/>
        </w:rPr>
        <w:footnoteRef/>
      </w:r>
      <w:r w:rsidRPr="009C5CBA">
        <w:rPr>
          <w:rFonts w:ascii="Garamond" w:hAnsi="Garamond"/>
          <w:sz w:val="18"/>
          <w:szCs w:val="18"/>
          <w:lang w:val="pt-PT"/>
        </w:rPr>
        <w:t xml:space="preserve"> </w:t>
      </w:r>
      <w:r w:rsidRPr="00AE1628">
        <w:rPr>
          <w:rFonts w:ascii="Garamond" w:hAnsi="Garamond"/>
          <w:sz w:val="18"/>
          <w:szCs w:val="18"/>
          <w:lang w:val="pt-PT"/>
        </w:rPr>
        <w:t xml:space="preserve">Siza, </w:t>
      </w:r>
      <w:r w:rsidRPr="00AE1628">
        <w:rPr>
          <w:rFonts w:ascii="Garamond" w:hAnsi="Garamond"/>
          <w:i/>
          <w:iCs/>
          <w:sz w:val="18"/>
          <w:szCs w:val="18"/>
          <w:lang w:val="pt-PT"/>
        </w:rPr>
        <w:t>Imaginar a Evidência</w:t>
      </w:r>
      <w:r w:rsidRPr="00AE1628">
        <w:rPr>
          <w:rFonts w:ascii="Garamond" w:hAnsi="Garamond"/>
          <w:sz w:val="18"/>
          <w:szCs w:val="18"/>
          <w:lang w:val="pt-PT"/>
        </w:rPr>
        <w:t xml:space="preserve">, p. </w:t>
      </w:r>
      <w:r>
        <w:rPr>
          <w:rFonts w:ascii="Garamond" w:hAnsi="Garamond"/>
          <w:sz w:val="18"/>
          <w:szCs w:val="18"/>
          <w:lang w:val="pt-PT"/>
        </w:rPr>
        <w:t>55 and</w:t>
      </w:r>
      <w:r w:rsidRPr="007768F5">
        <w:rPr>
          <w:rFonts w:ascii="Garamond" w:hAnsi="Garamond"/>
          <w:sz w:val="18"/>
          <w:szCs w:val="18"/>
          <w:lang w:val="pt-PT"/>
        </w:rPr>
        <w:t xml:space="preserve"> Machabert and Beaudouin, </w:t>
      </w:r>
      <w:r w:rsidRPr="007768F5">
        <w:rPr>
          <w:rFonts w:ascii="Garamond" w:hAnsi="Garamond"/>
          <w:i/>
          <w:iCs/>
          <w:sz w:val="18"/>
          <w:szCs w:val="18"/>
          <w:lang w:val="pt-PT"/>
        </w:rPr>
        <w:t>Igreja de Santa Maria/Church of St Mary</w:t>
      </w:r>
      <w:r w:rsidRPr="007768F5">
        <w:rPr>
          <w:rFonts w:ascii="Garamond" w:hAnsi="Garamond"/>
          <w:sz w:val="18"/>
          <w:szCs w:val="18"/>
          <w:lang w:val="pt-PT"/>
        </w:rPr>
        <w:t>, p. 60.</w:t>
      </w:r>
    </w:p>
  </w:footnote>
  <w:footnote w:id="71">
    <w:p w:rsidR="007A1CC2" w:rsidRPr="009C5CBA" w:rsidRDefault="007A1CC2" w:rsidP="00582FDE">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9C5CBA">
        <w:rPr>
          <w:rFonts w:ascii="Garamond" w:hAnsi="Garamond"/>
          <w:sz w:val="18"/>
          <w:szCs w:val="18"/>
          <w:lang w:val="pt-PT"/>
        </w:rPr>
        <w:t xml:space="preserve"> </w:t>
      </w:r>
      <w:r w:rsidRPr="00AE1628">
        <w:rPr>
          <w:rFonts w:ascii="Garamond" w:hAnsi="Garamond"/>
          <w:sz w:val="18"/>
          <w:szCs w:val="18"/>
          <w:lang w:val="pt-PT"/>
        </w:rPr>
        <w:t xml:space="preserve">Siza, </w:t>
      </w:r>
      <w:r w:rsidRPr="00AE1628">
        <w:rPr>
          <w:rFonts w:ascii="Garamond" w:hAnsi="Garamond"/>
          <w:i/>
          <w:iCs/>
          <w:sz w:val="18"/>
          <w:szCs w:val="18"/>
          <w:lang w:val="pt-PT"/>
        </w:rPr>
        <w:t>Imaginar a Evidência</w:t>
      </w:r>
      <w:r w:rsidRPr="00AE1628">
        <w:rPr>
          <w:rFonts w:ascii="Garamond" w:hAnsi="Garamond"/>
          <w:sz w:val="18"/>
          <w:szCs w:val="18"/>
          <w:lang w:val="pt-PT"/>
        </w:rPr>
        <w:t>, p</w:t>
      </w:r>
      <w:r>
        <w:rPr>
          <w:rFonts w:ascii="Garamond" w:hAnsi="Garamond"/>
          <w:sz w:val="18"/>
          <w:szCs w:val="18"/>
          <w:lang w:val="pt-PT"/>
        </w:rPr>
        <w:t>p</w:t>
      </w:r>
      <w:r w:rsidRPr="00AE1628">
        <w:rPr>
          <w:rFonts w:ascii="Garamond" w:hAnsi="Garamond"/>
          <w:sz w:val="18"/>
          <w:szCs w:val="18"/>
          <w:lang w:val="pt-PT"/>
        </w:rPr>
        <w:t xml:space="preserve">. </w:t>
      </w:r>
      <w:r w:rsidRPr="009C5CBA">
        <w:rPr>
          <w:rFonts w:ascii="Garamond" w:hAnsi="Garamond"/>
          <w:sz w:val="18"/>
          <w:szCs w:val="18"/>
          <w:lang w:val="pt-PT"/>
        </w:rPr>
        <w:t>61</w:t>
      </w:r>
      <w:r>
        <w:rPr>
          <w:rFonts w:ascii="Garamond" w:hAnsi="Garamond"/>
          <w:sz w:val="18"/>
          <w:szCs w:val="18"/>
          <w:lang w:val="pt-PT"/>
        </w:rPr>
        <w:t>, 6</w:t>
      </w:r>
      <w:r w:rsidRPr="009C5CBA">
        <w:rPr>
          <w:rFonts w:ascii="Garamond" w:hAnsi="Garamond"/>
          <w:sz w:val="18"/>
          <w:szCs w:val="18"/>
          <w:lang w:val="pt-PT"/>
        </w:rPr>
        <w:t>3.</w:t>
      </w:r>
    </w:p>
  </w:footnote>
  <w:footnote w:id="72">
    <w:p w:rsidR="007A1CC2" w:rsidRPr="00100944" w:rsidRDefault="007A1CC2" w:rsidP="00582FDE">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100944">
        <w:rPr>
          <w:rFonts w:ascii="Garamond" w:hAnsi="Garamond"/>
          <w:sz w:val="18"/>
          <w:szCs w:val="18"/>
          <w:lang w:val="pt-PT"/>
        </w:rPr>
        <w:t xml:space="preserve"> </w:t>
      </w:r>
      <w:r w:rsidRPr="00AE1628">
        <w:rPr>
          <w:rFonts w:ascii="Garamond" w:hAnsi="Garamond"/>
          <w:sz w:val="18"/>
          <w:szCs w:val="18"/>
          <w:lang w:val="pt-PT"/>
        </w:rPr>
        <w:t xml:space="preserve">Siza, </w:t>
      </w:r>
      <w:r w:rsidRPr="00AE1628">
        <w:rPr>
          <w:rFonts w:ascii="Garamond" w:hAnsi="Garamond"/>
          <w:i/>
          <w:iCs/>
          <w:sz w:val="18"/>
          <w:szCs w:val="18"/>
          <w:lang w:val="pt-PT"/>
        </w:rPr>
        <w:t>Imaginar a Evidência</w:t>
      </w:r>
      <w:r w:rsidRPr="00AE1628">
        <w:rPr>
          <w:rFonts w:ascii="Garamond" w:hAnsi="Garamond"/>
          <w:sz w:val="18"/>
          <w:szCs w:val="18"/>
          <w:lang w:val="pt-PT"/>
        </w:rPr>
        <w:t>, p</w:t>
      </w:r>
      <w:r>
        <w:rPr>
          <w:rFonts w:ascii="Garamond" w:hAnsi="Garamond"/>
          <w:sz w:val="18"/>
          <w:szCs w:val="18"/>
          <w:lang w:val="pt-PT"/>
        </w:rPr>
        <w:t>p</w:t>
      </w:r>
      <w:r w:rsidRPr="00AE1628">
        <w:rPr>
          <w:rFonts w:ascii="Garamond" w:hAnsi="Garamond"/>
          <w:sz w:val="18"/>
          <w:szCs w:val="18"/>
          <w:lang w:val="pt-PT"/>
        </w:rPr>
        <w:t xml:space="preserve">. </w:t>
      </w:r>
      <w:r w:rsidRPr="009C5CBA">
        <w:rPr>
          <w:rFonts w:ascii="Garamond" w:hAnsi="Garamond"/>
          <w:sz w:val="18"/>
          <w:szCs w:val="18"/>
          <w:lang w:val="pt-PT"/>
        </w:rPr>
        <w:t>61</w:t>
      </w:r>
      <w:r>
        <w:rPr>
          <w:rFonts w:ascii="Garamond" w:hAnsi="Garamond"/>
          <w:sz w:val="18"/>
          <w:szCs w:val="18"/>
          <w:lang w:val="pt-PT"/>
        </w:rPr>
        <w:t>, 6</w:t>
      </w:r>
      <w:r w:rsidRPr="009C5CBA">
        <w:rPr>
          <w:rFonts w:ascii="Garamond" w:hAnsi="Garamond"/>
          <w:sz w:val="18"/>
          <w:szCs w:val="18"/>
          <w:lang w:val="pt-PT"/>
        </w:rPr>
        <w:t>3.</w:t>
      </w:r>
    </w:p>
  </w:footnote>
  <w:footnote w:id="73">
    <w:p w:rsidR="007A1CC2" w:rsidRPr="00A8421D" w:rsidRDefault="007A1CC2" w:rsidP="00582FDE">
      <w:pPr>
        <w:pStyle w:val="Textodenotaderodap"/>
        <w:jc w:val="both"/>
        <w:rPr>
          <w:rFonts w:ascii="Garamond" w:hAnsi="Garamond"/>
          <w:sz w:val="18"/>
          <w:szCs w:val="18"/>
          <w:lang w:val="es-ES"/>
        </w:rPr>
      </w:pPr>
      <w:r w:rsidRPr="00100944">
        <w:rPr>
          <w:rStyle w:val="Refdenotaderodap"/>
          <w:rFonts w:ascii="Garamond" w:hAnsi="Garamond"/>
          <w:sz w:val="18"/>
          <w:szCs w:val="18"/>
        </w:rPr>
        <w:footnoteRef/>
      </w:r>
      <w:r w:rsidRPr="00A8421D">
        <w:rPr>
          <w:rFonts w:ascii="Garamond" w:hAnsi="Garamond"/>
          <w:sz w:val="18"/>
          <w:szCs w:val="18"/>
          <w:lang w:val="es-ES"/>
        </w:rPr>
        <w:t xml:space="preserve"> Curtis, </w:t>
      </w:r>
      <w:r w:rsidRPr="00A8421D">
        <w:rPr>
          <w:rFonts w:ascii="Garamond" w:hAnsi="Garamond"/>
          <w:i/>
          <w:iCs/>
          <w:sz w:val="18"/>
          <w:szCs w:val="18"/>
          <w:lang w:val="es-ES"/>
        </w:rPr>
        <w:t>Una Conversación</w:t>
      </w:r>
      <w:r w:rsidRPr="00A8421D">
        <w:rPr>
          <w:rFonts w:ascii="Garamond" w:hAnsi="Garamond"/>
          <w:sz w:val="18"/>
          <w:szCs w:val="18"/>
          <w:lang w:val="es-ES"/>
        </w:rPr>
        <w:t>, p. 1</w:t>
      </w:r>
      <w:r>
        <w:rPr>
          <w:rFonts w:ascii="Garamond" w:hAnsi="Garamond"/>
          <w:sz w:val="18"/>
          <w:szCs w:val="18"/>
          <w:lang w:val="es-ES"/>
        </w:rPr>
        <w:t>2.</w:t>
      </w:r>
    </w:p>
  </w:footnote>
  <w:footnote w:id="74">
    <w:p w:rsidR="007A1CC2" w:rsidRPr="002B2C94" w:rsidRDefault="007A1CC2" w:rsidP="00582FDE">
      <w:pPr>
        <w:pStyle w:val="Textodenotaderodap"/>
        <w:jc w:val="both"/>
        <w:rPr>
          <w:rFonts w:ascii="Garamond" w:hAnsi="Garamond"/>
          <w:sz w:val="18"/>
          <w:szCs w:val="18"/>
          <w:lang w:val="es-ES"/>
        </w:rPr>
      </w:pPr>
      <w:r w:rsidRPr="00100944">
        <w:rPr>
          <w:rStyle w:val="Refdenotaderodap"/>
          <w:rFonts w:ascii="Garamond" w:hAnsi="Garamond"/>
          <w:sz w:val="18"/>
          <w:szCs w:val="18"/>
        </w:rPr>
        <w:footnoteRef/>
      </w:r>
      <w:r w:rsidRPr="002B2C94">
        <w:rPr>
          <w:rFonts w:ascii="Garamond" w:hAnsi="Garamond"/>
          <w:sz w:val="18"/>
          <w:szCs w:val="18"/>
          <w:lang w:val="es-ES"/>
        </w:rPr>
        <w:t xml:space="preserve"> Curtis, </w:t>
      </w:r>
      <w:r w:rsidRPr="002B2C94">
        <w:rPr>
          <w:rFonts w:ascii="Garamond" w:hAnsi="Garamond"/>
          <w:i/>
          <w:iCs/>
          <w:sz w:val="18"/>
          <w:szCs w:val="18"/>
          <w:lang w:val="es-ES"/>
        </w:rPr>
        <w:t>Una Conversación</w:t>
      </w:r>
      <w:r w:rsidRPr="002B2C94">
        <w:rPr>
          <w:rFonts w:ascii="Garamond" w:hAnsi="Garamond"/>
          <w:sz w:val="18"/>
          <w:szCs w:val="18"/>
          <w:lang w:val="es-ES"/>
        </w:rPr>
        <w:t xml:space="preserve">, p. 13 and Frampton, </w:t>
      </w:r>
      <w:r w:rsidRPr="002B2C94">
        <w:rPr>
          <w:rFonts w:ascii="Garamond" w:hAnsi="Garamond"/>
          <w:i/>
          <w:iCs/>
          <w:sz w:val="18"/>
          <w:szCs w:val="18"/>
          <w:lang w:val="es-ES"/>
        </w:rPr>
        <w:t>Igreja de Santa Maria/Church of St Mary</w:t>
      </w:r>
      <w:r w:rsidRPr="002B2C94">
        <w:rPr>
          <w:rFonts w:ascii="Garamond" w:hAnsi="Garamond"/>
          <w:sz w:val="18"/>
          <w:szCs w:val="18"/>
          <w:lang w:val="es-ES"/>
        </w:rPr>
        <w:t>, p. 64.</w:t>
      </w:r>
    </w:p>
  </w:footnote>
  <w:footnote w:id="75">
    <w:p w:rsidR="007A1CC2" w:rsidRPr="009C5CBA" w:rsidRDefault="007A1CC2" w:rsidP="00582FDE">
      <w:pPr>
        <w:pStyle w:val="Textodenotaderodap"/>
        <w:jc w:val="both"/>
        <w:rPr>
          <w:rFonts w:ascii="Garamond" w:hAnsi="Garamond"/>
          <w:sz w:val="18"/>
          <w:szCs w:val="18"/>
          <w:lang w:val="en-US"/>
        </w:rPr>
      </w:pPr>
      <w:r w:rsidRPr="00100944">
        <w:rPr>
          <w:rStyle w:val="Refdenotaderodap"/>
          <w:rFonts w:ascii="Garamond" w:hAnsi="Garamond"/>
          <w:sz w:val="18"/>
          <w:szCs w:val="18"/>
        </w:rPr>
        <w:footnoteRef/>
      </w:r>
      <w:r w:rsidRPr="009C5CBA">
        <w:rPr>
          <w:rFonts w:ascii="Garamond" w:hAnsi="Garamond"/>
          <w:sz w:val="18"/>
          <w:szCs w:val="18"/>
          <w:lang w:val="en-US"/>
        </w:rPr>
        <w:t xml:space="preserve"> </w:t>
      </w:r>
      <w:r w:rsidRPr="00A8421D">
        <w:rPr>
          <w:rFonts w:ascii="Garamond" w:hAnsi="Garamond"/>
          <w:sz w:val="18"/>
          <w:szCs w:val="18"/>
          <w:lang w:val="en-US"/>
        </w:rPr>
        <w:t xml:space="preserve">Lynch, Patrick, ‘Alvaro Siza and Santa Maria at Marco de Canavezes’, </w:t>
      </w:r>
      <w:r w:rsidRPr="00034838">
        <w:rPr>
          <w:rFonts w:ascii="Garamond" w:hAnsi="Garamond"/>
          <w:i/>
          <w:iCs/>
          <w:sz w:val="18"/>
          <w:szCs w:val="18"/>
          <w:lang w:val="en-US"/>
        </w:rPr>
        <w:t>Building Material</w:t>
      </w:r>
      <w:r w:rsidRPr="00A8421D">
        <w:rPr>
          <w:rFonts w:ascii="Garamond" w:hAnsi="Garamond"/>
          <w:sz w:val="18"/>
          <w:szCs w:val="18"/>
          <w:lang w:val="en-US"/>
        </w:rPr>
        <w:t>, 20 (2016), pp. 41</w:t>
      </w:r>
      <w:r>
        <w:rPr>
          <w:rFonts w:ascii="Garamond" w:hAnsi="Garamond"/>
          <w:sz w:val="18"/>
          <w:szCs w:val="18"/>
          <w:lang w:val="en-US"/>
        </w:rPr>
        <w:t>.</w:t>
      </w:r>
    </w:p>
  </w:footnote>
  <w:footnote w:id="76">
    <w:p w:rsidR="007A1CC2" w:rsidRPr="000B2B0C" w:rsidRDefault="007A1CC2" w:rsidP="00582FDE">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0B2B0C">
        <w:rPr>
          <w:rFonts w:ascii="Garamond" w:hAnsi="Garamond"/>
          <w:sz w:val="18"/>
          <w:szCs w:val="18"/>
          <w:lang w:val="pt-PT"/>
        </w:rPr>
        <w:t xml:space="preserve"> Eduardo Souto de Moura, </w:t>
      </w:r>
      <w:r w:rsidRPr="000B2B0C">
        <w:rPr>
          <w:rFonts w:ascii="Garamond" w:hAnsi="Garamond"/>
          <w:i/>
          <w:iCs/>
          <w:sz w:val="18"/>
          <w:szCs w:val="18"/>
          <w:lang w:val="pt-PT"/>
        </w:rPr>
        <w:t>Testemunho sobre Álvaro Siza</w:t>
      </w:r>
      <w:r w:rsidRPr="000B2B0C">
        <w:rPr>
          <w:rFonts w:ascii="Garamond" w:hAnsi="Garamond"/>
          <w:sz w:val="18"/>
          <w:szCs w:val="18"/>
          <w:lang w:val="pt-PT"/>
        </w:rPr>
        <w:t>, EXPOSIÇÃO SIZA (2019) | SERRALVES, online vídeo recording, YouTube, 7 April 2020 https://www.youtube.com/watch?v=InmIyFzmi28 [accessed 17 December 2020]</w:t>
      </w:r>
    </w:p>
  </w:footnote>
  <w:footnote w:id="77">
    <w:p w:rsidR="007768F5" w:rsidRPr="007768F5" w:rsidRDefault="007768F5" w:rsidP="007768F5">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7768F5">
        <w:rPr>
          <w:rFonts w:ascii="Garamond" w:hAnsi="Garamond"/>
          <w:sz w:val="18"/>
          <w:szCs w:val="18"/>
          <w:lang w:val="pt-PT"/>
        </w:rPr>
        <w:t xml:space="preserve"> Frampton, </w:t>
      </w:r>
      <w:r w:rsidRPr="007768F5">
        <w:rPr>
          <w:rFonts w:ascii="Garamond" w:hAnsi="Garamond"/>
          <w:i/>
          <w:iCs/>
          <w:sz w:val="18"/>
          <w:szCs w:val="18"/>
          <w:lang w:val="pt-PT"/>
        </w:rPr>
        <w:t>Igreja de Santa Maria/Church of St Mary</w:t>
      </w:r>
      <w:r w:rsidRPr="007768F5">
        <w:rPr>
          <w:rFonts w:ascii="Garamond" w:hAnsi="Garamond"/>
          <w:sz w:val="18"/>
          <w:szCs w:val="18"/>
          <w:lang w:val="pt-PT"/>
        </w:rPr>
        <w:t xml:space="preserve">, p. 64 and </w:t>
      </w:r>
      <w:r w:rsidRPr="000B2B0C">
        <w:rPr>
          <w:rFonts w:ascii="Garamond" w:hAnsi="Garamond"/>
          <w:sz w:val="18"/>
          <w:szCs w:val="18"/>
          <w:lang w:val="pt-PT"/>
        </w:rPr>
        <w:t xml:space="preserve">Souto de Moura, </w:t>
      </w:r>
      <w:r w:rsidRPr="000B2B0C">
        <w:rPr>
          <w:rFonts w:ascii="Garamond" w:hAnsi="Garamond"/>
          <w:i/>
          <w:iCs/>
          <w:sz w:val="18"/>
          <w:szCs w:val="18"/>
          <w:lang w:val="pt-PT"/>
        </w:rPr>
        <w:t>Testemunho sobre Álvaro Siza</w:t>
      </w:r>
      <w:r>
        <w:rPr>
          <w:rFonts w:ascii="Garamond" w:hAnsi="Garamond"/>
          <w:sz w:val="18"/>
          <w:szCs w:val="18"/>
          <w:lang w:val="pt-PT"/>
        </w:rPr>
        <w:t xml:space="preserve">, </w:t>
      </w:r>
      <w:r w:rsidRPr="000B2B0C">
        <w:rPr>
          <w:rFonts w:ascii="Garamond" w:hAnsi="Garamond"/>
          <w:sz w:val="18"/>
          <w:szCs w:val="18"/>
          <w:lang w:val="pt-PT"/>
        </w:rPr>
        <w:t>online vídeo recording, YouTube</w:t>
      </w:r>
      <w:r>
        <w:rPr>
          <w:rFonts w:ascii="Garamond" w:hAnsi="Garamond"/>
          <w:sz w:val="18"/>
          <w:szCs w:val="18"/>
          <w:lang w:val="pt-PT"/>
        </w:rPr>
        <w:t>.</w:t>
      </w:r>
    </w:p>
  </w:footnote>
  <w:footnote w:id="78">
    <w:p w:rsidR="007A1CC2" w:rsidRPr="00100944" w:rsidRDefault="007A1CC2" w:rsidP="00582FDE">
      <w:pPr>
        <w:pStyle w:val="Textodenotaderodap"/>
        <w:jc w:val="both"/>
        <w:rPr>
          <w:rFonts w:ascii="Garamond" w:hAnsi="Garamond"/>
          <w:sz w:val="18"/>
          <w:szCs w:val="18"/>
          <w:lang w:val="pt-PT"/>
        </w:rPr>
      </w:pPr>
      <w:r w:rsidRPr="00100944">
        <w:rPr>
          <w:rStyle w:val="Refdenotaderodap"/>
          <w:rFonts w:ascii="Garamond" w:hAnsi="Garamond"/>
          <w:sz w:val="18"/>
          <w:szCs w:val="18"/>
        </w:rPr>
        <w:footnoteRef/>
      </w:r>
      <w:r w:rsidRPr="009C5CBA">
        <w:rPr>
          <w:rFonts w:ascii="Garamond" w:hAnsi="Garamond"/>
          <w:sz w:val="18"/>
          <w:szCs w:val="18"/>
          <w:lang w:val="pt-PT"/>
        </w:rPr>
        <w:t xml:space="preserve"> </w:t>
      </w:r>
      <w:r>
        <w:rPr>
          <w:rFonts w:ascii="Garamond" w:hAnsi="Garamond"/>
          <w:sz w:val="18"/>
          <w:szCs w:val="18"/>
          <w:lang w:val="pt-PT"/>
        </w:rPr>
        <w:t xml:space="preserve">Siza, in </w:t>
      </w:r>
      <w:r w:rsidRPr="00E33457">
        <w:rPr>
          <w:rFonts w:ascii="Garamond" w:hAnsi="Garamond"/>
          <w:sz w:val="18"/>
          <w:szCs w:val="18"/>
          <w:lang w:val="pt-PT"/>
        </w:rPr>
        <w:t xml:space="preserve">Vítor Gonçalves, </w:t>
      </w:r>
      <w:r w:rsidRPr="0098026B">
        <w:rPr>
          <w:rFonts w:ascii="Garamond" w:hAnsi="Garamond"/>
          <w:i/>
          <w:iCs/>
          <w:sz w:val="18"/>
          <w:szCs w:val="18"/>
          <w:lang w:val="pt-PT"/>
        </w:rPr>
        <w:t>Pode o Chão Ser Céu?</w:t>
      </w:r>
      <w:r w:rsidRPr="00E33457">
        <w:rPr>
          <w:rFonts w:ascii="Garamond" w:hAnsi="Garamond"/>
          <w:sz w:val="18"/>
          <w:szCs w:val="18"/>
          <w:lang w:val="pt-PT"/>
        </w:rPr>
        <w:t xml:space="preserve"> interview with Siza</w:t>
      </w:r>
      <w:r>
        <w:rPr>
          <w:rFonts w:ascii="Garamond" w:hAnsi="Garamond"/>
          <w:sz w:val="18"/>
          <w:szCs w:val="18"/>
          <w:lang w:val="pt-PT"/>
        </w:rPr>
        <w:t>,</w:t>
      </w:r>
      <w:r w:rsidRPr="000B2B0C">
        <w:rPr>
          <w:rFonts w:ascii="Garamond" w:hAnsi="Garamond"/>
          <w:sz w:val="18"/>
          <w:szCs w:val="18"/>
          <w:lang w:val="pt-PT"/>
        </w:rPr>
        <w:t xml:space="preserve"> online vídeo recording, YouTube</w:t>
      </w:r>
      <w:r w:rsidRPr="00E33457">
        <w:rPr>
          <w:rFonts w:ascii="Garamond" w:hAnsi="Garamond"/>
          <w:sz w:val="18"/>
          <w:szCs w:val="18"/>
          <w:lang w:val="pt-PT"/>
        </w:rPr>
        <w:t xml:space="preserve"> </w:t>
      </w:r>
      <w:r w:rsidRPr="00100944">
        <w:rPr>
          <w:rFonts w:ascii="Garamond" w:hAnsi="Garamond"/>
          <w:sz w:val="18"/>
          <w:szCs w:val="18"/>
          <w:lang w:val="pt-PT"/>
        </w:rPr>
        <w:t>[4</w:t>
      </w:r>
      <w:r>
        <w:rPr>
          <w:rFonts w:ascii="Garamond" w:hAnsi="Garamond"/>
          <w:sz w:val="18"/>
          <w:szCs w:val="18"/>
          <w:lang w:val="pt-PT"/>
        </w:rPr>
        <w:t>9</w:t>
      </w:r>
      <w:r w:rsidRPr="00100944">
        <w:rPr>
          <w:rFonts w:ascii="Garamond" w:hAnsi="Garamond"/>
          <w:sz w:val="18"/>
          <w:szCs w:val="18"/>
          <w:lang w:val="pt-PT"/>
        </w:rPr>
        <w:t>m1</w:t>
      </w:r>
      <w:r>
        <w:rPr>
          <w:rFonts w:ascii="Garamond" w:hAnsi="Garamond"/>
          <w:sz w:val="18"/>
          <w:szCs w:val="18"/>
          <w:lang w:val="pt-PT"/>
        </w:rPr>
        <w:t>9</w:t>
      </w:r>
      <w:r w:rsidRPr="00100944">
        <w:rPr>
          <w:rFonts w:ascii="Garamond" w:hAnsi="Garamond"/>
          <w:sz w:val="18"/>
          <w:szCs w:val="18"/>
          <w:lang w:val="pt-PT"/>
        </w:rPr>
        <w:t>s]</w:t>
      </w:r>
      <w:r w:rsidRPr="009C5CBA">
        <w:rPr>
          <w:rFonts w:ascii="Garamond" w:hAnsi="Garamond"/>
          <w:sz w:val="18"/>
          <w:szCs w:val="18"/>
          <w:lang w:val="pt-PT"/>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3B093A"/>
    <w:multiLevelType w:val="multilevel"/>
    <w:tmpl w:val="79C2936A"/>
    <w:lvl w:ilvl="0">
      <w:start w:val="1"/>
      <w:numFmt w:val="decimal"/>
      <w:lvlText w:val="%1."/>
      <w:lvlJc w:val="left"/>
      <w:pPr>
        <w:ind w:left="720" w:hanging="360"/>
      </w:pPr>
      <w:rPr>
        <w:rFonts w:hint="default"/>
        <w:b/>
        <w:bCs/>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5D39252E"/>
    <w:multiLevelType w:val="hybridMultilevel"/>
    <w:tmpl w:val="82D84254"/>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4"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0"/>
  </w:num>
  <w:num w:numId="2">
    <w:abstractNumId w:val="22"/>
  </w:num>
  <w:num w:numId="3">
    <w:abstractNumId w:val="10"/>
  </w:num>
  <w:num w:numId="4">
    <w:abstractNumId w:val="7"/>
  </w:num>
  <w:num w:numId="5">
    <w:abstractNumId w:val="2"/>
  </w:num>
  <w:num w:numId="6">
    <w:abstractNumId w:val="5"/>
  </w:num>
  <w:num w:numId="7">
    <w:abstractNumId w:val="14"/>
  </w:num>
  <w:num w:numId="8">
    <w:abstractNumId w:val="23"/>
  </w:num>
  <w:num w:numId="9">
    <w:abstractNumId w:val="25"/>
  </w:num>
  <w:num w:numId="10">
    <w:abstractNumId w:val="6"/>
  </w:num>
  <w:num w:numId="11">
    <w:abstractNumId w:val="21"/>
  </w:num>
  <w:num w:numId="12">
    <w:abstractNumId w:val="24"/>
  </w:num>
  <w:num w:numId="13">
    <w:abstractNumId w:val="12"/>
  </w:num>
  <w:num w:numId="14">
    <w:abstractNumId w:val="15"/>
  </w:num>
  <w:num w:numId="15">
    <w:abstractNumId w:val="17"/>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8"/>
  </w:num>
  <w:num w:numId="21">
    <w:abstractNumId w:val="4"/>
  </w:num>
  <w:num w:numId="22">
    <w:abstractNumId w:val="8"/>
  </w:num>
  <w:num w:numId="23">
    <w:abstractNumId w:val="16"/>
  </w:num>
  <w:num w:numId="24">
    <w:abstractNumId w:val="9"/>
  </w:num>
  <w:num w:numId="25">
    <w:abstractNumId w:val="1"/>
  </w:num>
  <w:num w:numId="26">
    <w:abstractNumId w:val="3"/>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185F"/>
    <w:rsid w:val="00001C3B"/>
    <w:rsid w:val="00013545"/>
    <w:rsid w:val="00020A3A"/>
    <w:rsid w:val="00022345"/>
    <w:rsid w:val="00026363"/>
    <w:rsid w:val="00031A5D"/>
    <w:rsid w:val="00034838"/>
    <w:rsid w:val="00036778"/>
    <w:rsid w:val="000431C3"/>
    <w:rsid w:val="00043549"/>
    <w:rsid w:val="00046A16"/>
    <w:rsid w:val="00047074"/>
    <w:rsid w:val="000504B7"/>
    <w:rsid w:val="00064021"/>
    <w:rsid w:val="0006592B"/>
    <w:rsid w:val="00071DB7"/>
    <w:rsid w:val="00076A0B"/>
    <w:rsid w:val="000854DF"/>
    <w:rsid w:val="00092C4C"/>
    <w:rsid w:val="000A6D49"/>
    <w:rsid w:val="000B2B0C"/>
    <w:rsid w:val="000C4362"/>
    <w:rsid w:val="000D5231"/>
    <w:rsid w:val="000E3682"/>
    <w:rsid w:val="000E3751"/>
    <w:rsid w:val="000E3B58"/>
    <w:rsid w:val="00100A89"/>
    <w:rsid w:val="0010199D"/>
    <w:rsid w:val="001070F2"/>
    <w:rsid w:val="00111283"/>
    <w:rsid w:val="0011161A"/>
    <w:rsid w:val="001133B0"/>
    <w:rsid w:val="00122A90"/>
    <w:rsid w:val="001369ED"/>
    <w:rsid w:val="00165047"/>
    <w:rsid w:val="00172497"/>
    <w:rsid w:val="001A22F4"/>
    <w:rsid w:val="001A5C95"/>
    <w:rsid w:val="001A65B9"/>
    <w:rsid w:val="001B6FF8"/>
    <w:rsid w:val="001C0B52"/>
    <w:rsid w:val="001C4B2D"/>
    <w:rsid w:val="001D5140"/>
    <w:rsid w:val="001E0E06"/>
    <w:rsid w:val="001E5B4B"/>
    <w:rsid w:val="001F4CE1"/>
    <w:rsid w:val="001F5D80"/>
    <w:rsid w:val="002132DC"/>
    <w:rsid w:val="00216211"/>
    <w:rsid w:val="00224B95"/>
    <w:rsid w:val="00230983"/>
    <w:rsid w:val="00230F35"/>
    <w:rsid w:val="00250C87"/>
    <w:rsid w:val="00250FAA"/>
    <w:rsid w:val="0025530E"/>
    <w:rsid w:val="00261547"/>
    <w:rsid w:val="00262123"/>
    <w:rsid w:val="0026692A"/>
    <w:rsid w:val="00267EB4"/>
    <w:rsid w:val="002715FA"/>
    <w:rsid w:val="00273426"/>
    <w:rsid w:val="00273F47"/>
    <w:rsid w:val="00275FAA"/>
    <w:rsid w:val="00276002"/>
    <w:rsid w:val="00277421"/>
    <w:rsid w:val="00285864"/>
    <w:rsid w:val="00287639"/>
    <w:rsid w:val="00290783"/>
    <w:rsid w:val="00297651"/>
    <w:rsid w:val="002A4954"/>
    <w:rsid w:val="002A4BC4"/>
    <w:rsid w:val="002B2C94"/>
    <w:rsid w:val="002B37A4"/>
    <w:rsid w:val="002D0096"/>
    <w:rsid w:val="002D2A04"/>
    <w:rsid w:val="002E29CD"/>
    <w:rsid w:val="002E2BA0"/>
    <w:rsid w:val="002E51A3"/>
    <w:rsid w:val="002E67CE"/>
    <w:rsid w:val="002F105F"/>
    <w:rsid w:val="002F1475"/>
    <w:rsid w:val="002F467C"/>
    <w:rsid w:val="00301DFB"/>
    <w:rsid w:val="0030504B"/>
    <w:rsid w:val="00305185"/>
    <w:rsid w:val="00307B22"/>
    <w:rsid w:val="00311218"/>
    <w:rsid w:val="00316376"/>
    <w:rsid w:val="00316AD7"/>
    <w:rsid w:val="00321E8E"/>
    <w:rsid w:val="00326631"/>
    <w:rsid w:val="0033179F"/>
    <w:rsid w:val="00337A70"/>
    <w:rsid w:val="00341D2F"/>
    <w:rsid w:val="00345114"/>
    <w:rsid w:val="00351F4B"/>
    <w:rsid w:val="00351F83"/>
    <w:rsid w:val="00362BAA"/>
    <w:rsid w:val="00372B05"/>
    <w:rsid w:val="0038342D"/>
    <w:rsid w:val="00394E4A"/>
    <w:rsid w:val="003A0D6A"/>
    <w:rsid w:val="003A28FB"/>
    <w:rsid w:val="003C3F4F"/>
    <w:rsid w:val="003C4B4A"/>
    <w:rsid w:val="003C68C0"/>
    <w:rsid w:val="003C7F6F"/>
    <w:rsid w:val="003D6255"/>
    <w:rsid w:val="003E0082"/>
    <w:rsid w:val="003E08F3"/>
    <w:rsid w:val="003E50F8"/>
    <w:rsid w:val="003F0AD2"/>
    <w:rsid w:val="003F709B"/>
    <w:rsid w:val="003F737B"/>
    <w:rsid w:val="00402DB0"/>
    <w:rsid w:val="0040732D"/>
    <w:rsid w:val="004213AF"/>
    <w:rsid w:val="004250DD"/>
    <w:rsid w:val="0043653D"/>
    <w:rsid w:val="0043758C"/>
    <w:rsid w:val="00437653"/>
    <w:rsid w:val="0044129B"/>
    <w:rsid w:val="00444A02"/>
    <w:rsid w:val="00447497"/>
    <w:rsid w:val="0045552A"/>
    <w:rsid w:val="00460A5C"/>
    <w:rsid w:val="004627BA"/>
    <w:rsid w:val="004724D6"/>
    <w:rsid w:val="00475C78"/>
    <w:rsid w:val="004A024B"/>
    <w:rsid w:val="004A6D21"/>
    <w:rsid w:val="004B73BA"/>
    <w:rsid w:val="004C79CE"/>
    <w:rsid w:val="004D5700"/>
    <w:rsid w:val="004F2018"/>
    <w:rsid w:val="004F2976"/>
    <w:rsid w:val="004F2B31"/>
    <w:rsid w:val="00521E0F"/>
    <w:rsid w:val="0052578B"/>
    <w:rsid w:val="00531109"/>
    <w:rsid w:val="005375B5"/>
    <w:rsid w:val="00537B4C"/>
    <w:rsid w:val="005429EF"/>
    <w:rsid w:val="0055426D"/>
    <w:rsid w:val="005627D4"/>
    <w:rsid w:val="00573B91"/>
    <w:rsid w:val="0057776B"/>
    <w:rsid w:val="00582FDE"/>
    <w:rsid w:val="0058726A"/>
    <w:rsid w:val="00590E9A"/>
    <w:rsid w:val="005942E9"/>
    <w:rsid w:val="005C001A"/>
    <w:rsid w:val="005C6560"/>
    <w:rsid w:val="005D154F"/>
    <w:rsid w:val="005D2277"/>
    <w:rsid w:val="005D7DCD"/>
    <w:rsid w:val="005E4F7A"/>
    <w:rsid w:val="005F64D5"/>
    <w:rsid w:val="005F7B0A"/>
    <w:rsid w:val="006055EC"/>
    <w:rsid w:val="00610318"/>
    <w:rsid w:val="00621642"/>
    <w:rsid w:val="0062367B"/>
    <w:rsid w:val="0062385A"/>
    <w:rsid w:val="00624EE1"/>
    <w:rsid w:val="00632937"/>
    <w:rsid w:val="0063427F"/>
    <w:rsid w:val="006517D7"/>
    <w:rsid w:val="00651F33"/>
    <w:rsid w:val="006558B9"/>
    <w:rsid w:val="0065654E"/>
    <w:rsid w:val="00657941"/>
    <w:rsid w:val="006612A3"/>
    <w:rsid w:val="00662A40"/>
    <w:rsid w:val="006779F6"/>
    <w:rsid w:val="006805EC"/>
    <w:rsid w:val="00681C92"/>
    <w:rsid w:val="00691819"/>
    <w:rsid w:val="0069189B"/>
    <w:rsid w:val="00693C4D"/>
    <w:rsid w:val="006A205D"/>
    <w:rsid w:val="006A49E6"/>
    <w:rsid w:val="006A6226"/>
    <w:rsid w:val="006A65E9"/>
    <w:rsid w:val="006B0D85"/>
    <w:rsid w:val="006B598D"/>
    <w:rsid w:val="006C0A3A"/>
    <w:rsid w:val="006C5E96"/>
    <w:rsid w:val="006E31ED"/>
    <w:rsid w:val="006E4F24"/>
    <w:rsid w:val="006F063F"/>
    <w:rsid w:val="006F3635"/>
    <w:rsid w:val="00725FB0"/>
    <w:rsid w:val="007318C2"/>
    <w:rsid w:val="0073372D"/>
    <w:rsid w:val="0073549F"/>
    <w:rsid w:val="00751BE2"/>
    <w:rsid w:val="00752233"/>
    <w:rsid w:val="00765417"/>
    <w:rsid w:val="00770733"/>
    <w:rsid w:val="00773D0E"/>
    <w:rsid w:val="00775369"/>
    <w:rsid w:val="007768F5"/>
    <w:rsid w:val="0078585B"/>
    <w:rsid w:val="007867A3"/>
    <w:rsid w:val="00790E2F"/>
    <w:rsid w:val="00794AC3"/>
    <w:rsid w:val="007A13D8"/>
    <w:rsid w:val="007A1CC2"/>
    <w:rsid w:val="007A595C"/>
    <w:rsid w:val="007A5D21"/>
    <w:rsid w:val="007B721A"/>
    <w:rsid w:val="007C098A"/>
    <w:rsid w:val="007C19D5"/>
    <w:rsid w:val="007C6F33"/>
    <w:rsid w:val="007D7715"/>
    <w:rsid w:val="007E284E"/>
    <w:rsid w:val="007F317C"/>
    <w:rsid w:val="007F4E20"/>
    <w:rsid w:val="007F6291"/>
    <w:rsid w:val="008010FB"/>
    <w:rsid w:val="00811B0E"/>
    <w:rsid w:val="00813BBE"/>
    <w:rsid w:val="00823895"/>
    <w:rsid w:val="008259FA"/>
    <w:rsid w:val="0083442E"/>
    <w:rsid w:val="00840B95"/>
    <w:rsid w:val="0084272E"/>
    <w:rsid w:val="00843DE9"/>
    <w:rsid w:val="00845E7B"/>
    <w:rsid w:val="0085510A"/>
    <w:rsid w:val="008565FD"/>
    <w:rsid w:val="00860711"/>
    <w:rsid w:val="00863409"/>
    <w:rsid w:val="00863ECA"/>
    <w:rsid w:val="00863F7A"/>
    <w:rsid w:val="0089447F"/>
    <w:rsid w:val="00896846"/>
    <w:rsid w:val="008A4DCC"/>
    <w:rsid w:val="008A59D9"/>
    <w:rsid w:val="008B2CFE"/>
    <w:rsid w:val="008B3A97"/>
    <w:rsid w:val="008C7080"/>
    <w:rsid w:val="008C7932"/>
    <w:rsid w:val="008D03F0"/>
    <w:rsid w:val="008D674F"/>
    <w:rsid w:val="008E440C"/>
    <w:rsid w:val="008E525C"/>
    <w:rsid w:val="008E7731"/>
    <w:rsid w:val="008F0881"/>
    <w:rsid w:val="008F7F20"/>
    <w:rsid w:val="00901157"/>
    <w:rsid w:val="00904EF4"/>
    <w:rsid w:val="00905B64"/>
    <w:rsid w:val="00914769"/>
    <w:rsid w:val="009271DE"/>
    <w:rsid w:val="00942F88"/>
    <w:rsid w:val="00964692"/>
    <w:rsid w:val="00967601"/>
    <w:rsid w:val="00973B44"/>
    <w:rsid w:val="009801D3"/>
    <w:rsid w:val="0098026B"/>
    <w:rsid w:val="00981ADE"/>
    <w:rsid w:val="00982144"/>
    <w:rsid w:val="00990F63"/>
    <w:rsid w:val="009A3D0A"/>
    <w:rsid w:val="009A58B0"/>
    <w:rsid w:val="009A6BB6"/>
    <w:rsid w:val="009B2D10"/>
    <w:rsid w:val="009C01A3"/>
    <w:rsid w:val="009C1A08"/>
    <w:rsid w:val="009C396A"/>
    <w:rsid w:val="009C586B"/>
    <w:rsid w:val="009F2623"/>
    <w:rsid w:val="00A02C62"/>
    <w:rsid w:val="00A02E17"/>
    <w:rsid w:val="00A06B94"/>
    <w:rsid w:val="00A14BBB"/>
    <w:rsid w:val="00A2073F"/>
    <w:rsid w:val="00A2464D"/>
    <w:rsid w:val="00A27520"/>
    <w:rsid w:val="00A303FE"/>
    <w:rsid w:val="00A41032"/>
    <w:rsid w:val="00A41AF9"/>
    <w:rsid w:val="00A44169"/>
    <w:rsid w:val="00A507E4"/>
    <w:rsid w:val="00A50E34"/>
    <w:rsid w:val="00A5117D"/>
    <w:rsid w:val="00A524B3"/>
    <w:rsid w:val="00A62E68"/>
    <w:rsid w:val="00A73B47"/>
    <w:rsid w:val="00A745B6"/>
    <w:rsid w:val="00A8421D"/>
    <w:rsid w:val="00A96C14"/>
    <w:rsid w:val="00A972E4"/>
    <w:rsid w:val="00A9744A"/>
    <w:rsid w:val="00AA39D8"/>
    <w:rsid w:val="00AB30B8"/>
    <w:rsid w:val="00AB6DEB"/>
    <w:rsid w:val="00AC36E3"/>
    <w:rsid w:val="00AC5FDC"/>
    <w:rsid w:val="00AC6213"/>
    <w:rsid w:val="00AD5D5A"/>
    <w:rsid w:val="00AE1321"/>
    <w:rsid w:val="00AE1628"/>
    <w:rsid w:val="00AE3217"/>
    <w:rsid w:val="00AE5278"/>
    <w:rsid w:val="00B013C7"/>
    <w:rsid w:val="00B11E29"/>
    <w:rsid w:val="00B13FAB"/>
    <w:rsid w:val="00B34964"/>
    <w:rsid w:val="00B3504B"/>
    <w:rsid w:val="00B36F4A"/>
    <w:rsid w:val="00B37223"/>
    <w:rsid w:val="00B42501"/>
    <w:rsid w:val="00B45FEF"/>
    <w:rsid w:val="00B462B1"/>
    <w:rsid w:val="00B56E7B"/>
    <w:rsid w:val="00B7163E"/>
    <w:rsid w:val="00B72F46"/>
    <w:rsid w:val="00B7315C"/>
    <w:rsid w:val="00B81E5D"/>
    <w:rsid w:val="00B9544A"/>
    <w:rsid w:val="00B9561A"/>
    <w:rsid w:val="00B96983"/>
    <w:rsid w:val="00B9724B"/>
    <w:rsid w:val="00BC17F1"/>
    <w:rsid w:val="00BD3734"/>
    <w:rsid w:val="00BE7B7A"/>
    <w:rsid w:val="00BF22DC"/>
    <w:rsid w:val="00BF3D29"/>
    <w:rsid w:val="00BF6291"/>
    <w:rsid w:val="00C00947"/>
    <w:rsid w:val="00C129C7"/>
    <w:rsid w:val="00C14580"/>
    <w:rsid w:val="00C22A88"/>
    <w:rsid w:val="00C31E63"/>
    <w:rsid w:val="00C37423"/>
    <w:rsid w:val="00C65E7F"/>
    <w:rsid w:val="00C93CD4"/>
    <w:rsid w:val="00C94E99"/>
    <w:rsid w:val="00C97666"/>
    <w:rsid w:val="00CA7787"/>
    <w:rsid w:val="00CB5E37"/>
    <w:rsid w:val="00CC52A3"/>
    <w:rsid w:val="00CE3B79"/>
    <w:rsid w:val="00CE5D7C"/>
    <w:rsid w:val="00D0754F"/>
    <w:rsid w:val="00D136B8"/>
    <w:rsid w:val="00D21ED1"/>
    <w:rsid w:val="00D328AB"/>
    <w:rsid w:val="00D34EC8"/>
    <w:rsid w:val="00D37BF1"/>
    <w:rsid w:val="00D429CC"/>
    <w:rsid w:val="00D44E5C"/>
    <w:rsid w:val="00D459DC"/>
    <w:rsid w:val="00D54286"/>
    <w:rsid w:val="00D56EFA"/>
    <w:rsid w:val="00D65FD5"/>
    <w:rsid w:val="00D67BF8"/>
    <w:rsid w:val="00D747BF"/>
    <w:rsid w:val="00D82CE6"/>
    <w:rsid w:val="00DA3217"/>
    <w:rsid w:val="00DA3E0F"/>
    <w:rsid w:val="00DB185F"/>
    <w:rsid w:val="00DB2E2D"/>
    <w:rsid w:val="00DB43BB"/>
    <w:rsid w:val="00DB4726"/>
    <w:rsid w:val="00DB716A"/>
    <w:rsid w:val="00DC0EF6"/>
    <w:rsid w:val="00DD363B"/>
    <w:rsid w:val="00DD4CB8"/>
    <w:rsid w:val="00DE54B1"/>
    <w:rsid w:val="00E251B2"/>
    <w:rsid w:val="00E2677A"/>
    <w:rsid w:val="00E33457"/>
    <w:rsid w:val="00E3766D"/>
    <w:rsid w:val="00E502BA"/>
    <w:rsid w:val="00E5113A"/>
    <w:rsid w:val="00E52FCD"/>
    <w:rsid w:val="00E57529"/>
    <w:rsid w:val="00E6159A"/>
    <w:rsid w:val="00E67719"/>
    <w:rsid w:val="00E731B9"/>
    <w:rsid w:val="00E768C6"/>
    <w:rsid w:val="00E81095"/>
    <w:rsid w:val="00E84F5D"/>
    <w:rsid w:val="00E92E42"/>
    <w:rsid w:val="00E97877"/>
    <w:rsid w:val="00EA101D"/>
    <w:rsid w:val="00EC7546"/>
    <w:rsid w:val="00ED182A"/>
    <w:rsid w:val="00EE5C7E"/>
    <w:rsid w:val="00F00349"/>
    <w:rsid w:val="00F0313B"/>
    <w:rsid w:val="00F07CB9"/>
    <w:rsid w:val="00F15BA6"/>
    <w:rsid w:val="00F1661E"/>
    <w:rsid w:val="00F20B11"/>
    <w:rsid w:val="00F2453C"/>
    <w:rsid w:val="00F25D56"/>
    <w:rsid w:val="00F346BE"/>
    <w:rsid w:val="00F62B6A"/>
    <w:rsid w:val="00F73533"/>
    <w:rsid w:val="00FA07E9"/>
    <w:rsid w:val="00FA2A4C"/>
    <w:rsid w:val="00FA358A"/>
    <w:rsid w:val="00FA6CA8"/>
    <w:rsid w:val="00FB065F"/>
    <w:rsid w:val="00FB3CA9"/>
    <w:rsid w:val="00FC1EB5"/>
    <w:rsid w:val="00FC4D46"/>
    <w:rsid w:val="00FE305B"/>
    <w:rsid w:val="00FF1125"/>
    <w:rsid w:val="00FF1476"/>
    <w:rsid w:val="00FF1A5D"/>
    <w:rsid w:val="00FF5097"/>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43782D0"/>
  <w15:chartTrackingRefBased/>
  <w15:docId w15:val="{495AF607-9C39-4099-99D2-1AF2F786B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pt-PT" w:eastAsia="pt-PT"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endnote reference" w:uiPriority="99"/>
    <w:lsdException w:name="endnote text" w:uiPriority="99"/>
    <w:lsdException w:name="Title" w:qFormat="1"/>
    <w:lsdException w:name="Subtitle" w:qFormat="1"/>
    <w:lsdException w:name="Hyperlink" w:uiPriority="99"/>
    <w:lsdException w:name="Followed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Ttulo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Ttulo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Ttulo3">
    <w:name w:val="heading 3"/>
    <w:basedOn w:val="Normal"/>
    <w:qFormat/>
    <w:rsid w:val="00DB185F"/>
    <w:pPr>
      <w:keepNext/>
      <w:ind w:left="720"/>
      <w:jc w:val="both"/>
      <w:outlineLvl w:val="2"/>
    </w:pPr>
    <w:rPr>
      <w:rFonts w:ascii="Tahoma" w:hAnsi="Tahoma" w:cs="Tahoma"/>
      <w:b/>
      <w:bCs/>
      <w:sz w:val="20"/>
      <w:szCs w:val="20"/>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Refdecomentrio">
    <w:name w:val="annotation reference"/>
    <w:rsid w:val="00840B95"/>
    <w:rPr>
      <w:sz w:val="16"/>
      <w:szCs w:val="16"/>
    </w:rPr>
  </w:style>
  <w:style w:type="paragraph" w:styleId="Textodecomentrio">
    <w:name w:val="annotation text"/>
    <w:basedOn w:val="Normal"/>
    <w:link w:val="TextodecomentrioCarter"/>
    <w:rsid w:val="00840B95"/>
    <w:rPr>
      <w:sz w:val="20"/>
      <w:szCs w:val="20"/>
      <w:lang w:val="x-none"/>
    </w:rPr>
  </w:style>
  <w:style w:type="character" w:customStyle="1" w:styleId="TextodecomentrioCarter">
    <w:name w:val="Texto de comentário Caráter"/>
    <w:link w:val="Textodecomentrio"/>
    <w:rsid w:val="00840B95"/>
    <w:rPr>
      <w:lang w:eastAsia="zh-CN"/>
    </w:rPr>
  </w:style>
  <w:style w:type="paragraph" w:styleId="Assuntodecomentrio">
    <w:name w:val="annotation subject"/>
    <w:basedOn w:val="Textodecomentrio"/>
    <w:next w:val="Textodecomentrio"/>
    <w:link w:val="AssuntodecomentrioCarter"/>
    <w:rsid w:val="00840B95"/>
    <w:rPr>
      <w:b/>
      <w:bCs/>
    </w:rPr>
  </w:style>
  <w:style w:type="character" w:customStyle="1" w:styleId="AssuntodecomentrioCarter">
    <w:name w:val="Assunto de comentário Caráter"/>
    <w:link w:val="Assuntodecomentrio"/>
    <w:rsid w:val="00840B95"/>
    <w:rPr>
      <w:b/>
      <w:bCs/>
      <w:lang w:eastAsia="zh-CN"/>
    </w:rPr>
  </w:style>
  <w:style w:type="paragraph" w:styleId="Textodebalo">
    <w:name w:val="Balloon Text"/>
    <w:basedOn w:val="Normal"/>
    <w:link w:val="TextodebaloCarter"/>
    <w:uiPriority w:val="99"/>
    <w:rsid w:val="00840B95"/>
    <w:rPr>
      <w:rFonts w:ascii="Tahoma" w:hAnsi="Tahoma"/>
      <w:sz w:val="16"/>
      <w:szCs w:val="16"/>
      <w:lang w:val="x-none"/>
    </w:rPr>
  </w:style>
  <w:style w:type="character" w:customStyle="1" w:styleId="TextodebaloCarter">
    <w:name w:val="Texto de balão Caráter"/>
    <w:link w:val="Textodebalo"/>
    <w:uiPriority w:val="99"/>
    <w:rsid w:val="00840B95"/>
    <w:rPr>
      <w:rFonts w:ascii="Tahoma" w:hAnsi="Tahoma" w:cs="Tahoma"/>
      <w:sz w:val="16"/>
      <w:szCs w:val="16"/>
      <w:lang w:eastAsia="zh-CN"/>
    </w:rPr>
  </w:style>
  <w:style w:type="paragraph" w:styleId="Cabealho">
    <w:name w:val="header"/>
    <w:basedOn w:val="Normal"/>
    <w:link w:val="CabealhoCarte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CabealhoCarter">
    <w:name w:val="Cabeçalho Caráter"/>
    <w:link w:val="Cabealho"/>
    <w:uiPriority w:val="99"/>
    <w:rsid w:val="008A4DCC"/>
    <w:rPr>
      <w:rFonts w:ascii="Trebuchet MS" w:eastAsia="Calibri" w:hAnsi="Trebuchet MS" w:cs="Tahoma"/>
      <w:sz w:val="22"/>
      <w:lang w:eastAsia="en-US"/>
    </w:rPr>
  </w:style>
  <w:style w:type="paragraph" w:styleId="Rodap">
    <w:name w:val="footer"/>
    <w:basedOn w:val="Normal"/>
    <w:link w:val="RodapCarter"/>
    <w:uiPriority w:val="99"/>
    <w:rsid w:val="00AD5D5A"/>
    <w:pPr>
      <w:tabs>
        <w:tab w:val="center" w:pos="4513"/>
        <w:tab w:val="right" w:pos="9026"/>
      </w:tabs>
    </w:pPr>
    <w:rPr>
      <w:lang w:val="x-none"/>
    </w:rPr>
  </w:style>
  <w:style w:type="character" w:customStyle="1" w:styleId="RodapCarter">
    <w:name w:val="Rodapé Caráter"/>
    <w:link w:val="Rodap"/>
    <w:uiPriority w:val="99"/>
    <w:rsid w:val="00AD5D5A"/>
    <w:rPr>
      <w:sz w:val="24"/>
      <w:szCs w:val="24"/>
      <w:lang w:eastAsia="zh-CN"/>
    </w:rPr>
  </w:style>
  <w:style w:type="table" w:styleId="TabelacomGrelha">
    <w:name w:val="Table Grid"/>
    <w:basedOn w:val="Tabelanormal"/>
    <w:uiPriority w:val="39"/>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ntstyle01">
    <w:name w:val="fontstyle01"/>
    <w:rsid w:val="00DD4CB8"/>
    <w:rPr>
      <w:rFonts w:ascii="Helvetica" w:hAnsi="Helvetica" w:cs="Helvetica" w:hint="default"/>
      <w:b w:val="0"/>
      <w:bCs w:val="0"/>
      <w:i w:val="0"/>
      <w:iCs w:val="0"/>
      <w:color w:val="000000"/>
      <w:sz w:val="22"/>
      <w:szCs w:val="22"/>
    </w:rPr>
  </w:style>
  <w:style w:type="character" w:customStyle="1" w:styleId="fontstyle21">
    <w:name w:val="fontstyle21"/>
    <w:rsid w:val="00DD4CB8"/>
    <w:rPr>
      <w:rFonts w:ascii="Helvetica" w:hAnsi="Helvetica" w:hint="default"/>
      <w:b w:val="0"/>
      <w:bCs w:val="0"/>
      <w:i w:val="0"/>
      <w:iCs w:val="0"/>
      <w:color w:val="000000"/>
      <w:sz w:val="24"/>
      <w:szCs w:val="24"/>
    </w:rPr>
  </w:style>
  <w:style w:type="character" w:styleId="Hiperligao">
    <w:name w:val="Hyperlink"/>
    <w:uiPriority w:val="99"/>
    <w:rsid w:val="00657941"/>
    <w:rPr>
      <w:color w:val="0563C1"/>
      <w:u w:val="single"/>
    </w:rPr>
  </w:style>
  <w:style w:type="character" w:customStyle="1" w:styleId="MenoNoResolvida1">
    <w:name w:val="Menção Não Resolvida1"/>
    <w:uiPriority w:val="99"/>
    <w:semiHidden/>
    <w:unhideWhenUsed/>
    <w:rsid w:val="00657941"/>
    <w:rPr>
      <w:color w:val="605E5C"/>
      <w:shd w:val="clear" w:color="auto" w:fill="E1DFDD"/>
    </w:rPr>
  </w:style>
  <w:style w:type="paragraph" w:styleId="Textodenotaderodap">
    <w:name w:val="footnote text"/>
    <w:basedOn w:val="Normal"/>
    <w:link w:val="TextodenotaderodapCarter"/>
    <w:uiPriority w:val="99"/>
    <w:rsid w:val="00E731B9"/>
    <w:rPr>
      <w:sz w:val="20"/>
      <w:szCs w:val="20"/>
    </w:rPr>
  </w:style>
  <w:style w:type="character" w:customStyle="1" w:styleId="TextodenotaderodapCarter">
    <w:name w:val="Texto de nota de rodapé Caráter"/>
    <w:basedOn w:val="Tipodeletrapredefinidodopargrafo"/>
    <w:link w:val="Textodenotaderodap"/>
    <w:uiPriority w:val="99"/>
    <w:rsid w:val="00E731B9"/>
    <w:rPr>
      <w:lang w:val="en-GB" w:eastAsia="zh-CN"/>
    </w:rPr>
  </w:style>
  <w:style w:type="character" w:styleId="Refdenotaderodap">
    <w:name w:val="footnote reference"/>
    <w:basedOn w:val="Tipodeletrapredefinidodopargrafo"/>
    <w:uiPriority w:val="99"/>
    <w:rsid w:val="00E731B9"/>
    <w:rPr>
      <w:vertAlign w:val="superscript"/>
    </w:rPr>
  </w:style>
  <w:style w:type="character" w:styleId="MenoNoResolvida">
    <w:name w:val="Unresolved Mention"/>
    <w:basedOn w:val="Tipodeletrapredefinidodopargrafo"/>
    <w:uiPriority w:val="99"/>
    <w:semiHidden/>
    <w:unhideWhenUsed/>
    <w:rsid w:val="0030504B"/>
    <w:rPr>
      <w:color w:val="605E5C"/>
      <w:shd w:val="clear" w:color="auto" w:fill="E1DFDD"/>
    </w:rPr>
  </w:style>
  <w:style w:type="paragraph" w:styleId="PargrafodaLista">
    <w:name w:val="List Paragraph"/>
    <w:basedOn w:val="Normal"/>
    <w:uiPriority w:val="34"/>
    <w:qFormat/>
    <w:rsid w:val="00582FDE"/>
    <w:pPr>
      <w:spacing w:after="120"/>
      <w:ind w:left="720"/>
      <w:contextualSpacing/>
    </w:pPr>
  </w:style>
  <w:style w:type="character" w:styleId="Hiperligaovisitada">
    <w:name w:val="FollowedHyperlink"/>
    <w:basedOn w:val="Tipodeletrapredefinidodopargrafo"/>
    <w:uiPriority w:val="99"/>
    <w:unhideWhenUsed/>
    <w:rsid w:val="00582FDE"/>
    <w:rPr>
      <w:color w:val="954F72" w:themeColor="followedHyperlink"/>
      <w:u w:val="single"/>
    </w:rPr>
  </w:style>
  <w:style w:type="paragraph" w:styleId="Textodenotadefim">
    <w:name w:val="endnote text"/>
    <w:basedOn w:val="Normal"/>
    <w:link w:val="TextodenotadefimCarter"/>
    <w:uiPriority w:val="99"/>
    <w:unhideWhenUsed/>
    <w:rsid w:val="00582FDE"/>
    <w:rPr>
      <w:sz w:val="20"/>
      <w:szCs w:val="20"/>
    </w:rPr>
  </w:style>
  <w:style w:type="character" w:customStyle="1" w:styleId="TextodenotadefimCarter">
    <w:name w:val="Texto de nota de fim Caráter"/>
    <w:basedOn w:val="Tipodeletrapredefinidodopargrafo"/>
    <w:link w:val="Textodenotadefim"/>
    <w:uiPriority w:val="99"/>
    <w:rsid w:val="00582FDE"/>
    <w:rPr>
      <w:lang w:val="en-GB" w:eastAsia="zh-CN"/>
    </w:rPr>
  </w:style>
  <w:style w:type="character" w:styleId="Refdenotadefim">
    <w:name w:val="endnote reference"/>
    <w:basedOn w:val="Tipodeletrapredefinidodopargrafo"/>
    <w:uiPriority w:val="99"/>
    <w:unhideWhenUsed/>
    <w:rsid w:val="00582FDE"/>
    <w:rPr>
      <w:vertAlign w:val="superscript"/>
    </w:rPr>
  </w:style>
  <w:style w:type="paragraph" w:styleId="Legenda">
    <w:name w:val="caption"/>
    <w:basedOn w:val="Normal"/>
    <w:next w:val="Normal"/>
    <w:unhideWhenUsed/>
    <w:qFormat/>
    <w:rsid w:val="00064021"/>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386873183">
      <w:bodyDiv w:val="1"/>
      <w:marLeft w:val="0"/>
      <w:marRight w:val="0"/>
      <w:marTop w:val="0"/>
      <w:marBottom w:val="0"/>
      <w:divBdr>
        <w:top w:val="none" w:sz="0" w:space="0" w:color="auto"/>
        <w:left w:val="none" w:sz="0" w:space="0" w:color="auto"/>
        <w:bottom w:val="none" w:sz="0" w:space="0" w:color="auto"/>
        <w:right w:val="none" w:sz="0" w:space="0" w:color="auto"/>
      </w:divBdr>
    </w:div>
    <w:div w:id="1712219086">
      <w:bodyDiv w:val="1"/>
      <w:marLeft w:val="0"/>
      <w:marRight w:val="0"/>
      <w:marTop w:val="0"/>
      <w:marBottom w:val="0"/>
      <w:divBdr>
        <w:top w:val="none" w:sz="0" w:space="0" w:color="auto"/>
        <w:left w:val="none" w:sz="0" w:space="0" w:color="auto"/>
        <w:bottom w:val="none" w:sz="0" w:space="0" w:color="auto"/>
        <w:right w:val="none" w:sz="0" w:space="0" w:color="auto"/>
      </w:divBdr>
    </w:div>
    <w:div w:id="1723819929">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publico.pt/2009/04/05/jornal/siza-fala-da-vida-de-alvaro-301742"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youtube.com/watch?v=InmIyFzmi28" TargetMode="External"/><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jp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2A7E1A-856C-45C1-A51E-EC9FA5910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6070</Words>
  <Characters>32780</Characters>
  <Application>Microsoft Office Word</Application>
  <DocSecurity>0</DocSecurity>
  <Lines>273</Lines>
  <Paragraphs>77</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38773</CharactersWithSpaces>
  <SharedDoc>false</SharedDoc>
  <HLinks>
    <vt:vector size="6" baseType="variant">
      <vt:variant>
        <vt:i4>3670063</vt:i4>
      </vt:variant>
      <vt:variant>
        <vt:i4>10</vt:i4>
      </vt:variant>
      <vt:variant>
        <vt:i4>0</vt:i4>
      </vt:variant>
      <vt:variant>
        <vt:i4>5</vt:i4>
      </vt:variant>
      <vt:variant>
        <vt:lpwstr>http://www.jstor.org/stable/4121268. Accessed 31 Oct. 2020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Sara Sucena</cp:lastModifiedBy>
  <cp:revision>5</cp:revision>
  <cp:lastPrinted>2021-01-08T10:48:00Z</cp:lastPrinted>
  <dcterms:created xsi:type="dcterms:W3CDTF">2021-01-08T23:40:00Z</dcterms:created>
  <dcterms:modified xsi:type="dcterms:W3CDTF">2021-01-08T23:49:00Z</dcterms:modified>
</cp:coreProperties>
</file>