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65F7" w:rsidRDefault="00012625" w:rsidP="00012625">
      <w:pPr>
        <w:spacing w:after="0" w:line="360" w:lineRule="auto"/>
        <w:rPr>
          <w:b/>
          <w:sz w:val="24"/>
          <w:szCs w:val="24"/>
        </w:rPr>
      </w:pPr>
      <w:r>
        <w:rPr>
          <w:b/>
          <w:i/>
          <w:sz w:val="24"/>
          <w:szCs w:val="24"/>
        </w:rPr>
        <w:t xml:space="preserve">An Anthropology of Religion, Magic and Witchcraft: </w:t>
      </w:r>
      <w:r>
        <w:rPr>
          <w:b/>
          <w:sz w:val="24"/>
          <w:szCs w:val="24"/>
        </w:rPr>
        <w:t>A Reflection</w:t>
      </w:r>
    </w:p>
    <w:p w:rsidR="00012625" w:rsidRDefault="00012625" w:rsidP="00012625">
      <w:pPr>
        <w:spacing w:after="0" w:line="360" w:lineRule="auto"/>
        <w:rPr>
          <w:b/>
          <w:sz w:val="24"/>
          <w:szCs w:val="24"/>
        </w:rPr>
      </w:pPr>
    </w:p>
    <w:p w:rsidR="00012625" w:rsidRDefault="00012625" w:rsidP="00012625">
      <w:pPr>
        <w:spacing w:after="0" w:line="360" w:lineRule="auto"/>
        <w:rPr>
          <w:sz w:val="24"/>
          <w:szCs w:val="24"/>
        </w:rPr>
      </w:pPr>
      <w:r>
        <w:rPr>
          <w:i/>
          <w:sz w:val="24"/>
          <w:szCs w:val="24"/>
        </w:rPr>
        <w:t xml:space="preserve">An Anthropology of Religion, Magic and Witchcraft </w:t>
      </w:r>
      <w:r>
        <w:rPr>
          <w:sz w:val="24"/>
          <w:szCs w:val="24"/>
        </w:rPr>
        <w:t xml:space="preserve">is a textbook written as an introduction to the anthropology of religion for students in their first year of study. There are four editions available, the fourth of which being the edition I intend to reflect on during in this piece. The book was written by Rebecca </w:t>
      </w:r>
      <w:r w:rsidR="00F16F72">
        <w:rPr>
          <w:sz w:val="24"/>
          <w:szCs w:val="24"/>
        </w:rPr>
        <w:t xml:space="preserve">Stein, lecturer in Cultural Anthropology at Duke University in North Carolina, </w:t>
      </w:r>
      <w:r>
        <w:rPr>
          <w:sz w:val="24"/>
          <w:szCs w:val="24"/>
        </w:rPr>
        <w:t xml:space="preserve">and </w:t>
      </w:r>
      <w:r w:rsidR="001012E5">
        <w:rPr>
          <w:sz w:val="24"/>
          <w:szCs w:val="24"/>
        </w:rPr>
        <w:t xml:space="preserve">Professor </w:t>
      </w:r>
      <w:r>
        <w:rPr>
          <w:sz w:val="24"/>
          <w:szCs w:val="24"/>
        </w:rPr>
        <w:t>Philip Stein</w:t>
      </w:r>
      <w:r w:rsidR="00F16F72">
        <w:rPr>
          <w:sz w:val="24"/>
          <w:szCs w:val="24"/>
        </w:rPr>
        <w:t xml:space="preserve">, retired lecturer in Anthropology and distinguished member of the American Anthropological Association with over 50 years of experience in the field. </w:t>
      </w:r>
      <w:r w:rsidR="00DF7322">
        <w:rPr>
          <w:sz w:val="24"/>
          <w:szCs w:val="24"/>
        </w:rPr>
        <w:t>During the course of t</w:t>
      </w:r>
      <w:r w:rsidR="003131F2">
        <w:rPr>
          <w:sz w:val="24"/>
          <w:szCs w:val="24"/>
        </w:rPr>
        <w:t>he book</w:t>
      </w:r>
      <w:r w:rsidR="00DF7322">
        <w:rPr>
          <w:sz w:val="24"/>
          <w:szCs w:val="24"/>
        </w:rPr>
        <w:t>, they</w:t>
      </w:r>
      <w:r w:rsidR="003131F2">
        <w:rPr>
          <w:sz w:val="24"/>
          <w:szCs w:val="24"/>
        </w:rPr>
        <w:t xml:space="preserve"> </w:t>
      </w:r>
      <w:r w:rsidR="0056796F">
        <w:rPr>
          <w:sz w:val="24"/>
          <w:szCs w:val="24"/>
        </w:rPr>
        <w:t>look at various aspects and impacts of religion</w:t>
      </w:r>
      <w:r w:rsidR="00DF7322">
        <w:rPr>
          <w:sz w:val="24"/>
          <w:szCs w:val="24"/>
        </w:rPr>
        <w:t xml:space="preserve"> chapter by chapter</w:t>
      </w:r>
      <w:r w:rsidR="0056796F">
        <w:rPr>
          <w:sz w:val="24"/>
          <w:szCs w:val="24"/>
        </w:rPr>
        <w:t>, including rituals, spirits and conflict, from an anthropological view, as well as explaining how religion fits into the wider study of anthropology as a whole.</w:t>
      </w:r>
    </w:p>
    <w:p w:rsidR="0056796F" w:rsidRDefault="0056796F" w:rsidP="00012625">
      <w:pPr>
        <w:spacing w:after="0" w:line="360" w:lineRule="auto"/>
        <w:rPr>
          <w:sz w:val="24"/>
          <w:szCs w:val="24"/>
        </w:rPr>
      </w:pPr>
      <w:r>
        <w:rPr>
          <w:sz w:val="24"/>
          <w:szCs w:val="24"/>
        </w:rPr>
        <w:tab/>
        <w:t>When choosing a subject for this reflection, my own interest was peaked by this particular book because of the inclusion of “Magic and Witchcraft” in the title, subjects which have been of long-standing personal interest to me</w:t>
      </w:r>
      <w:r w:rsidR="007B53DB">
        <w:rPr>
          <w:sz w:val="24"/>
          <w:szCs w:val="24"/>
        </w:rPr>
        <w:t>; the ways in which humans use the supernatural to explain or influence life in a way that goes beyond the physical is something that fascinates me, and has done since I was a child,</w:t>
      </w:r>
      <w:r>
        <w:rPr>
          <w:sz w:val="24"/>
          <w:szCs w:val="24"/>
        </w:rPr>
        <w:t xml:space="preserve"> and for this reason I will be concentrating </w:t>
      </w:r>
      <w:r w:rsidR="007B53DB">
        <w:rPr>
          <w:sz w:val="24"/>
          <w:szCs w:val="24"/>
        </w:rPr>
        <w:t xml:space="preserve">on chapter 7: ‘Magic and Divination’ for the purpose of this piece. </w:t>
      </w:r>
    </w:p>
    <w:p w:rsidR="00DE731C" w:rsidRDefault="007B53DB" w:rsidP="00012625">
      <w:pPr>
        <w:spacing w:after="0" w:line="360" w:lineRule="auto"/>
        <w:rPr>
          <w:sz w:val="24"/>
          <w:szCs w:val="24"/>
        </w:rPr>
      </w:pPr>
      <w:r>
        <w:rPr>
          <w:sz w:val="24"/>
          <w:szCs w:val="24"/>
        </w:rPr>
        <w:tab/>
        <w:t>Before delving into chapter 7, however, I of course read the introductory first chapter which sets the foundations on which the book continues to be built. As mentioned before, the textbook was written as an introductory reading for those new to anthropology, and so the first chapter aims to explain a little about what anthropology is</w:t>
      </w:r>
      <w:r w:rsidR="00DE731C">
        <w:rPr>
          <w:sz w:val="24"/>
          <w:szCs w:val="24"/>
        </w:rPr>
        <w:t xml:space="preserve"> and a brief history of how the discipline has developed, </w:t>
      </w:r>
      <w:r>
        <w:rPr>
          <w:sz w:val="24"/>
          <w:szCs w:val="24"/>
        </w:rPr>
        <w:t xml:space="preserve">as well is the place of religion within anthropological study. It outlines various common terms relevant to the subject and demonstrates how </w:t>
      </w:r>
      <w:r w:rsidR="00DE731C">
        <w:rPr>
          <w:sz w:val="24"/>
          <w:szCs w:val="24"/>
        </w:rPr>
        <w:t xml:space="preserve">a postmodernist perspective has allowed anthropology to move away from ethnocentrism and into a realm that recognises the vast variety there is to human life, and that no one of these varieties is the “right” way. I found the first chapter of the book interesting and explanatory, and yet easy to follow; it left me looking forward to reading more. </w:t>
      </w:r>
    </w:p>
    <w:p w:rsidR="005851D6" w:rsidRDefault="00DE731C" w:rsidP="00012625">
      <w:pPr>
        <w:spacing w:after="0" w:line="360" w:lineRule="auto"/>
        <w:rPr>
          <w:sz w:val="24"/>
          <w:szCs w:val="24"/>
        </w:rPr>
      </w:pPr>
      <w:r>
        <w:rPr>
          <w:sz w:val="24"/>
          <w:szCs w:val="24"/>
        </w:rPr>
        <w:tab/>
        <w:t xml:space="preserve">Chapter 7, </w:t>
      </w:r>
      <w:r w:rsidR="00B76ADD">
        <w:rPr>
          <w:sz w:val="24"/>
          <w:szCs w:val="24"/>
        </w:rPr>
        <w:t>“</w:t>
      </w:r>
      <w:r>
        <w:rPr>
          <w:sz w:val="24"/>
          <w:szCs w:val="24"/>
        </w:rPr>
        <w:t>Magic and Divination</w:t>
      </w:r>
      <w:r w:rsidR="00B76ADD">
        <w:rPr>
          <w:sz w:val="24"/>
          <w:szCs w:val="24"/>
        </w:rPr>
        <w:t>”</w:t>
      </w:r>
      <w:r>
        <w:rPr>
          <w:sz w:val="24"/>
          <w:szCs w:val="24"/>
        </w:rPr>
        <w:t xml:space="preserve">, starts again by defining terms which </w:t>
      </w:r>
      <w:r w:rsidR="00963965">
        <w:rPr>
          <w:sz w:val="24"/>
          <w:szCs w:val="24"/>
        </w:rPr>
        <w:t>a</w:t>
      </w:r>
      <w:r>
        <w:rPr>
          <w:sz w:val="24"/>
          <w:szCs w:val="24"/>
        </w:rPr>
        <w:t>re to be used in the forthcoming chapter</w:t>
      </w:r>
      <w:r w:rsidR="00D761A0">
        <w:rPr>
          <w:sz w:val="24"/>
          <w:szCs w:val="24"/>
        </w:rPr>
        <w:t>.</w:t>
      </w:r>
      <w:r>
        <w:rPr>
          <w:sz w:val="24"/>
          <w:szCs w:val="24"/>
        </w:rPr>
        <w:t xml:space="preserve"> </w:t>
      </w:r>
      <w:r w:rsidR="00D761A0">
        <w:rPr>
          <w:sz w:val="24"/>
          <w:szCs w:val="24"/>
        </w:rPr>
        <w:t>T</w:t>
      </w:r>
      <w:r>
        <w:rPr>
          <w:sz w:val="24"/>
          <w:szCs w:val="24"/>
        </w:rPr>
        <w:t xml:space="preserve">he Steins have clearly taken care in their writing to ensure that the content does not </w:t>
      </w:r>
      <w:r w:rsidR="00D761A0">
        <w:rPr>
          <w:sz w:val="24"/>
          <w:szCs w:val="24"/>
        </w:rPr>
        <w:t xml:space="preserve">scramble too far ahead of the reader’s understanding; the </w:t>
      </w:r>
      <w:r w:rsidR="00D761A0">
        <w:rPr>
          <w:sz w:val="24"/>
          <w:szCs w:val="24"/>
        </w:rPr>
        <w:lastRenderedPageBreak/>
        <w:t xml:space="preserve">book has been geared well towards its target audience. </w:t>
      </w:r>
      <w:r w:rsidR="00963965">
        <w:rPr>
          <w:sz w:val="24"/>
          <w:szCs w:val="24"/>
        </w:rPr>
        <w:t xml:space="preserve">After defining the difference between the anthropological use of the term ‘magic’ and the illusion-based entertainment many people associate with the term, the chapter goes on to give early anthropological definitions of ‘magic’ from the likes of Tylor, Frazer and Durkheim, </w:t>
      </w:r>
      <w:r w:rsidR="005851D6">
        <w:rPr>
          <w:sz w:val="24"/>
          <w:szCs w:val="24"/>
        </w:rPr>
        <w:t xml:space="preserve">and </w:t>
      </w:r>
      <w:r w:rsidR="00963965">
        <w:rPr>
          <w:sz w:val="24"/>
          <w:szCs w:val="24"/>
        </w:rPr>
        <w:t>demonstrates why these early definitions differentiated magic from religion and how evolving understanding of practices has come to mean that magic is now generally recognised as an aspect of religion rather than a separate entity. Again, these explanations are easily followable and concise; I feel that the concepts presented here could be understood with little difficulty by someone with no experience of anthropology, and yet the content remains engaging enough to compel me to read on.</w:t>
      </w:r>
      <w:r w:rsidR="005851D6">
        <w:rPr>
          <w:sz w:val="24"/>
          <w:szCs w:val="24"/>
        </w:rPr>
        <w:t xml:space="preserve"> The Steins then explain Frazer’s Principles of Magic as included in </w:t>
      </w:r>
      <w:r w:rsidR="005851D6">
        <w:rPr>
          <w:i/>
          <w:sz w:val="24"/>
          <w:szCs w:val="24"/>
        </w:rPr>
        <w:t xml:space="preserve">The Golden Bough </w:t>
      </w:r>
      <w:r w:rsidR="005851D6">
        <w:rPr>
          <w:sz w:val="24"/>
          <w:szCs w:val="24"/>
        </w:rPr>
        <w:t>(Frazer 1890) and demonstrate how these principles not only apply to magic and ritual, but also give examples in widely-known, everyday folklore. I found the assertion that walnuts are thought to be good for the brain because they look like a human brain encased in a shell-skull, and the relationship between this and Frazer’s Law of Similarity, of particular interest</w:t>
      </w:r>
      <w:r w:rsidR="007F0558">
        <w:rPr>
          <w:sz w:val="24"/>
          <w:szCs w:val="24"/>
        </w:rPr>
        <w:t xml:space="preserve"> (p. 148)</w:t>
      </w:r>
      <w:r w:rsidR="005851D6">
        <w:rPr>
          <w:sz w:val="24"/>
          <w:szCs w:val="24"/>
        </w:rPr>
        <w:t xml:space="preserve">. </w:t>
      </w:r>
    </w:p>
    <w:p w:rsidR="00963965" w:rsidRDefault="00EB4565" w:rsidP="00667534">
      <w:pPr>
        <w:spacing w:after="0" w:line="360" w:lineRule="auto"/>
        <w:ind w:firstLine="720"/>
        <w:rPr>
          <w:sz w:val="24"/>
          <w:szCs w:val="24"/>
        </w:rPr>
      </w:pPr>
      <w:r>
        <w:rPr>
          <w:sz w:val="24"/>
          <w:szCs w:val="24"/>
        </w:rPr>
        <w:t>The mid-section of the chapter</w:t>
      </w:r>
      <w:r w:rsidR="005851D6">
        <w:rPr>
          <w:sz w:val="24"/>
          <w:szCs w:val="24"/>
        </w:rPr>
        <w:t xml:space="preserve"> gives a variety of ethnographic examples of how the Principles of Magic apply in many different circumstances; two examples from the Melanesian area (the Fore and the Trobriand Islanders), and one from North East Africa (</w:t>
      </w:r>
      <w:r w:rsidR="007F0558">
        <w:rPr>
          <w:sz w:val="24"/>
          <w:szCs w:val="24"/>
        </w:rPr>
        <w:t xml:space="preserve">the </w:t>
      </w:r>
      <w:proofErr w:type="spellStart"/>
      <w:r w:rsidR="007F0558">
        <w:rPr>
          <w:sz w:val="24"/>
          <w:szCs w:val="24"/>
        </w:rPr>
        <w:t>Azande</w:t>
      </w:r>
      <w:proofErr w:type="spellEnd"/>
      <w:r w:rsidR="007F0558">
        <w:rPr>
          <w:sz w:val="24"/>
          <w:szCs w:val="24"/>
        </w:rPr>
        <w:t xml:space="preserve">) are compared with the use of magic in the Wicca faith – a Neo-Pagan tradition originating in the Global North. </w:t>
      </w:r>
      <w:r>
        <w:rPr>
          <w:sz w:val="24"/>
          <w:szCs w:val="24"/>
        </w:rPr>
        <w:t xml:space="preserve">These examples have been cleverly picked to effectively evidence both the similarities in different magic practices despite geographical location, and the contrasting </w:t>
      </w:r>
      <w:r w:rsidR="00667534">
        <w:rPr>
          <w:sz w:val="24"/>
          <w:szCs w:val="24"/>
        </w:rPr>
        <w:t xml:space="preserve">elements </w:t>
      </w:r>
      <w:r>
        <w:rPr>
          <w:sz w:val="24"/>
          <w:szCs w:val="24"/>
        </w:rPr>
        <w:t>more unique to a particular culture area or group.</w:t>
      </w:r>
      <w:r w:rsidR="00667534">
        <w:rPr>
          <w:sz w:val="24"/>
          <w:szCs w:val="24"/>
        </w:rPr>
        <w:t xml:space="preserve"> From here, the Steins go on to tackle the subject of divination, again giving a definition and outlining the different varieties of divination before providing examples of its usage from the Fore and the </w:t>
      </w:r>
      <w:proofErr w:type="spellStart"/>
      <w:r w:rsidR="00667534">
        <w:rPr>
          <w:sz w:val="24"/>
          <w:szCs w:val="24"/>
        </w:rPr>
        <w:t>Azande</w:t>
      </w:r>
      <w:proofErr w:type="spellEnd"/>
      <w:r w:rsidR="00667534">
        <w:rPr>
          <w:sz w:val="24"/>
          <w:szCs w:val="24"/>
        </w:rPr>
        <w:t xml:space="preserve">, as well as divination practices in Ancient Greece. Having been introduced to the Fore, </w:t>
      </w:r>
      <w:proofErr w:type="spellStart"/>
      <w:r w:rsidR="00667534">
        <w:rPr>
          <w:sz w:val="24"/>
          <w:szCs w:val="24"/>
        </w:rPr>
        <w:t>Azande</w:t>
      </w:r>
      <w:proofErr w:type="spellEnd"/>
      <w:r w:rsidR="00667534">
        <w:rPr>
          <w:sz w:val="24"/>
          <w:szCs w:val="24"/>
        </w:rPr>
        <w:t xml:space="preserve"> and Trobriand Islanders in previous study modules of my degree, I found it fascinating to build on my knowledge about these cultures specifically with regards to their relationship with magic</w:t>
      </w:r>
      <w:r w:rsidR="00174382">
        <w:rPr>
          <w:sz w:val="24"/>
          <w:szCs w:val="24"/>
        </w:rPr>
        <w:t xml:space="preserve">. </w:t>
      </w:r>
    </w:p>
    <w:p w:rsidR="00174382" w:rsidRDefault="00174382" w:rsidP="00667534">
      <w:pPr>
        <w:spacing w:after="0" w:line="360" w:lineRule="auto"/>
        <w:ind w:firstLine="720"/>
        <w:rPr>
          <w:sz w:val="24"/>
          <w:szCs w:val="24"/>
        </w:rPr>
      </w:pPr>
      <w:r>
        <w:rPr>
          <w:sz w:val="24"/>
          <w:szCs w:val="24"/>
        </w:rPr>
        <w:t>The remaining pages of chapter 7 serve to explain how the existence of magic is made possible by the human brain’s compulsion to find cause-and-effect relationships between events</w:t>
      </w:r>
      <w:r w:rsidR="00B76ADD">
        <w:rPr>
          <w:sz w:val="24"/>
          <w:szCs w:val="24"/>
        </w:rPr>
        <w:t xml:space="preserve">, and demonstrate how “magical thinking” is present in every day </w:t>
      </w:r>
      <w:r w:rsidR="00B76ADD">
        <w:rPr>
          <w:sz w:val="24"/>
          <w:szCs w:val="24"/>
        </w:rPr>
        <w:lastRenderedPageBreak/>
        <w:t>behaviours in the form of superstition; they then use Tylor’s theories to explain why magic is thought to work.</w:t>
      </w:r>
    </w:p>
    <w:p w:rsidR="00B76ADD" w:rsidRDefault="00393758" w:rsidP="00667534">
      <w:pPr>
        <w:spacing w:after="0" w:line="360" w:lineRule="auto"/>
        <w:ind w:firstLine="720"/>
        <w:rPr>
          <w:sz w:val="24"/>
          <w:szCs w:val="24"/>
        </w:rPr>
      </w:pPr>
      <w:r>
        <w:rPr>
          <w:sz w:val="24"/>
          <w:szCs w:val="24"/>
        </w:rPr>
        <w:t>Overall,</w:t>
      </w:r>
      <w:r w:rsidR="00B76ADD">
        <w:rPr>
          <w:sz w:val="24"/>
          <w:szCs w:val="24"/>
        </w:rPr>
        <w:t xml:space="preserve"> I found what I’ve read of </w:t>
      </w:r>
      <w:r w:rsidR="00B76ADD">
        <w:rPr>
          <w:i/>
          <w:sz w:val="24"/>
          <w:szCs w:val="24"/>
        </w:rPr>
        <w:t xml:space="preserve">An Anthropology of Religion, Magic and Witchcraft </w:t>
      </w:r>
      <w:r w:rsidR="00B76ADD">
        <w:rPr>
          <w:sz w:val="24"/>
          <w:szCs w:val="24"/>
        </w:rPr>
        <w:t xml:space="preserve">to be engaging and concise, and certainly reflective of </w:t>
      </w:r>
      <w:r>
        <w:rPr>
          <w:sz w:val="24"/>
          <w:szCs w:val="24"/>
        </w:rPr>
        <w:t>the</w:t>
      </w:r>
      <w:r w:rsidR="00B76ADD">
        <w:rPr>
          <w:sz w:val="24"/>
          <w:szCs w:val="24"/>
        </w:rPr>
        <w:t xml:space="preserve"> authors’ </w:t>
      </w:r>
      <w:r>
        <w:rPr>
          <w:sz w:val="24"/>
          <w:szCs w:val="24"/>
        </w:rPr>
        <w:t>extensive knowledge both of anthropology and of teaching. The book is carefully written to provide an interesting variety of examples to demonstrate concepts put forward, while remaining within the realms of understanding of the target audience. I have thoroughly enjoyed the chapters I have read thus far, and look forward t</w:t>
      </w:r>
      <w:r w:rsidR="001C4D13">
        <w:rPr>
          <w:sz w:val="24"/>
          <w:szCs w:val="24"/>
        </w:rPr>
        <w:t>o</w:t>
      </w:r>
      <w:bookmarkStart w:id="0" w:name="_GoBack"/>
      <w:bookmarkEnd w:id="0"/>
      <w:r>
        <w:rPr>
          <w:sz w:val="24"/>
          <w:szCs w:val="24"/>
        </w:rPr>
        <w:t xml:space="preserve"> engaging with more of the book.</w:t>
      </w:r>
    </w:p>
    <w:p w:rsidR="00393758" w:rsidRDefault="00393758" w:rsidP="00393758">
      <w:pPr>
        <w:spacing w:after="0" w:line="360" w:lineRule="auto"/>
        <w:rPr>
          <w:sz w:val="24"/>
          <w:szCs w:val="24"/>
        </w:rPr>
      </w:pPr>
    </w:p>
    <w:p w:rsidR="00393758" w:rsidRDefault="00393758" w:rsidP="00393758">
      <w:pPr>
        <w:spacing w:after="0" w:line="360" w:lineRule="auto"/>
        <w:rPr>
          <w:sz w:val="24"/>
          <w:szCs w:val="24"/>
        </w:rPr>
      </w:pPr>
    </w:p>
    <w:p w:rsidR="00393758" w:rsidRDefault="00393758" w:rsidP="00393758">
      <w:pPr>
        <w:spacing w:after="0" w:line="360" w:lineRule="auto"/>
        <w:rPr>
          <w:b/>
          <w:i/>
          <w:sz w:val="24"/>
          <w:szCs w:val="24"/>
        </w:rPr>
      </w:pPr>
      <w:r>
        <w:rPr>
          <w:b/>
          <w:i/>
          <w:sz w:val="24"/>
          <w:szCs w:val="24"/>
        </w:rPr>
        <w:t>References</w:t>
      </w:r>
    </w:p>
    <w:p w:rsidR="00C843E0" w:rsidRDefault="00C843E0" w:rsidP="00393758">
      <w:pPr>
        <w:spacing w:after="0" w:line="360" w:lineRule="auto"/>
        <w:rPr>
          <w:sz w:val="24"/>
          <w:szCs w:val="24"/>
        </w:rPr>
      </w:pPr>
      <w:r>
        <w:rPr>
          <w:sz w:val="24"/>
          <w:szCs w:val="24"/>
        </w:rPr>
        <w:t xml:space="preserve">Frazer, J. (1890) </w:t>
      </w:r>
      <w:r>
        <w:rPr>
          <w:i/>
          <w:sz w:val="24"/>
          <w:szCs w:val="24"/>
        </w:rPr>
        <w:t xml:space="preserve">The Golden Bough: A Study in Comparative Religion. </w:t>
      </w:r>
      <w:r>
        <w:rPr>
          <w:sz w:val="24"/>
          <w:szCs w:val="24"/>
        </w:rPr>
        <w:t xml:space="preserve">London: Macmillan. </w:t>
      </w:r>
    </w:p>
    <w:p w:rsidR="00C843E0" w:rsidRPr="00C843E0" w:rsidRDefault="00C843E0" w:rsidP="00393758">
      <w:pPr>
        <w:spacing w:after="0" w:line="360" w:lineRule="auto"/>
        <w:rPr>
          <w:i/>
          <w:sz w:val="24"/>
          <w:szCs w:val="24"/>
        </w:rPr>
      </w:pPr>
    </w:p>
    <w:p w:rsidR="00393758" w:rsidRDefault="00393758" w:rsidP="00393758">
      <w:pPr>
        <w:spacing w:after="0" w:line="360" w:lineRule="auto"/>
        <w:rPr>
          <w:sz w:val="24"/>
          <w:szCs w:val="24"/>
        </w:rPr>
      </w:pPr>
      <w:r>
        <w:rPr>
          <w:sz w:val="24"/>
          <w:szCs w:val="24"/>
        </w:rPr>
        <w:t>Stein, R. L. and Stein, P. L. (2017)</w:t>
      </w:r>
      <w:r w:rsidR="00C843E0">
        <w:rPr>
          <w:sz w:val="24"/>
          <w:szCs w:val="24"/>
        </w:rPr>
        <w:t xml:space="preserve"> </w:t>
      </w:r>
      <w:r w:rsidR="00C843E0">
        <w:rPr>
          <w:i/>
          <w:sz w:val="24"/>
          <w:szCs w:val="24"/>
        </w:rPr>
        <w:t xml:space="preserve">An Anthropology of Religion, Magic and Witchcraft. </w:t>
      </w:r>
      <w:r w:rsidR="00C843E0">
        <w:rPr>
          <w:sz w:val="24"/>
          <w:szCs w:val="24"/>
        </w:rPr>
        <w:t>4</w:t>
      </w:r>
      <w:r w:rsidR="00C843E0" w:rsidRPr="00C843E0">
        <w:rPr>
          <w:sz w:val="24"/>
          <w:szCs w:val="24"/>
          <w:vertAlign w:val="superscript"/>
        </w:rPr>
        <w:t>th</w:t>
      </w:r>
      <w:r w:rsidR="00C843E0">
        <w:rPr>
          <w:sz w:val="24"/>
          <w:szCs w:val="24"/>
        </w:rPr>
        <w:t xml:space="preserve"> edn. London: Routledge. </w:t>
      </w:r>
    </w:p>
    <w:p w:rsidR="00C843E0" w:rsidRPr="00C843E0" w:rsidRDefault="00C843E0" w:rsidP="00393758">
      <w:pPr>
        <w:spacing w:after="0" w:line="360" w:lineRule="auto"/>
        <w:rPr>
          <w:sz w:val="24"/>
          <w:szCs w:val="24"/>
        </w:rPr>
      </w:pPr>
    </w:p>
    <w:sectPr w:rsidR="00C843E0" w:rsidRPr="00C843E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17F5" w:rsidRDefault="006017F5" w:rsidP="00174382">
      <w:pPr>
        <w:spacing w:after="0" w:line="240" w:lineRule="auto"/>
      </w:pPr>
      <w:r>
        <w:separator/>
      </w:r>
    </w:p>
  </w:endnote>
  <w:endnote w:type="continuationSeparator" w:id="0">
    <w:p w:rsidR="006017F5" w:rsidRDefault="006017F5" w:rsidP="00174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17F5" w:rsidRDefault="006017F5" w:rsidP="00174382">
      <w:pPr>
        <w:spacing w:after="0" w:line="240" w:lineRule="auto"/>
      </w:pPr>
      <w:r>
        <w:separator/>
      </w:r>
    </w:p>
  </w:footnote>
  <w:footnote w:type="continuationSeparator" w:id="0">
    <w:p w:rsidR="006017F5" w:rsidRDefault="006017F5" w:rsidP="001743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4382" w:rsidRDefault="00174382" w:rsidP="00174382">
    <w:pPr>
      <w:pStyle w:val="Header"/>
      <w:jc w:val="right"/>
    </w:pPr>
    <w:r>
      <w:t>Student No. 1801935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012625"/>
    <w:rsid w:val="00012625"/>
    <w:rsid w:val="001012E5"/>
    <w:rsid w:val="001665F7"/>
    <w:rsid w:val="00174382"/>
    <w:rsid w:val="001C4D13"/>
    <w:rsid w:val="002B04FE"/>
    <w:rsid w:val="003131F2"/>
    <w:rsid w:val="00393758"/>
    <w:rsid w:val="0056796F"/>
    <w:rsid w:val="005851D6"/>
    <w:rsid w:val="006017F5"/>
    <w:rsid w:val="00667534"/>
    <w:rsid w:val="007B53DB"/>
    <w:rsid w:val="007F0558"/>
    <w:rsid w:val="00963965"/>
    <w:rsid w:val="009B5981"/>
    <w:rsid w:val="00B76ADD"/>
    <w:rsid w:val="00C843E0"/>
    <w:rsid w:val="00D761A0"/>
    <w:rsid w:val="00DE731C"/>
    <w:rsid w:val="00DF7322"/>
    <w:rsid w:val="00EB4565"/>
    <w:rsid w:val="00F16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7C707"/>
  <w15:chartTrackingRefBased/>
  <w15:docId w15:val="{B356F91D-ECCB-4717-85A9-534099D22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4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382"/>
  </w:style>
  <w:style w:type="paragraph" w:styleId="Footer">
    <w:name w:val="footer"/>
    <w:basedOn w:val="Normal"/>
    <w:link w:val="FooterChar"/>
    <w:uiPriority w:val="99"/>
    <w:unhideWhenUsed/>
    <w:rsid w:val="00174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3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2873</TotalTime>
  <Pages>3</Pages>
  <Words>979</Words>
  <Characters>5077</Characters>
  <Application>Microsoft Office Word</Application>
  <DocSecurity>0</DocSecurity>
  <Lines>73</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2</cp:revision>
  <dcterms:created xsi:type="dcterms:W3CDTF">2019-02-15T13:48:00Z</dcterms:created>
  <dcterms:modified xsi:type="dcterms:W3CDTF">2019-02-17T13:41:00Z</dcterms:modified>
</cp:coreProperties>
</file>