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9928228" w:displacedByCustomXml="next"/>
    <w:bookmarkEnd w:id="0" w:displacedByCustomXml="next"/>
    <w:bookmarkStart w:id="1" w:name="_Hlk109743547" w:displacedByCustomXml="next"/>
    <w:sdt>
      <w:sdtPr>
        <w:rPr>
          <w:rFonts w:cs="Times New Roman"/>
        </w:rPr>
        <w:id w:val="-2664693"/>
        <w:docPartObj>
          <w:docPartGallery w:val="Cover Pages"/>
          <w:docPartUnique/>
        </w:docPartObj>
      </w:sdtPr>
      <w:sdtEndPr>
        <w:rPr>
          <w:b/>
          <w:bCs/>
          <w:szCs w:val="24"/>
          <w:lang w:val="en-US"/>
        </w:rPr>
      </w:sdtEndPr>
      <w:sdtContent>
        <w:p w14:paraId="0767526E" w14:textId="7C282212" w:rsidR="00974C5B" w:rsidRPr="008D6FCA" w:rsidRDefault="00256368" w:rsidP="00010DD4">
          <w:pPr>
            <w:spacing w:line="360" w:lineRule="auto"/>
            <w:jc w:val="center"/>
            <w:rPr>
              <w:rFonts w:cs="Times New Roman"/>
            </w:rPr>
          </w:pPr>
          <w:r w:rsidRPr="008D6FCA">
            <w:rPr>
              <w:rFonts w:cs="Times New Roman"/>
              <w:noProof/>
            </w:rPr>
            <w:drawing>
              <wp:inline distT="0" distB="0" distL="0" distR="0" wp14:anchorId="2AAFFC1C" wp14:editId="3C67837B">
                <wp:extent cx="3568034" cy="979805"/>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8"/>
                        <a:srcRect l="31777" t="54728" r="49169" b="35970"/>
                        <a:stretch/>
                      </pic:blipFill>
                      <pic:spPr bwMode="auto">
                        <a:xfrm>
                          <a:off x="0" y="0"/>
                          <a:ext cx="3600131" cy="988619"/>
                        </a:xfrm>
                        <a:prstGeom prst="rect">
                          <a:avLst/>
                        </a:prstGeom>
                        <a:ln>
                          <a:noFill/>
                        </a:ln>
                        <a:extLst>
                          <a:ext uri="{53640926-AAD7-44D8-BBD7-CCE9431645EC}">
                            <a14:shadowObscured xmlns:a14="http://schemas.microsoft.com/office/drawing/2010/main"/>
                          </a:ext>
                        </a:extLst>
                      </pic:spPr>
                    </pic:pic>
                  </a:graphicData>
                </a:graphic>
              </wp:inline>
            </w:drawing>
          </w:r>
        </w:p>
        <w:p w14:paraId="3F5E0B16" w14:textId="44ADEEA0" w:rsidR="00256368" w:rsidRPr="008D6FCA" w:rsidRDefault="00256368" w:rsidP="00010DD4">
          <w:pPr>
            <w:spacing w:line="360" w:lineRule="auto"/>
            <w:jc w:val="center"/>
            <w:rPr>
              <w:rFonts w:cs="Times New Roman"/>
              <w:b/>
              <w:bCs/>
              <w:sz w:val="36"/>
              <w:szCs w:val="36"/>
              <w:lang w:val="en-US"/>
            </w:rPr>
          </w:pPr>
          <w:r w:rsidRPr="008D6FCA">
            <w:rPr>
              <w:rFonts w:cs="Times New Roman"/>
              <w:b/>
              <w:bCs/>
              <w:sz w:val="36"/>
              <w:szCs w:val="36"/>
              <w:lang w:val="en-US"/>
            </w:rPr>
            <w:t>University of Wales – Trinity Saint David</w:t>
          </w:r>
        </w:p>
        <w:p w14:paraId="30FCD99C" w14:textId="77777777" w:rsidR="00FE4CED" w:rsidRPr="008D6FCA" w:rsidRDefault="00FE4CED" w:rsidP="00010DD4">
          <w:pPr>
            <w:spacing w:line="360" w:lineRule="auto"/>
            <w:jc w:val="center"/>
            <w:rPr>
              <w:rFonts w:cs="Times New Roman"/>
              <w:b/>
              <w:bCs/>
              <w:sz w:val="35"/>
              <w:szCs w:val="35"/>
              <w:lang w:val="en-US"/>
            </w:rPr>
          </w:pPr>
        </w:p>
        <w:p w14:paraId="32F29AD3" w14:textId="68FF9B7C" w:rsidR="00147A7B" w:rsidRPr="008D6FCA" w:rsidRDefault="00147A7B" w:rsidP="00010DD4">
          <w:pPr>
            <w:spacing w:line="360" w:lineRule="auto"/>
            <w:jc w:val="center"/>
            <w:rPr>
              <w:rFonts w:cs="Times New Roman"/>
              <w:b/>
              <w:bCs/>
              <w:sz w:val="36"/>
              <w:szCs w:val="36"/>
              <w:lang w:val="en-US"/>
            </w:rPr>
          </w:pPr>
          <w:r w:rsidRPr="008D6FCA">
            <w:rPr>
              <w:rFonts w:cs="Times New Roman"/>
              <w:b/>
              <w:bCs/>
              <w:sz w:val="36"/>
              <w:szCs w:val="36"/>
              <w:lang w:val="en-US"/>
            </w:rPr>
            <w:t>Report Title</w:t>
          </w:r>
        </w:p>
        <w:p w14:paraId="26FD9310" w14:textId="4521CBD3" w:rsidR="00FE4CED" w:rsidRPr="008D6FCA" w:rsidRDefault="00DD5E2F" w:rsidP="00010DD4">
          <w:pPr>
            <w:spacing w:line="360" w:lineRule="auto"/>
            <w:jc w:val="center"/>
            <w:rPr>
              <w:rFonts w:eastAsia="Yu Gothic Light" w:cs="Times New Roman"/>
              <w:sz w:val="35"/>
              <w:szCs w:val="35"/>
            </w:rPr>
          </w:pPr>
          <w:r w:rsidRPr="008D6FCA">
            <w:rPr>
              <w:rFonts w:eastAsia="Yu Gothic Light" w:cs="Times New Roman"/>
              <w:sz w:val="35"/>
              <w:szCs w:val="35"/>
            </w:rPr>
            <w:t xml:space="preserve">Business Review of Aston Marten </w:t>
          </w:r>
          <w:r w:rsidR="006B35AB">
            <w:rPr>
              <w:rFonts w:eastAsia="Yu Gothic Light" w:cs="Times New Roman"/>
              <w:sz w:val="35"/>
              <w:szCs w:val="35"/>
            </w:rPr>
            <w:t xml:space="preserve">and BMW </w:t>
          </w:r>
          <w:r w:rsidRPr="008D6FCA">
            <w:rPr>
              <w:rFonts w:eastAsia="Yu Gothic Light" w:cs="Times New Roman"/>
              <w:sz w:val="35"/>
              <w:szCs w:val="35"/>
            </w:rPr>
            <w:t>Utilising Published Financial Statements</w:t>
          </w:r>
          <w:r w:rsidR="009B63EB" w:rsidRPr="008D6FCA">
            <w:rPr>
              <w:rFonts w:eastAsia="Yu Gothic Light" w:cs="Times New Roman"/>
              <w:sz w:val="35"/>
              <w:szCs w:val="35"/>
            </w:rPr>
            <w:t>.</w:t>
          </w:r>
        </w:p>
        <w:p w14:paraId="24AA8F46" w14:textId="77777777" w:rsidR="00757B7C" w:rsidRPr="008D6FCA" w:rsidRDefault="00757B7C" w:rsidP="00010DD4">
          <w:pPr>
            <w:spacing w:line="360" w:lineRule="auto"/>
            <w:jc w:val="center"/>
            <w:rPr>
              <w:rFonts w:cs="Times New Roman"/>
              <w:b/>
              <w:bCs/>
              <w:sz w:val="35"/>
              <w:szCs w:val="35"/>
              <w:lang w:val="en-US"/>
            </w:rPr>
          </w:pPr>
        </w:p>
        <w:p w14:paraId="40B03A67" w14:textId="04D2D337" w:rsidR="00B86C75" w:rsidRPr="008D6FCA" w:rsidRDefault="00B86C75" w:rsidP="00010DD4">
          <w:pPr>
            <w:spacing w:line="360" w:lineRule="auto"/>
            <w:jc w:val="center"/>
            <w:rPr>
              <w:rFonts w:cs="Times New Roman"/>
              <w:b/>
              <w:bCs/>
              <w:sz w:val="36"/>
              <w:szCs w:val="36"/>
              <w:lang w:val="en-US"/>
            </w:rPr>
          </w:pPr>
          <w:r w:rsidRPr="008D6FCA">
            <w:rPr>
              <w:rFonts w:cs="Times New Roman"/>
              <w:b/>
              <w:bCs/>
              <w:sz w:val="36"/>
              <w:szCs w:val="36"/>
              <w:lang w:val="en-US"/>
            </w:rPr>
            <w:t>By</w:t>
          </w:r>
        </w:p>
        <w:p w14:paraId="43BD489A" w14:textId="1C54C9B6" w:rsidR="00B86C75" w:rsidRPr="008D6FCA" w:rsidRDefault="00B86C75" w:rsidP="00010DD4">
          <w:pPr>
            <w:spacing w:line="360" w:lineRule="auto"/>
            <w:jc w:val="center"/>
            <w:rPr>
              <w:rFonts w:cs="Times New Roman"/>
              <w:sz w:val="35"/>
              <w:szCs w:val="35"/>
              <w:lang w:val="en-US"/>
            </w:rPr>
          </w:pPr>
          <w:r w:rsidRPr="008D6FCA">
            <w:rPr>
              <w:rFonts w:cs="Times New Roman"/>
              <w:sz w:val="35"/>
              <w:szCs w:val="35"/>
              <w:lang w:val="en-US"/>
            </w:rPr>
            <w:t>Fredrick Emeka Okwute</w:t>
          </w:r>
          <w:r w:rsidR="00D9664A" w:rsidRPr="008D6FCA">
            <w:rPr>
              <w:rFonts w:cs="Times New Roman"/>
              <w:sz w:val="35"/>
              <w:szCs w:val="35"/>
              <w:lang w:val="en-US"/>
            </w:rPr>
            <w:t xml:space="preserve"> (2134193)</w:t>
          </w:r>
        </w:p>
        <w:p w14:paraId="0F833898" w14:textId="77777777" w:rsidR="00912FD4" w:rsidRPr="008D6FCA" w:rsidRDefault="00912FD4" w:rsidP="00010DD4">
          <w:pPr>
            <w:spacing w:line="360" w:lineRule="auto"/>
            <w:jc w:val="center"/>
            <w:rPr>
              <w:rFonts w:cs="Times New Roman"/>
              <w:sz w:val="35"/>
              <w:szCs w:val="35"/>
              <w:lang w:val="en-US"/>
            </w:rPr>
          </w:pPr>
        </w:p>
        <w:p w14:paraId="3CD7631A" w14:textId="073CECC2" w:rsidR="00147A7B" w:rsidRPr="008D6FCA" w:rsidRDefault="00147A7B" w:rsidP="00010DD4">
          <w:pPr>
            <w:spacing w:line="360" w:lineRule="auto"/>
            <w:jc w:val="center"/>
            <w:rPr>
              <w:rFonts w:cs="Times New Roman"/>
              <w:b/>
              <w:bCs/>
              <w:sz w:val="36"/>
              <w:szCs w:val="36"/>
              <w:lang w:val="en-US"/>
            </w:rPr>
          </w:pPr>
          <w:r w:rsidRPr="008D6FCA">
            <w:rPr>
              <w:rFonts w:cs="Times New Roman"/>
              <w:b/>
              <w:bCs/>
              <w:sz w:val="36"/>
              <w:szCs w:val="36"/>
              <w:lang w:val="en-US"/>
            </w:rPr>
            <w:t>Module</w:t>
          </w:r>
        </w:p>
        <w:p w14:paraId="345ADEBD" w14:textId="414CF1D5" w:rsidR="004B54BA" w:rsidRPr="008D6FCA" w:rsidRDefault="00757B7C" w:rsidP="00010DD4">
          <w:pPr>
            <w:spacing w:line="360" w:lineRule="auto"/>
            <w:jc w:val="center"/>
            <w:rPr>
              <w:rFonts w:cs="Times New Roman"/>
              <w:sz w:val="35"/>
              <w:szCs w:val="35"/>
              <w:lang w:val="en-US"/>
            </w:rPr>
          </w:pPr>
          <w:r w:rsidRPr="008D6FCA">
            <w:rPr>
              <w:rFonts w:cs="Times New Roman"/>
              <w:sz w:val="35"/>
              <w:szCs w:val="35"/>
              <w:lang w:val="en-US"/>
            </w:rPr>
            <w:t>Financial Management and Planning</w:t>
          </w:r>
          <w:r w:rsidR="004B54BA" w:rsidRPr="008D6FCA">
            <w:rPr>
              <w:rFonts w:cs="Times New Roman"/>
              <w:sz w:val="35"/>
              <w:szCs w:val="35"/>
              <w:lang w:val="en-US"/>
            </w:rPr>
            <w:t xml:space="preserve"> (ACPA700</w:t>
          </w:r>
          <w:r w:rsidRPr="008D6FCA">
            <w:rPr>
              <w:rFonts w:cs="Times New Roman"/>
              <w:sz w:val="35"/>
              <w:szCs w:val="35"/>
              <w:lang w:val="en-US"/>
            </w:rPr>
            <w:t>2</w:t>
          </w:r>
          <w:r w:rsidR="004B54BA" w:rsidRPr="008D6FCA">
            <w:rPr>
              <w:rFonts w:cs="Times New Roman"/>
              <w:sz w:val="35"/>
              <w:szCs w:val="35"/>
              <w:lang w:val="en-US"/>
            </w:rPr>
            <w:t>)</w:t>
          </w:r>
        </w:p>
        <w:p w14:paraId="65084E31" w14:textId="77777777" w:rsidR="00147A7B" w:rsidRPr="008D6FCA" w:rsidRDefault="00147A7B" w:rsidP="00010DD4">
          <w:pPr>
            <w:spacing w:line="360" w:lineRule="auto"/>
            <w:jc w:val="center"/>
            <w:rPr>
              <w:rFonts w:cs="Times New Roman"/>
              <w:b/>
              <w:bCs/>
              <w:sz w:val="36"/>
              <w:szCs w:val="36"/>
              <w:lang w:val="en-US"/>
            </w:rPr>
          </w:pPr>
          <w:r w:rsidRPr="008D6FCA">
            <w:rPr>
              <w:rFonts w:cs="Times New Roman"/>
              <w:b/>
              <w:bCs/>
              <w:sz w:val="36"/>
              <w:szCs w:val="36"/>
              <w:lang w:val="en-US"/>
            </w:rPr>
            <w:t>Lecturer</w:t>
          </w:r>
        </w:p>
        <w:p w14:paraId="203FC9AF" w14:textId="47987E1A" w:rsidR="00B86C75" w:rsidRPr="008D6FCA" w:rsidRDefault="00757B7C" w:rsidP="00010DD4">
          <w:pPr>
            <w:spacing w:line="360" w:lineRule="auto"/>
            <w:jc w:val="center"/>
            <w:rPr>
              <w:rFonts w:cs="Times New Roman"/>
              <w:sz w:val="35"/>
              <w:szCs w:val="35"/>
              <w:lang w:val="en-US"/>
            </w:rPr>
          </w:pPr>
          <w:r w:rsidRPr="008D6FCA">
            <w:rPr>
              <w:rFonts w:cs="Times New Roman"/>
              <w:sz w:val="35"/>
              <w:szCs w:val="35"/>
              <w:lang w:val="en-US"/>
            </w:rPr>
            <w:t>Howard Davies</w:t>
          </w:r>
        </w:p>
        <w:p w14:paraId="18F06BE0" w14:textId="010C8D82" w:rsidR="00B86C75" w:rsidRDefault="00B86C75" w:rsidP="00010DD4">
          <w:pPr>
            <w:spacing w:line="360" w:lineRule="auto"/>
            <w:jc w:val="center"/>
            <w:rPr>
              <w:rFonts w:cs="Times New Roman"/>
              <w:b/>
              <w:bCs/>
              <w:sz w:val="36"/>
              <w:szCs w:val="36"/>
              <w:lang w:val="en-US"/>
            </w:rPr>
          </w:pPr>
        </w:p>
        <w:p w14:paraId="16475E55" w14:textId="77777777" w:rsidR="006B35AB" w:rsidRPr="008D6FCA" w:rsidRDefault="006B35AB" w:rsidP="00010DD4">
          <w:pPr>
            <w:spacing w:line="360" w:lineRule="auto"/>
            <w:jc w:val="center"/>
            <w:rPr>
              <w:rFonts w:cs="Times New Roman"/>
              <w:b/>
              <w:bCs/>
              <w:sz w:val="36"/>
              <w:szCs w:val="36"/>
              <w:lang w:val="en-US"/>
            </w:rPr>
          </w:pPr>
        </w:p>
        <w:p w14:paraId="2D75E77B" w14:textId="7A0DCCB1" w:rsidR="00147A7B" w:rsidRPr="008D6FCA" w:rsidRDefault="00C510B6" w:rsidP="00010DD4">
          <w:pPr>
            <w:spacing w:line="360" w:lineRule="auto"/>
            <w:jc w:val="center"/>
            <w:rPr>
              <w:rFonts w:cs="Times New Roman"/>
              <w:sz w:val="35"/>
              <w:szCs w:val="35"/>
              <w:lang w:val="en-US"/>
            </w:rPr>
          </w:pPr>
          <w:r w:rsidRPr="008D6FCA">
            <w:rPr>
              <w:rFonts w:cs="Times New Roman"/>
              <w:sz w:val="35"/>
              <w:szCs w:val="35"/>
              <w:lang w:val="en-US"/>
            </w:rPr>
            <w:t>29</w:t>
          </w:r>
          <w:r w:rsidR="00912FD4">
            <w:rPr>
              <w:rFonts w:cs="Times New Roman"/>
              <w:sz w:val="35"/>
              <w:szCs w:val="35"/>
              <w:lang w:val="en-US"/>
            </w:rPr>
            <w:t xml:space="preserve"> September 2023</w:t>
          </w:r>
        </w:p>
        <w:bookmarkStart w:id="2" w:name="_Toc145150204" w:displacedByCustomXml="next"/>
        <w:sdt>
          <w:sdtPr>
            <w:rPr>
              <w:rFonts w:eastAsiaTheme="minorHAnsi" w:cs="Times New Roman"/>
              <w:b w:val="0"/>
              <w:sz w:val="22"/>
              <w:szCs w:val="22"/>
            </w:rPr>
            <w:id w:val="-1503202581"/>
            <w:docPartObj>
              <w:docPartGallery w:val="Table of Contents"/>
              <w:docPartUnique/>
            </w:docPartObj>
          </w:sdtPr>
          <w:sdtEndPr>
            <w:rPr>
              <w:bCs/>
              <w:noProof/>
              <w:sz w:val="24"/>
              <w:szCs w:val="24"/>
            </w:rPr>
          </w:sdtEndPr>
          <w:sdtContent>
            <w:p w14:paraId="77E427F1" w14:textId="502AF568" w:rsidR="00147A7B" w:rsidRPr="008D6FCA" w:rsidRDefault="00147A7B" w:rsidP="008D6FCA">
              <w:pPr>
                <w:pStyle w:val="Heading1"/>
                <w:spacing w:line="360" w:lineRule="auto"/>
                <w:jc w:val="both"/>
                <w:rPr>
                  <w:rFonts w:cs="Times New Roman"/>
                </w:rPr>
              </w:pPr>
              <w:r w:rsidRPr="008D6FCA">
                <w:rPr>
                  <w:rFonts w:cs="Times New Roman"/>
                </w:rPr>
                <w:t>Contents</w:t>
              </w:r>
              <w:bookmarkEnd w:id="2"/>
            </w:p>
            <w:p w14:paraId="5B162D3E" w14:textId="0DE67783" w:rsidR="00B26D29" w:rsidRDefault="00147A7B">
              <w:pPr>
                <w:pStyle w:val="TOC1"/>
                <w:tabs>
                  <w:tab w:val="right" w:leader="dot" w:pos="9016"/>
                </w:tabs>
                <w:rPr>
                  <w:rFonts w:asciiTheme="minorHAnsi" w:eastAsiaTheme="minorEastAsia" w:hAnsiTheme="minorHAnsi"/>
                  <w:noProof/>
                  <w:color w:val="auto"/>
                  <w:kern w:val="2"/>
                  <w:sz w:val="22"/>
                  <w:lang w:eastAsia="en-GB"/>
                  <w14:ligatures w14:val="standardContextual"/>
                </w:rPr>
              </w:pPr>
              <w:r w:rsidRPr="008D6FCA">
                <w:rPr>
                  <w:rFonts w:cs="Times New Roman"/>
                  <w:szCs w:val="24"/>
                </w:rPr>
                <w:fldChar w:fldCharType="begin"/>
              </w:r>
              <w:r w:rsidRPr="008D6FCA">
                <w:rPr>
                  <w:rFonts w:cs="Times New Roman"/>
                  <w:szCs w:val="24"/>
                </w:rPr>
                <w:instrText xml:space="preserve"> TOC \o "1-3" \h \z \u </w:instrText>
              </w:r>
              <w:r w:rsidRPr="008D6FCA">
                <w:rPr>
                  <w:rFonts w:cs="Times New Roman"/>
                  <w:szCs w:val="24"/>
                </w:rPr>
                <w:fldChar w:fldCharType="separate"/>
              </w:r>
              <w:hyperlink w:anchor="_Toc145150204" w:history="1">
                <w:r w:rsidR="00B26D29" w:rsidRPr="002D7B0F">
                  <w:rPr>
                    <w:rStyle w:val="Hyperlink"/>
                    <w:rFonts w:cs="Times New Roman"/>
                    <w:noProof/>
                  </w:rPr>
                  <w:t>Contents</w:t>
                </w:r>
                <w:r w:rsidR="00B26D29">
                  <w:rPr>
                    <w:noProof/>
                    <w:webHidden/>
                  </w:rPr>
                  <w:tab/>
                </w:r>
                <w:r w:rsidR="00B26D29">
                  <w:rPr>
                    <w:noProof/>
                    <w:webHidden/>
                  </w:rPr>
                  <w:fldChar w:fldCharType="begin"/>
                </w:r>
                <w:r w:rsidR="00B26D29">
                  <w:rPr>
                    <w:noProof/>
                    <w:webHidden/>
                  </w:rPr>
                  <w:instrText xml:space="preserve"> PAGEREF _Toc145150204 \h </w:instrText>
                </w:r>
                <w:r w:rsidR="00B26D29">
                  <w:rPr>
                    <w:noProof/>
                    <w:webHidden/>
                  </w:rPr>
                </w:r>
                <w:r w:rsidR="00B26D29">
                  <w:rPr>
                    <w:noProof/>
                    <w:webHidden/>
                  </w:rPr>
                  <w:fldChar w:fldCharType="separate"/>
                </w:r>
                <w:r w:rsidR="00B26D29">
                  <w:rPr>
                    <w:noProof/>
                    <w:webHidden/>
                  </w:rPr>
                  <w:t>1</w:t>
                </w:r>
                <w:r w:rsidR="00B26D29">
                  <w:rPr>
                    <w:noProof/>
                    <w:webHidden/>
                  </w:rPr>
                  <w:fldChar w:fldCharType="end"/>
                </w:r>
              </w:hyperlink>
            </w:p>
            <w:p w14:paraId="7CD28AC5" w14:textId="5AE39ED3"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05" w:history="1">
                <w:r w:rsidR="00B26D29" w:rsidRPr="002D7B0F">
                  <w:rPr>
                    <w:rStyle w:val="Hyperlink"/>
                    <w:rFonts w:cs="Times New Roman"/>
                    <w:noProof/>
                  </w:rPr>
                  <w:t>Executive Summary</w:t>
                </w:r>
                <w:r w:rsidR="00B26D29">
                  <w:rPr>
                    <w:noProof/>
                    <w:webHidden/>
                  </w:rPr>
                  <w:tab/>
                </w:r>
                <w:r w:rsidR="00B26D29">
                  <w:rPr>
                    <w:noProof/>
                    <w:webHidden/>
                  </w:rPr>
                  <w:fldChar w:fldCharType="begin"/>
                </w:r>
                <w:r w:rsidR="00B26D29">
                  <w:rPr>
                    <w:noProof/>
                    <w:webHidden/>
                  </w:rPr>
                  <w:instrText xml:space="preserve"> PAGEREF _Toc145150205 \h </w:instrText>
                </w:r>
                <w:r w:rsidR="00B26D29">
                  <w:rPr>
                    <w:noProof/>
                    <w:webHidden/>
                  </w:rPr>
                </w:r>
                <w:r w:rsidR="00B26D29">
                  <w:rPr>
                    <w:noProof/>
                    <w:webHidden/>
                  </w:rPr>
                  <w:fldChar w:fldCharType="separate"/>
                </w:r>
                <w:r w:rsidR="00B26D29">
                  <w:rPr>
                    <w:noProof/>
                    <w:webHidden/>
                  </w:rPr>
                  <w:t>2</w:t>
                </w:r>
                <w:r w:rsidR="00B26D29">
                  <w:rPr>
                    <w:noProof/>
                    <w:webHidden/>
                  </w:rPr>
                  <w:fldChar w:fldCharType="end"/>
                </w:r>
              </w:hyperlink>
            </w:p>
            <w:p w14:paraId="3422B34F" w14:textId="4232BCCE"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06" w:history="1">
                <w:r w:rsidR="00B26D29" w:rsidRPr="002D7B0F">
                  <w:rPr>
                    <w:rStyle w:val="Hyperlink"/>
                    <w:rFonts w:cs="Times New Roman"/>
                    <w:noProof/>
                  </w:rPr>
                  <w:t>Introduction</w:t>
                </w:r>
                <w:r w:rsidR="00B26D29">
                  <w:rPr>
                    <w:noProof/>
                    <w:webHidden/>
                  </w:rPr>
                  <w:tab/>
                </w:r>
                <w:r w:rsidR="00B26D29">
                  <w:rPr>
                    <w:noProof/>
                    <w:webHidden/>
                  </w:rPr>
                  <w:fldChar w:fldCharType="begin"/>
                </w:r>
                <w:r w:rsidR="00B26D29">
                  <w:rPr>
                    <w:noProof/>
                    <w:webHidden/>
                  </w:rPr>
                  <w:instrText xml:space="preserve"> PAGEREF _Toc145150206 \h </w:instrText>
                </w:r>
                <w:r w:rsidR="00B26D29">
                  <w:rPr>
                    <w:noProof/>
                    <w:webHidden/>
                  </w:rPr>
                </w:r>
                <w:r w:rsidR="00B26D29">
                  <w:rPr>
                    <w:noProof/>
                    <w:webHidden/>
                  </w:rPr>
                  <w:fldChar w:fldCharType="separate"/>
                </w:r>
                <w:r w:rsidR="00B26D29">
                  <w:rPr>
                    <w:noProof/>
                    <w:webHidden/>
                  </w:rPr>
                  <w:t>3</w:t>
                </w:r>
                <w:r w:rsidR="00B26D29">
                  <w:rPr>
                    <w:noProof/>
                    <w:webHidden/>
                  </w:rPr>
                  <w:fldChar w:fldCharType="end"/>
                </w:r>
              </w:hyperlink>
            </w:p>
            <w:p w14:paraId="3245AE66" w14:textId="11D331AB"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07" w:history="1">
                <w:r w:rsidR="00B26D29" w:rsidRPr="002D7B0F">
                  <w:rPr>
                    <w:rStyle w:val="Hyperlink"/>
                    <w:rFonts w:cs="Times New Roman"/>
                    <w:bCs/>
                    <w:noProof/>
                  </w:rPr>
                  <w:t>Detailed Review of Financial Statements</w:t>
                </w:r>
                <w:r w:rsidR="00B26D29">
                  <w:rPr>
                    <w:noProof/>
                    <w:webHidden/>
                  </w:rPr>
                  <w:tab/>
                </w:r>
                <w:r w:rsidR="00B26D29">
                  <w:rPr>
                    <w:noProof/>
                    <w:webHidden/>
                  </w:rPr>
                  <w:fldChar w:fldCharType="begin"/>
                </w:r>
                <w:r w:rsidR="00B26D29">
                  <w:rPr>
                    <w:noProof/>
                    <w:webHidden/>
                  </w:rPr>
                  <w:instrText xml:space="preserve"> PAGEREF _Toc145150207 \h </w:instrText>
                </w:r>
                <w:r w:rsidR="00B26D29">
                  <w:rPr>
                    <w:noProof/>
                    <w:webHidden/>
                  </w:rPr>
                </w:r>
                <w:r w:rsidR="00B26D29">
                  <w:rPr>
                    <w:noProof/>
                    <w:webHidden/>
                  </w:rPr>
                  <w:fldChar w:fldCharType="separate"/>
                </w:r>
                <w:r w:rsidR="00B26D29">
                  <w:rPr>
                    <w:noProof/>
                    <w:webHidden/>
                  </w:rPr>
                  <w:t>4</w:t>
                </w:r>
                <w:r w:rsidR="00B26D29">
                  <w:rPr>
                    <w:noProof/>
                    <w:webHidden/>
                  </w:rPr>
                  <w:fldChar w:fldCharType="end"/>
                </w:r>
              </w:hyperlink>
            </w:p>
            <w:p w14:paraId="36404A95" w14:textId="18A874BB"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08" w:history="1">
                <w:r w:rsidR="00B26D29" w:rsidRPr="002D7B0F">
                  <w:rPr>
                    <w:rStyle w:val="Hyperlink"/>
                    <w:noProof/>
                  </w:rPr>
                  <w:t>Aston Martin Lagonda Limited</w:t>
                </w:r>
                <w:r w:rsidR="00B26D29">
                  <w:rPr>
                    <w:noProof/>
                    <w:webHidden/>
                  </w:rPr>
                  <w:tab/>
                </w:r>
                <w:r w:rsidR="00B26D29">
                  <w:rPr>
                    <w:noProof/>
                    <w:webHidden/>
                  </w:rPr>
                  <w:fldChar w:fldCharType="begin"/>
                </w:r>
                <w:r w:rsidR="00B26D29">
                  <w:rPr>
                    <w:noProof/>
                    <w:webHidden/>
                  </w:rPr>
                  <w:instrText xml:space="preserve"> PAGEREF _Toc145150208 \h </w:instrText>
                </w:r>
                <w:r w:rsidR="00B26D29">
                  <w:rPr>
                    <w:noProof/>
                    <w:webHidden/>
                  </w:rPr>
                </w:r>
                <w:r w:rsidR="00B26D29">
                  <w:rPr>
                    <w:noProof/>
                    <w:webHidden/>
                  </w:rPr>
                  <w:fldChar w:fldCharType="separate"/>
                </w:r>
                <w:r w:rsidR="00B26D29">
                  <w:rPr>
                    <w:noProof/>
                    <w:webHidden/>
                  </w:rPr>
                  <w:t>4</w:t>
                </w:r>
                <w:r w:rsidR="00B26D29">
                  <w:rPr>
                    <w:noProof/>
                    <w:webHidden/>
                  </w:rPr>
                  <w:fldChar w:fldCharType="end"/>
                </w:r>
              </w:hyperlink>
            </w:p>
            <w:p w14:paraId="5B7A1390" w14:textId="49C6C9DE"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09" w:history="1">
                <w:r w:rsidR="00B26D29" w:rsidRPr="002D7B0F">
                  <w:rPr>
                    <w:rStyle w:val="Hyperlink"/>
                    <w:noProof/>
                  </w:rPr>
                  <w:t>BMW (UK) Limited</w:t>
                </w:r>
                <w:r w:rsidR="00B26D29">
                  <w:rPr>
                    <w:noProof/>
                    <w:webHidden/>
                  </w:rPr>
                  <w:tab/>
                </w:r>
                <w:r w:rsidR="00B26D29">
                  <w:rPr>
                    <w:noProof/>
                    <w:webHidden/>
                  </w:rPr>
                  <w:fldChar w:fldCharType="begin"/>
                </w:r>
                <w:r w:rsidR="00B26D29">
                  <w:rPr>
                    <w:noProof/>
                    <w:webHidden/>
                  </w:rPr>
                  <w:instrText xml:space="preserve"> PAGEREF _Toc145150209 \h </w:instrText>
                </w:r>
                <w:r w:rsidR="00B26D29">
                  <w:rPr>
                    <w:noProof/>
                    <w:webHidden/>
                  </w:rPr>
                </w:r>
                <w:r w:rsidR="00B26D29">
                  <w:rPr>
                    <w:noProof/>
                    <w:webHidden/>
                  </w:rPr>
                  <w:fldChar w:fldCharType="separate"/>
                </w:r>
                <w:r w:rsidR="00B26D29">
                  <w:rPr>
                    <w:noProof/>
                    <w:webHidden/>
                  </w:rPr>
                  <w:t>4</w:t>
                </w:r>
                <w:r w:rsidR="00B26D29">
                  <w:rPr>
                    <w:noProof/>
                    <w:webHidden/>
                  </w:rPr>
                  <w:fldChar w:fldCharType="end"/>
                </w:r>
              </w:hyperlink>
            </w:p>
            <w:p w14:paraId="754D688E" w14:textId="6C6C30B4"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0" w:history="1">
                <w:r w:rsidR="00B26D29" w:rsidRPr="002D7B0F">
                  <w:rPr>
                    <w:rStyle w:val="Hyperlink"/>
                    <w:noProof/>
                  </w:rPr>
                  <w:t>Comparisons of Trends and Risks</w:t>
                </w:r>
                <w:r w:rsidR="00B26D29">
                  <w:rPr>
                    <w:noProof/>
                    <w:webHidden/>
                  </w:rPr>
                  <w:tab/>
                </w:r>
                <w:r w:rsidR="00B26D29">
                  <w:rPr>
                    <w:noProof/>
                    <w:webHidden/>
                  </w:rPr>
                  <w:fldChar w:fldCharType="begin"/>
                </w:r>
                <w:r w:rsidR="00B26D29">
                  <w:rPr>
                    <w:noProof/>
                    <w:webHidden/>
                  </w:rPr>
                  <w:instrText xml:space="preserve"> PAGEREF _Toc145150210 \h </w:instrText>
                </w:r>
                <w:r w:rsidR="00B26D29">
                  <w:rPr>
                    <w:noProof/>
                    <w:webHidden/>
                  </w:rPr>
                </w:r>
                <w:r w:rsidR="00B26D29">
                  <w:rPr>
                    <w:noProof/>
                    <w:webHidden/>
                  </w:rPr>
                  <w:fldChar w:fldCharType="separate"/>
                </w:r>
                <w:r w:rsidR="00B26D29">
                  <w:rPr>
                    <w:noProof/>
                    <w:webHidden/>
                  </w:rPr>
                  <w:t>5</w:t>
                </w:r>
                <w:r w:rsidR="00B26D29">
                  <w:rPr>
                    <w:noProof/>
                    <w:webHidden/>
                  </w:rPr>
                  <w:fldChar w:fldCharType="end"/>
                </w:r>
              </w:hyperlink>
            </w:p>
            <w:p w14:paraId="35B10958" w14:textId="39A54E5B"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11" w:history="1">
                <w:r w:rsidR="00B26D29" w:rsidRPr="002D7B0F">
                  <w:rPr>
                    <w:rStyle w:val="Hyperlink"/>
                    <w:rFonts w:cs="Times New Roman"/>
                    <w:bCs/>
                    <w:noProof/>
                  </w:rPr>
                  <w:t>Explanation of the Use of Financial Statement</w:t>
                </w:r>
                <w:r w:rsidR="00B26D29">
                  <w:rPr>
                    <w:noProof/>
                    <w:webHidden/>
                  </w:rPr>
                  <w:tab/>
                </w:r>
                <w:r w:rsidR="00B26D29">
                  <w:rPr>
                    <w:noProof/>
                    <w:webHidden/>
                  </w:rPr>
                  <w:fldChar w:fldCharType="begin"/>
                </w:r>
                <w:r w:rsidR="00B26D29">
                  <w:rPr>
                    <w:noProof/>
                    <w:webHidden/>
                  </w:rPr>
                  <w:instrText xml:space="preserve"> PAGEREF _Toc145150211 \h </w:instrText>
                </w:r>
                <w:r w:rsidR="00B26D29">
                  <w:rPr>
                    <w:noProof/>
                    <w:webHidden/>
                  </w:rPr>
                </w:r>
                <w:r w:rsidR="00B26D29">
                  <w:rPr>
                    <w:noProof/>
                    <w:webHidden/>
                  </w:rPr>
                  <w:fldChar w:fldCharType="separate"/>
                </w:r>
                <w:r w:rsidR="00B26D29">
                  <w:rPr>
                    <w:noProof/>
                    <w:webHidden/>
                  </w:rPr>
                  <w:t>6</w:t>
                </w:r>
                <w:r w:rsidR="00B26D29">
                  <w:rPr>
                    <w:noProof/>
                    <w:webHidden/>
                  </w:rPr>
                  <w:fldChar w:fldCharType="end"/>
                </w:r>
              </w:hyperlink>
            </w:p>
            <w:p w14:paraId="63C05540" w14:textId="78CAFAD3"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12" w:history="1">
                <w:r w:rsidR="00B26D29" w:rsidRPr="002D7B0F">
                  <w:rPr>
                    <w:rStyle w:val="Hyperlink"/>
                    <w:rFonts w:cs="Times New Roman"/>
                    <w:bCs/>
                    <w:noProof/>
                  </w:rPr>
                  <w:t>Calculation of Ratios</w:t>
                </w:r>
                <w:r w:rsidR="00B26D29">
                  <w:rPr>
                    <w:noProof/>
                    <w:webHidden/>
                  </w:rPr>
                  <w:tab/>
                </w:r>
                <w:r w:rsidR="00B26D29">
                  <w:rPr>
                    <w:noProof/>
                    <w:webHidden/>
                  </w:rPr>
                  <w:fldChar w:fldCharType="begin"/>
                </w:r>
                <w:r w:rsidR="00B26D29">
                  <w:rPr>
                    <w:noProof/>
                    <w:webHidden/>
                  </w:rPr>
                  <w:instrText xml:space="preserve"> PAGEREF _Toc145150212 \h </w:instrText>
                </w:r>
                <w:r w:rsidR="00B26D29">
                  <w:rPr>
                    <w:noProof/>
                    <w:webHidden/>
                  </w:rPr>
                </w:r>
                <w:r w:rsidR="00B26D29">
                  <w:rPr>
                    <w:noProof/>
                    <w:webHidden/>
                  </w:rPr>
                  <w:fldChar w:fldCharType="separate"/>
                </w:r>
                <w:r w:rsidR="00B26D29">
                  <w:rPr>
                    <w:noProof/>
                    <w:webHidden/>
                  </w:rPr>
                  <w:t>7</w:t>
                </w:r>
                <w:r w:rsidR="00B26D29">
                  <w:rPr>
                    <w:noProof/>
                    <w:webHidden/>
                  </w:rPr>
                  <w:fldChar w:fldCharType="end"/>
                </w:r>
              </w:hyperlink>
            </w:p>
            <w:p w14:paraId="649361BF" w14:textId="0CC679A5"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13" w:history="1">
                <w:r w:rsidR="00B26D29" w:rsidRPr="002D7B0F">
                  <w:rPr>
                    <w:rStyle w:val="Hyperlink"/>
                    <w:rFonts w:cs="Times New Roman"/>
                    <w:noProof/>
                  </w:rPr>
                  <w:t>Critical Evaluation of Ratios</w:t>
                </w:r>
                <w:r w:rsidR="00B26D29">
                  <w:rPr>
                    <w:noProof/>
                    <w:webHidden/>
                  </w:rPr>
                  <w:tab/>
                </w:r>
                <w:r w:rsidR="00B26D29">
                  <w:rPr>
                    <w:noProof/>
                    <w:webHidden/>
                  </w:rPr>
                  <w:fldChar w:fldCharType="begin"/>
                </w:r>
                <w:r w:rsidR="00B26D29">
                  <w:rPr>
                    <w:noProof/>
                    <w:webHidden/>
                  </w:rPr>
                  <w:instrText xml:space="preserve"> PAGEREF _Toc145150213 \h </w:instrText>
                </w:r>
                <w:r w:rsidR="00B26D29">
                  <w:rPr>
                    <w:noProof/>
                    <w:webHidden/>
                  </w:rPr>
                </w:r>
                <w:r w:rsidR="00B26D29">
                  <w:rPr>
                    <w:noProof/>
                    <w:webHidden/>
                  </w:rPr>
                  <w:fldChar w:fldCharType="separate"/>
                </w:r>
                <w:r w:rsidR="00B26D29">
                  <w:rPr>
                    <w:noProof/>
                    <w:webHidden/>
                  </w:rPr>
                  <w:t>9</w:t>
                </w:r>
                <w:r w:rsidR="00B26D29">
                  <w:rPr>
                    <w:noProof/>
                    <w:webHidden/>
                  </w:rPr>
                  <w:fldChar w:fldCharType="end"/>
                </w:r>
              </w:hyperlink>
            </w:p>
            <w:p w14:paraId="0519D301" w14:textId="2AE235FA"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4" w:history="1">
                <w:r w:rsidR="00B26D29" w:rsidRPr="002D7B0F">
                  <w:rPr>
                    <w:rStyle w:val="Hyperlink"/>
                    <w:rFonts w:cs="Times New Roman"/>
                    <w:noProof/>
                  </w:rPr>
                  <w:t>Profitability Ratio</w:t>
                </w:r>
                <w:r w:rsidR="00B26D29">
                  <w:rPr>
                    <w:noProof/>
                    <w:webHidden/>
                  </w:rPr>
                  <w:tab/>
                </w:r>
                <w:r w:rsidR="00B26D29">
                  <w:rPr>
                    <w:noProof/>
                    <w:webHidden/>
                  </w:rPr>
                  <w:fldChar w:fldCharType="begin"/>
                </w:r>
                <w:r w:rsidR="00B26D29">
                  <w:rPr>
                    <w:noProof/>
                    <w:webHidden/>
                  </w:rPr>
                  <w:instrText xml:space="preserve"> PAGEREF _Toc145150214 \h </w:instrText>
                </w:r>
                <w:r w:rsidR="00B26D29">
                  <w:rPr>
                    <w:noProof/>
                    <w:webHidden/>
                  </w:rPr>
                </w:r>
                <w:r w:rsidR="00B26D29">
                  <w:rPr>
                    <w:noProof/>
                    <w:webHidden/>
                  </w:rPr>
                  <w:fldChar w:fldCharType="separate"/>
                </w:r>
                <w:r w:rsidR="00B26D29">
                  <w:rPr>
                    <w:noProof/>
                    <w:webHidden/>
                  </w:rPr>
                  <w:t>9</w:t>
                </w:r>
                <w:r w:rsidR="00B26D29">
                  <w:rPr>
                    <w:noProof/>
                    <w:webHidden/>
                  </w:rPr>
                  <w:fldChar w:fldCharType="end"/>
                </w:r>
              </w:hyperlink>
            </w:p>
            <w:p w14:paraId="4AC06F15" w14:textId="76394EFC"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5" w:history="1">
                <w:r w:rsidR="00B26D29" w:rsidRPr="002D7B0F">
                  <w:rPr>
                    <w:rStyle w:val="Hyperlink"/>
                    <w:rFonts w:cs="Times New Roman"/>
                    <w:noProof/>
                  </w:rPr>
                  <w:t>Liquidity Ratio</w:t>
                </w:r>
                <w:r w:rsidR="00B26D29">
                  <w:rPr>
                    <w:noProof/>
                    <w:webHidden/>
                  </w:rPr>
                  <w:tab/>
                </w:r>
                <w:r w:rsidR="00B26D29">
                  <w:rPr>
                    <w:noProof/>
                    <w:webHidden/>
                  </w:rPr>
                  <w:fldChar w:fldCharType="begin"/>
                </w:r>
                <w:r w:rsidR="00B26D29">
                  <w:rPr>
                    <w:noProof/>
                    <w:webHidden/>
                  </w:rPr>
                  <w:instrText xml:space="preserve"> PAGEREF _Toc145150215 \h </w:instrText>
                </w:r>
                <w:r w:rsidR="00B26D29">
                  <w:rPr>
                    <w:noProof/>
                    <w:webHidden/>
                  </w:rPr>
                </w:r>
                <w:r w:rsidR="00B26D29">
                  <w:rPr>
                    <w:noProof/>
                    <w:webHidden/>
                  </w:rPr>
                  <w:fldChar w:fldCharType="separate"/>
                </w:r>
                <w:r w:rsidR="00B26D29">
                  <w:rPr>
                    <w:noProof/>
                    <w:webHidden/>
                  </w:rPr>
                  <w:t>10</w:t>
                </w:r>
                <w:r w:rsidR="00B26D29">
                  <w:rPr>
                    <w:noProof/>
                    <w:webHidden/>
                  </w:rPr>
                  <w:fldChar w:fldCharType="end"/>
                </w:r>
              </w:hyperlink>
            </w:p>
            <w:p w14:paraId="5372486D" w14:textId="1103648D"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6" w:history="1">
                <w:r w:rsidR="00B26D29" w:rsidRPr="002D7B0F">
                  <w:rPr>
                    <w:rStyle w:val="Hyperlink"/>
                    <w:rFonts w:cs="Times New Roman"/>
                    <w:noProof/>
                  </w:rPr>
                  <w:t>Investment and Assets Turnover Ratio</w:t>
                </w:r>
                <w:r w:rsidR="00B26D29">
                  <w:rPr>
                    <w:noProof/>
                    <w:webHidden/>
                  </w:rPr>
                  <w:tab/>
                </w:r>
                <w:r w:rsidR="00B26D29">
                  <w:rPr>
                    <w:noProof/>
                    <w:webHidden/>
                  </w:rPr>
                  <w:fldChar w:fldCharType="begin"/>
                </w:r>
                <w:r w:rsidR="00B26D29">
                  <w:rPr>
                    <w:noProof/>
                    <w:webHidden/>
                  </w:rPr>
                  <w:instrText xml:space="preserve"> PAGEREF _Toc145150216 \h </w:instrText>
                </w:r>
                <w:r w:rsidR="00B26D29">
                  <w:rPr>
                    <w:noProof/>
                    <w:webHidden/>
                  </w:rPr>
                </w:r>
                <w:r w:rsidR="00B26D29">
                  <w:rPr>
                    <w:noProof/>
                    <w:webHidden/>
                  </w:rPr>
                  <w:fldChar w:fldCharType="separate"/>
                </w:r>
                <w:r w:rsidR="00B26D29">
                  <w:rPr>
                    <w:noProof/>
                    <w:webHidden/>
                  </w:rPr>
                  <w:t>11</w:t>
                </w:r>
                <w:r w:rsidR="00B26D29">
                  <w:rPr>
                    <w:noProof/>
                    <w:webHidden/>
                  </w:rPr>
                  <w:fldChar w:fldCharType="end"/>
                </w:r>
              </w:hyperlink>
            </w:p>
            <w:p w14:paraId="62516898" w14:textId="0F5423B6"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7" w:history="1">
                <w:r w:rsidR="00B26D29" w:rsidRPr="002D7B0F">
                  <w:rPr>
                    <w:rStyle w:val="Hyperlink"/>
                    <w:rFonts w:cs="Times New Roman"/>
                    <w:noProof/>
                  </w:rPr>
                  <w:t>Return on Investment Ratio (ROI)</w:t>
                </w:r>
                <w:r w:rsidR="00B26D29">
                  <w:rPr>
                    <w:noProof/>
                    <w:webHidden/>
                  </w:rPr>
                  <w:tab/>
                </w:r>
                <w:r w:rsidR="00B26D29">
                  <w:rPr>
                    <w:noProof/>
                    <w:webHidden/>
                  </w:rPr>
                  <w:fldChar w:fldCharType="begin"/>
                </w:r>
                <w:r w:rsidR="00B26D29">
                  <w:rPr>
                    <w:noProof/>
                    <w:webHidden/>
                  </w:rPr>
                  <w:instrText xml:space="preserve"> PAGEREF _Toc145150217 \h </w:instrText>
                </w:r>
                <w:r w:rsidR="00B26D29">
                  <w:rPr>
                    <w:noProof/>
                    <w:webHidden/>
                  </w:rPr>
                </w:r>
                <w:r w:rsidR="00B26D29">
                  <w:rPr>
                    <w:noProof/>
                    <w:webHidden/>
                  </w:rPr>
                  <w:fldChar w:fldCharType="separate"/>
                </w:r>
                <w:r w:rsidR="00B26D29">
                  <w:rPr>
                    <w:noProof/>
                    <w:webHidden/>
                  </w:rPr>
                  <w:t>12</w:t>
                </w:r>
                <w:r w:rsidR="00B26D29">
                  <w:rPr>
                    <w:noProof/>
                    <w:webHidden/>
                  </w:rPr>
                  <w:fldChar w:fldCharType="end"/>
                </w:r>
              </w:hyperlink>
            </w:p>
            <w:p w14:paraId="682677BE" w14:textId="0FAD9178"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8" w:history="1">
                <w:r w:rsidR="00B26D29" w:rsidRPr="002D7B0F">
                  <w:rPr>
                    <w:rStyle w:val="Hyperlink"/>
                    <w:rFonts w:cs="Times New Roman"/>
                    <w:noProof/>
                  </w:rPr>
                  <w:t>Stability Ratio</w:t>
                </w:r>
                <w:r w:rsidR="00B26D29">
                  <w:rPr>
                    <w:noProof/>
                    <w:webHidden/>
                  </w:rPr>
                  <w:tab/>
                </w:r>
                <w:r w:rsidR="00B26D29">
                  <w:rPr>
                    <w:noProof/>
                    <w:webHidden/>
                  </w:rPr>
                  <w:fldChar w:fldCharType="begin"/>
                </w:r>
                <w:r w:rsidR="00B26D29">
                  <w:rPr>
                    <w:noProof/>
                    <w:webHidden/>
                  </w:rPr>
                  <w:instrText xml:space="preserve"> PAGEREF _Toc145150218 \h </w:instrText>
                </w:r>
                <w:r w:rsidR="00B26D29">
                  <w:rPr>
                    <w:noProof/>
                    <w:webHidden/>
                  </w:rPr>
                </w:r>
                <w:r w:rsidR="00B26D29">
                  <w:rPr>
                    <w:noProof/>
                    <w:webHidden/>
                  </w:rPr>
                  <w:fldChar w:fldCharType="separate"/>
                </w:r>
                <w:r w:rsidR="00B26D29">
                  <w:rPr>
                    <w:noProof/>
                    <w:webHidden/>
                  </w:rPr>
                  <w:t>13</w:t>
                </w:r>
                <w:r w:rsidR="00B26D29">
                  <w:rPr>
                    <w:noProof/>
                    <w:webHidden/>
                  </w:rPr>
                  <w:fldChar w:fldCharType="end"/>
                </w:r>
              </w:hyperlink>
            </w:p>
            <w:p w14:paraId="26CC9CC6" w14:textId="11748638"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19" w:history="1">
                <w:r w:rsidR="00B26D29" w:rsidRPr="002D7B0F">
                  <w:rPr>
                    <w:rStyle w:val="Hyperlink"/>
                    <w:rFonts w:cs="Times New Roman"/>
                    <w:noProof/>
                  </w:rPr>
                  <w:t>Growth Ratio</w:t>
                </w:r>
                <w:r w:rsidR="00B26D29">
                  <w:rPr>
                    <w:noProof/>
                    <w:webHidden/>
                  </w:rPr>
                  <w:tab/>
                </w:r>
                <w:r w:rsidR="00B26D29">
                  <w:rPr>
                    <w:noProof/>
                    <w:webHidden/>
                  </w:rPr>
                  <w:fldChar w:fldCharType="begin"/>
                </w:r>
                <w:r w:rsidR="00B26D29">
                  <w:rPr>
                    <w:noProof/>
                    <w:webHidden/>
                  </w:rPr>
                  <w:instrText xml:space="preserve"> PAGEREF _Toc145150219 \h </w:instrText>
                </w:r>
                <w:r w:rsidR="00B26D29">
                  <w:rPr>
                    <w:noProof/>
                    <w:webHidden/>
                  </w:rPr>
                </w:r>
                <w:r w:rsidR="00B26D29">
                  <w:rPr>
                    <w:noProof/>
                    <w:webHidden/>
                  </w:rPr>
                  <w:fldChar w:fldCharType="separate"/>
                </w:r>
                <w:r w:rsidR="00B26D29">
                  <w:rPr>
                    <w:noProof/>
                    <w:webHidden/>
                  </w:rPr>
                  <w:t>14</w:t>
                </w:r>
                <w:r w:rsidR="00B26D29">
                  <w:rPr>
                    <w:noProof/>
                    <w:webHidden/>
                  </w:rPr>
                  <w:fldChar w:fldCharType="end"/>
                </w:r>
              </w:hyperlink>
            </w:p>
            <w:p w14:paraId="12A72F39" w14:textId="0B10FDBA"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20" w:history="1">
                <w:r w:rsidR="00B26D29" w:rsidRPr="002D7B0F">
                  <w:rPr>
                    <w:rStyle w:val="Hyperlink"/>
                    <w:rFonts w:cs="Times New Roman"/>
                    <w:noProof/>
                    <w:lang w:val="en-US"/>
                  </w:rPr>
                  <w:t>Summary of Findings</w:t>
                </w:r>
                <w:r w:rsidR="00B26D29">
                  <w:rPr>
                    <w:noProof/>
                    <w:webHidden/>
                  </w:rPr>
                  <w:tab/>
                </w:r>
                <w:r w:rsidR="00B26D29">
                  <w:rPr>
                    <w:noProof/>
                    <w:webHidden/>
                  </w:rPr>
                  <w:fldChar w:fldCharType="begin"/>
                </w:r>
                <w:r w:rsidR="00B26D29">
                  <w:rPr>
                    <w:noProof/>
                    <w:webHidden/>
                  </w:rPr>
                  <w:instrText xml:space="preserve"> PAGEREF _Toc145150220 \h </w:instrText>
                </w:r>
                <w:r w:rsidR="00B26D29">
                  <w:rPr>
                    <w:noProof/>
                    <w:webHidden/>
                  </w:rPr>
                </w:r>
                <w:r w:rsidR="00B26D29">
                  <w:rPr>
                    <w:noProof/>
                    <w:webHidden/>
                  </w:rPr>
                  <w:fldChar w:fldCharType="separate"/>
                </w:r>
                <w:r w:rsidR="00B26D29">
                  <w:rPr>
                    <w:noProof/>
                    <w:webHidden/>
                  </w:rPr>
                  <w:t>15</w:t>
                </w:r>
                <w:r w:rsidR="00B26D29">
                  <w:rPr>
                    <w:noProof/>
                    <w:webHidden/>
                  </w:rPr>
                  <w:fldChar w:fldCharType="end"/>
                </w:r>
              </w:hyperlink>
            </w:p>
            <w:p w14:paraId="32CB68A3" w14:textId="3E9CE217"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21" w:history="1">
                <w:r w:rsidR="00B26D29" w:rsidRPr="002D7B0F">
                  <w:rPr>
                    <w:rStyle w:val="Hyperlink"/>
                    <w:noProof/>
                  </w:rPr>
                  <w:t>Trends and Risks</w:t>
                </w:r>
                <w:r w:rsidR="00B26D29">
                  <w:rPr>
                    <w:noProof/>
                    <w:webHidden/>
                  </w:rPr>
                  <w:tab/>
                </w:r>
                <w:r w:rsidR="00B26D29">
                  <w:rPr>
                    <w:noProof/>
                    <w:webHidden/>
                  </w:rPr>
                  <w:fldChar w:fldCharType="begin"/>
                </w:r>
                <w:r w:rsidR="00B26D29">
                  <w:rPr>
                    <w:noProof/>
                    <w:webHidden/>
                  </w:rPr>
                  <w:instrText xml:space="preserve"> PAGEREF _Toc145150221 \h </w:instrText>
                </w:r>
                <w:r w:rsidR="00B26D29">
                  <w:rPr>
                    <w:noProof/>
                    <w:webHidden/>
                  </w:rPr>
                </w:r>
                <w:r w:rsidR="00B26D29">
                  <w:rPr>
                    <w:noProof/>
                    <w:webHidden/>
                  </w:rPr>
                  <w:fldChar w:fldCharType="separate"/>
                </w:r>
                <w:r w:rsidR="00B26D29">
                  <w:rPr>
                    <w:noProof/>
                    <w:webHidden/>
                  </w:rPr>
                  <w:t>15</w:t>
                </w:r>
                <w:r w:rsidR="00B26D29">
                  <w:rPr>
                    <w:noProof/>
                    <w:webHidden/>
                  </w:rPr>
                  <w:fldChar w:fldCharType="end"/>
                </w:r>
              </w:hyperlink>
            </w:p>
            <w:p w14:paraId="407A0144" w14:textId="221DC213"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22" w:history="1">
                <w:r w:rsidR="00B26D29" w:rsidRPr="002D7B0F">
                  <w:rPr>
                    <w:rStyle w:val="Hyperlink"/>
                    <w:noProof/>
                  </w:rPr>
                  <w:t>Financial Ratios and Analysis</w:t>
                </w:r>
                <w:r w:rsidR="00B26D29">
                  <w:rPr>
                    <w:noProof/>
                    <w:webHidden/>
                  </w:rPr>
                  <w:tab/>
                </w:r>
                <w:r w:rsidR="00B26D29">
                  <w:rPr>
                    <w:noProof/>
                    <w:webHidden/>
                  </w:rPr>
                  <w:fldChar w:fldCharType="begin"/>
                </w:r>
                <w:r w:rsidR="00B26D29">
                  <w:rPr>
                    <w:noProof/>
                    <w:webHidden/>
                  </w:rPr>
                  <w:instrText xml:space="preserve"> PAGEREF _Toc145150222 \h </w:instrText>
                </w:r>
                <w:r w:rsidR="00B26D29">
                  <w:rPr>
                    <w:noProof/>
                    <w:webHidden/>
                  </w:rPr>
                </w:r>
                <w:r w:rsidR="00B26D29">
                  <w:rPr>
                    <w:noProof/>
                    <w:webHidden/>
                  </w:rPr>
                  <w:fldChar w:fldCharType="separate"/>
                </w:r>
                <w:r w:rsidR="00B26D29">
                  <w:rPr>
                    <w:noProof/>
                    <w:webHidden/>
                  </w:rPr>
                  <w:t>15</w:t>
                </w:r>
                <w:r w:rsidR="00B26D29">
                  <w:rPr>
                    <w:noProof/>
                    <w:webHidden/>
                  </w:rPr>
                  <w:fldChar w:fldCharType="end"/>
                </w:r>
              </w:hyperlink>
            </w:p>
            <w:p w14:paraId="238F758E" w14:textId="515BBE94"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23" w:history="1">
                <w:r w:rsidR="00B26D29" w:rsidRPr="002D7B0F">
                  <w:rPr>
                    <w:rStyle w:val="Hyperlink"/>
                    <w:rFonts w:cs="Times New Roman"/>
                    <w:noProof/>
                    <w:lang w:val="en-US"/>
                  </w:rPr>
                  <w:t>Conclusion and Recommendation</w:t>
                </w:r>
                <w:r w:rsidR="00B26D29">
                  <w:rPr>
                    <w:noProof/>
                    <w:webHidden/>
                  </w:rPr>
                  <w:tab/>
                </w:r>
                <w:r w:rsidR="00B26D29">
                  <w:rPr>
                    <w:noProof/>
                    <w:webHidden/>
                  </w:rPr>
                  <w:fldChar w:fldCharType="begin"/>
                </w:r>
                <w:r w:rsidR="00B26D29">
                  <w:rPr>
                    <w:noProof/>
                    <w:webHidden/>
                  </w:rPr>
                  <w:instrText xml:space="preserve"> PAGEREF _Toc145150223 \h </w:instrText>
                </w:r>
                <w:r w:rsidR="00B26D29">
                  <w:rPr>
                    <w:noProof/>
                    <w:webHidden/>
                  </w:rPr>
                </w:r>
                <w:r w:rsidR="00B26D29">
                  <w:rPr>
                    <w:noProof/>
                    <w:webHidden/>
                  </w:rPr>
                  <w:fldChar w:fldCharType="separate"/>
                </w:r>
                <w:r w:rsidR="00B26D29">
                  <w:rPr>
                    <w:noProof/>
                    <w:webHidden/>
                  </w:rPr>
                  <w:t>16</w:t>
                </w:r>
                <w:r w:rsidR="00B26D29">
                  <w:rPr>
                    <w:noProof/>
                    <w:webHidden/>
                  </w:rPr>
                  <w:fldChar w:fldCharType="end"/>
                </w:r>
              </w:hyperlink>
            </w:p>
            <w:p w14:paraId="519D98FC" w14:textId="378A122D" w:rsidR="00B26D29" w:rsidRDefault="00000000">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5150224" w:history="1">
                <w:r w:rsidR="00B26D29" w:rsidRPr="002D7B0F">
                  <w:rPr>
                    <w:rStyle w:val="Hyperlink"/>
                    <w:rFonts w:cs="Times New Roman"/>
                    <w:noProof/>
                    <w:lang w:val="en-US"/>
                  </w:rPr>
                  <w:t>Appendices</w:t>
                </w:r>
                <w:r w:rsidR="00B26D29">
                  <w:rPr>
                    <w:noProof/>
                    <w:webHidden/>
                  </w:rPr>
                  <w:tab/>
                </w:r>
                <w:r w:rsidR="00B26D29">
                  <w:rPr>
                    <w:noProof/>
                    <w:webHidden/>
                  </w:rPr>
                  <w:fldChar w:fldCharType="begin"/>
                </w:r>
                <w:r w:rsidR="00B26D29">
                  <w:rPr>
                    <w:noProof/>
                    <w:webHidden/>
                  </w:rPr>
                  <w:instrText xml:space="preserve"> PAGEREF _Toc145150224 \h </w:instrText>
                </w:r>
                <w:r w:rsidR="00B26D29">
                  <w:rPr>
                    <w:noProof/>
                    <w:webHidden/>
                  </w:rPr>
                </w:r>
                <w:r w:rsidR="00B26D29">
                  <w:rPr>
                    <w:noProof/>
                    <w:webHidden/>
                  </w:rPr>
                  <w:fldChar w:fldCharType="separate"/>
                </w:r>
                <w:r w:rsidR="00B26D29">
                  <w:rPr>
                    <w:noProof/>
                    <w:webHidden/>
                  </w:rPr>
                  <w:t>17</w:t>
                </w:r>
                <w:r w:rsidR="00B26D29">
                  <w:rPr>
                    <w:noProof/>
                    <w:webHidden/>
                  </w:rPr>
                  <w:fldChar w:fldCharType="end"/>
                </w:r>
              </w:hyperlink>
            </w:p>
            <w:p w14:paraId="2602D191" w14:textId="66BF4D90"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25" w:history="1">
                <w:r w:rsidR="00B26D29" w:rsidRPr="002D7B0F">
                  <w:rPr>
                    <w:rStyle w:val="Hyperlink"/>
                    <w:rFonts w:cs="Times New Roman"/>
                    <w:noProof/>
                  </w:rPr>
                  <w:t>Reference</w:t>
                </w:r>
                <w:r w:rsidR="00B26D29">
                  <w:rPr>
                    <w:noProof/>
                    <w:webHidden/>
                  </w:rPr>
                  <w:tab/>
                </w:r>
                <w:r w:rsidR="00B26D29">
                  <w:rPr>
                    <w:noProof/>
                    <w:webHidden/>
                  </w:rPr>
                  <w:fldChar w:fldCharType="begin"/>
                </w:r>
                <w:r w:rsidR="00B26D29">
                  <w:rPr>
                    <w:noProof/>
                    <w:webHidden/>
                  </w:rPr>
                  <w:instrText xml:space="preserve"> PAGEREF _Toc145150225 \h </w:instrText>
                </w:r>
                <w:r w:rsidR="00B26D29">
                  <w:rPr>
                    <w:noProof/>
                    <w:webHidden/>
                  </w:rPr>
                </w:r>
                <w:r w:rsidR="00B26D29">
                  <w:rPr>
                    <w:noProof/>
                    <w:webHidden/>
                  </w:rPr>
                  <w:fldChar w:fldCharType="separate"/>
                </w:r>
                <w:r w:rsidR="00B26D29">
                  <w:rPr>
                    <w:noProof/>
                    <w:webHidden/>
                  </w:rPr>
                  <w:t>17</w:t>
                </w:r>
                <w:r w:rsidR="00B26D29">
                  <w:rPr>
                    <w:noProof/>
                    <w:webHidden/>
                  </w:rPr>
                  <w:fldChar w:fldCharType="end"/>
                </w:r>
              </w:hyperlink>
            </w:p>
            <w:p w14:paraId="552E6F3B" w14:textId="018F9575"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26" w:history="1">
                <w:r w:rsidR="00B26D29" w:rsidRPr="002D7B0F">
                  <w:rPr>
                    <w:rStyle w:val="Hyperlink"/>
                    <w:rFonts w:cs="Times New Roman"/>
                    <w:noProof/>
                  </w:rPr>
                  <w:t>Ration Calculations</w:t>
                </w:r>
                <w:r w:rsidR="00B26D29">
                  <w:rPr>
                    <w:noProof/>
                    <w:webHidden/>
                  </w:rPr>
                  <w:tab/>
                </w:r>
                <w:r w:rsidR="00B26D29">
                  <w:rPr>
                    <w:noProof/>
                    <w:webHidden/>
                  </w:rPr>
                  <w:fldChar w:fldCharType="begin"/>
                </w:r>
                <w:r w:rsidR="00B26D29">
                  <w:rPr>
                    <w:noProof/>
                    <w:webHidden/>
                  </w:rPr>
                  <w:instrText xml:space="preserve"> PAGEREF _Toc145150226 \h </w:instrText>
                </w:r>
                <w:r w:rsidR="00B26D29">
                  <w:rPr>
                    <w:noProof/>
                    <w:webHidden/>
                  </w:rPr>
                </w:r>
                <w:r w:rsidR="00B26D29">
                  <w:rPr>
                    <w:noProof/>
                    <w:webHidden/>
                  </w:rPr>
                  <w:fldChar w:fldCharType="separate"/>
                </w:r>
                <w:r w:rsidR="00B26D29">
                  <w:rPr>
                    <w:noProof/>
                    <w:webHidden/>
                  </w:rPr>
                  <w:t>21</w:t>
                </w:r>
                <w:r w:rsidR="00B26D29">
                  <w:rPr>
                    <w:noProof/>
                    <w:webHidden/>
                  </w:rPr>
                  <w:fldChar w:fldCharType="end"/>
                </w:r>
              </w:hyperlink>
            </w:p>
            <w:p w14:paraId="716E162E" w14:textId="095716FF" w:rsidR="00B26D29" w:rsidRDefault="00000000">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5150227" w:history="1">
                <w:r w:rsidR="00B26D29" w:rsidRPr="002D7B0F">
                  <w:rPr>
                    <w:rStyle w:val="Hyperlink"/>
                    <w:rFonts w:cs="Times New Roman"/>
                    <w:noProof/>
                  </w:rPr>
                  <w:t>The Statements</w:t>
                </w:r>
                <w:r w:rsidR="00B26D29">
                  <w:rPr>
                    <w:noProof/>
                    <w:webHidden/>
                  </w:rPr>
                  <w:tab/>
                </w:r>
                <w:r w:rsidR="00B26D29">
                  <w:rPr>
                    <w:noProof/>
                    <w:webHidden/>
                  </w:rPr>
                  <w:fldChar w:fldCharType="begin"/>
                </w:r>
                <w:r w:rsidR="00B26D29">
                  <w:rPr>
                    <w:noProof/>
                    <w:webHidden/>
                  </w:rPr>
                  <w:instrText xml:space="preserve"> PAGEREF _Toc145150227 \h </w:instrText>
                </w:r>
                <w:r w:rsidR="00B26D29">
                  <w:rPr>
                    <w:noProof/>
                    <w:webHidden/>
                  </w:rPr>
                </w:r>
                <w:r w:rsidR="00B26D29">
                  <w:rPr>
                    <w:noProof/>
                    <w:webHidden/>
                  </w:rPr>
                  <w:fldChar w:fldCharType="separate"/>
                </w:r>
                <w:r w:rsidR="00B26D29">
                  <w:rPr>
                    <w:noProof/>
                    <w:webHidden/>
                  </w:rPr>
                  <w:t>23</w:t>
                </w:r>
                <w:r w:rsidR="00B26D29">
                  <w:rPr>
                    <w:noProof/>
                    <w:webHidden/>
                  </w:rPr>
                  <w:fldChar w:fldCharType="end"/>
                </w:r>
              </w:hyperlink>
            </w:p>
            <w:p w14:paraId="06DD404A" w14:textId="2755C432" w:rsidR="00147A7B" w:rsidRPr="008D6FCA" w:rsidRDefault="00147A7B" w:rsidP="008D6FCA">
              <w:pPr>
                <w:spacing w:line="360" w:lineRule="auto"/>
                <w:rPr>
                  <w:rFonts w:cs="Times New Roman"/>
                  <w:szCs w:val="24"/>
                </w:rPr>
              </w:pPr>
              <w:r w:rsidRPr="008D6FCA">
                <w:rPr>
                  <w:rFonts w:cs="Times New Roman"/>
                  <w:b/>
                  <w:bCs/>
                  <w:noProof/>
                  <w:szCs w:val="24"/>
                </w:rPr>
                <w:fldChar w:fldCharType="end"/>
              </w:r>
            </w:p>
          </w:sdtContent>
        </w:sdt>
        <w:p w14:paraId="1D43F264" w14:textId="77777777" w:rsidR="00147A7B" w:rsidRPr="008D6FCA" w:rsidRDefault="00147A7B" w:rsidP="008D6FCA">
          <w:pPr>
            <w:spacing w:line="360" w:lineRule="auto"/>
            <w:rPr>
              <w:rFonts w:cs="Times New Roman"/>
              <w:b/>
              <w:bCs/>
              <w:szCs w:val="24"/>
              <w:lang w:val="en-US"/>
            </w:rPr>
          </w:pPr>
        </w:p>
        <w:p w14:paraId="13500E07" w14:textId="0136EB3A" w:rsidR="00CD516C" w:rsidRPr="008D6FCA" w:rsidRDefault="00CD516C" w:rsidP="008D6FCA">
          <w:pPr>
            <w:spacing w:line="360" w:lineRule="auto"/>
            <w:rPr>
              <w:rFonts w:cs="Times New Roman"/>
              <w:b/>
              <w:bCs/>
              <w:szCs w:val="24"/>
              <w:lang w:val="en-US"/>
            </w:rPr>
          </w:pPr>
        </w:p>
        <w:p w14:paraId="7AEF0694" w14:textId="3EDC5D78" w:rsidR="00CD516C" w:rsidRDefault="00CD516C" w:rsidP="008D6FCA">
          <w:pPr>
            <w:spacing w:line="360" w:lineRule="auto"/>
            <w:rPr>
              <w:rFonts w:cs="Times New Roman"/>
              <w:b/>
              <w:bCs/>
              <w:szCs w:val="24"/>
              <w:lang w:val="en-US"/>
            </w:rPr>
          </w:pPr>
        </w:p>
        <w:p w14:paraId="1FA3FA65" w14:textId="77777777" w:rsidR="006B35AB" w:rsidRDefault="006B35AB" w:rsidP="008D6FCA">
          <w:pPr>
            <w:spacing w:line="360" w:lineRule="auto"/>
            <w:rPr>
              <w:rFonts w:cs="Times New Roman"/>
              <w:b/>
              <w:bCs/>
              <w:szCs w:val="24"/>
              <w:lang w:val="en-US"/>
            </w:rPr>
          </w:pPr>
        </w:p>
        <w:p w14:paraId="04731DB8" w14:textId="77777777" w:rsidR="006B35AB" w:rsidRDefault="006B35AB" w:rsidP="008D6FCA">
          <w:pPr>
            <w:spacing w:line="360" w:lineRule="auto"/>
            <w:rPr>
              <w:rFonts w:cs="Times New Roman"/>
              <w:b/>
              <w:bCs/>
              <w:szCs w:val="24"/>
              <w:lang w:val="en-US"/>
            </w:rPr>
          </w:pPr>
        </w:p>
        <w:p w14:paraId="3073C3FD" w14:textId="77777777" w:rsidR="00912FD4" w:rsidRDefault="00000000" w:rsidP="00912FD4">
          <w:pPr>
            <w:spacing w:line="360" w:lineRule="auto"/>
            <w:rPr>
              <w:rFonts w:cs="Times New Roman"/>
              <w:b/>
              <w:bCs/>
              <w:szCs w:val="24"/>
              <w:lang w:val="en-US"/>
            </w:rPr>
          </w:pPr>
        </w:p>
      </w:sdtContent>
    </w:sdt>
    <w:p w14:paraId="2C2B8A81" w14:textId="24876C53" w:rsidR="00D95203" w:rsidRPr="008D6FCA" w:rsidRDefault="00DD5E2F" w:rsidP="008D6FCA">
      <w:pPr>
        <w:pStyle w:val="Heading1"/>
        <w:spacing w:line="360" w:lineRule="auto"/>
        <w:jc w:val="both"/>
        <w:rPr>
          <w:rFonts w:cs="Times New Roman"/>
        </w:rPr>
      </w:pPr>
      <w:bookmarkStart w:id="3" w:name="_Toc145150205"/>
      <w:r w:rsidRPr="008D6FCA">
        <w:rPr>
          <w:rFonts w:cs="Times New Roman"/>
        </w:rPr>
        <w:lastRenderedPageBreak/>
        <w:t>Executive Summary</w:t>
      </w:r>
      <w:bookmarkEnd w:id="3"/>
    </w:p>
    <w:p w14:paraId="188F936C" w14:textId="77777777" w:rsidR="00E27F5E" w:rsidRPr="00E27F5E" w:rsidRDefault="00E27F5E" w:rsidP="00E27F5E">
      <w:pPr>
        <w:spacing w:line="360" w:lineRule="auto"/>
      </w:pPr>
      <w:r w:rsidRPr="00E27F5E">
        <w:t>This report offers a comprehensive examination of the £5 million joint venture opportunity with Aston Martin Lagonda Limited, with the overarching objective of fostering mutual growth and innovation. The analysis draws upon a meticulous review of both the target company and a competitor's financial statements, with a specific focus on discerning trends, identifying risks, and evaluating key financial ratios. The ultimate aim of this report is to provide a thorough assessment of the joint venture's feasibility and offer strategic recommendations to the senior management team.</w:t>
      </w:r>
    </w:p>
    <w:p w14:paraId="350EAA4C" w14:textId="77777777" w:rsidR="00E27F5E" w:rsidRPr="00E27F5E" w:rsidRDefault="00E27F5E" w:rsidP="00E27F5E">
      <w:pPr>
        <w:spacing w:line="360" w:lineRule="auto"/>
      </w:pPr>
      <w:r w:rsidRPr="00E27F5E">
        <w:t>Financial ratios, a pivotal aspect of financial management and operational assessment, represent a central theme in this report. Acknowledged as essential tools for gauging a company's performance and financial health, these ratios facilitate comparisons among businesses operating within the same industry, providing valuable insights into their future prospects (Financial Ratios, 2010). Equally significant is their role in guiding investor decisions, enabling the identification of a company's financial strengths, weaknesses, debt management practices, and creditworthiness. Moreover, financial ratios serve as indicators of credit and debt policies, investment potential, operational efficiency, employee performance, and year-on-year performance trends (</w:t>
      </w:r>
      <w:proofErr w:type="spellStart"/>
      <w:r w:rsidRPr="00E27F5E">
        <w:t>Konchitchki</w:t>
      </w:r>
      <w:proofErr w:type="spellEnd"/>
      <w:r w:rsidRPr="00E27F5E">
        <w:t xml:space="preserve"> and </w:t>
      </w:r>
      <w:proofErr w:type="spellStart"/>
      <w:r w:rsidRPr="00E27F5E">
        <w:t>Patatoukas</w:t>
      </w:r>
      <w:proofErr w:type="spellEnd"/>
      <w:r w:rsidRPr="00E27F5E">
        <w:t>, 2014).</w:t>
      </w:r>
    </w:p>
    <w:p w14:paraId="5BDAA926" w14:textId="77777777" w:rsidR="00E27F5E" w:rsidRPr="00E27F5E" w:rsidRDefault="00E27F5E" w:rsidP="00E27F5E">
      <w:pPr>
        <w:spacing w:line="360" w:lineRule="auto"/>
      </w:pPr>
      <w:r w:rsidRPr="00E27F5E">
        <w:t>This report employs six key categories of financial ratios: Profitability, Liquidity, Asset Turnover, Return on Investment, Stability, and Growth ratios, as the analytical framework for assessing both Aston Martin and its competitor. While the financial analysis reveals a consistent pattern of sales growth, it also highlights instability in other pivotal ratios. Notably, concerns arise from elevated debt levels and declining investor confidence, warranting thorough consideration. After a comprehensive evaluation, BMW emerges as the more compelling choice for the £5 million project investment when compared to its competitor, Aston Martin.</w:t>
      </w:r>
    </w:p>
    <w:p w14:paraId="04F8FF42" w14:textId="58E03A1E" w:rsidR="00A04F0A" w:rsidRDefault="00E27F5E" w:rsidP="00E27F5E">
      <w:pPr>
        <w:spacing w:line="360" w:lineRule="auto"/>
      </w:pPr>
      <w:r w:rsidRPr="00E27F5E">
        <w:t>In conclusion, this report underscores the crucial role of financial ratios in shaping strategic decisions and advocates for BMW as the preferred partner for the proposed £5 million joint venture. This recommendation is grounded in a meticulous analysis of financial performance and potential risks, aligning with the objective of mutual growth and innovation.</w:t>
      </w:r>
    </w:p>
    <w:p w14:paraId="2282921D" w14:textId="77777777" w:rsidR="00A04F0A" w:rsidRPr="00A04F0A" w:rsidRDefault="00A04F0A" w:rsidP="00A04F0A"/>
    <w:p w14:paraId="3A8AB72F" w14:textId="1A89AA70" w:rsidR="007C65D7" w:rsidRPr="008D6FCA" w:rsidRDefault="007C65D7" w:rsidP="008D6FCA">
      <w:pPr>
        <w:pStyle w:val="Heading1"/>
        <w:spacing w:line="360" w:lineRule="auto"/>
        <w:jc w:val="both"/>
        <w:rPr>
          <w:rFonts w:cs="Times New Roman"/>
        </w:rPr>
      </w:pPr>
      <w:bookmarkStart w:id="4" w:name="_Toc145150206"/>
      <w:r w:rsidRPr="008D6FCA">
        <w:rPr>
          <w:rFonts w:cs="Times New Roman"/>
        </w:rPr>
        <w:lastRenderedPageBreak/>
        <w:t>Introduction</w:t>
      </w:r>
      <w:bookmarkEnd w:id="4"/>
    </w:p>
    <w:p w14:paraId="3BEDCFD3" w14:textId="07360451" w:rsidR="00F05AC8" w:rsidRPr="008D6FCA" w:rsidRDefault="00F05AC8" w:rsidP="008D6FCA">
      <w:pPr>
        <w:spacing w:line="360" w:lineRule="auto"/>
        <w:rPr>
          <w:rFonts w:cs="Times New Roman"/>
          <w:szCs w:val="24"/>
        </w:rPr>
      </w:pPr>
      <w:r w:rsidRPr="008D6FCA">
        <w:rPr>
          <w:rFonts w:cs="Times New Roman"/>
          <w:szCs w:val="24"/>
        </w:rPr>
        <w:t>The UK automotive industry is a vital sector of the country's economy, characteri</w:t>
      </w:r>
      <w:r w:rsidR="00E27F5E">
        <w:rPr>
          <w:rFonts w:cs="Times New Roman"/>
          <w:szCs w:val="24"/>
        </w:rPr>
        <w:t>s</w:t>
      </w:r>
      <w:r w:rsidRPr="008D6FCA">
        <w:rPr>
          <w:rFonts w:cs="Times New Roman"/>
          <w:szCs w:val="24"/>
        </w:rPr>
        <w:t>ed by innovation and global competitiveness. Recent trends include a growing emphasis on electric vehicles (EVs) to meet sustainability goals, with the government's commitment to banning new petrol and diesel car sales by 2030 (SMMT, 2020). However, Brexit-related disruptions have posed significant risks, impacting supply chains and export relationships (Dhingra et al., 2021). On the bright side, opportunities exist in the development of EV technologies, battery manufacturing, and emerging mobility solutions (BIEE, 2021). Collaboration with academia and investment in research and development are crucial to navigating these challenges and seizing future opportunities (</w:t>
      </w:r>
      <w:proofErr w:type="spellStart"/>
      <w:r w:rsidRPr="008D6FCA">
        <w:rPr>
          <w:rFonts w:cs="Times New Roman"/>
          <w:szCs w:val="24"/>
        </w:rPr>
        <w:t>Horizonscan</w:t>
      </w:r>
      <w:proofErr w:type="spellEnd"/>
      <w:r w:rsidRPr="008D6FCA">
        <w:rPr>
          <w:rFonts w:cs="Times New Roman"/>
          <w:szCs w:val="24"/>
        </w:rPr>
        <w:t>, 2020).</w:t>
      </w:r>
    </w:p>
    <w:p w14:paraId="68E23D9B" w14:textId="349F2268" w:rsidR="006F64C5" w:rsidRPr="008D6FCA" w:rsidRDefault="006F64C5" w:rsidP="00912FD4">
      <w:pPr>
        <w:spacing w:line="360" w:lineRule="auto"/>
        <w:jc w:val="center"/>
        <w:rPr>
          <w:rFonts w:cs="Times New Roman"/>
          <w:szCs w:val="24"/>
        </w:rPr>
      </w:pPr>
      <w:r w:rsidRPr="008D6FCA">
        <w:rPr>
          <w:rFonts w:cs="Times New Roman"/>
          <w:noProof/>
          <w:szCs w:val="24"/>
        </w:rPr>
        <w:drawing>
          <wp:inline distT="0" distB="0" distL="0" distR="0" wp14:anchorId="57F7B05E" wp14:editId="192BDB45">
            <wp:extent cx="4233973" cy="3305650"/>
            <wp:effectExtent l="19050" t="19050" r="14605" b="28575"/>
            <wp:docPr id="1862085759" name="Picture 1" descr="A graph of electric car s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85759" name="Picture 1" descr="A graph of electric car sales&#10;&#10;Description automatically generated"/>
                    <pic:cNvPicPr/>
                  </pic:nvPicPr>
                  <pic:blipFill>
                    <a:blip r:embed="rId9"/>
                    <a:stretch>
                      <a:fillRect/>
                    </a:stretch>
                  </pic:blipFill>
                  <pic:spPr>
                    <a:xfrm>
                      <a:off x="0" y="0"/>
                      <a:ext cx="4300994" cy="3357977"/>
                    </a:xfrm>
                    <a:prstGeom prst="rect">
                      <a:avLst/>
                    </a:prstGeom>
                    <a:ln w="19050">
                      <a:solidFill>
                        <a:schemeClr val="tx1"/>
                      </a:solidFill>
                    </a:ln>
                  </pic:spPr>
                </pic:pic>
              </a:graphicData>
            </a:graphic>
          </wp:inline>
        </w:drawing>
      </w:r>
    </w:p>
    <w:p w14:paraId="68BE07EC" w14:textId="03E1F1FC" w:rsidR="00823913" w:rsidRPr="00E27F5E" w:rsidRDefault="00823913" w:rsidP="00E27F5E">
      <w:pPr>
        <w:spacing w:line="360" w:lineRule="auto"/>
        <w:jc w:val="center"/>
        <w:rPr>
          <w:rFonts w:cs="Times New Roman"/>
          <w:b/>
          <w:bCs/>
          <w:sz w:val="20"/>
          <w:szCs w:val="20"/>
        </w:rPr>
      </w:pPr>
      <w:r w:rsidRPr="00E27F5E">
        <w:rPr>
          <w:rFonts w:cs="Times New Roman"/>
          <w:b/>
          <w:bCs/>
          <w:sz w:val="20"/>
          <w:szCs w:val="20"/>
          <w:shd w:val="clear" w:color="auto" w:fill="FFFFFF"/>
        </w:rPr>
        <w:t>Nanji, N. (2022) 'Electric car drivers must pay tax from 2025’</w:t>
      </w:r>
    </w:p>
    <w:p w14:paraId="68E9F189" w14:textId="306FC76E" w:rsidR="00525D6B" w:rsidRDefault="00525D6B" w:rsidP="008D6FCA">
      <w:pPr>
        <w:spacing w:line="360" w:lineRule="auto"/>
        <w:rPr>
          <w:rFonts w:cs="Times New Roman"/>
          <w:szCs w:val="24"/>
        </w:rPr>
      </w:pPr>
      <w:r w:rsidRPr="008D6FCA">
        <w:rPr>
          <w:rFonts w:cs="Times New Roman"/>
          <w:szCs w:val="24"/>
        </w:rPr>
        <w:t xml:space="preserve">Aston Martin Lagonda Limited and its competitor BMW (UK) Limited are leading player in the automotive sector. </w:t>
      </w:r>
      <w:r w:rsidR="00F05AC8" w:rsidRPr="008D6FCA">
        <w:rPr>
          <w:rFonts w:cs="Times New Roman"/>
          <w:szCs w:val="24"/>
        </w:rPr>
        <w:t>Aston Martin Lagonda Limited, founded in 1913, is a British luxury sports car manufacturer renowned for its craftsmanship and association with James Bond's iconic vehicles (Aston Martin, 2021). In contrast, BMW (UK) Limited, a subsidiary of the BMW Group, is a leading player with a broader presence in the UK automotive sector, offering a diverse range of vehicles under the BMW and MINI brands (BMW Group, 2021).</w:t>
      </w:r>
    </w:p>
    <w:p w14:paraId="45078D7C" w14:textId="77777777" w:rsidR="003A5C85" w:rsidRPr="008D6FCA" w:rsidRDefault="003A5C85" w:rsidP="003A5C85">
      <w:pPr>
        <w:spacing w:line="360" w:lineRule="auto"/>
        <w:rPr>
          <w:rFonts w:cs="Times New Roman"/>
          <w:szCs w:val="24"/>
        </w:rPr>
      </w:pPr>
      <w:r w:rsidRPr="008D6FCA">
        <w:rPr>
          <w:rFonts w:cs="Times New Roman"/>
          <w:szCs w:val="24"/>
        </w:rPr>
        <w:t xml:space="preserve">Below, </w:t>
      </w:r>
      <w:r>
        <w:rPr>
          <w:rFonts w:cs="Times New Roman"/>
          <w:szCs w:val="24"/>
        </w:rPr>
        <w:t>both companies</w:t>
      </w:r>
      <w:r w:rsidRPr="008D6FCA">
        <w:rPr>
          <w:rFonts w:cs="Times New Roman"/>
          <w:szCs w:val="24"/>
        </w:rPr>
        <w:t xml:space="preserve"> will be analysed using financial ratios, and </w:t>
      </w:r>
      <w:r>
        <w:rPr>
          <w:rFonts w:cs="Times New Roman"/>
          <w:szCs w:val="24"/>
        </w:rPr>
        <w:t>their</w:t>
      </w:r>
      <w:r w:rsidRPr="008D6FCA">
        <w:rPr>
          <w:rFonts w:cs="Times New Roman"/>
          <w:szCs w:val="24"/>
        </w:rPr>
        <w:t xml:space="preserve"> financial performance compared</w:t>
      </w:r>
      <w:r>
        <w:rPr>
          <w:rFonts w:cs="Times New Roman"/>
          <w:szCs w:val="24"/>
        </w:rPr>
        <w:t xml:space="preserve"> based on information published on their</w:t>
      </w:r>
      <w:r w:rsidRPr="008D6FCA">
        <w:rPr>
          <w:rFonts w:cs="Times New Roman"/>
          <w:szCs w:val="24"/>
        </w:rPr>
        <w:t xml:space="preserve"> annual reports</w:t>
      </w:r>
      <w:r>
        <w:rPr>
          <w:rFonts w:cs="Times New Roman"/>
          <w:szCs w:val="24"/>
        </w:rPr>
        <w:t>.</w:t>
      </w:r>
      <w:r w:rsidRPr="008D6FCA">
        <w:rPr>
          <w:rFonts w:cs="Times New Roman"/>
          <w:szCs w:val="24"/>
        </w:rPr>
        <w:t xml:space="preserve"> </w:t>
      </w:r>
    </w:p>
    <w:p w14:paraId="551FD5A7" w14:textId="4FA4096C" w:rsidR="006F64C5" w:rsidRPr="008D6FCA" w:rsidRDefault="006F64C5" w:rsidP="008D6FCA">
      <w:pPr>
        <w:spacing w:line="360" w:lineRule="auto"/>
        <w:rPr>
          <w:rFonts w:cs="Times New Roman"/>
          <w:szCs w:val="24"/>
        </w:rPr>
      </w:pPr>
      <w:r w:rsidRPr="008D6FCA">
        <w:rPr>
          <w:rFonts w:cs="Times New Roman"/>
          <w:noProof/>
          <w:szCs w:val="24"/>
        </w:rPr>
        <w:lastRenderedPageBreak/>
        <w:drawing>
          <wp:anchor distT="0" distB="0" distL="114300" distR="114300" simplePos="0" relativeHeight="251658240" behindDoc="1" locked="0" layoutInCell="1" allowOverlap="1" wp14:anchorId="7DFEB1BC" wp14:editId="123B68A9">
            <wp:simplePos x="0" y="0"/>
            <wp:positionH relativeFrom="column">
              <wp:posOffset>2544031</wp:posOffset>
            </wp:positionH>
            <wp:positionV relativeFrom="paragraph">
              <wp:posOffset>39425</wp:posOffset>
            </wp:positionV>
            <wp:extent cx="3210247" cy="1144988"/>
            <wp:effectExtent l="0" t="0" r="9525" b="0"/>
            <wp:wrapNone/>
            <wp:docPr id="598100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0247" cy="11449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6FCA">
        <w:rPr>
          <w:rFonts w:cs="Times New Roman"/>
          <w:noProof/>
          <w:szCs w:val="24"/>
        </w:rPr>
        <w:drawing>
          <wp:inline distT="0" distB="0" distL="0" distR="0" wp14:anchorId="7D3CDEFF" wp14:editId="7DBA7468">
            <wp:extent cx="2426395" cy="1232452"/>
            <wp:effectExtent l="0" t="0" r="0" b="6350"/>
            <wp:docPr id="1069147446" name="Picture 1"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47446" name="Picture 1" descr="A white sign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5796" cy="1247386"/>
                    </a:xfrm>
                    <a:prstGeom prst="rect">
                      <a:avLst/>
                    </a:prstGeom>
                    <a:noFill/>
                    <a:ln>
                      <a:noFill/>
                    </a:ln>
                  </pic:spPr>
                </pic:pic>
              </a:graphicData>
            </a:graphic>
          </wp:inline>
        </w:drawing>
      </w:r>
    </w:p>
    <w:p w14:paraId="1FA9FD72" w14:textId="77777777" w:rsidR="0040265F" w:rsidRPr="008D6FCA" w:rsidRDefault="0040265F" w:rsidP="008D6FCA">
      <w:pPr>
        <w:spacing w:line="360" w:lineRule="auto"/>
        <w:rPr>
          <w:rFonts w:cs="Times New Roman"/>
        </w:rPr>
      </w:pPr>
    </w:p>
    <w:p w14:paraId="7DA98493" w14:textId="28102190" w:rsidR="00BC4B22" w:rsidRPr="008D6FCA" w:rsidRDefault="00DD5E2F" w:rsidP="008D6FCA">
      <w:pPr>
        <w:pStyle w:val="Heading1"/>
        <w:spacing w:line="360" w:lineRule="auto"/>
        <w:jc w:val="both"/>
        <w:rPr>
          <w:rFonts w:cs="Times New Roman"/>
          <w:bCs/>
        </w:rPr>
      </w:pPr>
      <w:bookmarkStart w:id="5" w:name="_Toc145150207"/>
      <w:r w:rsidRPr="008D6FCA">
        <w:rPr>
          <w:rFonts w:cs="Times New Roman"/>
          <w:bCs/>
        </w:rPr>
        <w:t>Detailed Review of Financial Statements</w:t>
      </w:r>
      <w:bookmarkEnd w:id="5"/>
      <w:r w:rsidR="00823913" w:rsidRPr="008D6FCA">
        <w:rPr>
          <w:rFonts w:cs="Times New Roman"/>
          <w:bCs/>
        </w:rPr>
        <w:t xml:space="preserve"> </w:t>
      </w:r>
    </w:p>
    <w:p w14:paraId="6E10C4F3" w14:textId="5BABD72E" w:rsidR="00484B56" w:rsidRPr="008D6FCA" w:rsidRDefault="00484B56" w:rsidP="003A5C85">
      <w:pPr>
        <w:pStyle w:val="Heading2"/>
      </w:pPr>
      <w:bookmarkStart w:id="6" w:name="_Toc145150208"/>
      <w:r w:rsidRPr="008D6FCA">
        <w:t>Aston Martin Lagonda Limited</w:t>
      </w:r>
      <w:bookmarkEnd w:id="6"/>
    </w:p>
    <w:p w14:paraId="22D5205D" w14:textId="1BD11010" w:rsidR="00484B56" w:rsidRPr="008D6FCA" w:rsidRDefault="00484B56" w:rsidP="008D6FCA">
      <w:pPr>
        <w:spacing w:line="360" w:lineRule="auto"/>
        <w:rPr>
          <w:rFonts w:cs="Times New Roman"/>
          <w:szCs w:val="24"/>
        </w:rPr>
      </w:pPr>
      <w:r w:rsidRPr="008D6FCA">
        <w:rPr>
          <w:rFonts w:cs="Times New Roman"/>
          <w:szCs w:val="24"/>
        </w:rPr>
        <w:t xml:space="preserve">In 2020, Aston Martin reported total revenue of £530.1 million, which represented a decrease compared to the previous year due to the COVID-19 pandemic's impact on production and sales. The company also faced operating losses. However, Aston Martin launched several new models and expanded into the luxury SUV market with the DBX, aiming to diversify its product portfolio and increase sales. </w:t>
      </w:r>
      <w:r w:rsidR="003A5C85">
        <w:rPr>
          <w:rFonts w:cs="Times New Roman"/>
          <w:szCs w:val="24"/>
        </w:rPr>
        <w:t>T</w:t>
      </w:r>
      <w:r w:rsidRPr="008D6FCA">
        <w:rPr>
          <w:rFonts w:cs="Times New Roman"/>
          <w:szCs w:val="24"/>
        </w:rPr>
        <w:t xml:space="preserve">he impact of these changes can be seen in the 72% increase in revenue in 2021 (£991.5M) and another 35% revenue increase in 2022 (£1.2B). Despite these growths, the company's figures outlines a pre-tax loss of £345.0M in 2022 and £253.0M in 2021. Net Liabilities of £693.7M in 2022 and £336.2M in 2021. </w:t>
      </w:r>
    </w:p>
    <w:p w14:paraId="7EF6D8F1" w14:textId="2FF36835" w:rsidR="00484B56" w:rsidRPr="008D6FCA" w:rsidRDefault="00484B56" w:rsidP="003A5C85">
      <w:pPr>
        <w:pStyle w:val="Heading2"/>
      </w:pPr>
      <w:bookmarkStart w:id="7" w:name="_Toc145150209"/>
      <w:r w:rsidRPr="008D6FCA">
        <w:t>BMW (UK) Limited</w:t>
      </w:r>
      <w:bookmarkEnd w:id="7"/>
    </w:p>
    <w:p w14:paraId="082C9ACF" w14:textId="4D118FA0" w:rsidR="00484B56" w:rsidRPr="008D6FCA" w:rsidRDefault="00484B56" w:rsidP="008D6FCA">
      <w:pPr>
        <w:spacing w:line="360" w:lineRule="auto"/>
        <w:rPr>
          <w:rFonts w:cs="Times New Roman"/>
          <w:szCs w:val="24"/>
        </w:rPr>
      </w:pPr>
      <w:r w:rsidRPr="008D6FCA">
        <w:rPr>
          <w:rFonts w:cs="Times New Roman"/>
          <w:szCs w:val="24"/>
        </w:rPr>
        <w:t>In recent years, BMW has been actively investing in EV technology and sustainability. The company's BMW</w:t>
      </w:r>
      <w:r w:rsidR="003A5C85">
        <w:rPr>
          <w:rFonts w:cs="Times New Roman"/>
          <w:szCs w:val="24"/>
        </w:rPr>
        <w:t>-</w:t>
      </w:r>
      <w:r w:rsidRPr="008D6FCA">
        <w:rPr>
          <w:rFonts w:cs="Times New Roman"/>
          <w:szCs w:val="24"/>
        </w:rPr>
        <w:t>i sub-brand includes electric and plug-in hybrid vehicles, such as the BMW i3 and BMW i8. BMW's EV efforts align with the global automotive industry's transition towards cleaner and more sustainable transportation.</w:t>
      </w:r>
    </w:p>
    <w:p w14:paraId="71879C7B" w14:textId="593B1802" w:rsidR="00DD5E2F" w:rsidRPr="008D6FCA" w:rsidRDefault="00484B56" w:rsidP="008D6FCA">
      <w:pPr>
        <w:spacing w:line="360" w:lineRule="auto"/>
        <w:rPr>
          <w:rFonts w:cs="Times New Roman"/>
          <w:szCs w:val="24"/>
        </w:rPr>
      </w:pPr>
      <w:r w:rsidRPr="008D6FCA">
        <w:rPr>
          <w:rFonts w:cs="Times New Roman"/>
          <w:szCs w:val="24"/>
        </w:rPr>
        <w:t xml:space="preserve">BMW UK has experienced a steady growth over the last few years, growing in revenue by 18.8% from 2020 (£3.9B) to 2021 (£4.6B). in 2022 the company grew in revenue by another 15% making a total revenue of £5.3B. </w:t>
      </w:r>
      <w:r w:rsidR="003A5C85">
        <w:rPr>
          <w:rFonts w:cs="Times New Roman"/>
          <w:szCs w:val="24"/>
        </w:rPr>
        <w:t>T</w:t>
      </w:r>
      <w:r w:rsidRPr="008D6FCA">
        <w:rPr>
          <w:rFonts w:cs="Times New Roman"/>
          <w:szCs w:val="24"/>
        </w:rPr>
        <w:t>he company's figures show an increasing operating profit in the last year and pre-tax profit of £91.4M in 2021 and £99.6m in 2022.</w:t>
      </w:r>
    </w:p>
    <w:p w14:paraId="14E87A06" w14:textId="77777777" w:rsidR="00484B56" w:rsidRPr="008D6FCA" w:rsidRDefault="00484B56" w:rsidP="008D6FCA">
      <w:pPr>
        <w:spacing w:line="360" w:lineRule="auto"/>
        <w:rPr>
          <w:rFonts w:cs="Times New Roman"/>
          <w:szCs w:val="24"/>
        </w:rPr>
      </w:pPr>
    </w:p>
    <w:p w14:paraId="7F6331D7" w14:textId="0712577A" w:rsidR="00484B56" w:rsidRDefault="00484B56" w:rsidP="003A5C85">
      <w:pPr>
        <w:pStyle w:val="Heading2"/>
      </w:pPr>
      <w:bookmarkStart w:id="8" w:name="_Toc145150210"/>
      <w:r w:rsidRPr="008D6FCA">
        <w:lastRenderedPageBreak/>
        <w:t>Comparisons of Trends and Risks</w:t>
      </w:r>
      <w:bookmarkEnd w:id="8"/>
      <w:r w:rsidRPr="008D6FCA">
        <w:t xml:space="preserve"> </w:t>
      </w:r>
    </w:p>
    <w:p w14:paraId="7D346BC9" w14:textId="7CAC96F0" w:rsidR="00B26D29" w:rsidRDefault="00B26D29" w:rsidP="00B26D29">
      <w:r w:rsidRPr="00B26D29">
        <w:rPr>
          <w:noProof/>
        </w:rPr>
        <w:drawing>
          <wp:inline distT="0" distB="0" distL="0" distR="0" wp14:anchorId="042772EC" wp14:editId="4636C840">
            <wp:extent cx="5825081" cy="7661910"/>
            <wp:effectExtent l="19050" t="19050" r="23495" b="15240"/>
            <wp:docPr id="174286528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65282" name="Picture 1" descr="A white sheet with black text&#10;&#10;Description automatically generated"/>
                    <pic:cNvPicPr/>
                  </pic:nvPicPr>
                  <pic:blipFill>
                    <a:blip r:embed="rId12"/>
                    <a:stretch>
                      <a:fillRect/>
                    </a:stretch>
                  </pic:blipFill>
                  <pic:spPr>
                    <a:xfrm>
                      <a:off x="0" y="0"/>
                      <a:ext cx="5836540" cy="7676983"/>
                    </a:xfrm>
                    <a:prstGeom prst="rect">
                      <a:avLst/>
                    </a:prstGeom>
                    <a:ln w="3175">
                      <a:solidFill>
                        <a:schemeClr val="tx1"/>
                      </a:solidFill>
                    </a:ln>
                  </pic:spPr>
                </pic:pic>
              </a:graphicData>
            </a:graphic>
          </wp:inline>
        </w:drawing>
      </w:r>
    </w:p>
    <w:p w14:paraId="3524E91B" w14:textId="77777777" w:rsidR="00B26D29" w:rsidRPr="00B26D29" w:rsidRDefault="00B26D29" w:rsidP="00B26D29"/>
    <w:p w14:paraId="45EC6447" w14:textId="30F204ED" w:rsidR="00DD5E2F" w:rsidRPr="008D6FCA" w:rsidRDefault="00DD5E2F" w:rsidP="008D6FCA">
      <w:pPr>
        <w:pStyle w:val="Heading1"/>
        <w:spacing w:line="360" w:lineRule="auto"/>
        <w:jc w:val="both"/>
        <w:rPr>
          <w:rFonts w:cs="Times New Roman"/>
          <w:bCs/>
        </w:rPr>
      </w:pPr>
      <w:bookmarkStart w:id="9" w:name="_Toc145150211"/>
      <w:r w:rsidRPr="008D6FCA">
        <w:rPr>
          <w:rFonts w:cs="Times New Roman"/>
          <w:bCs/>
        </w:rPr>
        <w:lastRenderedPageBreak/>
        <w:t>Explanation of the Use of Financial Statement</w:t>
      </w:r>
      <w:bookmarkEnd w:id="9"/>
    </w:p>
    <w:p w14:paraId="04FC8E75" w14:textId="22E18C61" w:rsidR="0040265F" w:rsidRPr="008D6FCA" w:rsidRDefault="0040265F" w:rsidP="008D6FCA">
      <w:pPr>
        <w:spacing w:line="360" w:lineRule="auto"/>
        <w:rPr>
          <w:rFonts w:cs="Times New Roman"/>
          <w:szCs w:val="24"/>
        </w:rPr>
      </w:pPr>
      <w:r w:rsidRPr="008D6FCA">
        <w:rPr>
          <w:rFonts w:cs="Times New Roman"/>
          <w:szCs w:val="24"/>
        </w:rPr>
        <w:t>Financial statements, comprising the income statement, balance sheet, and cash flow statement, are pivotal documents in the realm of accounting and finance. These statements play a critical role in conveying a comprehensive understanding of a company's financial condition and performance to various stakeholders, including investors, creditors, management, and regulatory bodies</w:t>
      </w:r>
      <w:r w:rsidR="008D75CD" w:rsidRPr="008D6FCA">
        <w:rPr>
          <w:rFonts w:cs="Times New Roman"/>
          <w:szCs w:val="24"/>
        </w:rPr>
        <w:t xml:space="preserve"> (</w:t>
      </w:r>
      <w:proofErr w:type="spellStart"/>
      <w:r w:rsidR="008D75CD" w:rsidRPr="008D6FCA">
        <w:rPr>
          <w:rFonts w:cs="Times New Roman"/>
        </w:rPr>
        <w:t>Akulenko</w:t>
      </w:r>
      <w:proofErr w:type="spellEnd"/>
      <w:r w:rsidR="008D75CD" w:rsidRPr="008D6FCA">
        <w:rPr>
          <w:rFonts w:cs="Times New Roman"/>
        </w:rPr>
        <w:t xml:space="preserve"> and </w:t>
      </w:r>
      <w:proofErr w:type="spellStart"/>
      <w:r w:rsidR="008D75CD" w:rsidRPr="008D6FCA">
        <w:rPr>
          <w:rFonts w:cs="Times New Roman"/>
        </w:rPr>
        <w:t>Esina</w:t>
      </w:r>
      <w:proofErr w:type="spellEnd"/>
      <w:r w:rsidR="008D75CD" w:rsidRPr="008D6FCA">
        <w:rPr>
          <w:rFonts w:cs="Times New Roman"/>
        </w:rPr>
        <w:t>, 2021</w:t>
      </w:r>
      <w:r w:rsidR="008D75CD" w:rsidRPr="008D6FCA">
        <w:rPr>
          <w:rFonts w:cs="Times New Roman"/>
          <w:szCs w:val="24"/>
        </w:rPr>
        <w:t>)</w:t>
      </w:r>
      <w:r w:rsidRPr="008D6FCA">
        <w:rPr>
          <w:rFonts w:cs="Times New Roman"/>
          <w:szCs w:val="24"/>
        </w:rPr>
        <w:t>.</w:t>
      </w:r>
    </w:p>
    <w:p w14:paraId="5A4BED81" w14:textId="046D889E" w:rsidR="00B26D29" w:rsidRDefault="00B26D29" w:rsidP="00B26D29">
      <w:pPr>
        <w:pStyle w:val="Heading2"/>
      </w:pPr>
      <w:r>
        <w:t>I</w:t>
      </w:r>
      <w:r w:rsidR="0040265F" w:rsidRPr="008D6FCA">
        <w:t xml:space="preserve">ncome </w:t>
      </w:r>
      <w:r>
        <w:t>S</w:t>
      </w:r>
      <w:r w:rsidR="0040265F" w:rsidRPr="008D6FCA">
        <w:t>tatement</w:t>
      </w:r>
    </w:p>
    <w:p w14:paraId="4541E2A3" w14:textId="1BB1E79B" w:rsidR="0040265F" w:rsidRPr="008D6FCA" w:rsidRDefault="00B26D29" w:rsidP="008D6FCA">
      <w:pPr>
        <w:spacing w:line="360" w:lineRule="auto"/>
        <w:rPr>
          <w:rFonts w:cs="Times New Roman"/>
          <w:szCs w:val="24"/>
        </w:rPr>
      </w:pPr>
      <w:r>
        <w:rPr>
          <w:rFonts w:cs="Times New Roman"/>
          <w:szCs w:val="24"/>
        </w:rPr>
        <w:t xml:space="preserve">This is </w:t>
      </w:r>
      <w:r w:rsidR="0040265F" w:rsidRPr="008D6FCA">
        <w:rPr>
          <w:rFonts w:cs="Times New Roman"/>
          <w:szCs w:val="24"/>
        </w:rPr>
        <w:t>often referred to as the profit and loss statement</w:t>
      </w:r>
      <w:r>
        <w:rPr>
          <w:rFonts w:cs="Times New Roman"/>
          <w:szCs w:val="24"/>
        </w:rPr>
        <w:t xml:space="preserve"> which </w:t>
      </w:r>
      <w:r w:rsidR="0040265F" w:rsidRPr="008D6FCA">
        <w:rPr>
          <w:rFonts w:cs="Times New Roman"/>
          <w:szCs w:val="24"/>
        </w:rPr>
        <w:t xml:space="preserve">delineates a company's revenues, expenses, and net income over a specific reporting period (e.g., </w:t>
      </w:r>
      <w:r w:rsidR="008D75CD" w:rsidRPr="008D6FCA">
        <w:rPr>
          <w:rFonts w:cs="Times New Roman"/>
          <w:szCs w:val="24"/>
        </w:rPr>
        <w:t>quarterly,</w:t>
      </w:r>
      <w:r w:rsidR="0040265F" w:rsidRPr="008D6FCA">
        <w:rPr>
          <w:rFonts w:cs="Times New Roman"/>
          <w:szCs w:val="24"/>
        </w:rPr>
        <w:t xml:space="preserve"> or annually). Investors and financial analysts frequently utili</w:t>
      </w:r>
      <w:r>
        <w:rPr>
          <w:rFonts w:cs="Times New Roman"/>
          <w:szCs w:val="24"/>
        </w:rPr>
        <w:t>s</w:t>
      </w:r>
      <w:r w:rsidR="0040265F" w:rsidRPr="008D6FCA">
        <w:rPr>
          <w:rFonts w:cs="Times New Roman"/>
          <w:szCs w:val="24"/>
        </w:rPr>
        <w:t>e the income statement to scrutini</w:t>
      </w:r>
      <w:r>
        <w:rPr>
          <w:rFonts w:cs="Times New Roman"/>
          <w:szCs w:val="24"/>
        </w:rPr>
        <w:t>s</w:t>
      </w:r>
      <w:r w:rsidR="0040265F" w:rsidRPr="008D6FCA">
        <w:rPr>
          <w:rFonts w:cs="Times New Roman"/>
          <w:szCs w:val="24"/>
        </w:rPr>
        <w:t>e a firm's profitability trends, cost management efficiency, and revenue sources (Penman, 2013).</w:t>
      </w:r>
    </w:p>
    <w:p w14:paraId="5D74B434" w14:textId="77777777" w:rsidR="00B26D29" w:rsidRDefault="00B26D29" w:rsidP="00B26D29">
      <w:pPr>
        <w:pStyle w:val="Heading2"/>
      </w:pPr>
      <w:r>
        <w:t>B</w:t>
      </w:r>
      <w:r w:rsidR="0040265F" w:rsidRPr="008D6FCA">
        <w:t xml:space="preserve">alance </w:t>
      </w:r>
      <w:r>
        <w:t>S</w:t>
      </w:r>
      <w:r w:rsidR="0040265F" w:rsidRPr="008D6FCA">
        <w:t>heet</w:t>
      </w:r>
    </w:p>
    <w:p w14:paraId="22F4850B" w14:textId="70E3D553" w:rsidR="0040265F" w:rsidRPr="008D6FCA" w:rsidRDefault="00B26D29" w:rsidP="008D6FCA">
      <w:pPr>
        <w:spacing w:line="360" w:lineRule="auto"/>
        <w:rPr>
          <w:rFonts w:cs="Times New Roman"/>
          <w:szCs w:val="24"/>
        </w:rPr>
      </w:pPr>
      <w:r>
        <w:rPr>
          <w:rFonts w:cs="Times New Roman"/>
          <w:szCs w:val="24"/>
        </w:rPr>
        <w:t xml:space="preserve">This is </w:t>
      </w:r>
      <w:r w:rsidR="0040265F" w:rsidRPr="008D6FCA">
        <w:rPr>
          <w:rFonts w:cs="Times New Roman"/>
          <w:szCs w:val="24"/>
        </w:rPr>
        <w:t xml:space="preserve">sometimes </w:t>
      </w:r>
      <w:r w:rsidR="00AE1194" w:rsidRPr="008D6FCA">
        <w:rPr>
          <w:rFonts w:cs="Times New Roman"/>
          <w:szCs w:val="24"/>
        </w:rPr>
        <w:t>identified</w:t>
      </w:r>
      <w:r w:rsidR="0040265F" w:rsidRPr="008D6FCA">
        <w:rPr>
          <w:rFonts w:cs="Times New Roman"/>
          <w:szCs w:val="24"/>
        </w:rPr>
        <w:t xml:space="preserve"> as the </w:t>
      </w:r>
      <w:r w:rsidR="00AE1194" w:rsidRPr="008D6FCA">
        <w:rPr>
          <w:rFonts w:cs="Times New Roman"/>
          <w:szCs w:val="24"/>
        </w:rPr>
        <w:t>statement</w:t>
      </w:r>
      <w:r w:rsidR="0040265F" w:rsidRPr="008D6FCA">
        <w:rPr>
          <w:rFonts w:cs="Times New Roman"/>
          <w:szCs w:val="24"/>
        </w:rPr>
        <w:t xml:space="preserve"> of financial </w:t>
      </w:r>
      <w:r w:rsidR="00AE1194">
        <w:rPr>
          <w:rFonts w:cs="Times New Roman"/>
          <w:szCs w:val="24"/>
        </w:rPr>
        <w:t>position</w:t>
      </w:r>
      <w:r w:rsidR="0040265F" w:rsidRPr="008D6FCA">
        <w:rPr>
          <w:rFonts w:cs="Times New Roman"/>
          <w:szCs w:val="24"/>
        </w:rPr>
        <w:t>, provid</w:t>
      </w:r>
      <w:r w:rsidR="00AE1194">
        <w:rPr>
          <w:rFonts w:cs="Times New Roman"/>
          <w:szCs w:val="24"/>
        </w:rPr>
        <w:t>ing</w:t>
      </w:r>
      <w:r w:rsidR="0040265F" w:rsidRPr="008D6FCA">
        <w:rPr>
          <w:rFonts w:cs="Times New Roman"/>
          <w:szCs w:val="24"/>
        </w:rPr>
        <w:t xml:space="preserve"> a </w:t>
      </w:r>
      <w:r w:rsidR="00AE1194" w:rsidRPr="008D6FCA">
        <w:rPr>
          <w:rFonts w:cs="Times New Roman"/>
          <w:szCs w:val="24"/>
        </w:rPr>
        <w:t>picture</w:t>
      </w:r>
      <w:r w:rsidR="0040265F" w:rsidRPr="008D6FCA">
        <w:rPr>
          <w:rFonts w:cs="Times New Roman"/>
          <w:szCs w:val="24"/>
        </w:rPr>
        <w:t xml:space="preserve"> of a company's financial standing at a </w:t>
      </w:r>
      <w:r w:rsidR="00AE1194" w:rsidRPr="008D6FCA">
        <w:rPr>
          <w:rFonts w:cs="Times New Roman"/>
          <w:szCs w:val="24"/>
        </w:rPr>
        <w:t>precise</w:t>
      </w:r>
      <w:r w:rsidR="0040265F" w:rsidRPr="008D6FCA">
        <w:rPr>
          <w:rFonts w:cs="Times New Roman"/>
          <w:szCs w:val="24"/>
        </w:rPr>
        <w:t xml:space="preserve"> point in time. It encapsulates the company's assets, liabilities, and shareholders' equity. For investors and creditors, the balance sheet serves as a crucial tool to assess liquidity, solvency, and the </w:t>
      </w:r>
      <w:r w:rsidR="00AE1194">
        <w:rPr>
          <w:rFonts w:cs="Times New Roman"/>
          <w:szCs w:val="24"/>
        </w:rPr>
        <w:t>organisation’s</w:t>
      </w:r>
      <w:r w:rsidR="0040265F" w:rsidRPr="008D6FCA">
        <w:rPr>
          <w:rFonts w:cs="Times New Roman"/>
          <w:szCs w:val="24"/>
        </w:rPr>
        <w:t xml:space="preserve"> </w:t>
      </w:r>
      <w:r w:rsidR="00AE1194">
        <w:rPr>
          <w:rFonts w:cs="Times New Roman"/>
          <w:szCs w:val="24"/>
        </w:rPr>
        <w:t>ability</w:t>
      </w:r>
      <w:r w:rsidR="0040265F" w:rsidRPr="008D6FCA">
        <w:rPr>
          <w:rFonts w:cs="Times New Roman"/>
          <w:szCs w:val="24"/>
        </w:rPr>
        <w:t xml:space="preserve"> to meet short-term and long-term </w:t>
      </w:r>
      <w:r w:rsidR="00AE1194" w:rsidRPr="008D6FCA">
        <w:rPr>
          <w:rFonts w:cs="Times New Roman"/>
          <w:szCs w:val="24"/>
        </w:rPr>
        <w:t>commitments</w:t>
      </w:r>
      <w:r w:rsidR="0040265F" w:rsidRPr="008D6FCA">
        <w:rPr>
          <w:rFonts w:cs="Times New Roman"/>
          <w:szCs w:val="24"/>
        </w:rPr>
        <w:t xml:space="preserve"> (Penman </w:t>
      </w:r>
      <w:r w:rsidR="008D75CD" w:rsidRPr="008D6FCA">
        <w:rPr>
          <w:rFonts w:cs="Times New Roman"/>
          <w:szCs w:val="24"/>
        </w:rPr>
        <w:t>and</w:t>
      </w:r>
      <w:r w:rsidR="0040265F" w:rsidRPr="008D6FCA">
        <w:rPr>
          <w:rFonts w:cs="Times New Roman"/>
          <w:szCs w:val="24"/>
        </w:rPr>
        <w:t xml:space="preserve"> </w:t>
      </w:r>
      <w:proofErr w:type="spellStart"/>
      <w:r w:rsidR="0040265F" w:rsidRPr="008D6FCA">
        <w:rPr>
          <w:rFonts w:cs="Times New Roman"/>
          <w:szCs w:val="24"/>
        </w:rPr>
        <w:t>Sougiannis</w:t>
      </w:r>
      <w:proofErr w:type="spellEnd"/>
      <w:r w:rsidR="0040265F" w:rsidRPr="008D6FCA">
        <w:rPr>
          <w:rFonts w:cs="Times New Roman"/>
          <w:szCs w:val="24"/>
        </w:rPr>
        <w:t>, 1998).</w:t>
      </w:r>
    </w:p>
    <w:p w14:paraId="08274A87" w14:textId="77777777" w:rsidR="0087146D" w:rsidRPr="0087146D" w:rsidRDefault="0087146D" w:rsidP="0087146D">
      <w:pPr>
        <w:pStyle w:val="Heading2"/>
      </w:pPr>
      <w:r w:rsidRPr="0087146D">
        <w:t>C</w:t>
      </w:r>
      <w:r w:rsidR="0040265F" w:rsidRPr="0087146D">
        <w:t xml:space="preserve">ash </w:t>
      </w:r>
      <w:r w:rsidRPr="0087146D">
        <w:t>F</w:t>
      </w:r>
      <w:r w:rsidR="0040265F" w:rsidRPr="0087146D">
        <w:t xml:space="preserve">low </w:t>
      </w:r>
      <w:r w:rsidRPr="0087146D">
        <w:t>S</w:t>
      </w:r>
      <w:r w:rsidR="0040265F" w:rsidRPr="0087146D">
        <w:t>tatement</w:t>
      </w:r>
    </w:p>
    <w:p w14:paraId="47EEA522" w14:textId="00C29375" w:rsidR="0040265F" w:rsidRPr="008D6FCA" w:rsidRDefault="0087146D" w:rsidP="008D6FCA">
      <w:pPr>
        <w:spacing w:line="360" w:lineRule="auto"/>
        <w:rPr>
          <w:rFonts w:cs="Times New Roman"/>
          <w:szCs w:val="24"/>
        </w:rPr>
      </w:pPr>
      <w:r>
        <w:rPr>
          <w:rFonts w:cs="Times New Roman"/>
          <w:szCs w:val="24"/>
        </w:rPr>
        <w:t xml:space="preserve">This is </w:t>
      </w:r>
      <w:r w:rsidR="0040265F" w:rsidRPr="008D6FCA">
        <w:rPr>
          <w:rFonts w:cs="Times New Roman"/>
          <w:szCs w:val="24"/>
        </w:rPr>
        <w:t xml:space="preserve">a dynamic document, traces the inflow and outflow of cash during a designated period. It </w:t>
      </w:r>
      <w:r w:rsidR="00AE1194" w:rsidRPr="008D6FCA">
        <w:rPr>
          <w:rFonts w:cs="Times New Roman"/>
          <w:szCs w:val="24"/>
        </w:rPr>
        <w:t>classifies</w:t>
      </w:r>
      <w:r w:rsidR="0040265F" w:rsidRPr="008D6FCA">
        <w:rPr>
          <w:rFonts w:cs="Times New Roman"/>
          <w:szCs w:val="24"/>
        </w:rPr>
        <w:t xml:space="preserve"> cash flows into </w:t>
      </w:r>
      <w:r w:rsidR="00AE1194" w:rsidRPr="008D6FCA">
        <w:rPr>
          <w:rFonts w:cs="Times New Roman"/>
          <w:szCs w:val="24"/>
        </w:rPr>
        <w:t>financing</w:t>
      </w:r>
      <w:r w:rsidR="00AE1194">
        <w:rPr>
          <w:rFonts w:cs="Times New Roman"/>
          <w:szCs w:val="24"/>
        </w:rPr>
        <w:t xml:space="preserve">, </w:t>
      </w:r>
      <w:r w:rsidR="0040265F" w:rsidRPr="008D6FCA">
        <w:rPr>
          <w:rFonts w:cs="Times New Roman"/>
          <w:szCs w:val="24"/>
        </w:rPr>
        <w:t xml:space="preserve">operating, </w:t>
      </w:r>
      <w:r w:rsidR="00AE1194">
        <w:rPr>
          <w:rFonts w:cs="Times New Roman"/>
          <w:szCs w:val="24"/>
        </w:rPr>
        <w:t xml:space="preserve">and </w:t>
      </w:r>
      <w:r w:rsidR="0040265F" w:rsidRPr="008D6FCA">
        <w:rPr>
          <w:rFonts w:cs="Times New Roman"/>
          <w:szCs w:val="24"/>
        </w:rPr>
        <w:t>investing</w:t>
      </w:r>
      <w:r w:rsidR="00AE1194">
        <w:rPr>
          <w:rFonts w:cs="Times New Roman"/>
          <w:szCs w:val="24"/>
        </w:rPr>
        <w:t xml:space="preserve"> </w:t>
      </w:r>
      <w:r w:rsidR="00AE1194" w:rsidRPr="008D6FCA">
        <w:rPr>
          <w:rFonts w:cs="Times New Roman"/>
          <w:szCs w:val="24"/>
        </w:rPr>
        <w:t>activities</w:t>
      </w:r>
      <w:r w:rsidR="0040265F" w:rsidRPr="008D6FCA">
        <w:rPr>
          <w:rFonts w:cs="Times New Roman"/>
          <w:szCs w:val="24"/>
        </w:rPr>
        <w:t xml:space="preserve">. Stakeholders closely examine the cash flow statement to evaluate a company's cash generation capabilities, liquidity management, and ability to finance operations and investments (Mulford </w:t>
      </w:r>
      <w:r w:rsidR="008D75CD" w:rsidRPr="008D6FCA">
        <w:rPr>
          <w:rFonts w:cs="Times New Roman"/>
          <w:szCs w:val="24"/>
        </w:rPr>
        <w:t>and</w:t>
      </w:r>
      <w:r w:rsidR="0040265F" w:rsidRPr="008D6FCA">
        <w:rPr>
          <w:rFonts w:cs="Times New Roman"/>
          <w:szCs w:val="24"/>
        </w:rPr>
        <w:t xml:space="preserve"> Comiskey, 2002).</w:t>
      </w:r>
    </w:p>
    <w:p w14:paraId="1CF1B0CC" w14:textId="5735A887" w:rsidR="008D75CD" w:rsidRPr="008D6FCA" w:rsidRDefault="008D75CD" w:rsidP="00AD21EC">
      <w:pPr>
        <w:spacing w:line="360" w:lineRule="auto"/>
        <w:jc w:val="center"/>
        <w:rPr>
          <w:rFonts w:cs="Times New Roman"/>
          <w:szCs w:val="24"/>
        </w:rPr>
      </w:pPr>
      <w:r w:rsidRPr="008D6FCA">
        <w:rPr>
          <w:rFonts w:cs="Times New Roman"/>
          <w:noProof/>
          <w:szCs w:val="24"/>
        </w:rPr>
        <w:drawing>
          <wp:inline distT="0" distB="0" distL="0" distR="0" wp14:anchorId="408F3469" wp14:editId="13408278">
            <wp:extent cx="2544640" cy="2030818"/>
            <wp:effectExtent l="0" t="0" r="8255" b="7620"/>
            <wp:docPr id="1663074409" name="Picture 1" descr="A diagram of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074409" name="Picture 1" descr="A diagram of financial statement&#10;&#10;Description automatically generated"/>
                    <pic:cNvPicPr/>
                  </pic:nvPicPr>
                  <pic:blipFill>
                    <a:blip r:embed="rId13"/>
                    <a:stretch>
                      <a:fillRect/>
                    </a:stretch>
                  </pic:blipFill>
                  <pic:spPr>
                    <a:xfrm>
                      <a:off x="0" y="0"/>
                      <a:ext cx="2568423" cy="2049799"/>
                    </a:xfrm>
                    <a:prstGeom prst="rect">
                      <a:avLst/>
                    </a:prstGeom>
                  </pic:spPr>
                </pic:pic>
              </a:graphicData>
            </a:graphic>
          </wp:inline>
        </w:drawing>
      </w:r>
    </w:p>
    <w:p w14:paraId="5E039400" w14:textId="31015E59" w:rsidR="0040265F" w:rsidRPr="008D6FCA" w:rsidRDefault="0040265F" w:rsidP="008D6FCA">
      <w:pPr>
        <w:spacing w:line="360" w:lineRule="auto"/>
        <w:rPr>
          <w:rFonts w:cs="Times New Roman"/>
          <w:b/>
          <w:bCs/>
          <w:szCs w:val="24"/>
        </w:rPr>
      </w:pPr>
      <w:r w:rsidRPr="008D6FCA">
        <w:rPr>
          <w:rFonts w:cs="Times New Roman"/>
          <w:b/>
          <w:bCs/>
          <w:szCs w:val="24"/>
        </w:rPr>
        <w:lastRenderedPageBreak/>
        <w:t>These financial statements serve multifaceted purposes</w:t>
      </w:r>
      <w:r w:rsidR="0087146D">
        <w:rPr>
          <w:rFonts w:cs="Times New Roman"/>
          <w:b/>
          <w:bCs/>
          <w:szCs w:val="24"/>
        </w:rPr>
        <w:t xml:space="preserve"> including:</w:t>
      </w:r>
    </w:p>
    <w:p w14:paraId="3954A4F1" w14:textId="2E1A6539" w:rsidR="0040265F" w:rsidRPr="008D6FCA" w:rsidRDefault="0040265F" w:rsidP="008D6FCA">
      <w:pPr>
        <w:pStyle w:val="ListParagraph"/>
        <w:numPr>
          <w:ilvl w:val="0"/>
          <w:numId w:val="20"/>
        </w:numPr>
        <w:spacing w:line="360" w:lineRule="auto"/>
        <w:rPr>
          <w:rFonts w:cs="Times New Roman"/>
          <w:szCs w:val="24"/>
        </w:rPr>
      </w:pPr>
      <w:r w:rsidRPr="008D6FCA">
        <w:rPr>
          <w:rFonts w:cs="Times New Roman"/>
          <w:b/>
          <w:bCs/>
          <w:szCs w:val="24"/>
        </w:rPr>
        <w:t>Investment Decision-Making:</w:t>
      </w:r>
      <w:r w:rsidRPr="008D6FCA">
        <w:rPr>
          <w:rFonts w:cs="Times New Roman"/>
          <w:szCs w:val="24"/>
        </w:rPr>
        <w:t xml:space="preserve"> Investors use financial statements to gauge the attractiveness of investment opportunities. They </w:t>
      </w:r>
      <w:r w:rsidR="008D75CD" w:rsidRPr="008D6FCA">
        <w:rPr>
          <w:rFonts w:cs="Times New Roman"/>
          <w:szCs w:val="24"/>
        </w:rPr>
        <w:t>analyse</w:t>
      </w:r>
      <w:r w:rsidRPr="008D6FCA">
        <w:rPr>
          <w:rFonts w:cs="Times New Roman"/>
          <w:szCs w:val="24"/>
        </w:rPr>
        <w:t xml:space="preserve"> income statements for profitability, balance sheets for financial stability, and cash flow statements for cash generation prospects (Damodaran, 2012).</w:t>
      </w:r>
    </w:p>
    <w:p w14:paraId="1A2FCE7F" w14:textId="77777777" w:rsidR="0040265F" w:rsidRPr="008D6FCA" w:rsidRDefault="0040265F" w:rsidP="008D6FCA">
      <w:pPr>
        <w:pStyle w:val="ListParagraph"/>
        <w:numPr>
          <w:ilvl w:val="0"/>
          <w:numId w:val="20"/>
        </w:numPr>
        <w:spacing w:line="360" w:lineRule="auto"/>
        <w:rPr>
          <w:rFonts w:cs="Times New Roman"/>
          <w:szCs w:val="24"/>
        </w:rPr>
      </w:pPr>
      <w:r w:rsidRPr="008D6FCA">
        <w:rPr>
          <w:rFonts w:cs="Times New Roman"/>
          <w:b/>
          <w:bCs/>
          <w:szCs w:val="24"/>
        </w:rPr>
        <w:t>Credit Assessment:</w:t>
      </w:r>
      <w:r w:rsidRPr="008D6FCA">
        <w:rPr>
          <w:rFonts w:cs="Times New Roman"/>
          <w:szCs w:val="24"/>
        </w:rPr>
        <w:t xml:space="preserve"> Creditors, including banks and bondholders, rely on financial statements to assess a company's creditworthiness. They assess the balance sheet to determine asset coverage and the income statement to evaluate earnings consistency (Altman, 1968).</w:t>
      </w:r>
    </w:p>
    <w:p w14:paraId="3CB7CFE8" w14:textId="72164B59" w:rsidR="0040265F" w:rsidRPr="008D6FCA" w:rsidRDefault="0040265F" w:rsidP="008D6FCA">
      <w:pPr>
        <w:pStyle w:val="ListParagraph"/>
        <w:numPr>
          <w:ilvl w:val="0"/>
          <w:numId w:val="20"/>
        </w:numPr>
        <w:spacing w:line="360" w:lineRule="auto"/>
        <w:rPr>
          <w:rFonts w:cs="Times New Roman"/>
          <w:szCs w:val="24"/>
        </w:rPr>
      </w:pPr>
      <w:r w:rsidRPr="008D6FCA">
        <w:rPr>
          <w:rFonts w:cs="Times New Roman"/>
          <w:b/>
          <w:bCs/>
          <w:szCs w:val="24"/>
        </w:rPr>
        <w:t>Management and Strategic Planning:</w:t>
      </w:r>
      <w:r w:rsidRPr="008D6FCA">
        <w:rPr>
          <w:rFonts w:cs="Times New Roman"/>
          <w:szCs w:val="24"/>
        </w:rPr>
        <w:t xml:space="preserve"> Company management utili</w:t>
      </w:r>
      <w:r w:rsidR="0087146D">
        <w:rPr>
          <w:rFonts w:cs="Times New Roman"/>
          <w:szCs w:val="24"/>
        </w:rPr>
        <w:t>s</w:t>
      </w:r>
      <w:r w:rsidRPr="008D6FCA">
        <w:rPr>
          <w:rFonts w:cs="Times New Roman"/>
          <w:szCs w:val="24"/>
        </w:rPr>
        <w:t>es financial statements for performance assessment and strategic decision-making. These statements assist in identifying areas for improvement and in making resource allocation choices (Higgins, 1981).</w:t>
      </w:r>
    </w:p>
    <w:p w14:paraId="5FB11004" w14:textId="77777777" w:rsidR="0040265F" w:rsidRPr="008D6FCA" w:rsidRDefault="0040265F" w:rsidP="008D6FCA">
      <w:pPr>
        <w:pStyle w:val="ListParagraph"/>
        <w:numPr>
          <w:ilvl w:val="0"/>
          <w:numId w:val="20"/>
        </w:numPr>
        <w:spacing w:line="360" w:lineRule="auto"/>
        <w:rPr>
          <w:rFonts w:cs="Times New Roman"/>
          <w:szCs w:val="24"/>
        </w:rPr>
      </w:pPr>
      <w:r w:rsidRPr="008D6FCA">
        <w:rPr>
          <w:rFonts w:cs="Times New Roman"/>
          <w:b/>
          <w:bCs/>
          <w:szCs w:val="24"/>
        </w:rPr>
        <w:t>Regulatory Compliance:</w:t>
      </w:r>
      <w:r w:rsidRPr="008D6FCA">
        <w:rPr>
          <w:rFonts w:cs="Times New Roman"/>
          <w:szCs w:val="24"/>
        </w:rPr>
        <w:t xml:space="preserve"> Regulatory authorities mandate the preparation of accurate financial statements for transparency and adherence to accounting standards. These statements are also integral to tax assessment (Financial Accounting Standards Board, 2021).</w:t>
      </w:r>
    </w:p>
    <w:p w14:paraId="24AAA80B" w14:textId="24EB7B9A" w:rsidR="00DD5E2F" w:rsidRPr="008D6FCA" w:rsidRDefault="0040265F" w:rsidP="008D6FCA">
      <w:pPr>
        <w:spacing w:line="360" w:lineRule="auto"/>
        <w:rPr>
          <w:rFonts w:cs="Times New Roman"/>
          <w:szCs w:val="24"/>
        </w:rPr>
      </w:pPr>
      <w:r w:rsidRPr="008D6FCA">
        <w:rPr>
          <w:rFonts w:cs="Times New Roman"/>
          <w:szCs w:val="24"/>
        </w:rPr>
        <w:t>Financial statements serve as fundamental instruments in the realm of accounting and finance. They provide a structured and systematic framework for presenting a company's financial performance, position, and cash flows. The significance of these statements is underscored by their ability to furnish invaluable insights to a diverse array of stakeholders, thereby facilitating investment decisions, credit evaluations, strategic planning, and regulatory conformity. Prudent and transparent financial reporting is pivotal for upholding trust in financial markets and fostering informed decision-making.</w:t>
      </w:r>
    </w:p>
    <w:p w14:paraId="72B50FB4" w14:textId="70540D9F" w:rsidR="00DD5E2F" w:rsidRPr="008D6FCA" w:rsidRDefault="00DD5E2F" w:rsidP="008D6FCA">
      <w:pPr>
        <w:pStyle w:val="Heading1"/>
        <w:spacing w:line="360" w:lineRule="auto"/>
        <w:jc w:val="both"/>
        <w:rPr>
          <w:rFonts w:cs="Times New Roman"/>
          <w:bCs/>
        </w:rPr>
      </w:pPr>
      <w:bookmarkStart w:id="10" w:name="_Toc145150212"/>
      <w:r w:rsidRPr="008D6FCA">
        <w:rPr>
          <w:rFonts w:cs="Times New Roman"/>
          <w:bCs/>
        </w:rPr>
        <w:t>Calculation of Ratios</w:t>
      </w:r>
      <w:bookmarkEnd w:id="10"/>
    </w:p>
    <w:p w14:paraId="24B10765" w14:textId="33B46651" w:rsidR="005F1AA9" w:rsidRPr="008D6FCA" w:rsidRDefault="005F1AA9" w:rsidP="008D6FCA">
      <w:pPr>
        <w:spacing w:line="360" w:lineRule="auto"/>
        <w:rPr>
          <w:rFonts w:cs="Times New Roman"/>
          <w:szCs w:val="24"/>
        </w:rPr>
      </w:pPr>
      <w:r w:rsidRPr="008D6FCA">
        <w:rPr>
          <w:rFonts w:cs="Times New Roman"/>
          <w:szCs w:val="24"/>
        </w:rPr>
        <w:t xml:space="preserve">Financial ratios are </w:t>
      </w:r>
      <w:r w:rsidR="00AE1194" w:rsidRPr="008D6FCA">
        <w:rPr>
          <w:rFonts w:cs="Times New Roman"/>
          <w:szCs w:val="24"/>
        </w:rPr>
        <w:t>essential</w:t>
      </w:r>
      <w:r w:rsidRPr="008D6FCA">
        <w:rPr>
          <w:rFonts w:cs="Times New Roman"/>
          <w:szCs w:val="24"/>
        </w:rPr>
        <w:t xml:space="preserve"> tools for assessing a company's financial </w:t>
      </w:r>
      <w:r w:rsidR="00AE1194" w:rsidRPr="008D6FCA">
        <w:rPr>
          <w:rFonts w:cs="Times New Roman"/>
          <w:szCs w:val="24"/>
        </w:rPr>
        <w:t>strength</w:t>
      </w:r>
      <w:r w:rsidRPr="008D6FCA">
        <w:rPr>
          <w:rFonts w:cs="Times New Roman"/>
          <w:szCs w:val="24"/>
        </w:rPr>
        <w:t xml:space="preserve"> and performance. They provide valuable insights into various aspects of a firm's operations and are used by investors, creditors, and management for decision-making (</w:t>
      </w:r>
      <w:proofErr w:type="spellStart"/>
      <w:r w:rsidRPr="008D6FCA">
        <w:rPr>
          <w:rFonts w:cs="Times New Roman"/>
          <w:szCs w:val="24"/>
        </w:rPr>
        <w:t>Mbona</w:t>
      </w:r>
      <w:proofErr w:type="spellEnd"/>
      <w:r w:rsidRPr="008D6FCA">
        <w:rPr>
          <w:rFonts w:cs="Times New Roman"/>
          <w:szCs w:val="24"/>
        </w:rPr>
        <w:t xml:space="preserve"> and Yusheng, 2019). According to Lane 2012, ratio analysis (comparative analysis) is a financial statement analysis that is used to obtain hints of a business’s financial performance. There are various aspects of ratio analysis calculations and below are the few used to analyse and compare Aston </w:t>
      </w:r>
      <w:r w:rsidRPr="008D6FCA">
        <w:rPr>
          <w:rFonts w:cs="Times New Roman"/>
          <w:szCs w:val="24"/>
        </w:rPr>
        <w:lastRenderedPageBreak/>
        <w:t>Martin Lagonda Limited and its competitor BMW (UK) Limited through information acquired from their financial statement.</w:t>
      </w:r>
    </w:p>
    <w:p w14:paraId="1C4FC013" w14:textId="2B2A8560" w:rsidR="006229A3" w:rsidRDefault="008D6FCA" w:rsidP="008D6FCA">
      <w:pPr>
        <w:spacing w:after="200" w:line="360" w:lineRule="auto"/>
        <w:rPr>
          <w:rFonts w:cs="Times New Roman"/>
          <w:szCs w:val="24"/>
        </w:rPr>
      </w:pPr>
      <w:r w:rsidRPr="008D6FCA">
        <w:rPr>
          <w:rFonts w:cs="Times New Roman"/>
          <w:noProof/>
          <w:szCs w:val="24"/>
        </w:rPr>
        <w:drawing>
          <wp:inline distT="0" distB="0" distL="0" distR="0" wp14:anchorId="194B8639" wp14:editId="71D600BB">
            <wp:extent cx="5807592" cy="5308879"/>
            <wp:effectExtent l="19050" t="19050" r="22225" b="25400"/>
            <wp:docPr id="1512161221" name="Picture 1" descr="A yellow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61221" name="Picture 1" descr="A yellow paper with writing on it&#10;&#10;Description automatically generated"/>
                    <pic:cNvPicPr/>
                  </pic:nvPicPr>
                  <pic:blipFill>
                    <a:blip r:embed="rId14"/>
                    <a:stretch>
                      <a:fillRect/>
                    </a:stretch>
                  </pic:blipFill>
                  <pic:spPr>
                    <a:xfrm>
                      <a:off x="0" y="0"/>
                      <a:ext cx="5812389" cy="5313264"/>
                    </a:xfrm>
                    <a:prstGeom prst="rect">
                      <a:avLst/>
                    </a:prstGeom>
                    <a:ln w="12700">
                      <a:solidFill>
                        <a:schemeClr val="tx1"/>
                      </a:solidFill>
                    </a:ln>
                  </pic:spPr>
                </pic:pic>
              </a:graphicData>
            </a:graphic>
          </wp:inline>
        </w:drawing>
      </w:r>
    </w:p>
    <w:p w14:paraId="6BC14277" w14:textId="3A1F2E5E" w:rsidR="0087146D" w:rsidRDefault="0087146D" w:rsidP="0087146D">
      <w:pPr>
        <w:pStyle w:val="Heading2"/>
      </w:pPr>
      <w:r>
        <w:t>Limitations of Ratio Analysis</w:t>
      </w:r>
    </w:p>
    <w:p w14:paraId="3A28F25F" w14:textId="39E6F13B" w:rsidR="00912FD4" w:rsidRPr="008D6FCA" w:rsidRDefault="00912FD4" w:rsidP="008D6FCA">
      <w:pPr>
        <w:spacing w:after="200" w:line="360" w:lineRule="auto"/>
        <w:rPr>
          <w:rFonts w:cs="Times New Roman"/>
          <w:szCs w:val="24"/>
        </w:rPr>
      </w:pPr>
      <w:r w:rsidRPr="00912FD4">
        <w:rPr>
          <w:rFonts w:cs="Times New Roman"/>
          <w:szCs w:val="24"/>
        </w:rPr>
        <w:t>Ratio analysis is a widely used financial assessment tool, but its utility is constrained by several limitations. Varying accounting practices among firms can introduce discrepancies, affecting the comparability of ratios (Bhattacharyya, 2010). Specific nuances within the UK automotive industry, such as differing production models and marketing strategies, can make industry-specific benchmarks less applicable (Keefe et al., 2018). Furthermore, external factors like inflation and economic instability can distort ratio interpretations (Wild et al., 2015). These limitations underscore the need for a nuanced and context-aware approach when employing ratio analysis in evaluating the financial health of companies.</w:t>
      </w:r>
    </w:p>
    <w:p w14:paraId="7E9FEEDE" w14:textId="6AC27D6A" w:rsidR="00DD5E2F" w:rsidRDefault="00DD5E2F" w:rsidP="008D6FCA">
      <w:pPr>
        <w:pStyle w:val="Heading1"/>
        <w:spacing w:line="360" w:lineRule="auto"/>
        <w:jc w:val="both"/>
        <w:rPr>
          <w:rFonts w:cs="Times New Roman"/>
        </w:rPr>
      </w:pPr>
      <w:bookmarkStart w:id="11" w:name="_Toc145150213"/>
      <w:r w:rsidRPr="008D6FCA">
        <w:rPr>
          <w:rFonts w:cs="Times New Roman"/>
        </w:rPr>
        <w:lastRenderedPageBreak/>
        <w:t>Critical Evaluation of Ratios</w:t>
      </w:r>
      <w:bookmarkEnd w:id="11"/>
    </w:p>
    <w:p w14:paraId="4750E41F" w14:textId="0F750A64" w:rsidR="00AE1394" w:rsidRPr="00AE1394" w:rsidRDefault="00AE1394" w:rsidP="00AE1394">
      <w:pPr>
        <w:spacing w:line="360" w:lineRule="auto"/>
      </w:pPr>
      <w:r w:rsidRPr="00AE1394">
        <w:t>In this comprehensive analysis, we delve into a critical evaluation of financial ratios for both Aston Martin Lagonda Limited and BMW, aiming to gain deeper insights into their financial health and performance. These ratios provide valuable information regarding profitability, liquidity, investment, and asset turnover, return on investment, stability, and growth.</w:t>
      </w:r>
    </w:p>
    <w:p w14:paraId="4A67D4FC" w14:textId="77777777" w:rsidR="006229A3" w:rsidRPr="008D6FCA" w:rsidRDefault="006229A3" w:rsidP="008D6FCA">
      <w:pPr>
        <w:pStyle w:val="Heading2"/>
        <w:spacing w:line="360" w:lineRule="auto"/>
        <w:jc w:val="both"/>
        <w:rPr>
          <w:rFonts w:cs="Times New Roman"/>
        </w:rPr>
      </w:pPr>
      <w:bookmarkStart w:id="12" w:name="_Toc145150214"/>
      <w:r w:rsidRPr="008D6FCA">
        <w:rPr>
          <w:rFonts w:cs="Times New Roman"/>
        </w:rPr>
        <w:t>Profitability Ratio</w:t>
      </w:r>
      <w:bookmarkEnd w:id="12"/>
    </w:p>
    <w:p w14:paraId="3D6ED4CE" w14:textId="77777777" w:rsidR="006229A3"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Cost of sales ratio (COSR):</w:t>
      </w:r>
    </w:p>
    <w:p w14:paraId="10CBD0E7" w14:textId="0F7F85B1" w:rsidR="00AE1394" w:rsidRPr="00AE1394" w:rsidRDefault="00AE1394" w:rsidP="00AE1394">
      <w:pPr>
        <w:pStyle w:val="ListParagraph"/>
        <w:spacing w:after="200" w:line="360" w:lineRule="auto"/>
        <w:ind w:left="360"/>
        <w:rPr>
          <w:rFonts w:cs="Times New Roman"/>
          <w:bCs/>
          <w:szCs w:val="24"/>
        </w:rPr>
      </w:pPr>
      <w:r w:rsidRPr="00AE1394">
        <w:rPr>
          <w:rFonts w:cs="Times New Roman"/>
          <w:bCs/>
          <w:szCs w:val="24"/>
        </w:rPr>
        <w:t>Aston Martin exhibited a lower COSR of 65.51% in 2021, which increased to 69.16% in 2022 due to expanding product ranges. BMW, on the other hand, experienced an increase from 94.61% in 2021 to 95.24% in 2022, indicating higher operating costs. Aston Martin has the advantage in COSR efficiency.</w:t>
      </w:r>
    </w:p>
    <w:p w14:paraId="600CEF9A" w14:textId="77777777" w:rsidR="00AE1394" w:rsidRDefault="006229A3" w:rsidP="00AE1394">
      <w:pPr>
        <w:pStyle w:val="ListParagraph"/>
        <w:numPr>
          <w:ilvl w:val="0"/>
          <w:numId w:val="23"/>
        </w:numPr>
        <w:spacing w:after="200" w:line="360" w:lineRule="auto"/>
        <w:rPr>
          <w:rFonts w:cs="Times New Roman"/>
          <w:szCs w:val="24"/>
        </w:rPr>
      </w:pPr>
      <w:r w:rsidRPr="008D6FCA">
        <w:rPr>
          <w:rFonts w:cs="Times New Roman"/>
          <w:b/>
          <w:szCs w:val="24"/>
        </w:rPr>
        <w:t>Gross profit ratio</w:t>
      </w:r>
      <w:r w:rsidRPr="008D6FCA">
        <w:rPr>
          <w:rFonts w:cs="Times New Roman"/>
          <w:szCs w:val="24"/>
        </w:rPr>
        <w:t>:</w:t>
      </w:r>
    </w:p>
    <w:p w14:paraId="17E623D1" w14:textId="3C390BD3" w:rsidR="00AE1394" w:rsidRDefault="00AE1394" w:rsidP="00AE1394">
      <w:pPr>
        <w:pStyle w:val="ListParagraph"/>
        <w:spacing w:after="200" w:line="360" w:lineRule="auto"/>
        <w:ind w:left="360"/>
        <w:rPr>
          <w:rFonts w:cs="Times New Roman"/>
          <w:szCs w:val="24"/>
        </w:rPr>
      </w:pPr>
      <w:r w:rsidRPr="00AE1394">
        <w:rPr>
          <w:rFonts w:cs="Times New Roman"/>
          <w:szCs w:val="24"/>
        </w:rPr>
        <w:t>The gross profit ratio, reflecting the percentage of profit generated after subtracting only the cost of sales from sales revenue, improved for Aston Martin from 26.42% in 2021 to 30.84% in 2022. Conversely, BMW saw a decline from 5.39% in 2021 to 4.7% in 2022. Aston Martin's higher ratio indicates a more profitable operation.</w:t>
      </w:r>
    </w:p>
    <w:p w14:paraId="33AD8824" w14:textId="17F6544E" w:rsidR="006229A3" w:rsidRPr="00AE1394" w:rsidRDefault="006229A3" w:rsidP="00AE1394">
      <w:pPr>
        <w:pStyle w:val="ListParagraph"/>
        <w:numPr>
          <w:ilvl w:val="0"/>
          <w:numId w:val="23"/>
        </w:numPr>
        <w:spacing w:after="200" w:line="360" w:lineRule="auto"/>
        <w:rPr>
          <w:rFonts w:cs="Times New Roman"/>
          <w:szCs w:val="24"/>
        </w:rPr>
      </w:pPr>
      <w:r w:rsidRPr="00AE1394">
        <w:rPr>
          <w:rFonts w:cs="Times New Roman"/>
          <w:b/>
          <w:szCs w:val="24"/>
        </w:rPr>
        <w:t>Operating cash flow/sales ratio</w:t>
      </w:r>
    </w:p>
    <w:p w14:paraId="03FDFFAE" w14:textId="2A3893C5" w:rsidR="006229A3" w:rsidRPr="008D6FCA" w:rsidRDefault="00DB6946" w:rsidP="008D6FCA">
      <w:pPr>
        <w:pStyle w:val="ListParagraph"/>
        <w:spacing w:after="200" w:line="360" w:lineRule="auto"/>
        <w:ind w:left="360"/>
        <w:rPr>
          <w:rFonts w:cs="Times New Roman"/>
          <w:szCs w:val="24"/>
        </w:rPr>
      </w:pPr>
      <w:r w:rsidRPr="00DB6946">
        <w:rPr>
          <w:rFonts w:cs="Times New Roman"/>
          <w:szCs w:val="24"/>
        </w:rPr>
        <w:t>In both 2021 and 2022, Aston Martin had negative ratios (-9.33% and -11.09%, respectively), whereas BMW had positive ratios (2.00% and 1.44%, respectively). However, both companies struggled with low operating cash flow, with BMW having a slightly better performance.</w:t>
      </w:r>
    </w:p>
    <w:p w14:paraId="42465B00"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Operating expense to sales</w:t>
      </w:r>
    </w:p>
    <w:p w14:paraId="378B657E" w14:textId="5789B672" w:rsidR="006229A3" w:rsidRPr="008D6FCA" w:rsidRDefault="00DB6946" w:rsidP="008D6FCA">
      <w:pPr>
        <w:pStyle w:val="ListParagraph"/>
        <w:spacing w:after="200" w:line="360" w:lineRule="auto"/>
        <w:ind w:left="360"/>
        <w:rPr>
          <w:rFonts w:cs="Times New Roman"/>
          <w:szCs w:val="24"/>
        </w:rPr>
      </w:pPr>
      <w:r w:rsidRPr="00DB6946">
        <w:rPr>
          <w:rFonts w:cs="Times New Roman"/>
          <w:szCs w:val="24"/>
        </w:rPr>
        <w:t>Aston Martin's ratio increased from 103.66% in 2021 to 112.65% in 2022, while BMW's improved slightly from 98% in 2021 to 98.56% in 2022. Both companies had high operating expense ratios, but BMW was marginally more efficient.</w:t>
      </w:r>
    </w:p>
    <w:p w14:paraId="79C1644B"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Net profit ratio</w:t>
      </w:r>
    </w:p>
    <w:p w14:paraId="057DD35C" w14:textId="59291100" w:rsidR="006229A3" w:rsidRPr="008D6FCA" w:rsidRDefault="00DB6946" w:rsidP="008D6FCA">
      <w:pPr>
        <w:pStyle w:val="ListParagraph"/>
        <w:spacing w:after="200" w:line="360" w:lineRule="auto"/>
        <w:ind w:left="360"/>
        <w:rPr>
          <w:rFonts w:cs="Times New Roman"/>
          <w:szCs w:val="24"/>
        </w:rPr>
      </w:pPr>
      <w:r w:rsidRPr="00DB6946">
        <w:rPr>
          <w:rFonts w:cs="Times New Roman"/>
          <w:szCs w:val="24"/>
        </w:rPr>
        <w:t>Aston Martin's net profit ratio decreased from -25.52% in 2021 to -28.10% in 2022, while BMW's declined from 1.43% in 2021 to 0.31% in 2022. Both companies struggled with low profitability, but BMW performed slightly better.</w:t>
      </w:r>
    </w:p>
    <w:p w14:paraId="47221C08"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Effective tax ratio</w:t>
      </w:r>
    </w:p>
    <w:p w14:paraId="6FDC1BF0" w14:textId="49565173" w:rsidR="006229A3" w:rsidRPr="00DB6946" w:rsidRDefault="00DB6946" w:rsidP="008D6FCA">
      <w:pPr>
        <w:pStyle w:val="ListParagraph"/>
        <w:spacing w:after="200" w:line="360" w:lineRule="auto"/>
        <w:ind w:left="360"/>
        <w:rPr>
          <w:rFonts w:cs="Times New Roman"/>
          <w:bCs/>
          <w:szCs w:val="24"/>
        </w:rPr>
      </w:pPr>
      <w:r w:rsidRPr="00DB6946">
        <w:rPr>
          <w:rFonts w:cs="Times New Roman"/>
          <w:bCs/>
          <w:szCs w:val="24"/>
        </w:rPr>
        <w:t>Aston Martin's moderate and stable effective tax ratio stands out compared to BMW's significant negative value in 2022.</w:t>
      </w:r>
    </w:p>
    <w:p w14:paraId="6A28B9CD" w14:textId="77777777" w:rsidR="006229A3" w:rsidRPr="008D6FCA" w:rsidRDefault="006229A3" w:rsidP="008D6FCA">
      <w:pPr>
        <w:pStyle w:val="Heading2"/>
        <w:spacing w:line="360" w:lineRule="auto"/>
        <w:jc w:val="both"/>
        <w:rPr>
          <w:rFonts w:cs="Times New Roman"/>
        </w:rPr>
      </w:pPr>
      <w:bookmarkStart w:id="13" w:name="_Toc145150215"/>
      <w:r w:rsidRPr="008D6FCA">
        <w:rPr>
          <w:rFonts w:cs="Times New Roman"/>
        </w:rPr>
        <w:lastRenderedPageBreak/>
        <w:t>Liquidity Ratio</w:t>
      </w:r>
      <w:bookmarkEnd w:id="13"/>
    </w:p>
    <w:p w14:paraId="376CE8BB" w14:textId="77777777" w:rsidR="006229A3" w:rsidRPr="008D6FCA" w:rsidRDefault="006229A3" w:rsidP="008D6FCA">
      <w:pPr>
        <w:spacing w:line="360" w:lineRule="auto"/>
        <w:rPr>
          <w:rFonts w:cs="Times New Roman"/>
          <w:szCs w:val="24"/>
        </w:rPr>
      </w:pPr>
      <w:r w:rsidRPr="008D6FCA">
        <w:rPr>
          <w:rFonts w:cs="Times New Roman"/>
          <w:szCs w:val="24"/>
        </w:rPr>
        <w:t>This ratio measures the short-terms efficiency of a company. It explains how liquid the business is and determines if it can pay its ongoing bills. Below are the types of liquidity ratios used in this report:</w:t>
      </w:r>
    </w:p>
    <w:p w14:paraId="6829200E"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Current ratio</w:t>
      </w:r>
    </w:p>
    <w:p w14:paraId="2CE75A99" w14:textId="5818A071" w:rsidR="006229A3" w:rsidRPr="007F3AF3" w:rsidRDefault="007F3AF3" w:rsidP="008D6FCA">
      <w:pPr>
        <w:pStyle w:val="ListParagraph"/>
        <w:spacing w:after="200" w:line="360" w:lineRule="auto"/>
        <w:ind w:left="360"/>
        <w:rPr>
          <w:rFonts w:cs="Times New Roman"/>
          <w:bCs/>
          <w:szCs w:val="24"/>
        </w:rPr>
      </w:pPr>
      <w:r w:rsidRPr="007F3AF3">
        <w:rPr>
          <w:rFonts w:cs="Times New Roman"/>
          <w:bCs/>
          <w:szCs w:val="24"/>
        </w:rPr>
        <w:t>Aston Martin and BMW both had current ratios below 2, indicating challenges in meeting debt obligations. However, BMW had a slightly better current ratio in 2021.</w:t>
      </w:r>
    </w:p>
    <w:p w14:paraId="428B6D95"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Acid test</w:t>
      </w:r>
    </w:p>
    <w:p w14:paraId="321A43F2" w14:textId="177E01D2" w:rsidR="006229A3" w:rsidRPr="008D6FCA" w:rsidRDefault="007F3AF3" w:rsidP="008D6FCA">
      <w:pPr>
        <w:pStyle w:val="ListParagraph"/>
        <w:spacing w:after="200" w:line="360" w:lineRule="auto"/>
        <w:ind w:left="360"/>
        <w:rPr>
          <w:rFonts w:cs="Times New Roman"/>
          <w:szCs w:val="24"/>
        </w:rPr>
      </w:pPr>
      <w:r w:rsidRPr="007F3AF3">
        <w:rPr>
          <w:rFonts w:cs="Times New Roman"/>
          <w:szCs w:val="24"/>
        </w:rPr>
        <w:t>Both companies had quick ratios below the ideal 1:1 ratio, indicating a longer time for paying back loans. BMW had a marginally better quick ratio.</w:t>
      </w:r>
      <w:r w:rsidR="00FB7738" w:rsidRPr="008D6FCA">
        <w:rPr>
          <w:rFonts w:cs="Times New Roman"/>
          <w:szCs w:val="24"/>
        </w:rPr>
        <w:t xml:space="preserve"> </w:t>
      </w:r>
    </w:p>
    <w:p w14:paraId="34AD7AC0"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Receivable conversion period</w:t>
      </w:r>
    </w:p>
    <w:p w14:paraId="1837CCAA" w14:textId="43CFF002" w:rsidR="006229A3" w:rsidRPr="008D6FCA" w:rsidRDefault="007F3AF3" w:rsidP="008D6FCA">
      <w:pPr>
        <w:pStyle w:val="ListParagraph"/>
        <w:spacing w:after="200" w:line="360" w:lineRule="auto"/>
        <w:ind w:left="360"/>
        <w:rPr>
          <w:rFonts w:cs="Times New Roman"/>
          <w:b/>
          <w:szCs w:val="24"/>
        </w:rPr>
      </w:pPr>
      <w:r w:rsidRPr="007F3AF3">
        <w:rPr>
          <w:rFonts w:cs="Times New Roman"/>
          <w:szCs w:val="24"/>
        </w:rPr>
        <w:t>Aston Martin had shorter average days for receiving payments from customers in both 2021 and 2022, making it more efficient in cash flow management in this aspect.</w:t>
      </w:r>
    </w:p>
    <w:p w14:paraId="2FB35BAB"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Working capital</w:t>
      </w:r>
    </w:p>
    <w:p w14:paraId="6E181A15" w14:textId="1B375837" w:rsidR="006229A3" w:rsidRPr="008D6FCA" w:rsidRDefault="007F3AF3" w:rsidP="008D6FCA">
      <w:pPr>
        <w:pStyle w:val="ListParagraph"/>
        <w:spacing w:after="200" w:line="360" w:lineRule="auto"/>
        <w:ind w:left="360"/>
        <w:rPr>
          <w:rFonts w:cs="Times New Roman"/>
          <w:szCs w:val="24"/>
        </w:rPr>
      </w:pPr>
      <w:r w:rsidRPr="007F3AF3">
        <w:rPr>
          <w:rFonts w:cs="Times New Roman"/>
          <w:szCs w:val="24"/>
        </w:rPr>
        <w:t>BMW had better working capital, indicating its ability to cover operational expenses and short-term obligations more effectively.</w:t>
      </w:r>
      <w:r w:rsidR="006229A3" w:rsidRPr="008D6FCA">
        <w:rPr>
          <w:rFonts w:cs="Times New Roman"/>
          <w:szCs w:val="24"/>
        </w:rPr>
        <w:t xml:space="preserve"> </w:t>
      </w:r>
    </w:p>
    <w:p w14:paraId="2DAD9BA7" w14:textId="77777777" w:rsidR="006229A3" w:rsidRPr="008D6FCA" w:rsidRDefault="006229A3" w:rsidP="008D6FCA">
      <w:pPr>
        <w:pStyle w:val="Heading2"/>
        <w:spacing w:line="360" w:lineRule="auto"/>
        <w:jc w:val="both"/>
        <w:rPr>
          <w:rFonts w:cs="Times New Roman"/>
        </w:rPr>
      </w:pPr>
      <w:bookmarkStart w:id="14" w:name="_Toc145150216"/>
      <w:r w:rsidRPr="008D6FCA">
        <w:rPr>
          <w:rFonts w:cs="Times New Roman"/>
        </w:rPr>
        <w:t>Investment and Assets Turnover Ratio</w:t>
      </w:r>
      <w:bookmarkEnd w:id="14"/>
    </w:p>
    <w:p w14:paraId="78ED3E8E"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Assets turnover</w:t>
      </w:r>
    </w:p>
    <w:p w14:paraId="675A19F5" w14:textId="271BE134" w:rsidR="006229A3" w:rsidRPr="008D6FCA" w:rsidRDefault="007F3AF3" w:rsidP="008D6FCA">
      <w:pPr>
        <w:pStyle w:val="ListParagraph"/>
        <w:spacing w:after="200" w:line="360" w:lineRule="auto"/>
        <w:ind w:left="360"/>
        <w:rPr>
          <w:rFonts w:cs="Times New Roman"/>
          <w:b/>
          <w:szCs w:val="24"/>
        </w:rPr>
      </w:pPr>
      <w:r w:rsidRPr="007F3AF3">
        <w:rPr>
          <w:rFonts w:cs="Times New Roman"/>
          <w:szCs w:val="24"/>
        </w:rPr>
        <w:t xml:space="preserve">BMW consistently outperformed Aston Martin in asset turnover, </w:t>
      </w:r>
      <w:r w:rsidR="00AE1194" w:rsidRPr="007F3AF3">
        <w:rPr>
          <w:rFonts w:cs="Times New Roman"/>
          <w:szCs w:val="24"/>
        </w:rPr>
        <w:t>demonstrating</w:t>
      </w:r>
      <w:r w:rsidRPr="007F3AF3">
        <w:rPr>
          <w:rFonts w:cs="Times New Roman"/>
          <w:szCs w:val="24"/>
        </w:rPr>
        <w:t xml:space="preserve"> that it </w:t>
      </w:r>
      <w:r w:rsidR="00AE1194" w:rsidRPr="007F3AF3">
        <w:rPr>
          <w:rFonts w:cs="Times New Roman"/>
          <w:szCs w:val="24"/>
        </w:rPr>
        <w:t>produced</w:t>
      </w:r>
      <w:r w:rsidRPr="007F3AF3">
        <w:rPr>
          <w:rFonts w:cs="Times New Roman"/>
          <w:szCs w:val="24"/>
        </w:rPr>
        <w:t xml:space="preserve"> more sales revenue per unit of assets.</w:t>
      </w:r>
    </w:p>
    <w:p w14:paraId="06A2B2A9"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Stock turnover</w:t>
      </w:r>
    </w:p>
    <w:p w14:paraId="3D29F6C5" w14:textId="3C094632" w:rsidR="006229A3" w:rsidRPr="008D6FCA" w:rsidRDefault="006229A3" w:rsidP="008D6FCA">
      <w:pPr>
        <w:pStyle w:val="ListParagraph"/>
        <w:spacing w:after="200" w:line="360" w:lineRule="auto"/>
        <w:ind w:left="360"/>
        <w:rPr>
          <w:rFonts w:cs="Times New Roman"/>
          <w:szCs w:val="24"/>
        </w:rPr>
      </w:pPr>
      <w:r w:rsidRPr="008D6FCA">
        <w:rPr>
          <w:rFonts w:cs="Times New Roman"/>
          <w:szCs w:val="24"/>
        </w:rPr>
        <w:t xml:space="preserve">Aston Martin had 3.56 times in 2021 and decreased to 3.24 times in 2022. BMW had 9.54 times in 2021 and decreased to 7.71 times in 2022. </w:t>
      </w:r>
      <w:r w:rsidR="004B095B" w:rsidRPr="004B095B">
        <w:rPr>
          <w:rFonts w:cs="Times New Roman"/>
          <w:szCs w:val="24"/>
        </w:rPr>
        <w:t>BMW achieved better stock turnover, indicating a quicker inventory turnover compared to Aston Martin.</w:t>
      </w:r>
    </w:p>
    <w:p w14:paraId="0DECCB7F"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Fixed assets turnover</w:t>
      </w:r>
    </w:p>
    <w:p w14:paraId="30A11A3A" w14:textId="2700A168" w:rsidR="004B095B" w:rsidRDefault="006229A3" w:rsidP="008D6FCA">
      <w:pPr>
        <w:pStyle w:val="ListParagraph"/>
        <w:spacing w:after="200" w:line="360" w:lineRule="auto"/>
        <w:ind w:left="360"/>
        <w:rPr>
          <w:rFonts w:cs="Times New Roman"/>
          <w:szCs w:val="24"/>
        </w:rPr>
      </w:pPr>
      <w:r w:rsidRPr="008D6FCA">
        <w:rPr>
          <w:rFonts w:cs="Times New Roman"/>
          <w:szCs w:val="24"/>
        </w:rPr>
        <w:t xml:space="preserve">This ratio determines valuableness of the fixed assets in the business’s operation. </w:t>
      </w:r>
      <w:r w:rsidR="004B095B" w:rsidRPr="004B095B">
        <w:rPr>
          <w:rFonts w:cs="Times New Roman"/>
          <w:szCs w:val="24"/>
        </w:rPr>
        <w:t>BMW had a substantially higher fixed assets turnover, reflecting its efficient utili</w:t>
      </w:r>
      <w:r w:rsidR="004B095B">
        <w:rPr>
          <w:rFonts w:cs="Times New Roman"/>
          <w:szCs w:val="24"/>
        </w:rPr>
        <w:t>s</w:t>
      </w:r>
      <w:r w:rsidR="004B095B" w:rsidRPr="004B095B">
        <w:rPr>
          <w:rFonts w:cs="Times New Roman"/>
          <w:szCs w:val="24"/>
        </w:rPr>
        <w:t>ation of fixed assets for generating sales revenue.</w:t>
      </w:r>
    </w:p>
    <w:p w14:paraId="788914C0" w14:textId="77777777" w:rsidR="006229A3" w:rsidRPr="008D6FCA" w:rsidRDefault="006229A3" w:rsidP="008D6FCA">
      <w:pPr>
        <w:pStyle w:val="Heading2"/>
        <w:spacing w:line="360" w:lineRule="auto"/>
        <w:jc w:val="both"/>
        <w:rPr>
          <w:rFonts w:cs="Times New Roman"/>
        </w:rPr>
      </w:pPr>
      <w:bookmarkStart w:id="15" w:name="_Toc145150217"/>
      <w:r w:rsidRPr="008D6FCA">
        <w:rPr>
          <w:rFonts w:cs="Times New Roman"/>
        </w:rPr>
        <w:t>Return on Investment Ratio (ROI)</w:t>
      </w:r>
      <w:bookmarkEnd w:id="15"/>
    </w:p>
    <w:p w14:paraId="6C68D0C5" w14:textId="4D7E7B0D"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Return on capital employed</w:t>
      </w:r>
      <w:r w:rsidR="004B095B">
        <w:rPr>
          <w:rFonts w:cs="Times New Roman"/>
          <w:b/>
          <w:szCs w:val="24"/>
        </w:rPr>
        <w:t xml:space="preserve"> (ROCE)</w:t>
      </w:r>
    </w:p>
    <w:p w14:paraId="76983685" w14:textId="746CAB50" w:rsidR="006229A3" w:rsidRPr="008D6FCA" w:rsidRDefault="006229A3" w:rsidP="008D6FCA">
      <w:pPr>
        <w:pStyle w:val="ListParagraph"/>
        <w:spacing w:after="200" w:line="360" w:lineRule="auto"/>
        <w:ind w:left="360"/>
        <w:rPr>
          <w:rFonts w:cs="Times New Roman"/>
          <w:b/>
          <w:szCs w:val="24"/>
        </w:rPr>
      </w:pPr>
      <w:r w:rsidRPr="008D6FCA">
        <w:rPr>
          <w:rFonts w:cs="Times New Roman"/>
          <w:szCs w:val="24"/>
        </w:rPr>
        <w:lastRenderedPageBreak/>
        <w:t>Considering the average of both years, Aston Martin can be said to have achieved better than BMW that made a ROCE of -0.06 in 2022 and 0.18 in 2021.</w:t>
      </w:r>
      <w:r w:rsidR="004B095B">
        <w:rPr>
          <w:rFonts w:cs="Times New Roman"/>
          <w:szCs w:val="24"/>
        </w:rPr>
        <w:t xml:space="preserve"> </w:t>
      </w:r>
      <w:r w:rsidR="004B095B" w:rsidRPr="004B095B">
        <w:rPr>
          <w:rFonts w:cs="Times New Roman"/>
          <w:szCs w:val="24"/>
        </w:rPr>
        <w:t>Aston Martin outperformed BMW in ROCE in both 2021 and 2022, indicating better capital utili</w:t>
      </w:r>
      <w:r w:rsidR="004B095B">
        <w:rPr>
          <w:rFonts w:cs="Times New Roman"/>
          <w:szCs w:val="24"/>
        </w:rPr>
        <w:t>s</w:t>
      </w:r>
      <w:r w:rsidR="004B095B" w:rsidRPr="004B095B">
        <w:rPr>
          <w:rFonts w:cs="Times New Roman"/>
          <w:szCs w:val="24"/>
        </w:rPr>
        <w:t>ation.</w:t>
      </w:r>
    </w:p>
    <w:p w14:paraId="487074C4"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Return on assets (ROA)</w:t>
      </w:r>
    </w:p>
    <w:p w14:paraId="3100B2B4" w14:textId="0385FE86" w:rsidR="006229A3" w:rsidRPr="008D6FCA" w:rsidRDefault="004B095B" w:rsidP="008D6FCA">
      <w:pPr>
        <w:pStyle w:val="ListParagraph"/>
        <w:spacing w:after="200" w:line="360" w:lineRule="auto"/>
        <w:ind w:left="360"/>
        <w:rPr>
          <w:rFonts w:cs="Times New Roman"/>
          <w:szCs w:val="24"/>
        </w:rPr>
      </w:pPr>
      <w:r w:rsidRPr="004B095B">
        <w:rPr>
          <w:rFonts w:cs="Times New Roman"/>
          <w:szCs w:val="24"/>
        </w:rPr>
        <w:t>Both companies achieved low ROA due to low net profits relative to total assets, with BMW having a slightly better performance.</w:t>
      </w:r>
    </w:p>
    <w:p w14:paraId="02D465B5"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Return on equity (ROE)</w:t>
      </w:r>
    </w:p>
    <w:p w14:paraId="42C68D88" w14:textId="07F518E6" w:rsidR="006229A3" w:rsidRPr="004B095B" w:rsidRDefault="004B095B" w:rsidP="004B095B">
      <w:pPr>
        <w:pStyle w:val="ListParagraph"/>
        <w:spacing w:after="200" w:line="360" w:lineRule="auto"/>
        <w:ind w:left="360"/>
        <w:rPr>
          <w:rFonts w:cs="Times New Roman"/>
          <w:szCs w:val="24"/>
        </w:rPr>
      </w:pPr>
      <w:r w:rsidRPr="004B095B">
        <w:rPr>
          <w:rFonts w:cs="Times New Roman"/>
          <w:szCs w:val="24"/>
        </w:rPr>
        <w:t>BMW outperformed Aston Martin in ROE in both years, signifying a better return to shareholders.</w:t>
      </w:r>
    </w:p>
    <w:p w14:paraId="56307D16" w14:textId="77777777" w:rsidR="006229A3" w:rsidRPr="008D6FCA" w:rsidRDefault="006229A3" w:rsidP="008D6FCA">
      <w:pPr>
        <w:pStyle w:val="Heading2"/>
        <w:spacing w:line="360" w:lineRule="auto"/>
        <w:jc w:val="both"/>
        <w:rPr>
          <w:rFonts w:cs="Times New Roman"/>
        </w:rPr>
      </w:pPr>
      <w:bookmarkStart w:id="16" w:name="_Toc145150218"/>
      <w:r w:rsidRPr="008D6FCA">
        <w:rPr>
          <w:rFonts w:cs="Times New Roman"/>
        </w:rPr>
        <w:t>Stability Ratio</w:t>
      </w:r>
      <w:bookmarkEnd w:id="16"/>
    </w:p>
    <w:p w14:paraId="12282471"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Net worth to total assets</w:t>
      </w:r>
    </w:p>
    <w:p w14:paraId="1A2BD4AD" w14:textId="60C8D458" w:rsidR="006229A3" w:rsidRPr="004B095B" w:rsidRDefault="006229A3" w:rsidP="004B095B">
      <w:pPr>
        <w:pStyle w:val="ListParagraph"/>
        <w:spacing w:after="200" w:line="360" w:lineRule="auto"/>
        <w:ind w:left="360"/>
        <w:rPr>
          <w:rFonts w:cs="Times New Roman"/>
          <w:szCs w:val="24"/>
        </w:rPr>
      </w:pPr>
      <w:r w:rsidRPr="008D6FCA">
        <w:rPr>
          <w:rFonts w:cs="Times New Roman"/>
          <w:szCs w:val="24"/>
        </w:rPr>
        <w:t xml:space="preserve">This connects the equity to the total assets, indicating the long-term money owned by the business. </w:t>
      </w:r>
      <w:r w:rsidR="004B095B" w:rsidRPr="004B095B">
        <w:rPr>
          <w:rFonts w:cs="Times New Roman"/>
          <w:szCs w:val="24"/>
        </w:rPr>
        <w:t>BMW had a higher net worth to total assets ratio, indicating a stronger long-term financial position.</w:t>
      </w:r>
    </w:p>
    <w:p w14:paraId="1E8AAE4B"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Number of days stock in store</w:t>
      </w:r>
    </w:p>
    <w:p w14:paraId="2F82DC80" w14:textId="3D1C4A4B" w:rsidR="006229A3" w:rsidRPr="008D6FCA" w:rsidRDefault="006229A3" w:rsidP="008D6FCA">
      <w:pPr>
        <w:pStyle w:val="ListParagraph"/>
        <w:spacing w:after="200" w:line="360" w:lineRule="auto"/>
        <w:ind w:left="360"/>
        <w:rPr>
          <w:rFonts w:cs="Times New Roman"/>
          <w:b/>
          <w:szCs w:val="24"/>
        </w:rPr>
      </w:pPr>
      <w:r w:rsidRPr="008D6FCA">
        <w:rPr>
          <w:rFonts w:cs="Times New Roman"/>
          <w:szCs w:val="24"/>
        </w:rPr>
        <w:t xml:space="preserve">In 2021 Aston Martin had 102 days, which increased to 113 days in 2022 because of the increase in average stock from 182.2 in 2021 to 262.1 in 2022. BMW had lower number of days, 38 days in 2021 and 47 days in 2022. </w:t>
      </w:r>
      <w:r w:rsidR="004B095B" w:rsidRPr="004B095B">
        <w:rPr>
          <w:rFonts w:cs="Times New Roman"/>
          <w:szCs w:val="24"/>
        </w:rPr>
        <w:t>BMW had a lower number of days for stock turnover, implying better inventory management.</w:t>
      </w:r>
    </w:p>
    <w:p w14:paraId="4A51F430"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Total debt to total assets</w:t>
      </w:r>
    </w:p>
    <w:p w14:paraId="54EDCC66" w14:textId="138714EE" w:rsidR="006229A3" w:rsidRPr="008D6FCA" w:rsidRDefault="004B095B" w:rsidP="008D6FCA">
      <w:pPr>
        <w:pStyle w:val="ListParagraph"/>
        <w:spacing w:after="200" w:line="360" w:lineRule="auto"/>
        <w:ind w:left="360"/>
        <w:rPr>
          <w:rFonts w:cs="Times New Roman"/>
          <w:szCs w:val="24"/>
        </w:rPr>
      </w:pPr>
      <w:r w:rsidRPr="004B095B">
        <w:rPr>
          <w:rFonts w:cs="Times New Roman"/>
          <w:szCs w:val="24"/>
        </w:rPr>
        <w:t>BMW had a lower total debt to total assets ratio, indicating lower reliance on debt financing for its operations.</w:t>
      </w:r>
    </w:p>
    <w:p w14:paraId="41C758E5"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Sale/revenue for employee</w:t>
      </w:r>
    </w:p>
    <w:p w14:paraId="740087BB" w14:textId="64FF05FB" w:rsidR="006229A3" w:rsidRPr="008D6FCA" w:rsidRDefault="00A02B26" w:rsidP="008D6FCA">
      <w:pPr>
        <w:pStyle w:val="ListParagraph"/>
        <w:spacing w:after="200" w:line="360" w:lineRule="auto"/>
        <w:ind w:left="360"/>
        <w:rPr>
          <w:rFonts w:cs="Times New Roman"/>
          <w:b/>
          <w:szCs w:val="24"/>
        </w:rPr>
      </w:pPr>
      <w:r>
        <w:rPr>
          <w:rFonts w:cs="Times New Roman"/>
          <w:szCs w:val="24"/>
        </w:rPr>
        <w:t>Each</w:t>
      </w:r>
      <w:r w:rsidR="006229A3" w:rsidRPr="008D6FCA">
        <w:rPr>
          <w:rFonts w:cs="Times New Roman"/>
          <w:szCs w:val="24"/>
        </w:rPr>
        <w:t xml:space="preserve"> company operates with a significantly different number of employees.</w:t>
      </w:r>
      <w:r w:rsidR="004B095B">
        <w:rPr>
          <w:rFonts w:cs="Times New Roman"/>
          <w:szCs w:val="24"/>
        </w:rPr>
        <w:t xml:space="preserve"> </w:t>
      </w:r>
      <w:r>
        <w:rPr>
          <w:rFonts w:cs="Times New Roman"/>
          <w:szCs w:val="24"/>
        </w:rPr>
        <w:t xml:space="preserve">However, </w:t>
      </w:r>
      <w:r w:rsidR="004B095B" w:rsidRPr="004B095B">
        <w:rPr>
          <w:rFonts w:cs="Times New Roman"/>
          <w:szCs w:val="24"/>
        </w:rPr>
        <w:t>Aston Martin had higher sales/revenue per employee in both years, indicating more efficient utili</w:t>
      </w:r>
      <w:r>
        <w:rPr>
          <w:rFonts w:cs="Times New Roman"/>
          <w:szCs w:val="24"/>
        </w:rPr>
        <w:t>s</w:t>
      </w:r>
      <w:r w:rsidR="004B095B" w:rsidRPr="004B095B">
        <w:rPr>
          <w:rFonts w:cs="Times New Roman"/>
          <w:szCs w:val="24"/>
        </w:rPr>
        <w:t>ation of human resources.</w:t>
      </w:r>
    </w:p>
    <w:p w14:paraId="5364146F"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Debt to equity</w:t>
      </w:r>
    </w:p>
    <w:p w14:paraId="1C46EB6B" w14:textId="4AE2BCDA" w:rsidR="006229A3" w:rsidRPr="00A02B26" w:rsidRDefault="006229A3" w:rsidP="00A02B26">
      <w:pPr>
        <w:pStyle w:val="ListParagraph"/>
        <w:spacing w:after="200" w:line="360" w:lineRule="auto"/>
        <w:ind w:left="360"/>
        <w:rPr>
          <w:rFonts w:cs="Times New Roman"/>
          <w:szCs w:val="24"/>
        </w:rPr>
      </w:pPr>
      <w:r w:rsidRPr="008D6FCA">
        <w:rPr>
          <w:rFonts w:cs="Times New Roman"/>
          <w:szCs w:val="24"/>
        </w:rPr>
        <w:t xml:space="preserve">This is also known as equity ratio and determines the level of debt on each unit of the business equity. </w:t>
      </w:r>
      <w:r w:rsidR="00A02B26" w:rsidRPr="00A02B26">
        <w:rPr>
          <w:rFonts w:cs="Times New Roman"/>
          <w:szCs w:val="24"/>
        </w:rPr>
        <w:t>Aston Martin had a better debt to equity ratio, indicating a safer level of debt for each unit of equity.</w:t>
      </w:r>
    </w:p>
    <w:p w14:paraId="67C21C18" w14:textId="77777777" w:rsidR="006229A3" w:rsidRPr="008D6FCA" w:rsidRDefault="006229A3" w:rsidP="008D6FCA">
      <w:pPr>
        <w:pStyle w:val="Heading2"/>
        <w:spacing w:line="360" w:lineRule="auto"/>
        <w:jc w:val="both"/>
        <w:rPr>
          <w:rFonts w:cs="Times New Roman"/>
        </w:rPr>
      </w:pPr>
      <w:bookmarkStart w:id="17" w:name="_Toc145150219"/>
      <w:r w:rsidRPr="008D6FCA">
        <w:rPr>
          <w:rFonts w:cs="Times New Roman"/>
        </w:rPr>
        <w:lastRenderedPageBreak/>
        <w:t>Growth Ratio</w:t>
      </w:r>
      <w:bookmarkEnd w:id="17"/>
    </w:p>
    <w:p w14:paraId="0E93DDAA" w14:textId="77777777" w:rsidR="006229A3" w:rsidRPr="008D6FCA" w:rsidRDefault="006229A3" w:rsidP="008D6FCA">
      <w:pPr>
        <w:pStyle w:val="ListParagraph"/>
        <w:numPr>
          <w:ilvl w:val="0"/>
          <w:numId w:val="23"/>
        </w:numPr>
        <w:spacing w:after="200" w:line="360" w:lineRule="auto"/>
        <w:rPr>
          <w:rFonts w:cs="Times New Roman"/>
          <w:b/>
          <w:szCs w:val="24"/>
        </w:rPr>
      </w:pPr>
      <w:r w:rsidRPr="008D6FCA">
        <w:rPr>
          <w:rFonts w:cs="Times New Roman"/>
          <w:b/>
          <w:szCs w:val="24"/>
        </w:rPr>
        <w:t>Sales growth</w:t>
      </w:r>
    </w:p>
    <w:p w14:paraId="20B5DB0D" w14:textId="2FB363BA" w:rsidR="006229A3" w:rsidRPr="008D6FCA" w:rsidRDefault="006229A3" w:rsidP="008D6FCA">
      <w:pPr>
        <w:pStyle w:val="ListParagraph"/>
        <w:spacing w:after="200" w:line="360" w:lineRule="auto"/>
        <w:ind w:left="360"/>
        <w:rPr>
          <w:rFonts w:cs="Times New Roman"/>
          <w:szCs w:val="24"/>
        </w:rPr>
      </w:pPr>
      <w:r w:rsidRPr="008D6FCA">
        <w:rPr>
          <w:rFonts w:cs="Times New Roman"/>
          <w:szCs w:val="24"/>
        </w:rPr>
        <w:t xml:space="preserve">Aston Martin had a sales growth of 46.54% in 2021 and a decrease to 19.23% in 2022. BMW made growth sales of 15.82% in 2021 and a decrease to 13.08% in 2022. </w:t>
      </w:r>
      <w:r w:rsidR="00A02B26" w:rsidRPr="00A02B26">
        <w:rPr>
          <w:rFonts w:cs="Times New Roman"/>
          <w:szCs w:val="24"/>
        </w:rPr>
        <w:t>Aston Martin achieved higher sales growth in both years, indicating stronger sales performance.</w:t>
      </w:r>
    </w:p>
    <w:p w14:paraId="7BA13F76" w14:textId="77777777" w:rsidR="006229A3" w:rsidRPr="008D6FCA" w:rsidRDefault="006229A3" w:rsidP="008D6FCA">
      <w:pPr>
        <w:pStyle w:val="ListParagraph"/>
        <w:numPr>
          <w:ilvl w:val="0"/>
          <w:numId w:val="23"/>
        </w:numPr>
        <w:spacing w:after="200" w:line="360" w:lineRule="auto"/>
        <w:rPr>
          <w:rFonts w:cs="Times New Roman"/>
          <w:szCs w:val="24"/>
        </w:rPr>
      </w:pPr>
      <w:r w:rsidRPr="008D6FCA">
        <w:rPr>
          <w:rFonts w:cs="Times New Roman"/>
          <w:b/>
          <w:szCs w:val="24"/>
        </w:rPr>
        <w:t>Assets growth</w:t>
      </w:r>
    </w:p>
    <w:p w14:paraId="1F69A404" w14:textId="403AA396" w:rsidR="006229A3" w:rsidRPr="008D6FCA" w:rsidRDefault="006229A3" w:rsidP="008D6FCA">
      <w:pPr>
        <w:pStyle w:val="ListParagraph"/>
        <w:spacing w:after="200" w:line="360" w:lineRule="auto"/>
        <w:ind w:left="360"/>
        <w:rPr>
          <w:rFonts w:cs="Times New Roman"/>
          <w:szCs w:val="24"/>
        </w:rPr>
      </w:pPr>
      <w:r w:rsidRPr="008D6FCA">
        <w:rPr>
          <w:rFonts w:cs="Times New Roman"/>
          <w:szCs w:val="24"/>
        </w:rPr>
        <w:t xml:space="preserve">Aston Martin had a decline of 9.41% in 2022 and BMW had a decline of 11.96 in 2022. In 2021, Aston Martin has a growth of 0.98% while BMW in 2021 had a growth of 6.82%. </w:t>
      </w:r>
      <w:r w:rsidR="00A02B26">
        <w:rPr>
          <w:rFonts w:cs="Times New Roman"/>
          <w:szCs w:val="24"/>
        </w:rPr>
        <w:t xml:space="preserve"> </w:t>
      </w:r>
      <w:r w:rsidR="00A02B26" w:rsidRPr="00A02B26">
        <w:rPr>
          <w:rFonts w:cs="Times New Roman"/>
          <w:szCs w:val="24"/>
        </w:rPr>
        <w:t>Both companies experienced a decline in assets, with BMW's decline being slightly more significant.</w:t>
      </w:r>
    </w:p>
    <w:p w14:paraId="611E59FD" w14:textId="63AEB829" w:rsidR="007C65D7" w:rsidRPr="008D6FCA" w:rsidRDefault="007C65D7" w:rsidP="008D6FCA">
      <w:pPr>
        <w:pStyle w:val="Heading1"/>
        <w:spacing w:line="360" w:lineRule="auto"/>
        <w:jc w:val="both"/>
        <w:rPr>
          <w:rFonts w:cs="Times New Roman"/>
          <w:lang w:val="en-US"/>
        </w:rPr>
      </w:pPr>
      <w:bookmarkStart w:id="18" w:name="_Toc145150220"/>
      <w:r w:rsidRPr="008D6FCA">
        <w:rPr>
          <w:rFonts w:cs="Times New Roman"/>
          <w:lang w:val="en-US"/>
        </w:rPr>
        <w:t>Summary of Findings</w:t>
      </w:r>
      <w:bookmarkEnd w:id="18"/>
    </w:p>
    <w:p w14:paraId="606C2DF2" w14:textId="6B6C1C4D" w:rsidR="00912FD4" w:rsidRDefault="00A503F8" w:rsidP="00912FD4">
      <w:pPr>
        <w:pStyle w:val="Heading2"/>
      </w:pPr>
      <w:bookmarkStart w:id="19" w:name="_Toc145150221"/>
      <w:r w:rsidRPr="008D6FCA">
        <w:t>Trends and Risks</w:t>
      </w:r>
      <w:bookmarkEnd w:id="19"/>
    </w:p>
    <w:p w14:paraId="00C0CEB2" w14:textId="75E39CB2" w:rsidR="00A503F8" w:rsidRDefault="00A503F8" w:rsidP="008D6FCA">
      <w:pPr>
        <w:spacing w:line="360" w:lineRule="auto"/>
        <w:rPr>
          <w:rFonts w:cs="Times New Roman"/>
        </w:rPr>
      </w:pPr>
      <w:r w:rsidRPr="008D6FCA">
        <w:rPr>
          <w:rFonts w:cs="Times New Roman"/>
        </w:rPr>
        <w:t xml:space="preserve">Notable trends </w:t>
      </w:r>
      <w:r w:rsidR="00790A98">
        <w:rPr>
          <w:rFonts w:cs="Times New Roman"/>
        </w:rPr>
        <w:t xml:space="preserve">for Aston Martin </w:t>
      </w:r>
      <w:r w:rsidRPr="008D6FCA">
        <w:rPr>
          <w:rFonts w:cs="Times New Roman"/>
        </w:rPr>
        <w:t>include steady revenue growth and cost optimi</w:t>
      </w:r>
      <w:r w:rsidR="008D6FCA">
        <w:rPr>
          <w:rFonts w:cs="Times New Roman"/>
        </w:rPr>
        <w:t>s</w:t>
      </w:r>
      <w:r w:rsidRPr="008D6FCA">
        <w:rPr>
          <w:rFonts w:cs="Times New Roman"/>
        </w:rPr>
        <w:t>ation. However, risks such as increased debt and fluctuations in cash flow were identified.</w:t>
      </w:r>
      <w:r w:rsidR="00DE3B9A">
        <w:rPr>
          <w:rFonts w:cs="Times New Roman"/>
        </w:rPr>
        <w:t xml:space="preserve"> </w:t>
      </w:r>
      <w:r w:rsidR="00DE3B9A" w:rsidRPr="00DE3B9A">
        <w:rPr>
          <w:rFonts w:cs="Times New Roman"/>
        </w:rPr>
        <w:t xml:space="preserve">The company grapples with uncertainties stemming from global economic fluctuations and market volatility, which impact the luxury car market. Aston Martin also faces significant competition in the high-end automotive sector, necessitating continuous innovation and differentiation. Despite these challenges, the company exhibits signs of resilience with a modest uptick in revenue, driven by </w:t>
      </w:r>
      <w:r w:rsidR="00AE1194" w:rsidRPr="00DE3B9A">
        <w:rPr>
          <w:rFonts w:cs="Times New Roman"/>
        </w:rPr>
        <w:t>successful</w:t>
      </w:r>
      <w:r w:rsidR="00DE3B9A" w:rsidRPr="00DE3B9A">
        <w:rPr>
          <w:rFonts w:cs="Times New Roman"/>
        </w:rPr>
        <w:t xml:space="preserve"> product </w:t>
      </w:r>
      <w:r w:rsidR="00AE1194" w:rsidRPr="00DE3B9A">
        <w:rPr>
          <w:rFonts w:cs="Times New Roman"/>
        </w:rPr>
        <w:t>introductions</w:t>
      </w:r>
      <w:r w:rsidR="00DE3B9A" w:rsidRPr="00DE3B9A">
        <w:rPr>
          <w:rFonts w:cs="Times New Roman"/>
        </w:rPr>
        <w:t xml:space="preserve"> and </w:t>
      </w:r>
      <w:r w:rsidR="00D25B13" w:rsidRPr="00DE3B9A">
        <w:rPr>
          <w:rFonts w:cs="Times New Roman"/>
        </w:rPr>
        <w:t>extension</w:t>
      </w:r>
      <w:r w:rsidR="00DE3B9A" w:rsidRPr="00DE3B9A">
        <w:rPr>
          <w:rFonts w:cs="Times New Roman"/>
        </w:rPr>
        <w:t xml:space="preserve"> into new markets. However, profitability remains a concern, as high production costs and heavy investments in research and development to electrify its lineup have pressured margins.</w:t>
      </w:r>
    </w:p>
    <w:p w14:paraId="367307B8" w14:textId="138D0A39" w:rsidR="00DE3B9A" w:rsidRPr="008D6FCA" w:rsidRDefault="00DE3B9A" w:rsidP="008D6FCA">
      <w:pPr>
        <w:spacing w:line="360" w:lineRule="auto"/>
        <w:rPr>
          <w:rFonts w:cs="Times New Roman"/>
        </w:rPr>
      </w:pPr>
      <w:r w:rsidRPr="00DE3B9A">
        <w:rPr>
          <w:rFonts w:cs="Times New Roman"/>
        </w:rPr>
        <w:t>Conversely, BMW faces geopolitical and macroeconomic uncertainties, with Brexit-related disruptions and potential tariffs impacting its operations. Concurrently, the shift towards electric vehicles (EVs) poses a strategic challenge as BMW adapts to meet stringent emissions regulations. Despite these challenges, the company's financials show resilience with stable revenue growth, underpinned by a diversified product portfolio and robust sales in the luxury car segment. However, profitability margins have come under pressure due to increased R&amp;D expenses associated with EV development. In conclusion, BMW UK Ltd faces both risks and opportunities as it navigates through the evolving automotive landscape, emphasi</w:t>
      </w:r>
      <w:r w:rsidR="00790A98">
        <w:rPr>
          <w:rFonts w:cs="Times New Roman"/>
        </w:rPr>
        <w:t>s</w:t>
      </w:r>
      <w:r w:rsidRPr="00DE3B9A">
        <w:rPr>
          <w:rFonts w:cs="Times New Roman"/>
        </w:rPr>
        <w:t>ing the need for strategic agility and innovation.</w:t>
      </w:r>
    </w:p>
    <w:p w14:paraId="53A68009" w14:textId="177D671B" w:rsidR="00912FD4" w:rsidRDefault="00A503F8" w:rsidP="00912FD4">
      <w:pPr>
        <w:pStyle w:val="Heading2"/>
      </w:pPr>
      <w:bookmarkStart w:id="20" w:name="_Toc145150222"/>
      <w:r w:rsidRPr="008D6FCA">
        <w:lastRenderedPageBreak/>
        <w:t>Financial Ratios and Analysis</w:t>
      </w:r>
      <w:bookmarkEnd w:id="20"/>
    </w:p>
    <w:p w14:paraId="05CE52DD" w14:textId="7931A4B5" w:rsidR="00A503F8" w:rsidRPr="008D6FCA" w:rsidRDefault="00A503F8" w:rsidP="008D6FCA">
      <w:pPr>
        <w:spacing w:line="360" w:lineRule="auto"/>
        <w:rPr>
          <w:rFonts w:cs="Times New Roman"/>
        </w:rPr>
      </w:pPr>
      <w:r w:rsidRPr="008D6FCA">
        <w:rPr>
          <w:rFonts w:cs="Times New Roman"/>
        </w:rPr>
        <w:t xml:space="preserve">Various financial ratios were calculated to evaluate profitability, liquidity, </w:t>
      </w:r>
      <w:r w:rsidR="00DE3B9A">
        <w:rPr>
          <w:rFonts w:cs="Times New Roman"/>
        </w:rPr>
        <w:t>return on investment</w:t>
      </w:r>
      <w:r w:rsidRPr="008D6FCA">
        <w:rPr>
          <w:rFonts w:cs="Times New Roman"/>
        </w:rPr>
        <w:t xml:space="preserve">, </w:t>
      </w:r>
      <w:r w:rsidR="00DE3B9A">
        <w:rPr>
          <w:rFonts w:cs="Times New Roman"/>
        </w:rPr>
        <w:t>stability</w:t>
      </w:r>
      <w:r w:rsidRPr="008D6FCA">
        <w:rPr>
          <w:rFonts w:cs="Times New Roman"/>
        </w:rPr>
        <w:t xml:space="preserve">, </w:t>
      </w:r>
      <w:r w:rsidR="00DE3B9A">
        <w:rPr>
          <w:rFonts w:cs="Times New Roman"/>
        </w:rPr>
        <w:t xml:space="preserve">growth, </w:t>
      </w:r>
      <w:r w:rsidRPr="008D6FCA">
        <w:rPr>
          <w:rFonts w:cs="Times New Roman"/>
        </w:rPr>
        <w:t xml:space="preserve">and </w:t>
      </w:r>
      <w:r w:rsidR="00DE3B9A">
        <w:rPr>
          <w:rFonts w:cs="Times New Roman"/>
        </w:rPr>
        <w:t>investment/asset turnover</w:t>
      </w:r>
      <w:r w:rsidRPr="008D6FCA">
        <w:rPr>
          <w:rFonts w:cs="Times New Roman"/>
        </w:rPr>
        <w:t xml:space="preserve">. While </w:t>
      </w:r>
      <w:r w:rsidR="00AD21EC">
        <w:rPr>
          <w:rFonts w:cs="Times New Roman"/>
        </w:rPr>
        <w:t xml:space="preserve">the </w:t>
      </w:r>
      <w:r w:rsidR="00DE3B9A">
        <w:rPr>
          <w:rFonts w:cs="Times New Roman"/>
        </w:rPr>
        <w:t>profitability and liquidity</w:t>
      </w:r>
      <w:r w:rsidRPr="008D6FCA">
        <w:rPr>
          <w:rFonts w:cs="Times New Roman"/>
        </w:rPr>
        <w:t xml:space="preserve"> ratios </w:t>
      </w:r>
      <w:r w:rsidR="00AD21EC">
        <w:rPr>
          <w:rFonts w:cs="Times New Roman"/>
        </w:rPr>
        <w:t xml:space="preserve">of both companies </w:t>
      </w:r>
      <w:r w:rsidRPr="008D6FCA">
        <w:rPr>
          <w:rFonts w:cs="Times New Roman"/>
        </w:rPr>
        <w:t xml:space="preserve">remained </w:t>
      </w:r>
      <w:r w:rsidR="00AD21EC">
        <w:rPr>
          <w:rFonts w:cs="Times New Roman"/>
        </w:rPr>
        <w:t>a concern</w:t>
      </w:r>
      <w:r w:rsidRPr="008D6FCA">
        <w:rPr>
          <w:rFonts w:cs="Times New Roman"/>
        </w:rPr>
        <w:t xml:space="preserve">, </w:t>
      </w:r>
      <w:r w:rsidR="00DE3B9A">
        <w:rPr>
          <w:rFonts w:cs="Times New Roman"/>
        </w:rPr>
        <w:t>growth</w:t>
      </w:r>
      <w:r w:rsidRPr="008D6FCA">
        <w:rPr>
          <w:rFonts w:cs="Times New Roman"/>
        </w:rPr>
        <w:t xml:space="preserve"> ratios indicated a strong position. The debt-to-equity ratio showed an upward trend, possibly indicating increased financial leverage</w:t>
      </w:r>
      <w:r w:rsidR="00EC1370">
        <w:rPr>
          <w:rFonts w:cs="Times New Roman"/>
        </w:rPr>
        <w:t xml:space="preserve"> for both companies</w:t>
      </w:r>
      <w:r w:rsidRPr="008D6FCA">
        <w:rPr>
          <w:rFonts w:cs="Times New Roman"/>
        </w:rPr>
        <w:t xml:space="preserve">. Efficiency ratios indicated </w:t>
      </w:r>
      <w:r w:rsidR="00EC1370">
        <w:rPr>
          <w:rFonts w:cs="Times New Roman"/>
        </w:rPr>
        <w:t xml:space="preserve">insufficient </w:t>
      </w:r>
      <w:r w:rsidRPr="008D6FCA">
        <w:rPr>
          <w:rFonts w:cs="Times New Roman"/>
        </w:rPr>
        <w:t>asset utili</w:t>
      </w:r>
      <w:r w:rsidR="00EC1370">
        <w:rPr>
          <w:rFonts w:cs="Times New Roman"/>
        </w:rPr>
        <w:t>s</w:t>
      </w:r>
      <w:r w:rsidRPr="008D6FCA">
        <w:rPr>
          <w:rFonts w:cs="Times New Roman"/>
        </w:rPr>
        <w:t>ation</w:t>
      </w:r>
      <w:r w:rsidR="00EC1370">
        <w:rPr>
          <w:rFonts w:cs="Times New Roman"/>
        </w:rPr>
        <w:t xml:space="preserve"> especially for Aston Martin</w:t>
      </w:r>
      <w:r w:rsidRPr="008D6FCA">
        <w:rPr>
          <w:rFonts w:cs="Times New Roman"/>
        </w:rPr>
        <w:t xml:space="preserve">. </w:t>
      </w:r>
      <w:r w:rsidR="00790A98" w:rsidRPr="008D6FCA">
        <w:rPr>
          <w:rFonts w:cs="Times New Roman"/>
        </w:rPr>
        <w:t>Investor ratios</w:t>
      </w:r>
      <w:r w:rsidRPr="008D6FCA">
        <w:rPr>
          <w:rFonts w:cs="Times New Roman"/>
        </w:rPr>
        <w:t xml:space="preserve"> highlighted declining investor confidence due to lower earnings per share and a higher price-to-earnings ratio.</w:t>
      </w:r>
      <w:r w:rsidR="00EC1370">
        <w:rPr>
          <w:rFonts w:cs="Times New Roman"/>
        </w:rPr>
        <w:t xml:space="preserve"> In summary, conducted analysis </w:t>
      </w:r>
      <w:r w:rsidRPr="008D6FCA">
        <w:rPr>
          <w:rFonts w:cs="Times New Roman"/>
        </w:rPr>
        <w:t xml:space="preserve">indicates a healthy demand for </w:t>
      </w:r>
      <w:r w:rsidR="00EC1370">
        <w:rPr>
          <w:rFonts w:cs="Times New Roman"/>
        </w:rPr>
        <w:t xml:space="preserve">both </w:t>
      </w:r>
      <w:r w:rsidRPr="008D6FCA">
        <w:rPr>
          <w:rFonts w:cs="Times New Roman"/>
        </w:rPr>
        <w:t>Aston Martin</w:t>
      </w:r>
      <w:r w:rsidR="00EC1370">
        <w:rPr>
          <w:rFonts w:cs="Times New Roman"/>
        </w:rPr>
        <w:t xml:space="preserve"> and BMW</w:t>
      </w:r>
      <w:r w:rsidRPr="008D6FCA">
        <w:rPr>
          <w:rFonts w:cs="Times New Roman"/>
        </w:rPr>
        <w:t>'s products.</w:t>
      </w:r>
      <w:r w:rsidR="00AC51AC">
        <w:rPr>
          <w:rFonts w:cs="Times New Roman"/>
        </w:rPr>
        <w:t xml:space="preserve"> </w:t>
      </w:r>
      <w:r w:rsidR="00790A98">
        <w:rPr>
          <w:rFonts w:cs="Times New Roman"/>
        </w:rPr>
        <w:t>B</w:t>
      </w:r>
      <w:r w:rsidR="00790A98" w:rsidRPr="00790A98">
        <w:rPr>
          <w:rFonts w:cs="Times New Roman"/>
        </w:rPr>
        <w:t>oth Aston Martin and BMW faced challenges in various aspects of financial performance, BMW generally exhibited better financial health and efficiency in several key areas, making it a more favourable choice for the £5 million project investment over Aston Martin.</w:t>
      </w:r>
    </w:p>
    <w:p w14:paraId="5CB3C752" w14:textId="2476155D" w:rsidR="006F7799" w:rsidRPr="008D6FCA" w:rsidRDefault="006F7799" w:rsidP="008D6FCA">
      <w:pPr>
        <w:pStyle w:val="Heading1"/>
        <w:spacing w:line="360" w:lineRule="auto"/>
        <w:jc w:val="both"/>
        <w:rPr>
          <w:rFonts w:cs="Times New Roman"/>
          <w:lang w:val="en-US"/>
        </w:rPr>
      </w:pPr>
      <w:bookmarkStart w:id="21" w:name="_Toc145150223"/>
      <w:r w:rsidRPr="008D6FCA">
        <w:rPr>
          <w:rFonts w:cs="Times New Roman"/>
          <w:lang w:val="en-US"/>
        </w:rPr>
        <w:t>Conclusion</w:t>
      </w:r>
      <w:r w:rsidR="00DD5E2F" w:rsidRPr="008D6FCA">
        <w:rPr>
          <w:rFonts w:cs="Times New Roman"/>
          <w:lang w:val="en-US"/>
        </w:rPr>
        <w:t xml:space="preserve"> and </w:t>
      </w:r>
      <w:r w:rsidR="00303391" w:rsidRPr="008D6FCA">
        <w:rPr>
          <w:rFonts w:cs="Times New Roman"/>
          <w:lang w:val="en-US"/>
        </w:rPr>
        <w:t>Recommendation</w:t>
      </w:r>
      <w:bookmarkEnd w:id="21"/>
      <w:r w:rsidRPr="008D6FCA">
        <w:rPr>
          <w:rFonts w:cs="Times New Roman"/>
          <w:lang w:val="en-US"/>
        </w:rPr>
        <w:t xml:space="preserve"> </w:t>
      </w:r>
    </w:p>
    <w:p w14:paraId="486B0B08" w14:textId="77777777" w:rsidR="00010DD4" w:rsidRPr="00521A3F" w:rsidRDefault="00010DD4" w:rsidP="00010DD4">
      <w:pPr>
        <w:spacing w:line="360" w:lineRule="auto"/>
        <w:rPr>
          <w:rFonts w:cs="Times New Roman"/>
          <w:szCs w:val="24"/>
        </w:rPr>
      </w:pPr>
      <w:r w:rsidRPr="00521A3F">
        <w:rPr>
          <w:rFonts w:cs="Times New Roman"/>
          <w:szCs w:val="24"/>
        </w:rPr>
        <w:t xml:space="preserve">The automotive industry has the potential to successfully generate revenue returns on investment. The level of competition and need for consistent product innovation in the sector has made it quite difficult for adequate returns. From the ratio analysis conducted above, it is clearly seen that the financial performances of both Aston Martin and BMW are almost unstable, and it is as a result of the conditions in the industrial sector. Nonetheless, both corporations tend to strike a balance on the financial performance evaluation, but BMW would be a better recommendation for investment over its competitor Aston Martin. In reference to return on capital and sales growth, Aston Martin made higher ratios but in the aspects of stability, liquidity and return on investments, BMW stands a better chance. </w:t>
      </w:r>
    </w:p>
    <w:p w14:paraId="2E840C25" w14:textId="77777777" w:rsidR="00DD5E2F" w:rsidRDefault="00DD5E2F" w:rsidP="008D6FCA">
      <w:pPr>
        <w:spacing w:line="360" w:lineRule="auto"/>
        <w:rPr>
          <w:rFonts w:cs="Times New Roman"/>
          <w:lang w:val="en-US"/>
        </w:rPr>
      </w:pPr>
    </w:p>
    <w:p w14:paraId="7FAD38CC" w14:textId="77777777" w:rsidR="00010DD4" w:rsidRDefault="00010DD4" w:rsidP="008D6FCA">
      <w:pPr>
        <w:spacing w:line="360" w:lineRule="auto"/>
        <w:rPr>
          <w:rFonts w:cs="Times New Roman"/>
          <w:lang w:val="en-US"/>
        </w:rPr>
      </w:pPr>
    </w:p>
    <w:p w14:paraId="6D76DEEA" w14:textId="77777777" w:rsidR="00912FD4" w:rsidRDefault="00912FD4" w:rsidP="008D6FCA">
      <w:pPr>
        <w:spacing w:line="360" w:lineRule="auto"/>
        <w:rPr>
          <w:rFonts w:cs="Times New Roman"/>
          <w:lang w:val="en-US"/>
        </w:rPr>
      </w:pPr>
    </w:p>
    <w:p w14:paraId="7182846F" w14:textId="77777777" w:rsidR="00912FD4" w:rsidRDefault="00912FD4" w:rsidP="008D6FCA">
      <w:pPr>
        <w:spacing w:line="360" w:lineRule="auto"/>
        <w:rPr>
          <w:rFonts w:cs="Times New Roman"/>
          <w:lang w:val="en-US"/>
        </w:rPr>
      </w:pPr>
    </w:p>
    <w:p w14:paraId="50C7B769" w14:textId="77777777" w:rsidR="00912FD4" w:rsidRDefault="00912FD4" w:rsidP="008D6FCA">
      <w:pPr>
        <w:spacing w:line="360" w:lineRule="auto"/>
        <w:rPr>
          <w:rFonts w:cs="Times New Roman"/>
          <w:lang w:val="en-US"/>
        </w:rPr>
      </w:pPr>
    </w:p>
    <w:p w14:paraId="194C145A" w14:textId="77777777" w:rsidR="00912FD4" w:rsidRDefault="00912FD4" w:rsidP="008D6FCA">
      <w:pPr>
        <w:spacing w:line="360" w:lineRule="auto"/>
        <w:rPr>
          <w:rFonts w:cs="Times New Roman"/>
          <w:lang w:val="en-US"/>
        </w:rPr>
      </w:pPr>
    </w:p>
    <w:p w14:paraId="4D69C8CC" w14:textId="77777777" w:rsidR="00912FD4" w:rsidRDefault="00912FD4" w:rsidP="008D6FCA">
      <w:pPr>
        <w:spacing w:line="360" w:lineRule="auto"/>
        <w:rPr>
          <w:rFonts w:cs="Times New Roman"/>
          <w:lang w:val="en-US"/>
        </w:rPr>
      </w:pPr>
    </w:p>
    <w:p w14:paraId="52D10D83" w14:textId="39D69FC5" w:rsidR="00DD5E2F" w:rsidRPr="008D6FCA" w:rsidRDefault="00DD5E2F" w:rsidP="0034269B">
      <w:pPr>
        <w:pStyle w:val="Heading1"/>
        <w:spacing w:line="360" w:lineRule="auto"/>
        <w:jc w:val="center"/>
        <w:rPr>
          <w:rFonts w:cs="Times New Roman"/>
          <w:lang w:val="en-US"/>
        </w:rPr>
      </w:pPr>
      <w:bookmarkStart w:id="22" w:name="_Toc145150224"/>
      <w:r w:rsidRPr="008D6FCA">
        <w:rPr>
          <w:rFonts w:cs="Times New Roman"/>
          <w:lang w:val="en-US"/>
        </w:rPr>
        <w:lastRenderedPageBreak/>
        <w:t>Appendices</w:t>
      </w:r>
      <w:bookmarkEnd w:id="22"/>
    </w:p>
    <w:p w14:paraId="5F323641" w14:textId="1AD4B49D" w:rsidR="00822B9C" w:rsidRDefault="00822B9C" w:rsidP="008D6FCA">
      <w:pPr>
        <w:pStyle w:val="Heading2"/>
        <w:spacing w:line="360" w:lineRule="auto"/>
        <w:jc w:val="both"/>
        <w:rPr>
          <w:rFonts w:cs="Times New Roman"/>
        </w:rPr>
      </w:pPr>
      <w:bookmarkStart w:id="23" w:name="_Toc145150225"/>
      <w:r w:rsidRPr="008D6FCA">
        <w:rPr>
          <w:rFonts w:cs="Times New Roman"/>
        </w:rPr>
        <w:t>Reference</w:t>
      </w:r>
      <w:bookmarkEnd w:id="23"/>
      <w:r w:rsidRPr="008D6FCA">
        <w:rPr>
          <w:rFonts w:cs="Times New Roman"/>
        </w:rPr>
        <w:t xml:space="preserve"> </w:t>
      </w:r>
    </w:p>
    <w:p w14:paraId="730494D5" w14:textId="77777777" w:rsidR="00FF719B" w:rsidRPr="00D81C52" w:rsidRDefault="00FF719B" w:rsidP="00FF719B">
      <w:pPr>
        <w:spacing w:line="360" w:lineRule="auto"/>
        <w:rPr>
          <w:rFonts w:cs="Times New Roman"/>
          <w:szCs w:val="24"/>
        </w:rPr>
      </w:pPr>
      <w:proofErr w:type="spellStart"/>
      <w:r w:rsidRPr="00D81C52">
        <w:rPr>
          <w:rFonts w:cs="Times New Roman"/>
          <w:szCs w:val="24"/>
        </w:rPr>
        <w:t>Akulenko</w:t>
      </w:r>
      <w:proofErr w:type="spellEnd"/>
      <w:r w:rsidRPr="00D81C52">
        <w:rPr>
          <w:rFonts w:cs="Times New Roman"/>
          <w:szCs w:val="24"/>
        </w:rPr>
        <w:t xml:space="preserve">, and </w:t>
      </w:r>
      <w:proofErr w:type="spellStart"/>
      <w:r w:rsidRPr="00D81C52">
        <w:rPr>
          <w:rFonts w:cs="Times New Roman"/>
          <w:szCs w:val="24"/>
        </w:rPr>
        <w:t>Esina</w:t>
      </w:r>
      <w:proofErr w:type="spellEnd"/>
      <w:r w:rsidRPr="00D81C52">
        <w:rPr>
          <w:rFonts w:cs="Times New Roman"/>
          <w:szCs w:val="24"/>
        </w:rPr>
        <w:t xml:space="preserve">, A. R. (2021) ‘Approaches to Forming the Rating of Automotive Industry Enterprises Based on Financial Statements’, </w:t>
      </w:r>
      <w:r w:rsidRPr="00D81C52">
        <w:rPr>
          <w:rFonts w:cs="Times New Roman"/>
          <w:i/>
          <w:iCs/>
          <w:szCs w:val="24"/>
        </w:rPr>
        <w:t>IOP Conference Series. Earth and Environmental Science</w:t>
      </w:r>
      <w:r w:rsidRPr="00D81C52">
        <w:rPr>
          <w:rFonts w:cs="Times New Roman"/>
          <w:szCs w:val="24"/>
        </w:rPr>
        <w:t>, 666 (6), pp. 62068–. doi.org/10.1088/1755-1315/666/6/062068.</w:t>
      </w:r>
    </w:p>
    <w:p w14:paraId="11CEB534" w14:textId="77777777" w:rsidR="00FF719B" w:rsidRPr="00D81C52" w:rsidRDefault="00FF719B" w:rsidP="00FF719B">
      <w:pPr>
        <w:spacing w:line="360" w:lineRule="auto"/>
        <w:rPr>
          <w:rFonts w:cs="Times New Roman"/>
          <w:szCs w:val="24"/>
        </w:rPr>
      </w:pPr>
      <w:r w:rsidRPr="00D81C52">
        <w:rPr>
          <w:rFonts w:cs="Times New Roman"/>
          <w:szCs w:val="24"/>
        </w:rPr>
        <w:t>Altman, E. I. (1968). Financial Ratios, Discriminant Analysis, and the Prediction of Corporate Bankruptcy. The Journal of Finance, 23(4), 589-609.</w:t>
      </w:r>
    </w:p>
    <w:p w14:paraId="420A4F40" w14:textId="77777777" w:rsidR="00FF719B" w:rsidRPr="00D81C52" w:rsidRDefault="00FF719B" w:rsidP="00FF719B">
      <w:pPr>
        <w:spacing w:line="360" w:lineRule="auto"/>
        <w:rPr>
          <w:rFonts w:cs="Times New Roman"/>
          <w:szCs w:val="24"/>
        </w:rPr>
      </w:pPr>
      <w:r w:rsidRPr="00D81C52">
        <w:rPr>
          <w:rFonts w:cs="Times New Roman"/>
          <w:szCs w:val="24"/>
        </w:rPr>
        <w:t xml:space="preserve">Arnold, G . (2013) </w:t>
      </w:r>
      <w:r w:rsidRPr="00D81C52">
        <w:rPr>
          <w:rFonts w:cs="Times New Roman"/>
          <w:i/>
          <w:iCs/>
          <w:szCs w:val="24"/>
        </w:rPr>
        <w:t>Essentials of Corporate Financial Management</w:t>
      </w:r>
      <w:r w:rsidRPr="00D81C52">
        <w:rPr>
          <w:rFonts w:cs="Times New Roman"/>
          <w:szCs w:val="24"/>
        </w:rPr>
        <w:t>. (2nd Ed).</w:t>
      </w:r>
      <w:r w:rsidRPr="00D81C52">
        <w:rPr>
          <w:rFonts w:cs="Times New Roman"/>
          <w:i/>
          <w:iCs/>
          <w:szCs w:val="24"/>
        </w:rPr>
        <w:t xml:space="preserve"> </w:t>
      </w:r>
      <w:r w:rsidRPr="00D81C52">
        <w:rPr>
          <w:rFonts w:cs="Times New Roman"/>
          <w:szCs w:val="24"/>
        </w:rPr>
        <w:t>Pearson.</w:t>
      </w:r>
    </w:p>
    <w:p w14:paraId="208F2F68" w14:textId="77777777" w:rsidR="00FF719B" w:rsidRPr="00D81C52" w:rsidRDefault="00FF719B" w:rsidP="00FF719B">
      <w:pPr>
        <w:spacing w:line="360" w:lineRule="auto"/>
        <w:rPr>
          <w:rFonts w:cs="Times New Roman"/>
          <w:szCs w:val="24"/>
        </w:rPr>
      </w:pPr>
      <w:proofErr w:type="spellStart"/>
      <w:r w:rsidRPr="00D81C52">
        <w:rPr>
          <w:rFonts w:cs="Times New Roman"/>
          <w:szCs w:val="24"/>
        </w:rPr>
        <w:t>Atrill</w:t>
      </w:r>
      <w:proofErr w:type="spellEnd"/>
      <w:r w:rsidRPr="00D81C52">
        <w:rPr>
          <w:rFonts w:cs="Times New Roman"/>
          <w:szCs w:val="24"/>
        </w:rPr>
        <w:t xml:space="preserve">, P. (2014) </w:t>
      </w:r>
      <w:r w:rsidRPr="00D81C52">
        <w:rPr>
          <w:rFonts w:cs="Times New Roman"/>
          <w:i/>
          <w:iCs/>
          <w:szCs w:val="24"/>
        </w:rPr>
        <w:t>Financial Management for Decision Makers</w:t>
      </w:r>
      <w:r w:rsidRPr="00D81C52">
        <w:rPr>
          <w:rFonts w:cs="Times New Roman"/>
          <w:szCs w:val="24"/>
        </w:rPr>
        <w:t>. (7th Ed), Financial Times/Prentice Hall.</w:t>
      </w:r>
    </w:p>
    <w:p w14:paraId="301A6480" w14:textId="77777777" w:rsidR="00FF719B" w:rsidRPr="00D81C52" w:rsidRDefault="00FF719B" w:rsidP="00FF719B">
      <w:pPr>
        <w:spacing w:line="360" w:lineRule="auto"/>
        <w:rPr>
          <w:rFonts w:cs="Times New Roman"/>
          <w:szCs w:val="24"/>
        </w:rPr>
      </w:pPr>
      <w:r w:rsidRPr="00D81C52">
        <w:rPr>
          <w:rFonts w:cs="Times New Roman"/>
          <w:szCs w:val="24"/>
        </w:rPr>
        <w:t>Aston Martin. (2021). About Us. Retrieved from https://www.astonmartin.com/en-us/about-us.</w:t>
      </w:r>
    </w:p>
    <w:p w14:paraId="7F8E536B" w14:textId="77777777" w:rsidR="00FF719B" w:rsidRPr="00D81C52" w:rsidRDefault="00FF719B" w:rsidP="00FF719B">
      <w:pPr>
        <w:spacing w:line="360" w:lineRule="auto"/>
        <w:rPr>
          <w:rFonts w:cs="Times New Roman"/>
          <w:szCs w:val="24"/>
        </w:rPr>
      </w:pPr>
      <w:r w:rsidRPr="00D81C52">
        <w:rPr>
          <w:rFonts w:cs="Times New Roman"/>
          <w:szCs w:val="24"/>
        </w:rPr>
        <w:t>Besley, S., &amp; Brigham, E. F. (2008). Principles of Finance (4th ed.). Cengage Learning.</w:t>
      </w:r>
    </w:p>
    <w:p w14:paraId="122336AC" w14:textId="77777777" w:rsidR="00FF719B" w:rsidRPr="00D81C52" w:rsidRDefault="00FF719B" w:rsidP="00FF719B">
      <w:pPr>
        <w:spacing w:line="360" w:lineRule="auto"/>
        <w:rPr>
          <w:rFonts w:cs="Times New Roman"/>
          <w:szCs w:val="24"/>
        </w:rPr>
      </w:pPr>
      <w:r w:rsidRPr="00D81C52">
        <w:rPr>
          <w:rFonts w:cs="Times New Roman"/>
          <w:szCs w:val="24"/>
        </w:rPr>
        <w:t xml:space="preserve">Bhattacharyya, A. K. (2010). Essentials of financial management. PHI Learning </w:t>
      </w:r>
      <w:proofErr w:type="spellStart"/>
      <w:r w:rsidRPr="00D81C52">
        <w:rPr>
          <w:rFonts w:cs="Times New Roman"/>
          <w:szCs w:val="24"/>
        </w:rPr>
        <w:t>Pvt.</w:t>
      </w:r>
      <w:proofErr w:type="spellEnd"/>
      <w:r w:rsidRPr="00D81C52">
        <w:rPr>
          <w:rFonts w:cs="Times New Roman"/>
          <w:szCs w:val="24"/>
        </w:rPr>
        <w:t xml:space="preserve"> Ltd.</w:t>
      </w:r>
    </w:p>
    <w:p w14:paraId="6BF50F44"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BIEE. (2021). Electric Vehicles: What's Needed for Success? British Institute of Energy Economics.</w:t>
      </w:r>
    </w:p>
    <w:p w14:paraId="3357990B" w14:textId="77777777" w:rsidR="00FF719B" w:rsidRPr="00D81C52" w:rsidRDefault="00FF719B" w:rsidP="00FF719B">
      <w:pPr>
        <w:spacing w:line="360" w:lineRule="auto"/>
        <w:rPr>
          <w:rFonts w:cs="Times New Roman"/>
          <w:szCs w:val="24"/>
        </w:rPr>
      </w:pPr>
      <w:r w:rsidRPr="00D81C52">
        <w:rPr>
          <w:rFonts w:cs="Times New Roman"/>
          <w:szCs w:val="24"/>
        </w:rPr>
        <w:t>Brigham, E. F., &amp; Houston, J. F. (2011). Fundamentals of Financial Management (12th ed.). Cengage Learning.</w:t>
      </w:r>
    </w:p>
    <w:p w14:paraId="4296FFDB" w14:textId="77777777" w:rsidR="00FF719B" w:rsidRPr="00D81C52" w:rsidRDefault="00FF719B" w:rsidP="00FF719B">
      <w:pPr>
        <w:spacing w:line="360" w:lineRule="auto"/>
        <w:rPr>
          <w:rStyle w:val="Hyperlink"/>
          <w:rFonts w:cs="Times New Roman"/>
          <w:color w:val="000000" w:themeColor="text1"/>
          <w:szCs w:val="24"/>
          <w:u w:val="none"/>
          <w:shd w:val="clear" w:color="auto" w:fill="FFFFFF"/>
        </w:rPr>
      </w:pPr>
      <w:r w:rsidRPr="00D81C52">
        <w:rPr>
          <w:rFonts w:cs="Times New Roman"/>
          <w:szCs w:val="24"/>
          <w:shd w:val="clear" w:color="auto" w:fill="FFFFFF"/>
        </w:rPr>
        <w:t>Brown, and Whittington, M. (2008) ‘Financial statement analysis and accounting policy choice: What history can teach us’, </w:t>
      </w:r>
      <w:r w:rsidRPr="00D81C52">
        <w:rPr>
          <w:rFonts w:cs="Times New Roman"/>
          <w:i/>
          <w:iCs/>
          <w:szCs w:val="24"/>
          <w:shd w:val="clear" w:color="auto" w:fill="FFFFFF"/>
        </w:rPr>
        <w:t>Journal of Applied Accounting Research</w:t>
      </w:r>
      <w:r w:rsidRPr="00D81C52">
        <w:rPr>
          <w:rFonts w:cs="Times New Roman"/>
          <w:szCs w:val="24"/>
          <w:shd w:val="clear" w:color="auto" w:fill="FFFFFF"/>
        </w:rPr>
        <w:t>, </w:t>
      </w:r>
      <w:r w:rsidRPr="00D81C52">
        <w:rPr>
          <w:rFonts w:cs="Times New Roman"/>
          <w:i/>
          <w:iCs/>
          <w:szCs w:val="24"/>
          <w:shd w:val="clear" w:color="auto" w:fill="FFFFFF"/>
        </w:rPr>
        <w:t xml:space="preserve">8 </w:t>
      </w:r>
      <w:r w:rsidRPr="00D81C52">
        <w:rPr>
          <w:rFonts w:cs="Times New Roman"/>
          <w:szCs w:val="24"/>
          <w:shd w:val="clear" w:color="auto" w:fill="FFFFFF"/>
        </w:rPr>
        <w:t xml:space="preserve">(3), pp. 1–47. </w:t>
      </w:r>
      <w:hyperlink r:id="rId15" w:history="1">
        <w:r w:rsidRPr="00D81C52">
          <w:rPr>
            <w:rStyle w:val="Hyperlink"/>
            <w:rFonts w:cs="Times New Roman"/>
            <w:color w:val="000000" w:themeColor="text1"/>
            <w:szCs w:val="24"/>
            <w:u w:val="none"/>
            <w:shd w:val="clear" w:color="auto" w:fill="FFFFFF"/>
          </w:rPr>
          <w:t>doi.org/10.1108/96754260880001053</w:t>
        </w:r>
      </w:hyperlink>
      <w:r w:rsidRPr="00D81C52">
        <w:rPr>
          <w:rStyle w:val="Hyperlink"/>
          <w:rFonts w:cs="Times New Roman"/>
          <w:color w:val="000000" w:themeColor="text1"/>
          <w:szCs w:val="24"/>
          <w:u w:val="none"/>
          <w:shd w:val="clear" w:color="auto" w:fill="FFFFFF"/>
        </w:rPr>
        <w:t>.</w:t>
      </w:r>
    </w:p>
    <w:p w14:paraId="35E24BA0" w14:textId="77777777" w:rsidR="00FF719B" w:rsidRPr="00D81C52" w:rsidRDefault="00FF719B" w:rsidP="00FF719B">
      <w:pPr>
        <w:spacing w:line="360" w:lineRule="auto"/>
        <w:rPr>
          <w:rFonts w:cs="Times New Roman"/>
          <w:szCs w:val="24"/>
        </w:rPr>
      </w:pPr>
      <w:r w:rsidRPr="00D81C52">
        <w:rPr>
          <w:rFonts w:cs="Times New Roman"/>
          <w:szCs w:val="24"/>
        </w:rPr>
        <w:t>BMW Group. (2021). Company. Retrieved from https://www.bmwgroup.com/en/company.html.</w:t>
      </w:r>
    </w:p>
    <w:p w14:paraId="457C1583" w14:textId="77777777" w:rsidR="00FF719B" w:rsidRPr="00D81C52" w:rsidRDefault="00FF719B" w:rsidP="00FF719B">
      <w:pPr>
        <w:spacing w:line="360" w:lineRule="auto"/>
        <w:rPr>
          <w:rFonts w:cs="Times New Roman"/>
          <w:szCs w:val="24"/>
        </w:rPr>
      </w:pPr>
      <w:r w:rsidRPr="00D81C52">
        <w:rPr>
          <w:rFonts w:cs="Times New Roman"/>
          <w:szCs w:val="24"/>
        </w:rPr>
        <w:t xml:space="preserve">Collier, Paul M. (2013) </w:t>
      </w:r>
      <w:r w:rsidRPr="00D81C52">
        <w:rPr>
          <w:rFonts w:cs="Times New Roman"/>
          <w:i/>
          <w:iCs/>
          <w:szCs w:val="24"/>
        </w:rPr>
        <w:t>Accounting for Managers</w:t>
      </w:r>
      <w:r w:rsidRPr="00D81C52">
        <w:rPr>
          <w:rFonts w:cs="Times New Roman"/>
          <w:szCs w:val="24"/>
        </w:rPr>
        <w:t>. 5th Edition, Wiley.</w:t>
      </w:r>
    </w:p>
    <w:p w14:paraId="44521B01" w14:textId="77777777" w:rsidR="00FF719B" w:rsidRPr="00D81C52" w:rsidRDefault="00FF719B" w:rsidP="00FF719B">
      <w:pPr>
        <w:spacing w:line="360" w:lineRule="auto"/>
        <w:rPr>
          <w:rFonts w:cs="Times New Roman"/>
          <w:szCs w:val="24"/>
        </w:rPr>
      </w:pPr>
      <w:r w:rsidRPr="00D81C52">
        <w:rPr>
          <w:rFonts w:cs="Times New Roman"/>
          <w:szCs w:val="24"/>
        </w:rPr>
        <w:t>Damodaran, A. (2012). Investment Valuation: Tools and Techniques for Determining the Value of Any Asset (3rd ed.). Wiley.</w:t>
      </w:r>
    </w:p>
    <w:p w14:paraId="1CE2DC18" w14:textId="77777777" w:rsidR="00FF719B" w:rsidRPr="00D81C52" w:rsidRDefault="00FF719B" w:rsidP="00FF719B">
      <w:pPr>
        <w:spacing w:line="360" w:lineRule="auto"/>
        <w:rPr>
          <w:rFonts w:cs="Times New Roman"/>
          <w:szCs w:val="24"/>
        </w:rPr>
      </w:pPr>
      <w:r w:rsidRPr="00D81C52">
        <w:rPr>
          <w:rFonts w:cs="Times New Roman"/>
          <w:szCs w:val="24"/>
        </w:rPr>
        <w:t xml:space="preserve">Davies, T. and Crawford, I. (2011) </w:t>
      </w:r>
      <w:r w:rsidRPr="00D81C52">
        <w:rPr>
          <w:rFonts w:cs="Times New Roman"/>
          <w:i/>
          <w:iCs/>
          <w:szCs w:val="24"/>
        </w:rPr>
        <w:t>Business Accounting and Finance.</w:t>
      </w:r>
      <w:r w:rsidRPr="00D81C52">
        <w:rPr>
          <w:rFonts w:cs="Times New Roman"/>
          <w:szCs w:val="24"/>
        </w:rPr>
        <w:t xml:space="preserve"> FT Prentice Hall.</w:t>
      </w:r>
    </w:p>
    <w:p w14:paraId="46223952"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lastRenderedPageBreak/>
        <w:t>Dhingra, S., Ottaviano, G. I. P., Sampson, T., &amp; Reenen, J. V. (2021). The Impact of Brexit on UK Firms. CEP Discussion Paper No 1742.</w:t>
      </w:r>
    </w:p>
    <w:p w14:paraId="29FDC5E6"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Dowdell, K. B. K., and Andersen, M. L. (2020) ‘Internal Controls and Financial Statement Analysis’, </w:t>
      </w:r>
      <w:r w:rsidRPr="00D81C52">
        <w:rPr>
          <w:rFonts w:cs="Times New Roman"/>
          <w:i/>
          <w:iCs/>
          <w:szCs w:val="24"/>
          <w:shd w:val="clear" w:color="auto" w:fill="FFFFFF"/>
        </w:rPr>
        <w:t>The Journal of Theoretical Accounting Research</w:t>
      </w:r>
      <w:r w:rsidRPr="00D81C52">
        <w:rPr>
          <w:rFonts w:cs="Times New Roman"/>
          <w:szCs w:val="24"/>
          <w:shd w:val="clear" w:color="auto" w:fill="FFFFFF"/>
        </w:rPr>
        <w:t>, </w:t>
      </w:r>
      <w:r w:rsidRPr="00D81C52">
        <w:rPr>
          <w:rFonts w:cs="Times New Roman"/>
          <w:i/>
          <w:iCs/>
          <w:szCs w:val="24"/>
          <w:shd w:val="clear" w:color="auto" w:fill="FFFFFF"/>
        </w:rPr>
        <w:t xml:space="preserve">15 </w:t>
      </w:r>
      <w:r w:rsidRPr="00D81C52">
        <w:rPr>
          <w:rFonts w:cs="Times New Roman"/>
          <w:szCs w:val="24"/>
          <w:shd w:val="clear" w:color="auto" w:fill="FFFFFF"/>
        </w:rPr>
        <w:t>(2), pp. 34–57.</w:t>
      </w:r>
    </w:p>
    <w:p w14:paraId="079DCA7F"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Drake, Q. P. J., and Thornock, J. R. (2017) ‘Who Uses Financial Statements? A Demographic Analysis of Financial Statement Downloads from EDGAR’, </w:t>
      </w:r>
      <w:r w:rsidRPr="00D81C52">
        <w:rPr>
          <w:rFonts w:cs="Times New Roman"/>
          <w:i/>
          <w:iCs/>
          <w:szCs w:val="24"/>
          <w:shd w:val="clear" w:color="auto" w:fill="FFFFFF"/>
        </w:rPr>
        <w:t>Accounting Horizons</w:t>
      </w:r>
      <w:r w:rsidRPr="00D81C52">
        <w:rPr>
          <w:rFonts w:cs="Times New Roman"/>
          <w:szCs w:val="24"/>
          <w:shd w:val="clear" w:color="auto" w:fill="FFFFFF"/>
        </w:rPr>
        <w:t>, </w:t>
      </w:r>
      <w:r w:rsidRPr="00D81C52">
        <w:rPr>
          <w:rFonts w:cs="Times New Roman"/>
          <w:i/>
          <w:iCs/>
          <w:szCs w:val="24"/>
          <w:shd w:val="clear" w:color="auto" w:fill="FFFFFF"/>
        </w:rPr>
        <w:t xml:space="preserve">31 </w:t>
      </w:r>
      <w:r w:rsidRPr="00D81C52">
        <w:rPr>
          <w:rFonts w:cs="Times New Roman"/>
          <w:szCs w:val="24"/>
          <w:shd w:val="clear" w:color="auto" w:fill="FFFFFF"/>
        </w:rPr>
        <w:t xml:space="preserve">(3), pp. 55–68. </w:t>
      </w:r>
      <w:hyperlink r:id="rId16" w:history="1">
        <w:r w:rsidRPr="00D81C52">
          <w:rPr>
            <w:rStyle w:val="Hyperlink"/>
            <w:rFonts w:cs="Times New Roman"/>
            <w:color w:val="000000" w:themeColor="text1"/>
            <w:szCs w:val="24"/>
            <w:u w:val="none"/>
            <w:shd w:val="clear" w:color="auto" w:fill="FFFFFF"/>
          </w:rPr>
          <w:t>doi.org/10.2308/acch-51736</w:t>
        </w:r>
      </w:hyperlink>
      <w:r w:rsidRPr="00D81C52">
        <w:rPr>
          <w:rStyle w:val="Hyperlink"/>
          <w:rFonts w:cs="Times New Roman"/>
          <w:color w:val="000000" w:themeColor="text1"/>
          <w:szCs w:val="24"/>
          <w:u w:val="none"/>
          <w:shd w:val="clear" w:color="auto" w:fill="FFFFFF"/>
        </w:rPr>
        <w:t>.</w:t>
      </w:r>
    </w:p>
    <w:p w14:paraId="4B6E179E" w14:textId="77777777" w:rsidR="00FF719B" w:rsidRPr="00D81C52" w:rsidRDefault="00FF719B" w:rsidP="00FF719B">
      <w:pPr>
        <w:spacing w:line="360" w:lineRule="auto"/>
        <w:rPr>
          <w:rFonts w:cs="Times New Roman"/>
          <w:szCs w:val="24"/>
        </w:rPr>
      </w:pPr>
      <w:r w:rsidRPr="00D81C52">
        <w:rPr>
          <w:rFonts w:cs="Times New Roman"/>
          <w:szCs w:val="24"/>
        </w:rPr>
        <w:t xml:space="preserve">Dyson, R, (2010) </w:t>
      </w:r>
      <w:r w:rsidRPr="00D81C52">
        <w:rPr>
          <w:rFonts w:cs="Times New Roman"/>
          <w:i/>
          <w:iCs/>
          <w:szCs w:val="24"/>
        </w:rPr>
        <w:t>Accounting for Non-Accounting Students.</w:t>
      </w:r>
      <w:r w:rsidRPr="00D81C52">
        <w:rPr>
          <w:rFonts w:cs="Times New Roman"/>
          <w:szCs w:val="24"/>
        </w:rPr>
        <w:t xml:space="preserve"> 8th Edition, Pearson</w:t>
      </w:r>
    </w:p>
    <w:p w14:paraId="598CEC0D" w14:textId="77777777" w:rsidR="00FF719B" w:rsidRPr="00D81C52" w:rsidRDefault="00FF719B" w:rsidP="00FF719B">
      <w:pPr>
        <w:spacing w:line="360" w:lineRule="auto"/>
        <w:rPr>
          <w:rStyle w:val="Hyperlink"/>
          <w:rFonts w:cs="Times New Roman"/>
          <w:szCs w:val="24"/>
          <w:u w:val="none"/>
          <w:shd w:val="clear" w:color="auto" w:fill="FFFFFF"/>
        </w:rPr>
      </w:pPr>
      <w:r w:rsidRPr="00D81C52">
        <w:rPr>
          <w:rFonts w:cs="Times New Roman"/>
          <w:szCs w:val="24"/>
          <w:shd w:val="clear" w:color="auto" w:fill="FFFFFF"/>
        </w:rPr>
        <w:t>Entwistle. (2015) ‘Reflections on Teaching Financial Statement Analysis’ </w:t>
      </w:r>
      <w:r w:rsidRPr="00D81C52">
        <w:rPr>
          <w:rFonts w:cs="Times New Roman"/>
          <w:i/>
          <w:iCs/>
          <w:szCs w:val="24"/>
          <w:shd w:val="clear" w:color="auto" w:fill="FFFFFF"/>
        </w:rPr>
        <w:t>Accounting Education (London, England)</w:t>
      </w:r>
      <w:r w:rsidRPr="00D81C52">
        <w:rPr>
          <w:rFonts w:cs="Times New Roman"/>
          <w:szCs w:val="24"/>
          <w:shd w:val="clear" w:color="auto" w:fill="FFFFFF"/>
        </w:rPr>
        <w:t>, </w:t>
      </w:r>
      <w:r w:rsidRPr="00D81C52">
        <w:rPr>
          <w:rFonts w:cs="Times New Roman"/>
          <w:i/>
          <w:iCs/>
          <w:szCs w:val="24"/>
          <w:shd w:val="clear" w:color="auto" w:fill="FFFFFF"/>
        </w:rPr>
        <w:t xml:space="preserve">24 </w:t>
      </w:r>
      <w:r w:rsidRPr="00D81C52">
        <w:rPr>
          <w:rFonts w:cs="Times New Roman"/>
          <w:szCs w:val="24"/>
          <w:shd w:val="clear" w:color="auto" w:fill="FFFFFF"/>
        </w:rPr>
        <w:t xml:space="preserve">(6), pp. 555–558. </w:t>
      </w:r>
      <w:hyperlink r:id="rId17" w:history="1">
        <w:r w:rsidRPr="00D81C52">
          <w:rPr>
            <w:rStyle w:val="Hyperlink"/>
            <w:rFonts w:cs="Times New Roman"/>
            <w:color w:val="000000" w:themeColor="text1"/>
            <w:szCs w:val="24"/>
            <w:u w:val="none"/>
            <w:shd w:val="clear" w:color="auto" w:fill="FFFFFF"/>
          </w:rPr>
          <w:t>doi.org/10.1080/09639284.2015.1075314</w:t>
        </w:r>
      </w:hyperlink>
      <w:r w:rsidRPr="00D81C52">
        <w:rPr>
          <w:rStyle w:val="Hyperlink"/>
          <w:rFonts w:cs="Times New Roman"/>
          <w:color w:val="000000" w:themeColor="text1"/>
          <w:szCs w:val="24"/>
          <w:u w:val="none"/>
          <w:shd w:val="clear" w:color="auto" w:fill="FFFFFF"/>
        </w:rPr>
        <w:t>.</w:t>
      </w:r>
    </w:p>
    <w:p w14:paraId="0E489EE5" w14:textId="77777777" w:rsidR="00FF719B" w:rsidRPr="00D81C52" w:rsidRDefault="00FF719B" w:rsidP="00FF719B">
      <w:pPr>
        <w:spacing w:line="360" w:lineRule="auto"/>
        <w:rPr>
          <w:rFonts w:cs="Times New Roman"/>
          <w:szCs w:val="24"/>
        </w:rPr>
      </w:pPr>
      <w:r w:rsidRPr="00D81C52">
        <w:rPr>
          <w:rFonts w:cs="Times New Roman"/>
          <w:szCs w:val="24"/>
        </w:rPr>
        <w:t>Financial Accounting Standards Board. (2021). Accounting Standards Codification 205: Presentation of Financial Statements. Retrieved from https://asc.fasb.org/topic&amp;trid=2122149.</w:t>
      </w:r>
    </w:p>
    <w:p w14:paraId="13046773" w14:textId="77777777" w:rsidR="00FF719B" w:rsidRPr="00D81C52" w:rsidRDefault="00FF719B" w:rsidP="00FF719B">
      <w:pPr>
        <w:spacing w:line="360" w:lineRule="auto"/>
        <w:rPr>
          <w:rFonts w:cs="Times New Roman"/>
          <w:szCs w:val="24"/>
        </w:rPr>
      </w:pPr>
      <w:r w:rsidRPr="00D81C52">
        <w:rPr>
          <w:rFonts w:cs="Times New Roman"/>
          <w:szCs w:val="24"/>
        </w:rPr>
        <w:t xml:space="preserve">Gary Entwistle (2015) ‘Reflections on Teaching Financial Statement Analysis’, </w:t>
      </w:r>
      <w:r w:rsidRPr="00D81C52">
        <w:rPr>
          <w:rFonts w:cs="Times New Roman"/>
          <w:i/>
          <w:iCs/>
          <w:szCs w:val="24"/>
        </w:rPr>
        <w:t>Accounting Education</w:t>
      </w:r>
      <w:r w:rsidRPr="00D81C52">
        <w:rPr>
          <w:rFonts w:cs="Times New Roman"/>
          <w:szCs w:val="24"/>
        </w:rPr>
        <w:t>, 24 (6), pp. 555-558. DOI: 10.1080/09639284.2015.1075314.</w:t>
      </w:r>
    </w:p>
    <w:p w14:paraId="2B01595B" w14:textId="77777777" w:rsidR="00FF719B" w:rsidRPr="00D81C52" w:rsidRDefault="00FF719B" w:rsidP="00FF719B">
      <w:pPr>
        <w:spacing w:line="360" w:lineRule="auto"/>
        <w:rPr>
          <w:rFonts w:cs="Times New Roman"/>
          <w:szCs w:val="24"/>
        </w:rPr>
      </w:pPr>
      <w:r w:rsidRPr="00D81C52">
        <w:rPr>
          <w:rFonts w:cs="Times New Roman"/>
          <w:szCs w:val="24"/>
        </w:rPr>
        <w:t>Gitman, L. J., &amp; Joehnk, M. D. (2019). Fundamentals of Investing (13th ed.). Pearson.</w:t>
      </w:r>
    </w:p>
    <w:p w14:paraId="6DCDC2D6" w14:textId="77777777" w:rsidR="00FF719B" w:rsidRPr="00D81C52" w:rsidRDefault="00FF719B" w:rsidP="00FF719B">
      <w:pPr>
        <w:spacing w:line="360" w:lineRule="auto"/>
        <w:rPr>
          <w:rStyle w:val="Hyperlink"/>
          <w:rFonts w:cs="Times New Roman"/>
          <w:color w:val="000000" w:themeColor="text1"/>
          <w:szCs w:val="24"/>
          <w:u w:val="none"/>
          <w:shd w:val="clear" w:color="auto" w:fill="FFFFFF"/>
        </w:rPr>
      </w:pPr>
      <w:r w:rsidRPr="00D81C52">
        <w:rPr>
          <w:rFonts w:cs="Times New Roman"/>
          <w:szCs w:val="24"/>
          <w:shd w:val="clear" w:color="auto" w:fill="FFFFFF"/>
        </w:rPr>
        <w:t xml:space="preserve">Gregory, and </w:t>
      </w:r>
      <w:proofErr w:type="spellStart"/>
      <w:r w:rsidRPr="00D81C52">
        <w:rPr>
          <w:rFonts w:cs="Times New Roman"/>
          <w:szCs w:val="24"/>
          <w:shd w:val="clear" w:color="auto" w:fill="FFFFFF"/>
        </w:rPr>
        <w:t>Chasomeris</w:t>
      </w:r>
      <w:proofErr w:type="spellEnd"/>
      <w:r w:rsidRPr="00D81C52">
        <w:rPr>
          <w:rFonts w:cs="Times New Roman"/>
          <w:szCs w:val="24"/>
          <w:shd w:val="clear" w:color="auto" w:fill="FFFFFF"/>
        </w:rPr>
        <w:t>, M. (2016) ‘JSE-listed companies in the food and drug retail sector : a content analysis of financial statements to determine their primary purpose’, </w:t>
      </w:r>
      <w:r w:rsidRPr="00D81C52">
        <w:rPr>
          <w:rFonts w:cs="Times New Roman"/>
          <w:i/>
          <w:iCs/>
          <w:szCs w:val="24"/>
          <w:shd w:val="clear" w:color="auto" w:fill="FFFFFF"/>
        </w:rPr>
        <w:t>Journal of Economic and Financial Sciences</w:t>
      </w:r>
      <w:r w:rsidRPr="00D81C52">
        <w:rPr>
          <w:rFonts w:cs="Times New Roman"/>
          <w:szCs w:val="24"/>
          <w:shd w:val="clear" w:color="auto" w:fill="FFFFFF"/>
        </w:rPr>
        <w:t>, </w:t>
      </w:r>
      <w:r w:rsidRPr="00D81C52">
        <w:rPr>
          <w:rFonts w:cs="Times New Roman"/>
          <w:i/>
          <w:iCs/>
          <w:szCs w:val="24"/>
          <w:shd w:val="clear" w:color="auto" w:fill="FFFFFF"/>
        </w:rPr>
        <w:t xml:space="preserve">9 </w:t>
      </w:r>
      <w:r w:rsidRPr="00D81C52">
        <w:rPr>
          <w:rFonts w:cs="Times New Roman"/>
          <w:szCs w:val="24"/>
          <w:shd w:val="clear" w:color="auto" w:fill="FFFFFF"/>
        </w:rPr>
        <w:t xml:space="preserve">(3), pp. 927–950. </w:t>
      </w:r>
      <w:hyperlink r:id="rId18" w:history="1">
        <w:r w:rsidRPr="00D81C52">
          <w:rPr>
            <w:rStyle w:val="Hyperlink"/>
            <w:rFonts w:cs="Times New Roman"/>
            <w:color w:val="000000" w:themeColor="text1"/>
            <w:szCs w:val="24"/>
            <w:u w:val="none"/>
            <w:shd w:val="clear" w:color="auto" w:fill="FFFFFF"/>
          </w:rPr>
          <w:t>https://doi.org/10.4102/jef.v9i3.77</w:t>
        </w:r>
      </w:hyperlink>
      <w:r w:rsidRPr="00D81C52">
        <w:rPr>
          <w:rStyle w:val="Hyperlink"/>
          <w:rFonts w:cs="Times New Roman"/>
          <w:color w:val="000000" w:themeColor="text1"/>
          <w:szCs w:val="24"/>
          <w:u w:val="none"/>
          <w:shd w:val="clear" w:color="auto" w:fill="FFFFFF"/>
        </w:rPr>
        <w:t>.</w:t>
      </w:r>
    </w:p>
    <w:p w14:paraId="09B8703A" w14:textId="77777777" w:rsidR="00FF719B" w:rsidRPr="00D81C52" w:rsidRDefault="00FF719B" w:rsidP="00FF719B">
      <w:pPr>
        <w:spacing w:line="360" w:lineRule="auto"/>
        <w:rPr>
          <w:rStyle w:val="Hyperlink"/>
          <w:rFonts w:cs="Times New Roman"/>
          <w:szCs w:val="24"/>
          <w:u w:val="none"/>
          <w:shd w:val="clear" w:color="auto" w:fill="FFFFFF"/>
        </w:rPr>
      </w:pPr>
      <w:proofErr w:type="spellStart"/>
      <w:r w:rsidRPr="00D81C52">
        <w:rPr>
          <w:rFonts w:cs="Times New Roman"/>
          <w:szCs w:val="24"/>
          <w:shd w:val="clear" w:color="auto" w:fill="FFFFFF"/>
        </w:rPr>
        <w:t>Gujarathi</w:t>
      </w:r>
      <w:proofErr w:type="spellEnd"/>
      <w:r w:rsidRPr="00D81C52">
        <w:rPr>
          <w:rFonts w:cs="Times New Roman"/>
          <w:szCs w:val="24"/>
          <w:shd w:val="clear" w:color="auto" w:fill="FFFFFF"/>
        </w:rPr>
        <w:t>. (2008) ‘Sachiko Corporation: A Case in International Financial Statement Analysis’, </w:t>
      </w:r>
      <w:r w:rsidRPr="00D81C52">
        <w:rPr>
          <w:rFonts w:cs="Times New Roman"/>
          <w:i/>
          <w:iCs/>
          <w:szCs w:val="24"/>
          <w:shd w:val="clear" w:color="auto" w:fill="FFFFFF"/>
        </w:rPr>
        <w:t>Issues in Accounting Education</w:t>
      </w:r>
      <w:r w:rsidRPr="00D81C52">
        <w:rPr>
          <w:rFonts w:cs="Times New Roman"/>
          <w:szCs w:val="24"/>
          <w:shd w:val="clear" w:color="auto" w:fill="FFFFFF"/>
        </w:rPr>
        <w:t>, </w:t>
      </w:r>
      <w:r w:rsidRPr="00D81C52">
        <w:rPr>
          <w:rFonts w:cs="Times New Roman"/>
          <w:i/>
          <w:iCs/>
          <w:szCs w:val="24"/>
          <w:shd w:val="clear" w:color="auto" w:fill="FFFFFF"/>
        </w:rPr>
        <w:t xml:space="preserve">23 </w:t>
      </w:r>
      <w:r w:rsidRPr="00D81C52">
        <w:rPr>
          <w:rFonts w:cs="Times New Roman"/>
          <w:szCs w:val="24"/>
          <w:shd w:val="clear" w:color="auto" w:fill="FFFFFF"/>
        </w:rPr>
        <w:t xml:space="preserve">(1), pp. 77–101. </w:t>
      </w:r>
      <w:hyperlink r:id="rId19" w:history="1">
        <w:r w:rsidRPr="00D81C52">
          <w:rPr>
            <w:rStyle w:val="Hyperlink"/>
            <w:rFonts w:cs="Times New Roman"/>
            <w:color w:val="000000" w:themeColor="text1"/>
            <w:szCs w:val="24"/>
            <w:u w:val="none"/>
            <w:shd w:val="clear" w:color="auto" w:fill="FFFFFF"/>
          </w:rPr>
          <w:t>doi.org/10.2308/iace.2008.23.1.77</w:t>
        </w:r>
      </w:hyperlink>
      <w:r w:rsidRPr="00D81C52">
        <w:rPr>
          <w:rStyle w:val="Hyperlink"/>
          <w:rFonts w:cs="Times New Roman"/>
          <w:color w:val="000000" w:themeColor="text1"/>
          <w:szCs w:val="24"/>
          <w:u w:val="none"/>
          <w:shd w:val="clear" w:color="auto" w:fill="FFFFFF"/>
        </w:rPr>
        <w:t>.</w:t>
      </w:r>
    </w:p>
    <w:p w14:paraId="03B60484" w14:textId="77777777" w:rsidR="00FF719B" w:rsidRPr="00D81C52" w:rsidRDefault="00FF719B" w:rsidP="00FF719B">
      <w:pPr>
        <w:spacing w:line="360" w:lineRule="auto"/>
        <w:rPr>
          <w:rFonts w:cs="Times New Roman"/>
          <w:szCs w:val="24"/>
        </w:rPr>
      </w:pPr>
      <w:r w:rsidRPr="00D81C52">
        <w:rPr>
          <w:rFonts w:cs="Times New Roman"/>
          <w:szCs w:val="24"/>
        </w:rPr>
        <w:t>Higgins, R. C. (2002). Analysis for Financial Management (7th ed.). McGraw-Hill/Irwin.</w:t>
      </w:r>
    </w:p>
    <w:p w14:paraId="78D7EC34" w14:textId="77777777" w:rsidR="00FF719B" w:rsidRPr="00D81C52" w:rsidRDefault="00FF719B" w:rsidP="00FF719B">
      <w:pPr>
        <w:spacing w:line="360" w:lineRule="auto"/>
        <w:rPr>
          <w:rStyle w:val="Hyperlink"/>
          <w:rFonts w:cs="Times New Roman"/>
          <w:szCs w:val="24"/>
          <w:u w:val="none"/>
          <w:shd w:val="clear" w:color="auto" w:fill="FFFFFF"/>
        </w:rPr>
      </w:pPr>
      <w:r w:rsidRPr="00D81C52">
        <w:rPr>
          <w:rFonts w:cs="Times New Roman"/>
          <w:szCs w:val="24"/>
          <w:shd w:val="clear" w:color="auto" w:fill="FFFFFF"/>
        </w:rPr>
        <w:t>Hofmann, and Lampe, K. (2013) ‘Financial statement analysis of logistics service providers: ways of enhancing performance’, </w:t>
      </w:r>
      <w:r w:rsidRPr="00D81C52">
        <w:rPr>
          <w:rFonts w:cs="Times New Roman"/>
          <w:i/>
          <w:iCs/>
          <w:szCs w:val="24"/>
          <w:shd w:val="clear" w:color="auto" w:fill="FFFFFF"/>
        </w:rPr>
        <w:t>International Journal of Physical Distribution &amp; Logistics Management</w:t>
      </w:r>
      <w:r w:rsidRPr="00D81C52">
        <w:rPr>
          <w:rFonts w:cs="Times New Roman"/>
          <w:szCs w:val="24"/>
          <w:shd w:val="clear" w:color="auto" w:fill="FFFFFF"/>
        </w:rPr>
        <w:t>, </w:t>
      </w:r>
      <w:r w:rsidRPr="00D81C52">
        <w:rPr>
          <w:rFonts w:cs="Times New Roman"/>
          <w:i/>
          <w:iCs/>
          <w:szCs w:val="24"/>
          <w:shd w:val="clear" w:color="auto" w:fill="FFFFFF"/>
        </w:rPr>
        <w:t xml:space="preserve">43 </w:t>
      </w:r>
      <w:r w:rsidRPr="00D81C52">
        <w:rPr>
          <w:rFonts w:cs="Times New Roman"/>
          <w:szCs w:val="24"/>
          <w:shd w:val="clear" w:color="auto" w:fill="FFFFFF"/>
        </w:rPr>
        <w:t xml:space="preserve">(4), pp. 321–342. </w:t>
      </w:r>
      <w:hyperlink r:id="rId20" w:history="1">
        <w:r w:rsidRPr="00D81C52">
          <w:rPr>
            <w:rStyle w:val="Hyperlink"/>
            <w:rFonts w:cs="Times New Roman"/>
            <w:color w:val="000000" w:themeColor="text1"/>
            <w:szCs w:val="24"/>
            <w:u w:val="none"/>
            <w:shd w:val="clear" w:color="auto" w:fill="FFFFFF"/>
          </w:rPr>
          <w:t>doi.org/10.1108/IJPDLM-08-2012-0229</w:t>
        </w:r>
      </w:hyperlink>
      <w:r w:rsidRPr="00D81C52">
        <w:rPr>
          <w:rStyle w:val="Hyperlink"/>
          <w:rFonts w:cs="Times New Roman"/>
          <w:color w:val="000000" w:themeColor="text1"/>
          <w:szCs w:val="24"/>
          <w:u w:val="none"/>
          <w:shd w:val="clear" w:color="auto" w:fill="FFFFFF"/>
        </w:rPr>
        <w:t>.</w:t>
      </w:r>
    </w:p>
    <w:p w14:paraId="0E8D8632" w14:textId="77777777" w:rsidR="00FF719B" w:rsidRPr="00D81C52" w:rsidRDefault="00FF719B" w:rsidP="00FF719B">
      <w:pPr>
        <w:spacing w:line="360" w:lineRule="auto"/>
        <w:rPr>
          <w:rFonts w:cs="Times New Roman"/>
          <w:szCs w:val="24"/>
          <w:shd w:val="clear" w:color="auto" w:fill="FFFFFF"/>
        </w:rPr>
      </w:pPr>
      <w:proofErr w:type="spellStart"/>
      <w:r w:rsidRPr="00D81C52">
        <w:rPr>
          <w:rFonts w:cs="Times New Roman"/>
          <w:szCs w:val="24"/>
          <w:shd w:val="clear" w:color="auto" w:fill="FFFFFF"/>
        </w:rPr>
        <w:t>Horizonscan</w:t>
      </w:r>
      <w:proofErr w:type="spellEnd"/>
      <w:r w:rsidRPr="00D81C52">
        <w:rPr>
          <w:rFonts w:cs="Times New Roman"/>
          <w:szCs w:val="24"/>
          <w:shd w:val="clear" w:color="auto" w:fill="FFFFFF"/>
        </w:rPr>
        <w:t>. (2020). The UK Automotive Industry in 2030: A Horizon Scan. Automotive Council UK.</w:t>
      </w:r>
    </w:p>
    <w:p w14:paraId="6661F704" w14:textId="77777777" w:rsidR="00FF719B" w:rsidRPr="00D81C52" w:rsidRDefault="00FF719B" w:rsidP="00FF719B">
      <w:pPr>
        <w:spacing w:line="360" w:lineRule="auto"/>
        <w:rPr>
          <w:rFonts w:cs="Times New Roman"/>
          <w:szCs w:val="24"/>
        </w:rPr>
      </w:pPr>
      <w:r w:rsidRPr="00D81C52">
        <w:rPr>
          <w:rFonts w:cs="Times New Roman"/>
          <w:szCs w:val="24"/>
        </w:rPr>
        <w:t>Higgins, R. C. (1981). The Impact of Firm Size on Profitability: A Comparative Study. The Journal of Finance, 36(4), 1035-1050.</w:t>
      </w:r>
    </w:p>
    <w:p w14:paraId="574E3FE6" w14:textId="77777777" w:rsidR="00FF719B" w:rsidRPr="00D81C52" w:rsidRDefault="00FF719B" w:rsidP="00FF719B">
      <w:pPr>
        <w:spacing w:line="360" w:lineRule="auto"/>
        <w:rPr>
          <w:rStyle w:val="Hyperlink"/>
          <w:rFonts w:cs="Times New Roman"/>
          <w:color w:val="000000" w:themeColor="text1"/>
          <w:szCs w:val="24"/>
          <w:u w:val="none"/>
          <w:shd w:val="clear" w:color="auto" w:fill="FFFFFF"/>
        </w:rPr>
      </w:pPr>
      <w:r w:rsidRPr="00D81C52">
        <w:rPr>
          <w:rFonts w:cs="Times New Roman"/>
          <w:szCs w:val="24"/>
          <w:shd w:val="clear" w:color="auto" w:fill="FFFFFF"/>
        </w:rPr>
        <w:lastRenderedPageBreak/>
        <w:t xml:space="preserve">Jackson. (2022) ‘Financial statement analysis: a review and current issues’, </w:t>
      </w:r>
      <w:r w:rsidRPr="00D81C52">
        <w:rPr>
          <w:rFonts w:cs="Times New Roman"/>
          <w:i/>
          <w:iCs/>
          <w:szCs w:val="24"/>
          <w:shd w:val="clear" w:color="auto" w:fill="FFFFFF"/>
        </w:rPr>
        <w:t>China Finance Review International</w:t>
      </w:r>
      <w:r w:rsidRPr="00D81C52">
        <w:rPr>
          <w:rFonts w:cs="Times New Roman"/>
          <w:szCs w:val="24"/>
          <w:shd w:val="clear" w:color="auto" w:fill="FFFFFF"/>
        </w:rPr>
        <w:t>, </w:t>
      </w:r>
      <w:r w:rsidRPr="00D81C52">
        <w:rPr>
          <w:rFonts w:cs="Times New Roman"/>
          <w:i/>
          <w:iCs/>
          <w:szCs w:val="24"/>
          <w:shd w:val="clear" w:color="auto" w:fill="FFFFFF"/>
        </w:rPr>
        <w:t xml:space="preserve">12 </w:t>
      </w:r>
      <w:r w:rsidRPr="00D81C52">
        <w:rPr>
          <w:rFonts w:cs="Times New Roman"/>
          <w:szCs w:val="24"/>
          <w:shd w:val="clear" w:color="auto" w:fill="FFFFFF"/>
        </w:rPr>
        <w:t xml:space="preserve">(1), pp. 1–19. </w:t>
      </w:r>
      <w:hyperlink r:id="rId21" w:history="1">
        <w:r w:rsidRPr="00D81C52">
          <w:rPr>
            <w:rStyle w:val="Hyperlink"/>
            <w:rFonts w:cs="Times New Roman"/>
            <w:color w:val="000000" w:themeColor="text1"/>
            <w:szCs w:val="24"/>
            <w:u w:val="none"/>
            <w:shd w:val="clear" w:color="auto" w:fill="FFFFFF"/>
          </w:rPr>
          <w:t>doi.org/10.1108/CFRI-10-2021-0208</w:t>
        </w:r>
      </w:hyperlink>
      <w:r w:rsidRPr="00D81C52">
        <w:rPr>
          <w:rStyle w:val="Hyperlink"/>
          <w:rFonts w:cs="Times New Roman"/>
          <w:color w:val="000000" w:themeColor="text1"/>
          <w:szCs w:val="24"/>
          <w:u w:val="none"/>
          <w:shd w:val="clear" w:color="auto" w:fill="FFFFFF"/>
        </w:rPr>
        <w:t>.</w:t>
      </w:r>
    </w:p>
    <w:p w14:paraId="6FF64686" w14:textId="77777777" w:rsidR="00FF719B" w:rsidRPr="00D81C52" w:rsidRDefault="00FF719B" w:rsidP="00FF719B">
      <w:pPr>
        <w:spacing w:line="360" w:lineRule="auto"/>
        <w:rPr>
          <w:rStyle w:val="Hyperlink"/>
          <w:rFonts w:cs="Times New Roman"/>
          <w:szCs w:val="24"/>
          <w:u w:val="none"/>
          <w:shd w:val="clear" w:color="auto" w:fill="FFFFFF"/>
        </w:rPr>
      </w:pPr>
      <w:r w:rsidRPr="00D81C52">
        <w:rPr>
          <w:rFonts w:cs="Times New Roman"/>
          <w:szCs w:val="24"/>
          <w:shd w:val="clear" w:color="auto" w:fill="FFFFFF"/>
        </w:rPr>
        <w:t xml:space="preserve">Jannah. (2017). Financial ratio analysis (case study on pharmaceutical industry in </w:t>
      </w:r>
      <w:proofErr w:type="spellStart"/>
      <w:r w:rsidRPr="00D81C52">
        <w:rPr>
          <w:rFonts w:cs="Times New Roman"/>
          <w:szCs w:val="24"/>
          <w:shd w:val="clear" w:color="auto" w:fill="FFFFFF"/>
        </w:rPr>
        <w:t>indonesia</w:t>
      </w:r>
      <w:proofErr w:type="spellEnd"/>
      <w:r w:rsidRPr="00D81C52">
        <w:rPr>
          <w:rFonts w:cs="Times New Roman"/>
          <w:szCs w:val="24"/>
          <w:shd w:val="clear" w:color="auto" w:fill="FFFFFF"/>
        </w:rPr>
        <w:t xml:space="preserve"> listed on the </w:t>
      </w:r>
      <w:proofErr w:type="spellStart"/>
      <w:r w:rsidRPr="00D81C52">
        <w:rPr>
          <w:rFonts w:cs="Times New Roman"/>
          <w:szCs w:val="24"/>
          <w:shd w:val="clear" w:color="auto" w:fill="FFFFFF"/>
        </w:rPr>
        <w:t>indonesia</w:t>
      </w:r>
      <w:proofErr w:type="spellEnd"/>
      <w:r w:rsidRPr="00D81C52">
        <w:rPr>
          <w:rFonts w:cs="Times New Roman"/>
          <w:szCs w:val="24"/>
          <w:shd w:val="clear" w:color="auto" w:fill="FFFFFF"/>
        </w:rPr>
        <w:t xml:space="preserve"> stock exchange year 2012-2014. </w:t>
      </w:r>
      <w:r w:rsidRPr="00D81C52">
        <w:rPr>
          <w:rFonts w:cs="Times New Roman"/>
          <w:i/>
          <w:iCs/>
          <w:szCs w:val="24"/>
          <w:shd w:val="clear" w:color="auto" w:fill="FFFFFF"/>
        </w:rPr>
        <w:t>JRAMB (</w:t>
      </w:r>
      <w:proofErr w:type="spellStart"/>
      <w:r w:rsidRPr="00D81C52">
        <w:rPr>
          <w:rFonts w:cs="Times New Roman"/>
          <w:i/>
          <w:iCs/>
          <w:szCs w:val="24"/>
          <w:shd w:val="clear" w:color="auto" w:fill="FFFFFF"/>
        </w:rPr>
        <w:t>Jurnal</w:t>
      </w:r>
      <w:proofErr w:type="spellEnd"/>
      <w:r w:rsidRPr="00D81C52">
        <w:rPr>
          <w:rFonts w:cs="Times New Roman"/>
          <w:i/>
          <w:iCs/>
          <w:szCs w:val="24"/>
          <w:shd w:val="clear" w:color="auto" w:fill="FFFFFF"/>
        </w:rPr>
        <w:t xml:space="preserve"> Riset </w:t>
      </w:r>
      <w:proofErr w:type="spellStart"/>
      <w:r w:rsidRPr="00D81C52">
        <w:rPr>
          <w:rFonts w:cs="Times New Roman"/>
          <w:i/>
          <w:iCs/>
          <w:szCs w:val="24"/>
          <w:shd w:val="clear" w:color="auto" w:fill="FFFFFF"/>
        </w:rPr>
        <w:t>Akuntansi</w:t>
      </w:r>
      <w:proofErr w:type="spellEnd"/>
      <w:r w:rsidRPr="00D81C52">
        <w:rPr>
          <w:rFonts w:cs="Times New Roman"/>
          <w:i/>
          <w:iCs/>
          <w:szCs w:val="24"/>
          <w:shd w:val="clear" w:color="auto" w:fill="FFFFFF"/>
        </w:rPr>
        <w:t xml:space="preserve"> </w:t>
      </w:r>
      <w:proofErr w:type="spellStart"/>
      <w:r w:rsidRPr="00D81C52">
        <w:rPr>
          <w:rFonts w:cs="Times New Roman"/>
          <w:i/>
          <w:iCs/>
          <w:szCs w:val="24"/>
          <w:shd w:val="clear" w:color="auto" w:fill="FFFFFF"/>
        </w:rPr>
        <w:t>Mercubuana</w:t>
      </w:r>
      <w:proofErr w:type="spellEnd"/>
      <w:r w:rsidRPr="00D81C52">
        <w:rPr>
          <w:rFonts w:cs="Times New Roman"/>
          <w:i/>
          <w:iCs/>
          <w:szCs w:val="24"/>
          <w:shd w:val="clear" w:color="auto" w:fill="FFFFFF"/>
        </w:rPr>
        <w:t>) (Online)</w:t>
      </w:r>
      <w:r w:rsidRPr="00D81C52">
        <w:rPr>
          <w:rFonts w:cs="Times New Roman"/>
          <w:szCs w:val="24"/>
          <w:shd w:val="clear" w:color="auto" w:fill="FFFFFF"/>
        </w:rPr>
        <w:t>, </w:t>
      </w:r>
      <w:r w:rsidRPr="00D81C52">
        <w:rPr>
          <w:rFonts w:cs="Times New Roman"/>
          <w:i/>
          <w:iCs/>
          <w:szCs w:val="24"/>
          <w:shd w:val="clear" w:color="auto" w:fill="FFFFFF"/>
        </w:rPr>
        <w:t>2</w:t>
      </w:r>
      <w:r w:rsidRPr="00D81C52">
        <w:rPr>
          <w:rFonts w:cs="Times New Roman"/>
          <w:szCs w:val="24"/>
          <w:shd w:val="clear" w:color="auto" w:fill="FFFFFF"/>
        </w:rPr>
        <w:t xml:space="preserve">(1), 1–20. </w:t>
      </w:r>
      <w:hyperlink r:id="rId22" w:history="1">
        <w:r w:rsidRPr="00D81C52">
          <w:rPr>
            <w:rStyle w:val="Hyperlink"/>
            <w:rFonts w:cs="Times New Roman"/>
            <w:color w:val="000000" w:themeColor="text1"/>
            <w:szCs w:val="24"/>
            <w:u w:val="none"/>
            <w:shd w:val="clear" w:color="auto" w:fill="FFFFFF"/>
          </w:rPr>
          <w:t>https://doi.org/10.26486/jramb.v2i1.233</w:t>
        </w:r>
      </w:hyperlink>
      <w:r w:rsidRPr="00D81C52">
        <w:rPr>
          <w:rStyle w:val="Hyperlink"/>
          <w:rFonts w:cs="Times New Roman"/>
          <w:color w:val="000000" w:themeColor="text1"/>
          <w:szCs w:val="24"/>
          <w:u w:val="none"/>
          <w:shd w:val="clear" w:color="auto" w:fill="FFFFFF"/>
        </w:rPr>
        <w:t>.</w:t>
      </w:r>
    </w:p>
    <w:p w14:paraId="55FC7911" w14:textId="77777777" w:rsidR="00FF719B" w:rsidRPr="00D81C52" w:rsidRDefault="00FF719B" w:rsidP="00FF719B">
      <w:pPr>
        <w:spacing w:line="360" w:lineRule="auto"/>
        <w:rPr>
          <w:rFonts w:cs="Times New Roman"/>
          <w:szCs w:val="24"/>
        </w:rPr>
      </w:pPr>
      <w:r w:rsidRPr="00D81C52">
        <w:rPr>
          <w:rFonts w:cs="Times New Roman"/>
          <w:szCs w:val="24"/>
        </w:rPr>
        <w:t>Keefe, M. J., Wright, P., &amp; Sclater, N. (2018). Sectoral differences in financial management practices in the UK. Accounting and Business Research, 48(2), 205-231.</w:t>
      </w:r>
    </w:p>
    <w:p w14:paraId="51BD5AB7" w14:textId="77777777" w:rsidR="00FF719B" w:rsidRPr="00D81C52" w:rsidRDefault="00FF719B" w:rsidP="00FF719B">
      <w:pPr>
        <w:spacing w:line="360" w:lineRule="auto"/>
        <w:rPr>
          <w:rFonts w:cs="Times New Roman"/>
          <w:szCs w:val="24"/>
          <w:shd w:val="clear" w:color="auto" w:fill="FFFFFF"/>
        </w:rPr>
      </w:pPr>
      <w:proofErr w:type="spellStart"/>
      <w:r w:rsidRPr="00D81C52">
        <w:rPr>
          <w:rFonts w:cs="Times New Roman"/>
          <w:szCs w:val="24"/>
          <w:shd w:val="clear" w:color="auto" w:fill="FFFFFF"/>
        </w:rPr>
        <w:t>Konchitchki,and</w:t>
      </w:r>
      <w:proofErr w:type="spellEnd"/>
      <w:r w:rsidRPr="00D81C52">
        <w:rPr>
          <w:rFonts w:cs="Times New Roman"/>
          <w:szCs w:val="24"/>
          <w:shd w:val="clear" w:color="auto" w:fill="FFFFFF"/>
        </w:rPr>
        <w:t xml:space="preserve"> </w:t>
      </w:r>
      <w:proofErr w:type="spellStart"/>
      <w:r w:rsidRPr="00D81C52">
        <w:rPr>
          <w:rFonts w:cs="Times New Roman"/>
          <w:szCs w:val="24"/>
          <w:shd w:val="clear" w:color="auto" w:fill="FFFFFF"/>
        </w:rPr>
        <w:t>Patatoukas</w:t>
      </w:r>
      <w:proofErr w:type="spellEnd"/>
      <w:r w:rsidRPr="00D81C52">
        <w:rPr>
          <w:rFonts w:cs="Times New Roman"/>
          <w:szCs w:val="24"/>
          <w:shd w:val="clear" w:color="auto" w:fill="FFFFFF"/>
        </w:rPr>
        <w:t>, P. N. (2014) ‘Taking the Pulse of the Real Economy Using Financial Statement Analysis: Implications for Macro Forecasting and Stock Valuation’, </w:t>
      </w:r>
      <w:r w:rsidRPr="00D81C52">
        <w:rPr>
          <w:rFonts w:cs="Times New Roman"/>
          <w:i/>
          <w:iCs/>
          <w:szCs w:val="24"/>
          <w:shd w:val="clear" w:color="auto" w:fill="FFFFFF"/>
        </w:rPr>
        <w:t>The Accounting Review</w:t>
      </w:r>
      <w:r w:rsidRPr="00D81C52">
        <w:rPr>
          <w:rFonts w:cs="Times New Roman"/>
          <w:szCs w:val="24"/>
          <w:shd w:val="clear" w:color="auto" w:fill="FFFFFF"/>
        </w:rPr>
        <w:t>, </w:t>
      </w:r>
      <w:r w:rsidRPr="00D81C52">
        <w:rPr>
          <w:rFonts w:cs="Times New Roman"/>
          <w:i/>
          <w:iCs/>
          <w:szCs w:val="24"/>
          <w:shd w:val="clear" w:color="auto" w:fill="FFFFFF"/>
        </w:rPr>
        <w:t xml:space="preserve">89 </w:t>
      </w:r>
      <w:r w:rsidRPr="00D81C52">
        <w:rPr>
          <w:rFonts w:cs="Times New Roman"/>
          <w:szCs w:val="24"/>
          <w:shd w:val="clear" w:color="auto" w:fill="FFFFFF"/>
        </w:rPr>
        <w:t xml:space="preserve">(2), pp. 669–694. </w:t>
      </w:r>
      <w:hyperlink r:id="rId23" w:history="1">
        <w:r w:rsidRPr="00D81C52">
          <w:rPr>
            <w:rStyle w:val="Hyperlink"/>
            <w:rFonts w:cs="Times New Roman"/>
            <w:color w:val="000000" w:themeColor="text1"/>
            <w:szCs w:val="24"/>
            <w:u w:val="none"/>
            <w:shd w:val="clear" w:color="auto" w:fill="FFFFFF"/>
          </w:rPr>
          <w:t>doi.org/10.2308/accr-50632</w:t>
        </w:r>
      </w:hyperlink>
      <w:r w:rsidRPr="00D81C52">
        <w:rPr>
          <w:rStyle w:val="Hyperlink"/>
          <w:rFonts w:cs="Times New Roman"/>
          <w:color w:val="000000" w:themeColor="text1"/>
          <w:szCs w:val="24"/>
          <w:u w:val="none"/>
          <w:shd w:val="clear" w:color="auto" w:fill="FFFFFF"/>
        </w:rPr>
        <w:t>.</w:t>
      </w:r>
    </w:p>
    <w:p w14:paraId="684DFAA4" w14:textId="77777777" w:rsidR="00FF719B" w:rsidRPr="00D81C52" w:rsidRDefault="00FF719B" w:rsidP="00FF719B">
      <w:pPr>
        <w:spacing w:line="360" w:lineRule="auto"/>
        <w:rPr>
          <w:rFonts w:cs="Times New Roman"/>
          <w:szCs w:val="24"/>
          <w:shd w:val="clear" w:color="auto" w:fill="FFFFFF"/>
        </w:rPr>
      </w:pPr>
      <w:proofErr w:type="spellStart"/>
      <w:r w:rsidRPr="00D81C52">
        <w:rPr>
          <w:rFonts w:cs="Times New Roman"/>
          <w:szCs w:val="24"/>
          <w:shd w:val="clear" w:color="auto" w:fill="FFFFFF"/>
        </w:rPr>
        <w:t>Longinidis</w:t>
      </w:r>
      <w:proofErr w:type="spellEnd"/>
      <w:r w:rsidRPr="00D81C52">
        <w:rPr>
          <w:rFonts w:cs="Times New Roman"/>
          <w:szCs w:val="24"/>
          <w:shd w:val="clear" w:color="auto" w:fill="FFFFFF"/>
        </w:rPr>
        <w:t>, and Georgiadis, M. C. (2011) ‘Integration of financial statement analysis in the optimal design of supply chain networks under demand uncertainty’, </w:t>
      </w:r>
      <w:r w:rsidRPr="00D81C52">
        <w:rPr>
          <w:rFonts w:cs="Times New Roman"/>
          <w:i/>
          <w:iCs/>
          <w:szCs w:val="24"/>
          <w:shd w:val="clear" w:color="auto" w:fill="FFFFFF"/>
        </w:rPr>
        <w:t>International Journal of Production Economics</w:t>
      </w:r>
      <w:r w:rsidRPr="00D81C52">
        <w:rPr>
          <w:rFonts w:cs="Times New Roman"/>
          <w:szCs w:val="24"/>
          <w:shd w:val="clear" w:color="auto" w:fill="FFFFFF"/>
        </w:rPr>
        <w:t>, </w:t>
      </w:r>
      <w:r w:rsidRPr="00D81C52">
        <w:rPr>
          <w:rFonts w:cs="Times New Roman"/>
          <w:i/>
          <w:iCs/>
          <w:szCs w:val="24"/>
          <w:shd w:val="clear" w:color="auto" w:fill="FFFFFF"/>
        </w:rPr>
        <w:t xml:space="preserve">129 </w:t>
      </w:r>
      <w:r w:rsidRPr="00D81C52">
        <w:rPr>
          <w:rFonts w:cs="Times New Roman"/>
          <w:szCs w:val="24"/>
          <w:shd w:val="clear" w:color="auto" w:fill="FFFFFF"/>
        </w:rPr>
        <w:t xml:space="preserve">(2), pp. 262–276. </w:t>
      </w:r>
      <w:hyperlink r:id="rId24" w:history="1">
        <w:r w:rsidRPr="00D81C52">
          <w:rPr>
            <w:rStyle w:val="Hyperlink"/>
            <w:rFonts w:cs="Times New Roman"/>
            <w:color w:val="000000" w:themeColor="text1"/>
            <w:szCs w:val="24"/>
            <w:u w:val="none"/>
            <w:shd w:val="clear" w:color="auto" w:fill="FFFFFF"/>
          </w:rPr>
          <w:t>doi.org/10.1016/j.ijpe.2010.10.018</w:t>
        </w:r>
      </w:hyperlink>
      <w:r w:rsidRPr="00D81C52">
        <w:rPr>
          <w:rStyle w:val="Hyperlink"/>
          <w:rFonts w:cs="Times New Roman"/>
          <w:color w:val="000000" w:themeColor="text1"/>
          <w:szCs w:val="24"/>
          <w:u w:val="none"/>
          <w:shd w:val="clear" w:color="auto" w:fill="FFFFFF"/>
        </w:rPr>
        <w:t>.</w:t>
      </w:r>
    </w:p>
    <w:p w14:paraId="12954F74" w14:textId="77777777" w:rsidR="00FF719B" w:rsidRPr="00D81C52" w:rsidRDefault="00FF719B" w:rsidP="00FF719B">
      <w:pPr>
        <w:spacing w:line="360" w:lineRule="auto"/>
        <w:rPr>
          <w:rFonts w:cs="Times New Roman"/>
          <w:szCs w:val="24"/>
        </w:rPr>
      </w:pPr>
      <w:proofErr w:type="spellStart"/>
      <w:r w:rsidRPr="00D81C52">
        <w:rPr>
          <w:rFonts w:cs="Times New Roman"/>
          <w:szCs w:val="24"/>
        </w:rPr>
        <w:t>Mbona</w:t>
      </w:r>
      <w:proofErr w:type="spellEnd"/>
      <w:r w:rsidRPr="00D81C52">
        <w:rPr>
          <w:rFonts w:cs="Times New Roman"/>
          <w:szCs w:val="24"/>
        </w:rPr>
        <w:t xml:space="preserve">, M., and Yusheng, K. (2019) ‘Financial statement analysis Principal component analysis (PCA) approach case study on China telecoms industry Reginald School of Economics and Finance, Jiangsu University, Zhenjiang, China’, </w:t>
      </w:r>
      <w:r w:rsidRPr="00D81C52">
        <w:rPr>
          <w:rFonts w:cs="Times New Roman"/>
          <w:i/>
          <w:iCs/>
          <w:szCs w:val="24"/>
        </w:rPr>
        <w:t xml:space="preserve">Asian Journal of Accounting Research, 4 (2), </w:t>
      </w:r>
      <w:r w:rsidRPr="00D81C52">
        <w:rPr>
          <w:rFonts w:cs="Times New Roman"/>
          <w:szCs w:val="24"/>
        </w:rPr>
        <w:t xml:space="preserve">pp. 233-245. DOI 10.1108/AJAR-05-2019-0037. </w:t>
      </w:r>
    </w:p>
    <w:p w14:paraId="0515E1DF" w14:textId="77777777" w:rsidR="00FF719B" w:rsidRPr="00D81C52" w:rsidRDefault="00FF719B" w:rsidP="00FF719B">
      <w:pPr>
        <w:spacing w:line="360" w:lineRule="auto"/>
        <w:rPr>
          <w:rFonts w:cs="Times New Roman"/>
          <w:szCs w:val="24"/>
        </w:rPr>
      </w:pPr>
      <w:proofErr w:type="spellStart"/>
      <w:r w:rsidRPr="00D81C52">
        <w:rPr>
          <w:rFonts w:cs="Times New Roman"/>
          <w:szCs w:val="24"/>
        </w:rPr>
        <w:t>Mclaney</w:t>
      </w:r>
      <w:proofErr w:type="spellEnd"/>
      <w:r w:rsidRPr="00D81C52">
        <w:rPr>
          <w:rFonts w:cs="Times New Roman"/>
          <w:szCs w:val="24"/>
        </w:rPr>
        <w:t xml:space="preserve">, E.I. (2014) </w:t>
      </w:r>
      <w:r w:rsidRPr="00D81C52">
        <w:rPr>
          <w:rFonts w:cs="Times New Roman"/>
          <w:i/>
          <w:iCs/>
          <w:szCs w:val="24"/>
        </w:rPr>
        <w:t>Business Finance Theory and Practice</w:t>
      </w:r>
      <w:r w:rsidRPr="00D81C52">
        <w:rPr>
          <w:rFonts w:cs="Times New Roman"/>
          <w:szCs w:val="24"/>
        </w:rPr>
        <w:t>. (10th Ed). Financial Times/Prentice Hall.</w:t>
      </w:r>
    </w:p>
    <w:p w14:paraId="3386DB7D"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Mehta, and Bhavani, G. (2018) ‘Financial Statements Analysis on Tesla. </w:t>
      </w:r>
      <w:r w:rsidRPr="00D81C52">
        <w:rPr>
          <w:rFonts w:cs="Times New Roman"/>
          <w:i/>
          <w:iCs/>
          <w:szCs w:val="24"/>
          <w:shd w:val="clear" w:color="auto" w:fill="FFFFFF"/>
        </w:rPr>
        <w:t>Academy of Accounting and Financial Studies Journal</w:t>
      </w:r>
      <w:r w:rsidRPr="00D81C52">
        <w:rPr>
          <w:rFonts w:cs="Times New Roman"/>
          <w:szCs w:val="24"/>
          <w:shd w:val="clear" w:color="auto" w:fill="FFFFFF"/>
        </w:rPr>
        <w:t>, </w:t>
      </w:r>
      <w:r w:rsidRPr="00D81C52">
        <w:rPr>
          <w:rFonts w:cs="Times New Roman"/>
          <w:i/>
          <w:iCs/>
          <w:szCs w:val="24"/>
          <w:shd w:val="clear" w:color="auto" w:fill="FFFFFF"/>
        </w:rPr>
        <w:t xml:space="preserve">22 </w:t>
      </w:r>
      <w:r w:rsidRPr="00D81C52">
        <w:rPr>
          <w:rFonts w:cs="Times New Roman"/>
          <w:szCs w:val="24"/>
          <w:shd w:val="clear" w:color="auto" w:fill="FFFFFF"/>
        </w:rPr>
        <w:t>(6), pp. 1–9.</w:t>
      </w:r>
    </w:p>
    <w:p w14:paraId="579F1C15" w14:textId="77777777" w:rsidR="00FF719B" w:rsidRPr="00D81C52" w:rsidRDefault="00FF719B" w:rsidP="00FF719B">
      <w:pPr>
        <w:spacing w:line="360" w:lineRule="auto"/>
        <w:rPr>
          <w:rStyle w:val="Hyperlink"/>
          <w:rFonts w:cs="Times New Roman"/>
          <w:szCs w:val="24"/>
          <w:u w:val="none"/>
          <w:shd w:val="clear" w:color="auto" w:fill="FFFFFF"/>
        </w:rPr>
      </w:pPr>
      <w:r w:rsidRPr="00D81C52">
        <w:rPr>
          <w:rFonts w:cs="Times New Roman"/>
          <w:szCs w:val="24"/>
          <w:shd w:val="clear" w:color="auto" w:fill="FFFFFF"/>
        </w:rPr>
        <w:t xml:space="preserve">Mitrovic, K., S., and </w:t>
      </w:r>
      <w:proofErr w:type="spellStart"/>
      <w:r w:rsidRPr="00D81C52">
        <w:rPr>
          <w:rFonts w:cs="Times New Roman"/>
          <w:szCs w:val="24"/>
          <w:shd w:val="clear" w:color="auto" w:fill="FFFFFF"/>
        </w:rPr>
        <w:t>Velickovic</w:t>
      </w:r>
      <w:proofErr w:type="spellEnd"/>
      <w:r w:rsidRPr="00D81C52">
        <w:rPr>
          <w:rFonts w:cs="Times New Roman"/>
          <w:szCs w:val="24"/>
          <w:shd w:val="clear" w:color="auto" w:fill="FFFFFF"/>
        </w:rPr>
        <w:t>, M. (2015) ‘Ratio analysis specifics of the family dairies’ financial statements’, </w:t>
      </w:r>
      <w:proofErr w:type="spellStart"/>
      <w:r w:rsidRPr="00D81C52">
        <w:rPr>
          <w:rFonts w:cs="Times New Roman"/>
          <w:i/>
          <w:iCs/>
          <w:szCs w:val="24"/>
          <w:shd w:val="clear" w:color="auto" w:fill="FFFFFF"/>
        </w:rPr>
        <w:t>Ekonomika</w:t>
      </w:r>
      <w:proofErr w:type="spellEnd"/>
      <w:r w:rsidRPr="00D81C52">
        <w:rPr>
          <w:rFonts w:cs="Times New Roman"/>
          <w:i/>
          <w:iCs/>
          <w:szCs w:val="24"/>
          <w:shd w:val="clear" w:color="auto" w:fill="FFFFFF"/>
        </w:rPr>
        <w:t xml:space="preserve"> </w:t>
      </w:r>
      <w:proofErr w:type="spellStart"/>
      <w:r w:rsidRPr="00D81C52">
        <w:rPr>
          <w:rFonts w:cs="Times New Roman"/>
          <w:i/>
          <w:iCs/>
          <w:szCs w:val="24"/>
          <w:shd w:val="clear" w:color="auto" w:fill="FFFFFF"/>
        </w:rPr>
        <w:t>Poljoprivrede</w:t>
      </w:r>
      <w:proofErr w:type="spellEnd"/>
      <w:r w:rsidRPr="00D81C52">
        <w:rPr>
          <w:rFonts w:cs="Times New Roman"/>
          <w:i/>
          <w:iCs/>
          <w:szCs w:val="24"/>
          <w:shd w:val="clear" w:color="auto" w:fill="FFFFFF"/>
        </w:rPr>
        <w:t xml:space="preserve"> (1979)</w:t>
      </w:r>
      <w:r w:rsidRPr="00D81C52">
        <w:rPr>
          <w:rFonts w:cs="Times New Roman"/>
          <w:szCs w:val="24"/>
          <w:shd w:val="clear" w:color="auto" w:fill="FFFFFF"/>
        </w:rPr>
        <w:t>, </w:t>
      </w:r>
      <w:r w:rsidRPr="00D81C52">
        <w:rPr>
          <w:rFonts w:cs="Times New Roman"/>
          <w:i/>
          <w:iCs/>
          <w:szCs w:val="24"/>
          <w:shd w:val="clear" w:color="auto" w:fill="FFFFFF"/>
        </w:rPr>
        <w:t xml:space="preserve">62 </w:t>
      </w:r>
      <w:r w:rsidRPr="00D81C52">
        <w:rPr>
          <w:rFonts w:cs="Times New Roman"/>
          <w:szCs w:val="24"/>
          <w:shd w:val="clear" w:color="auto" w:fill="FFFFFF"/>
        </w:rPr>
        <w:t xml:space="preserve">(4), pp. 1061–1078. </w:t>
      </w:r>
      <w:hyperlink r:id="rId25" w:history="1">
        <w:r w:rsidRPr="00D81C52">
          <w:rPr>
            <w:rStyle w:val="Hyperlink"/>
            <w:rFonts w:cs="Times New Roman"/>
            <w:color w:val="000000" w:themeColor="text1"/>
            <w:szCs w:val="24"/>
            <w:u w:val="none"/>
            <w:shd w:val="clear" w:color="auto" w:fill="FFFFFF"/>
          </w:rPr>
          <w:t>doi.org/10.5937/ekoPolj1504061M</w:t>
        </w:r>
      </w:hyperlink>
      <w:r w:rsidRPr="00D81C52">
        <w:rPr>
          <w:rStyle w:val="Hyperlink"/>
          <w:rFonts w:cs="Times New Roman"/>
          <w:color w:val="000000" w:themeColor="text1"/>
          <w:szCs w:val="24"/>
          <w:u w:val="none"/>
          <w:shd w:val="clear" w:color="auto" w:fill="FFFFFF"/>
        </w:rPr>
        <w:t>.</w:t>
      </w:r>
    </w:p>
    <w:p w14:paraId="0E052B06" w14:textId="77777777" w:rsidR="00FF719B" w:rsidRPr="00D81C52" w:rsidRDefault="00FF719B" w:rsidP="00FF719B">
      <w:pPr>
        <w:spacing w:line="360" w:lineRule="auto"/>
        <w:rPr>
          <w:rFonts w:cs="Times New Roman"/>
          <w:szCs w:val="24"/>
        </w:rPr>
      </w:pPr>
      <w:r w:rsidRPr="00D81C52">
        <w:rPr>
          <w:rFonts w:cs="Times New Roman"/>
          <w:szCs w:val="24"/>
        </w:rPr>
        <w:t>Mulford, C. W., &amp; Comiskey, E. E. (2002). The Financial Numbers Game: Detecting Creative Accounting Practices. John Wiley &amp; Sons.</w:t>
      </w:r>
    </w:p>
    <w:p w14:paraId="77502D0A" w14:textId="77777777" w:rsidR="00FF719B" w:rsidRPr="00D81C52" w:rsidRDefault="00FF719B" w:rsidP="00FF719B">
      <w:pPr>
        <w:spacing w:line="360" w:lineRule="auto"/>
        <w:rPr>
          <w:rFonts w:cs="Times New Roman"/>
          <w:szCs w:val="24"/>
          <w:shd w:val="clear" w:color="auto" w:fill="FFFFFF"/>
        </w:rPr>
      </w:pPr>
      <w:bookmarkStart w:id="24" w:name="_Hlk144553556"/>
      <w:bookmarkStart w:id="25" w:name="_Hlk144553111"/>
      <w:r w:rsidRPr="00D81C52">
        <w:rPr>
          <w:rFonts w:cs="Times New Roman"/>
          <w:szCs w:val="24"/>
          <w:shd w:val="clear" w:color="auto" w:fill="FFFFFF"/>
        </w:rPr>
        <w:t>Nanji, N. (2022) 'Electric car drivers must pay tax from 2025'</w:t>
      </w:r>
      <w:bookmarkEnd w:id="24"/>
      <w:r w:rsidRPr="00D81C52">
        <w:rPr>
          <w:rFonts w:cs="Times New Roman"/>
          <w:szCs w:val="24"/>
          <w:shd w:val="clear" w:color="auto" w:fill="FFFFFF"/>
        </w:rPr>
        <w:t>, BBC News, 17 November. Available at: https://www.bbc.co.uk/news/business-63660321 (Accessed: 2 September 2023).</w:t>
      </w:r>
    </w:p>
    <w:bookmarkEnd w:id="25"/>
    <w:p w14:paraId="59DCCABF" w14:textId="77777777" w:rsidR="00FF719B" w:rsidRPr="00D81C52" w:rsidRDefault="00FF719B" w:rsidP="00FF719B">
      <w:pPr>
        <w:spacing w:line="360" w:lineRule="auto"/>
        <w:rPr>
          <w:rStyle w:val="Hyperlink"/>
          <w:rFonts w:cs="Times New Roman"/>
          <w:szCs w:val="24"/>
          <w:u w:val="none"/>
          <w:shd w:val="clear" w:color="auto" w:fill="FFFFFF"/>
        </w:rPr>
      </w:pPr>
      <w:proofErr w:type="spellStart"/>
      <w:r w:rsidRPr="00D81C52">
        <w:rPr>
          <w:rFonts w:cs="Times New Roman"/>
          <w:szCs w:val="24"/>
          <w:shd w:val="clear" w:color="auto" w:fill="FFFFFF"/>
        </w:rPr>
        <w:lastRenderedPageBreak/>
        <w:t>Nießner</w:t>
      </w:r>
      <w:proofErr w:type="spellEnd"/>
      <w:r w:rsidRPr="00D81C52">
        <w:rPr>
          <w:rFonts w:cs="Times New Roman"/>
          <w:szCs w:val="24"/>
          <w:shd w:val="clear" w:color="auto" w:fill="FFFFFF"/>
        </w:rPr>
        <w:t>, G, D. H., and Schumann, M. (2022) ‘Evidential Strategies in Financial Statement Analysis: A Corpus Linguistic Text Mining Approach to Bankruptcy Prediction’, </w:t>
      </w:r>
      <w:r w:rsidRPr="00D81C52">
        <w:rPr>
          <w:rFonts w:cs="Times New Roman"/>
          <w:i/>
          <w:iCs/>
          <w:szCs w:val="24"/>
          <w:shd w:val="clear" w:color="auto" w:fill="FFFFFF"/>
        </w:rPr>
        <w:t>Journal of Risk and Financial Management</w:t>
      </w:r>
      <w:r w:rsidRPr="00D81C52">
        <w:rPr>
          <w:rFonts w:cs="Times New Roman"/>
          <w:szCs w:val="24"/>
          <w:shd w:val="clear" w:color="auto" w:fill="FFFFFF"/>
        </w:rPr>
        <w:t>, </w:t>
      </w:r>
      <w:r w:rsidRPr="00D81C52">
        <w:rPr>
          <w:rFonts w:cs="Times New Roman"/>
          <w:i/>
          <w:iCs/>
          <w:szCs w:val="24"/>
          <w:shd w:val="clear" w:color="auto" w:fill="FFFFFF"/>
        </w:rPr>
        <w:t xml:space="preserve">15 </w:t>
      </w:r>
      <w:r w:rsidRPr="00D81C52">
        <w:rPr>
          <w:rFonts w:cs="Times New Roman"/>
          <w:szCs w:val="24"/>
          <w:shd w:val="clear" w:color="auto" w:fill="FFFFFF"/>
        </w:rPr>
        <w:t xml:space="preserve">(10), pp. 459–. </w:t>
      </w:r>
      <w:hyperlink r:id="rId26" w:history="1">
        <w:r w:rsidRPr="00D81C52">
          <w:rPr>
            <w:rStyle w:val="Hyperlink"/>
            <w:rFonts w:cs="Times New Roman"/>
            <w:color w:val="000000" w:themeColor="text1"/>
            <w:szCs w:val="24"/>
            <w:u w:val="none"/>
            <w:shd w:val="clear" w:color="auto" w:fill="FFFFFF"/>
          </w:rPr>
          <w:t>doi.org/10.3390/jrfm15100459</w:t>
        </w:r>
      </w:hyperlink>
      <w:r w:rsidRPr="00D81C52">
        <w:rPr>
          <w:rStyle w:val="Hyperlink"/>
          <w:rFonts w:cs="Times New Roman"/>
          <w:color w:val="000000" w:themeColor="text1"/>
          <w:szCs w:val="24"/>
          <w:u w:val="none"/>
          <w:shd w:val="clear" w:color="auto" w:fill="FFFFFF"/>
        </w:rPr>
        <w:t>.</w:t>
      </w:r>
    </w:p>
    <w:p w14:paraId="065AF3CE" w14:textId="77777777" w:rsidR="00FF719B" w:rsidRPr="00D81C52" w:rsidRDefault="00FF719B" w:rsidP="00FF719B">
      <w:pPr>
        <w:spacing w:line="360" w:lineRule="auto"/>
        <w:rPr>
          <w:rFonts w:cs="Times New Roman"/>
          <w:szCs w:val="24"/>
        </w:rPr>
      </w:pPr>
      <w:r w:rsidRPr="00D81C52">
        <w:rPr>
          <w:rFonts w:cs="Times New Roman"/>
          <w:szCs w:val="24"/>
        </w:rPr>
        <w:t>Penman, S. H. (2013). Financial Statement Analysis and Security Valuation (5th ed.). McGraw-Hill/Irwin.</w:t>
      </w:r>
    </w:p>
    <w:p w14:paraId="6A47E752" w14:textId="77777777" w:rsidR="00FF719B" w:rsidRPr="00D81C52" w:rsidRDefault="00FF719B" w:rsidP="00FF719B">
      <w:pPr>
        <w:spacing w:line="360" w:lineRule="auto"/>
        <w:rPr>
          <w:rFonts w:cs="Times New Roman"/>
          <w:szCs w:val="24"/>
        </w:rPr>
      </w:pPr>
      <w:r w:rsidRPr="00D81C52">
        <w:rPr>
          <w:rFonts w:cs="Times New Roman"/>
          <w:szCs w:val="24"/>
        </w:rPr>
        <w:t xml:space="preserve">Penman, S. H., and </w:t>
      </w:r>
      <w:proofErr w:type="spellStart"/>
      <w:r w:rsidRPr="00D81C52">
        <w:rPr>
          <w:rFonts w:cs="Times New Roman"/>
          <w:szCs w:val="24"/>
        </w:rPr>
        <w:t>Sougiannis</w:t>
      </w:r>
      <w:proofErr w:type="spellEnd"/>
      <w:r w:rsidRPr="00D81C52">
        <w:rPr>
          <w:rFonts w:cs="Times New Roman"/>
          <w:szCs w:val="24"/>
        </w:rPr>
        <w:t>, T. (1998). A Comparison of Dividend, Cash Flow, and Earnings Approaches to Equity Valuation. Contemporary Accounting Research, 15(3), 343-383.</w:t>
      </w:r>
    </w:p>
    <w:p w14:paraId="63822B8C"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Riedl, and Srinivasan, S. (2010) ‘</w:t>
      </w:r>
      <w:proofErr w:type="spellStart"/>
      <w:r w:rsidRPr="00D81C52">
        <w:rPr>
          <w:rFonts w:cs="Times New Roman"/>
          <w:szCs w:val="24"/>
          <w:shd w:val="clear" w:color="auto" w:fill="FFFFFF"/>
        </w:rPr>
        <w:t>Signaling</w:t>
      </w:r>
      <w:proofErr w:type="spellEnd"/>
      <w:r w:rsidRPr="00D81C52">
        <w:rPr>
          <w:rFonts w:cs="Times New Roman"/>
          <w:szCs w:val="24"/>
          <w:shd w:val="clear" w:color="auto" w:fill="FFFFFF"/>
        </w:rPr>
        <w:t xml:space="preserve"> Firm Performance Through Financial Statement Presentation: An Analysis Using Special Items’, </w:t>
      </w:r>
      <w:r w:rsidRPr="00D81C52">
        <w:rPr>
          <w:rFonts w:cs="Times New Roman"/>
          <w:i/>
          <w:iCs/>
          <w:szCs w:val="24"/>
          <w:shd w:val="clear" w:color="auto" w:fill="FFFFFF"/>
        </w:rPr>
        <w:t>Contemporary Accounting Research</w:t>
      </w:r>
      <w:r w:rsidRPr="00D81C52">
        <w:rPr>
          <w:rFonts w:cs="Times New Roman"/>
          <w:szCs w:val="24"/>
          <w:shd w:val="clear" w:color="auto" w:fill="FFFFFF"/>
        </w:rPr>
        <w:t>, </w:t>
      </w:r>
      <w:r w:rsidRPr="00D81C52">
        <w:rPr>
          <w:rFonts w:cs="Times New Roman"/>
          <w:i/>
          <w:iCs/>
          <w:szCs w:val="24"/>
          <w:shd w:val="clear" w:color="auto" w:fill="FFFFFF"/>
        </w:rPr>
        <w:t>27</w:t>
      </w:r>
      <w:r w:rsidRPr="00D81C52">
        <w:rPr>
          <w:rFonts w:cs="Times New Roman"/>
          <w:szCs w:val="24"/>
          <w:shd w:val="clear" w:color="auto" w:fill="FFFFFF"/>
        </w:rPr>
        <w:t xml:space="preserve">(1), pp. 289–332. </w:t>
      </w:r>
      <w:hyperlink r:id="rId27" w:history="1">
        <w:r w:rsidRPr="00D81C52">
          <w:rPr>
            <w:rStyle w:val="Hyperlink"/>
            <w:rFonts w:cs="Times New Roman"/>
            <w:color w:val="000000" w:themeColor="text1"/>
            <w:szCs w:val="24"/>
            <w:u w:val="none"/>
            <w:shd w:val="clear" w:color="auto" w:fill="FFFFFF"/>
          </w:rPr>
          <w:t>doi.org/10.1111/j.1911-3846.2010.01009.x</w:t>
        </w:r>
      </w:hyperlink>
      <w:r w:rsidRPr="00D81C52">
        <w:rPr>
          <w:rStyle w:val="Hyperlink"/>
          <w:rFonts w:cs="Times New Roman"/>
          <w:color w:val="000000" w:themeColor="text1"/>
          <w:szCs w:val="24"/>
          <w:u w:val="none"/>
          <w:shd w:val="clear" w:color="auto" w:fill="FFFFFF"/>
        </w:rPr>
        <w:t>.</w:t>
      </w:r>
    </w:p>
    <w:p w14:paraId="13CD963E"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 xml:space="preserve">Rodríguez-González, C., R., </w:t>
      </w:r>
      <w:proofErr w:type="spellStart"/>
      <w:r w:rsidRPr="00D81C52">
        <w:rPr>
          <w:rFonts w:cs="Times New Roman"/>
          <w:szCs w:val="24"/>
          <w:shd w:val="clear" w:color="auto" w:fill="FFFFFF"/>
        </w:rPr>
        <w:t>Guldris</w:t>
      </w:r>
      <w:proofErr w:type="spellEnd"/>
      <w:r w:rsidRPr="00D81C52">
        <w:rPr>
          <w:rFonts w:cs="Times New Roman"/>
          <w:szCs w:val="24"/>
          <w:shd w:val="clear" w:color="auto" w:fill="FFFFFF"/>
        </w:rPr>
        <w:t>-Iglesias, F., Gómez-</w:t>
      </w:r>
      <w:proofErr w:type="spellStart"/>
      <w:r w:rsidRPr="00D81C52">
        <w:rPr>
          <w:rFonts w:cs="Times New Roman"/>
          <w:szCs w:val="24"/>
          <w:shd w:val="clear" w:color="auto" w:fill="FFFFFF"/>
        </w:rPr>
        <w:t>Berbís</w:t>
      </w:r>
      <w:proofErr w:type="spellEnd"/>
      <w:r w:rsidRPr="00D81C52">
        <w:rPr>
          <w:rFonts w:cs="Times New Roman"/>
          <w:szCs w:val="24"/>
          <w:shd w:val="clear" w:color="auto" w:fill="FFFFFF"/>
        </w:rPr>
        <w:t>, J. M., and García-Crespo, A. (2012) ‘FAST: Fundamental Analysis Support for Financial Statements. Using semantics for trading recommendations’, </w:t>
      </w:r>
      <w:r w:rsidRPr="00D81C52">
        <w:rPr>
          <w:rFonts w:cs="Times New Roman"/>
          <w:i/>
          <w:iCs/>
          <w:szCs w:val="24"/>
          <w:shd w:val="clear" w:color="auto" w:fill="FFFFFF"/>
        </w:rPr>
        <w:t>Information Systems Frontiers</w:t>
      </w:r>
      <w:r w:rsidRPr="00D81C52">
        <w:rPr>
          <w:rFonts w:cs="Times New Roman"/>
          <w:szCs w:val="24"/>
          <w:shd w:val="clear" w:color="auto" w:fill="FFFFFF"/>
        </w:rPr>
        <w:t>, </w:t>
      </w:r>
      <w:r w:rsidRPr="00D81C52">
        <w:rPr>
          <w:rFonts w:cs="Times New Roman"/>
          <w:i/>
          <w:iCs/>
          <w:szCs w:val="24"/>
          <w:shd w:val="clear" w:color="auto" w:fill="FFFFFF"/>
        </w:rPr>
        <w:t xml:space="preserve">14 </w:t>
      </w:r>
      <w:r w:rsidRPr="00D81C52">
        <w:rPr>
          <w:rFonts w:cs="Times New Roman"/>
          <w:szCs w:val="24"/>
          <w:shd w:val="clear" w:color="auto" w:fill="FFFFFF"/>
        </w:rPr>
        <w:t xml:space="preserve">(5), pp. 999–1017. </w:t>
      </w:r>
      <w:hyperlink r:id="rId28" w:history="1">
        <w:r w:rsidRPr="00D81C52">
          <w:rPr>
            <w:rStyle w:val="Hyperlink"/>
            <w:rFonts w:cs="Times New Roman"/>
            <w:color w:val="000000" w:themeColor="text1"/>
            <w:szCs w:val="24"/>
            <w:u w:val="none"/>
            <w:shd w:val="clear" w:color="auto" w:fill="FFFFFF"/>
          </w:rPr>
          <w:t>doi.org/10.1007/s10796-011-9321-1</w:t>
        </w:r>
      </w:hyperlink>
      <w:r w:rsidRPr="00D81C52">
        <w:rPr>
          <w:rStyle w:val="Hyperlink"/>
          <w:rFonts w:cs="Times New Roman"/>
          <w:color w:val="000000" w:themeColor="text1"/>
          <w:szCs w:val="24"/>
          <w:u w:val="none"/>
          <w:shd w:val="clear" w:color="auto" w:fill="FFFFFF"/>
        </w:rPr>
        <w:t>.</w:t>
      </w:r>
    </w:p>
    <w:p w14:paraId="51099014" w14:textId="77777777" w:rsidR="00FF719B" w:rsidRPr="00D81C52" w:rsidRDefault="00FF719B" w:rsidP="00FF719B">
      <w:pPr>
        <w:spacing w:line="360" w:lineRule="auto"/>
        <w:rPr>
          <w:rStyle w:val="Hyperlink"/>
          <w:rFonts w:cs="Times New Roman"/>
          <w:szCs w:val="24"/>
          <w:u w:val="none"/>
          <w:shd w:val="clear" w:color="auto" w:fill="FFFFFF"/>
        </w:rPr>
      </w:pPr>
      <w:r w:rsidRPr="00D81C52">
        <w:rPr>
          <w:rFonts w:cs="Times New Roman"/>
          <w:szCs w:val="24"/>
          <w:shd w:val="clear" w:color="auto" w:fill="FFFFFF"/>
        </w:rPr>
        <w:t xml:space="preserve">Rodríguez-Pérez, </w:t>
      </w:r>
      <w:proofErr w:type="spellStart"/>
      <w:r w:rsidRPr="00D81C52">
        <w:rPr>
          <w:rFonts w:cs="Times New Roman"/>
          <w:szCs w:val="24"/>
          <w:shd w:val="clear" w:color="auto" w:fill="FFFFFF"/>
        </w:rPr>
        <w:t>Slof</w:t>
      </w:r>
      <w:proofErr w:type="spellEnd"/>
      <w:r w:rsidRPr="00D81C52">
        <w:rPr>
          <w:rFonts w:cs="Times New Roman"/>
          <w:szCs w:val="24"/>
          <w:shd w:val="clear" w:color="auto" w:fill="FFFFFF"/>
        </w:rPr>
        <w:t xml:space="preserve">, J., </w:t>
      </w:r>
      <w:proofErr w:type="spellStart"/>
      <w:r w:rsidRPr="00D81C52">
        <w:rPr>
          <w:rFonts w:cs="Times New Roman"/>
          <w:szCs w:val="24"/>
          <w:shd w:val="clear" w:color="auto" w:fill="FFFFFF"/>
        </w:rPr>
        <w:t>Solà</w:t>
      </w:r>
      <w:proofErr w:type="spellEnd"/>
      <w:r w:rsidRPr="00D81C52">
        <w:rPr>
          <w:rFonts w:cs="Times New Roman"/>
          <w:szCs w:val="24"/>
          <w:shd w:val="clear" w:color="auto" w:fill="FFFFFF"/>
        </w:rPr>
        <w:t xml:space="preserve">, M., Torrent, M., And </w:t>
      </w:r>
      <w:proofErr w:type="spellStart"/>
      <w:r w:rsidRPr="00D81C52">
        <w:rPr>
          <w:rFonts w:cs="Times New Roman"/>
          <w:szCs w:val="24"/>
          <w:shd w:val="clear" w:color="auto" w:fill="FFFFFF"/>
        </w:rPr>
        <w:t>Vilardell</w:t>
      </w:r>
      <w:proofErr w:type="spellEnd"/>
      <w:r w:rsidRPr="00D81C52">
        <w:rPr>
          <w:rFonts w:cs="Times New Roman"/>
          <w:szCs w:val="24"/>
          <w:shd w:val="clear" w:color="auto" w:fill="FFFFFF"/>
        </w:rPr>
        <w:t>, I. (2011) ‘Assessing the Impact of Fair-Value Accounting on Financial Statement Analysis: A Data Envelopment Analysis Approach’, </w:t>
      </w:r>
      <w:r w:rsidRPr="00D81C52">
        <w:rPr>
          <w:rFonts w:cs="Times New Roman"/>
          <w:i/>
          <w:iCs/>
          <w:szCs w:val="24"/>
          <w:shd w:val="clear" w:color="auto" w:fill="FFFFFF"/>
        </w:rPr>
        <w:t>Abacus (Sydney)</w:t>
      </w:r>
      <w:r w:rsidRPr="00D81C52">
        <w:rPr>
          <w:rFonts w:cs="Times New Roman"/>
          <w:szCs w:val="24"/>
          <w:shd w:val="clear" w:color="auto" w:fill="FFFFFF"/>
        </w:rPr>
        <w:t>, </w:t>
      </w:r>
      <w:r w:rsidRPr="00D81C52">
        <w:rPr>
          <w:rFonts w:cs="Times New Roman"/>
          <w:i/>
          <w:iCs/>
          <w:szCs w:val="24"/>
          <w:shd w:val="clear" w:color="auto" w:fill="FFFFFF"/>
        </w:rPr>
        <w:t xml:space="preserve">47 </w:t>
      </w:r>
      <w:r w:rsidRPr="00D81C52">
        <w:rPr>
          <w:rFonts w:cs="Times New Roman"/>
          <w:szCs w:val="24"/>
          <w:shd w:val="clear" w:color="auto" w:fill="FFFFFF"/>
        </w:rPr>
        <w:t xml:space="preserve">(1), pp. 61–84. </w:t>
      </w:r>
      <w:hyperlink r:id="rId29" w:history="1">
        <w:r w:rsidRPr="00D81C52">
          <w:rPr>
            <w:rStyle w:val="Hyperlink"/>
            <w:rFonts w:cs="Times New Roman"/>
            <w:color w:val="000000" w:themeColor="text1"/>
            <w:szCs w:val="24"/>
            <w:u w:val="none"/>
            <w:shd w:val="clear" w:color="auto" w:fill="FFFFFF"/>
          </w:rPr>
          <w:t>doi.org/10.1111/j.1467-6281.2011.00331.x</w:t>
        </w:r>
      </w:hyperlink>
      <w:r w:rsidRPr="00D81C52">
        <w:rPr>
          <w:rStyle w:val="Hyperlink"/>
          <w:rFonts w:cs="Times New Roman"/>
          <w:color w:val="000000" w:themeColor="text1"/>
          <w:szCs w:val="24"/>
          <w:u w:val="none"/>
          <w:shd w:val="clear" w:color="auto" w:fill="FFFFFF"/>
        </w:rPr>
        <w:t>.</w:t>
      </w:r>
    </w:p>
    <w:p w14:paraId="76E93B02" w14:textId="77777777" w:rsidR="00FF719B" w:rsidRPr="00D81C52" w:rsidRDefault="00FF719B" w:rsidP="00FF719B">
      <w:pPr>
        <w:spacing w:line="360" w:lineRule="auto"/>
        <w:rPr>
          <w:rFonts w:cs="Times New Roman"/>
          <w:szCs w:val="24"/>
        </w:rPr>
      </w:pPr>
      <w:r w:rsidRPr="00D81C52">
        <w:rPr>
          <w:rFonts w:cs="Times New Roman"/>
          <w:szCs w:val="24"/>
        </w:rPr>
        <w:t>Ross, S. A., Westerfield, R. W., &amp; Jordan, B. D. (2019). Essentials of Corporate Finance (10th ed.). McGraw-Hill Education.</w:t>
      </w:r>
    </w:p>
    <w:p w14:paraId="6C89C392" w14:textId="77777777" w:rsidR="00FF719B" w:rsidRPr="00D81C52" w:rsidRDefault="00FF719B" w:rsidP="00FF719B">
      <w:pPr>
        <w:spacing w:line="360" w:lineRule="auto"/>
        <w:rPr>
          <w:rStyle w:val="Hyperlink"/>
          <w:rFonts w:cs="Times New Roman"/>
          <w:color w:val="000000" w:themeColor="text1"/>
          <w:szCs w:val="24"/>
          <w:u w:val="none"/>
          <w:shd w:val="clear" w:color="auto" w:fill="FFFFFF"/>
        </w:rPr>
      </w:pPr>
      <w:r w:rsidRPr="00D81C52">
        <w:rPr>
          <w:rFonts w:cs="Times New Roman"/>
          <w:szCs w:val="24"/>
          <w:shd w:val="clear" w:color="auto" w:fill="FFFFFF"/>
        </w:rPr>
        <w:t>Shawl, &amp; Nayak, K. M. (2023). Financial Statement Analysis: Case Study of Apar Industries. </w:t>
      </w:r>
      <w:r w:rsidRPr="00D81C52">
        <w:rPr>
          <w:rFonts w:cs="Times New Roman"/>
          <w:i/>
          <w:iCs/>
          <w:szCs w:val="24"/>
          <w:shd w:val="clear" w:color="auto" w:fill="FFFFFF"/>
        </w:rPr>
        <w:t>Asian Journal of Management Cases</w:t>
      </w:r>
      <w:r w:rsidRPr="00D81C52">
        <w:rPr>
          <w:rFonts w:cs="Times New Roman"/>
          <w:szCs w:val="24"/>
          <w:shd w:val="clear" w:color="auto" w:fill="FFFFFF"/>
        </w:rPr>
        <w:t xml:space="preserve">. </w:t>
      </w:r>
      <w:hyperlink r:id="rId30" w:history="1">
        <w:r w:rsidRPr="00D81C52">
          <w:rPr>
            <w:rStyle w:val="Hyperlink"/>
            <w:rFonts w:cs="Times New Roman"/>
            <w:color w:val="000000" w:themeColor="text1"/>
            <w:szCs w:val="24"/>
            <w:u w:val="none"/>
            <w:shd w:val="clear" w:color="auto" w:fill="FFFFFF"/>
          </w:rPr>
          <w:t>https://doi.org/10.1177/09728201231169131</w:t>
        </w:r>
      </w:hyperlink>
      <w:r w:rsidRPr="00D81C52">
        <w:rPr>
          <w:rStyle w:val="Hyperlink"/>
          <w:rFonts w:cs="Times New Roman"/>
          <w:color w:val="000000" w:themeColor="text1"/>
          <w:szCs w:val="24"/>
          <w:u w:val="none"/>
          <w:shd w:val="clear" w:color="auto" w:fill="FFFFFF"/>
        </w:rPr>
        <w:t>.</w:t>
      </w:r>
    </w:p>
    <w:p w14:paraId="7C209E03"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SMMT. (2020). Road to Zero: The UK Automotive Sector's Route to Net Zero. Society of Motor Manufacturers and Traders.</w:t>
      </w:r>
    </w:p>
    <w:p w14:paraId="0A5AE18A" w14:textId="77777777" w:rsidR="00FF719B" w:rsidRPr="00D81C52" w:rsidRDefault="00FF719B" w:rsidP="00FF719B">
      <w:pPr>
        <w:spacing w:line="360" w:lineRule="auto"/>
        <w:rPr>
          <w:rFonts w:cs="Times New Roman"/>
          <w:szCs w:val="24"/>
          <w:shd w:val="clear" w:color="auto" w:fill="FFFFFF"/>
        </w:rPr>
      </w:pPr>
      <w:r w:rsidRPr="00D81C52">
        <w:rPr>
          <w:rFonts w:cs="Times New Roman"/>
          <w:szCs w:val="24"/>
          <w:shd w:val="clear" w:color="auto" w:fill="FFFFFF"/>
        </w:rPr>
        <w:t>Swamy. (2014). Case studies of corporate misgovernance: a new approach to financial statement analysis. </w:t>
      </w:r>
      <w:r w:rsidRPr="00D81C52">
        <w:rPr>
          <w:rFonts w:cs="Times New Roman"/>
          <w:i/>
          <w:iCs/>
          <w:szCs w:val="24"/>
          <w:shd w:val="clear" w:color="auto" w:fill="FFFFFF"/>
        </w:rPr>
        <w:t>International Journal of Business</w:t>
      </w:r>
      <w:r w:rsidRPr="00D81C52">
        <w:rPr>
          <w:rFonts w:cs="Times New Roman"/>
          <w:szCs w:val="24"/>
          <w:shd w:val="clear" w:color="auto" w:fill="FFFFFF"/>
        </w:rPr>
        <w:t>, </w:t>
      </w:r>
      <w:r w:rsidRPr="00D81C52">
        <w:rPr>
          <w:rFonts w:cs="Times New Roman"/>
          <w:i/>
          <w:iCs/>
          <w:szCs w:val="24"/>
          <w:shd w:val="clear" w:color="auto" w:fill="FFFFFF"/>
        </w:rPr>
        <w:t>19</w:t>
      </w:r>
      <w:r w:rsidRPr="00D81C52">
        <w:rPr>
          <w:rFonts w:cs="Times New Roman"/>
          <w:szCs w:val="24"/>
          <w:shd w:val="clear" w:color="auto" w:fill="FFFFFF"/>
        </w:rPr>
        <w:t>(1), 99–.</w:t>
      </w:r>
    </w:p>
    <w:p w14:paraId="5B8B15C4" w14:textId="77777777" w:rsidR="00FF719B" w:rsidRPr="00D81C52" w:rsidRDefault="00FF719B" w:rsidP="00FF719B">
      <w:pPr>
        <w:spacing w:line="360" w:lineRule="auto"/>
        <w:rPr>
          <w:rStyle w:val="Hyperlink"/>
          <w:rFonts w:cs="Times New Roman"/>
          <w:color w:val="000000" w:themeColor="text1"/>
          <w:szCs w:val="24"/>
          <w:u w:val="none"/>
          <w:shd w:val="clear" w:color="auto" w:fill="FFFFFF"/>
        </w:rPr>
      </w:pPr>
      <w:r w:rsidRPr="00D81C52">
        <w:rPr>
          <w:rFonts w:cs="Times New Roman"/>
          <w:szCs w:val="24"/>
          <w:shd w:val="clear" w:color="auto" w:fill="FFFFFF"/>
        </w:rPr>
        <w:t>Tian, E. X., and Robert Yu, T. (2018) ‘Financial Statement Analysis: Evidence from Chinese Firms’, </w:t>
      </w:r>
      <w:r w:rsidRPr="00D81C52">
        <w:rPr>
          <w:rFonts w:cs="Times New Roman"/>
          <w:i/>
          <w:iCs/>
          <w:szCs w:val="24"/>
          <w:shd w:val="clear" w:color="auto" w:fill="FFFFFF"/>
        </w:rPr>
        <w:t>Review of Pacific Basin Financial Markets and Policies</w:t>
      </w:r>
      <w:r w:rsidRPr="00D81C52">
        <w:rPr>
          <w:rFonts w:cs="Times New Roman"/>
          <w:szCs w:val="24"/>
          <w:shd w:val="clear" w:color="auto" w:fill="FFFFFF"/>
        </w:rPr>
        <w:t>, </w:t>
      </w:r>
      <w:r w:rsidRPr="00D81C52">
        <w:rPr>
          <w:rFonts w:cs="Times New Roman"/>
          <w:i/>
          <w:iCs/>
          <w:szCs w:val="24"/>
          <w:shd w:val="clear" w:color="auto" w:fill="FFFFFF"/>
        </w:rPr>
        <w:t xml:space="preserve">21 </w:t>
      </w:r>
      <w:r w:rsidRPr="00D81C52">
        <w:rPr>
          <w:rFonts w:cs="Times New Roman"/>
          <w:szCs w:val="24"/>
          <w:shd w:val="clear" w:color="auto" w:fill="FFFFFF"/>
        </w:rPr>
        <w:t xml:space="preserve">(4), pp. 1850027–. </w:t>
      </w:r>
      <w:hyperlink r:id="rId31" w:history="1">
        <w:r w:rsidRPr="00D81C52">
          <w:rPr>
            <w:rStyle w:val="Hyperlink"/>
            <w:rFonts w:cs="Times New Roman"/>
            <w:color w:val="000000" w:themeColor="text1"/>
            <w:szCs w:val="24"/>
            <w:u w:val="none"/>
            <w:shd w:val="clear" w:color="auto" w:fill="FFFFFF"/>
          </w:rPr>
          <w:t>doi.org/10.1142/S0219091518500273</w:t>
        </w:r>
      </w:hyperlink>
      <w:r w:rsidRPr="00D81C52">
        <w:rPr>
          <w:rStyle w:val="Hyperlink"/>
          <w:rFonts w:cs="Times New Roman"/>
          <w:color w:val="000000" w:themeColor="text1"/>
          <w:szCs w:val="24"/>
          <w:u w:val="none"/>
          <w:shd w:val="clear" w:color="auto" w:fill="FFFFFF"/>
        </w:rPr>
        <w:t>.</w:t>
      </w:r>
    </w:p>
    <w:p w14:paraId="01CEE79C" w14:textId="77777777" w:rsidR="00FF719B" w:rsidRPr="00D81C52" w:rsidRDefault="00FF719B" w:rsidP="00FF719B">
      <w:pPr>
        <w:spacing w:line="360" w:lineRule="auto"/>
        <w:rPr>
          <w:rFonts w:cs="Times New Roman"/>
          <w:szCs w:val="24"/>
          <w:shd w:val="clear" w:color="auto" w:fill="FFFFFF"/>
        </w:rPr>
      </w:pPr>
      <w:proofErr w:type="spellStart"/>
      <w:r w:rsidRPr="00D81C52">
        <w:rPr>
          <w:rFonts w:cs="Times New Roman"/>
          <w:szCs w:val="24"/>
          <w:shd w:val="clear" w:color="auto" w:fill="FFFFFF"/>
        </w:rPr>
        <w:lastRenderedPageBreak/>
        <w:t>Thottoli</w:t>
      </w:r>
      <w:proofErr w:type="spellEnd"/>
      <w:r w:rsidRPr="00D81C52">
        <w:rPr>
          <w:rFonts w:cs="Times New Roman"/>
          <w:szCs w:val="24"/>
          <w:shd w:val="clear" w:color="auto" w:fill="FFFFFF"/>
        </w:rPr>
        <w:t>, I., M. A., Sobhani, F. A., Rahman, S., and Hassan, M. S. (2022) ‘Auditing and Sustainability Accounting: A Global Examination Using the Scopus Database’, </w:t>
      </w:r>
      <w:r w:rsidRPr="00D81C52">
        <w:rPr>
          <w:rFonts w:cs="Times New Roman"/>
          <w:i/>
          <w:iCs/>
          <w:szCs w:val="24"/>
          <w:shd w:val="clear" w:color="auto" w:fill="FFFFFF"/>
        </w:rPr>
        <w:t>Sustainability (Basel, Switzerland)</w:t>
      </w:r>
      <w:r w:rsidRPr="00D81C52">
        <w:rPr>
          <w:rFonts w:cs="Times New Roman"/>
          <w:szCs w:val="24"/>
          <w:shd w:val="clear" w:color="auto" w:fill="FFFFFF"/>
        </w:rPr>
        <w:t>, </w:t>
      </w:r>
      <w:r w:rsidRPr="00D81C52">
        <w:rPr>
          <w:rFonts w:cs="Times New Roman"/>
          <w:i/>
          <w:iCs/>
          <w:szCs w:val="24"/>
          <w:shd w:val="clear" w:color="auto" w:fill="FFFFFF"/>
        </w:rPr>
        <w:t xml:space="preserve">14 </w:t>
      </w:r>
      <w:r w:rsidRPr="00D81C52">
        <w:rPr>
          <w:rFonts w:cs="Times New Roman"/>
          <w:szCs w:val="24"/>
          <w:shd w:val="clear" w:color="auto" w:fill="FFFFFF"/>
        </w:rPr>
        <w:t xml:space="preserve">(23), pp. 16323–. </w:t>
      </w:r>
      <w:hyperlink r:id="rId32" w:history="1">
        <w:r w:rsidRPr="00D81C52">
          <w:rPr>
            <w:rStyle w:val="Hyperlink"/>
            <w:rFonts w:cs="Times New Roman"/>
            <w:color w:val="000000" w:themeColor="text1"/>
            <w:szCs w:val="24"/>
            <w:u w:val="none"/>
            <w:shd w:val="clear" w:color="auto" w:fill="FFFFFF"/>
          </w:rPr>
          <w:t>doi.org/10.3390/su142316323</w:t>
        </w:r>
      </w:hyperlink>
      <w:r w:rsidRPr="00D81C52">
        <w:rPr>
          <w:rStyle w:val="Hyperlink"/>
          <w:rFonts w:cs="Times New Roman"/>
          <w:color w:val="000000" w:themeColor="text1"/>
          <w:szCs w:val="24"/>
          <w:u w:val="none"/>
          <w:shd w:val="clear" w:color="auto" w:fill="FFFFFF"/>
        </w:rPr>
        <w:t>.</w:t>
      </w:r>
    </w:p>
    <w:p w14:paraId="7997F242" w14:textId="77777777" w:rsidR="00FF719B" w:rsidRPr="00D81C52" w:rsidRDefault="00FF719B" w:rsidP="00FF719B">
      <w:pPr>
        <w:spacing w:line="360" w:lineRule="auto"/>
        <w:rPr>
          <w:rFonts w:cs="Times New Roman"/>
          <w:szCs w:val="24"/>
        </w:rPr>
      </w:pPr>
      <w:r w:rsidRPr="00D81C52">
        <w:rPr>
          <w:rFonts w:cs="Times New Roman"/>
          <w:szCs w:val="24"/>
        </w:rPr>
        <w:t xml:space="preserve">Weetman, P. ( 2011) </w:t>
      </w:r>
      <w:r w:rsidRPr="00D81C52">
        <w:rPr>
          <w:rFonts w:cs="Times New Roman"/>
          <w:i/>
          <w:iCs/>
          <w:szCs w:val="24"/>
        </w:rPr>
        <w:t>Financial and Management Accounting.</w:t>
      </w:r>
      <w:r w:rsidRPr="00D81C52">
        <w:rPr>
          <w:rFonts w:cs="Times New Roman"/>
          <w:szCs w:val="24"/>
        </w:rPr>
        <w:t xml:space="preserve"> 5th Edition FT Prentice Hall.</w:t>
      </w:r>
    </w:p>
    <w:p w14:paraId="5535BCB9" w14:textId="77777777" w:rsidR="00FF719B" w:rsidRPr="00D81C52" w:rsidRDefault="00FF719B" w:rsidP="00FF719B">
      <w:pPr>
        <w:spacing w:line="360" w:lineRule="auto"/>
        <w:rPr>
          <w:rFonts w:cs="Times New Roman"/>
          <w:szCs w:val="24"/>
        </w:rPr>
      </w:pPr>
      <w:r w:rsidRPr="00D81C52">
        <w:rPr>
          <w:rFonts w:cs="Times New Roman"/>
          <w:szCs w:val="24"/>
        </w:rPr>
        <w:t>Wild, J. J., Subramanyam, K. R., &amp; Halsey, R. F. (2015). Financial statement analysis. McGraw-Hill Education.</w:t>
      </w:r>
    </w:p>
    <w:p w14:paraId="59C844CF" w14:textId="77777777" w:rsidR="00FF719B" w:rsidRDefault="00FF719B" w:rsidP="00FF719B"/>
    <w:p w14:paraId="18B72626" w14:textId="77777777" w:rsidR="00FF719B" w:rsidRDefault="00FF719B" w:rsidP="00FF719B"/>
    <w:p w14:paraId="26FDA78B" w14:textId="77777777" w:rsidR="00FF719B" w:rsidRDefault="00FF719B" w:rsidP="00FF719B"/>
    <w:p w14:paraId="6CB796CA" w14:textId="77777777" w:rsidR="00FF719B" w:rsidRDefault="00FF719B" w:rsidP="00FF719B"/>
    <w:p w14:paraId="31C353DE" w14:textId="77777777" w:rsidR="00FF719B" w:rsidRDefault="00FF719B" w:rsidP="00FF719B"/>
    <w:p w14:paraId="0470DB2F" w14:textId="77777777" w:rsidR="00FF719B" w:rsidRDefault="00FF719B" w:rsidP="00FF719B"/>
    <w:p w14:paraId="13B5C16C" w14:textId="77777777" w:rsidR="00FF719B" w:rsidRDefault="00FF719B" w:rsidP="00FF719B"/>
    <w:p w14:paraId="680D27A6" w14:textId="77777777" w:rsidR="00FF719B" w:rsidRDefault="00FF719B" w:rsidP="00FF719B"/>
    <w:p w14:paraId="1305C82B" w14:textId="77777777" w:rsidR="00FF719B" w:rsidRDefault="00FF719B" w:rsidP="00FF719B"/>
    <w:p w14:paraId="34FA06A7" w14:textId="77777777" w:rsidR="00FF719B" w:rsidRDefault="00FF719B" w:rsidP="00FF719B"/>
    <w:p w14:paraId="3C7B49F5" w14:textId="77777777" w:rsidR="00FF719B" w:rsidRDefault="00FF719B" w:rsidP="00FF719B"/>
    <w:p w14:paraId="4CF876E7" w14:textId="77777777" w:rsidR="00FF719B" w:rsidRDefault="00FF719B" w:rsidP="00FF719B"/>
    <w:p w14:paraId="426F56B8" w14:textId="77777777" w:rsidR="0034269B" w:rsidRDefault="0034269B" w:rsidP="00FF719B"/>
    <w:p w14:paraId="00F030CD" w14:textId="77777777" w:rsidR="0034269B" w:rsidRDefault="0034269B" w:rsidP="00FF719B"/>
    <w:p w14:paraId="4DBED55A" w14:textId="77777777" w:rsidR="0034269B" w:rsidRDefault="0034269B" w:rsidP="00FF719B"/>
    <w:p w14:paraId="378DED52" w14:textId="77777777" w:rsidR="0034269B" w:rsidRDefault="0034269B" w:rsidP="00FF719B"/>
    <w:p w14:paraId="66489086" w14:textId="77777777" w:rsidR="0034269B" w:rsidRDefault="0034269B" w:rsidP="00FF719B"/>
    <w:p w14:paraId="2C18B5F4" w14:textId="77777777" w:rsidR="0034269B" w:rsidRDefault="0034269B" w:rsidP="00FF719B"/>
    <w:p w14:paraId="37ED3557" w14:textId="77777777" w:rsidR="0034269B" w:rsidRDefault="0034269B" w:rsidP="00FF719B"/>
    <w:p w14:paraId="714FED9C" w14:textId="77777777" w:rsidR="00FF719B" w:rsidRDefault="00FF719B" w:rsidP="00FF719B"/>
    <w:p w14:paraId="27237D5F" w14:textId="77777777" w:rsidR="00FF719B" w:rsidRPr="00FF719B" w:rsidRDefault="00FF719B" w:rsidP="00FF719B"/>
    <w:p w14:paraId="00ECB048" w14:textId="77777777" w:rsidR="00E61215" w:rsidRPr="008D6FCA" w:rsidRDefault="00E61215" w:rsidP="008D6FCA">
      <w:pPr>
        <w:spacing w:line="360" w:lineRule="auto"/>
        <w:rPr>
          <w:rFonts w:cs="Times New Roman"/>
        </w:rPr>
      </w:pPr>
    </w:p>
    <w:p w14:paraId="3E00D741" w14:textId="08C26D0D" w:rsidR="00E61215" w:rsidRPr="008D6FCA" w:rsidRDefault="007C65D7" w:rsidP="008D6FCA">
      <w:pPr>
        <w:pStyle w:val="Heading2"/>
        <w:spacing w:line="360" w:lineRule="auto"/>
        <w:jc w:val="both"/>
        <w:rPr>
          <w:rFonts w:cs="Times New Roman"/>
        </w:rPr>
      </w:pPr>
      <w:bookmarkStart w:id="26" w:name="_Toc145150226"/>
      <w:r w:rsidRPr="008D6FCA">
        <w:rPr>
          <w:rFonts w:cs="Times New Roman"/>
        </w:rPr>
        <w:lastRenderedPageBreak/>
        <w:t>Ration Calculations</w:t>
      </w:r>
      <w:bookmarkEnd w:id="26"/>
    </w:p>
    <w:p w14:paraId="24234516" w14:textId="3513C529" w:rsidR="00AB5D14" w:rsidRDefault="00FF719B" w:rsidP="008D6FCA">
      <w:pPr>
        <w:spacing w:line="360" w:lineRule="auto"/>
        <w:rPr>
          <w:rFonts w:cs="Times New Roman"/>
        </w:rPr>
      </w:pPr>
      <w:r>
        <w:rPr>
          <w:rFonts w:cs="Times New Roman"/>
        </w:rPr>
        <w:t>Aston Martin Lagonda</w:t>
      </w:r>
    </w:p>
    <w:p w14:paraId="1B7A472F" w14:textId="27BB3D4A" w:rsidR="00FF719B" w:rsidRDefault="00FF719B" w:rsidP="008D6FCA">
      <w:pPr>
        <w:spacing w:line="360" w:lineRule="auto"/>
        <w:rPr>
          <w:rFonts w:cs="Times New Roman"/>
        </w:rPr>
      </w:pPr>
      <w:r w:rsidRPr="00FF719B">
        <w:rPr>
          <w:rFonts w:cs="Times New Roman"/>
          <w:noProof/>
        </w:rPr>
        <w:drawing>
          <wp:inline distT="0" distB="0" distL="0" distR="0" wp14:anchorId="552B0C75" wp14:editId="5648D56B">
            <wp:extent cx="5731510" cy="2877185"/>
            <wp:effectExtent l="0" t="0" r="2540" b="0"/>
            <wp:docPr id="8966337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33749" name="Picture 1" descr="A screenshot of a computer&#10;&#10;Description automatically generated"/>
                    <pic:cNvPicPr/>
                  </pic:nvPicPr>
                  <pic:blipFill>
                    <a:blip r:embed="rId33"/>
                    <a:stretch>
                      <a:fillRect/>
                    </a:stretch>
                  </pic:blipFill>
                  <pic:spPr>
                    <a:xfrm>
                      <a:off x="0" y="0"/>
                      <a:ext cx="5731510" cy="2877185"/>
                    </a:xfrm>
                    <a:prstGeom prst="rect">
                      <a:avLst/>
                    </a:prstGeom>
                  </pic:spPr>
                </pic:pic>
              </a:graphicData>
            </a:graphic>
          </wp:inline>
        </w:drawing>
      </w:r>
    </w:p>
    <w:p w14:paraId="31B2FFF9" w14:textId="393C709C" w:rsidR="00FF719B" w:rsidRDefault="00FF719B" w:rsidP="008D6FCA">
      <w:pPr>
        <w:spacing w:line="360" w:lineRule="auto"/>
        <w:rPr>
          <w:rFonts w:cs="Times New Roman"/>
        </w:rPr>
      </w:pPr>
      <w:r>
        <w:rPr>
          <w:rFonts w:cs="Times New Roman"/>
        </w:rPr>
        <w:t>BMW (UK) Ltd</w:t>
      </w:r>
    </w:p>
    <w:p w14:paraId="00F98526" w14:textId="2B360DC7" w:rsidR="00FF719B" w:rsidRDefault="00FF719B" w:rsidP="008D6FCA">
      <w:pPr>
        <w:spacing w:line="360" w:lineRule="auto"/>
        <w:rPr>
          <w:rFonts w:cs="Times New Roman"/>
        </w:rPr>
      </w:pPr>
      <w:r w:rsidRPr="00FF719B">
        <w:rPr>
          <w:rFonts w:cs="Times New Roman"/>
          <w:noProof/>
        </w:rPr>
        <w:drawing>
          <wp:inline distT="0" distB="0" distL="0" distR="0" wp14:anchorId="53BB4630" wp14:editId="15C71A10">
            <wp:extent cx="5731510" cy="2542540"/>
            <wp:effectExtent l="0" t="0" r="2540" b="0"/>
            <wp:docPr id="1379451719" name="Picture 1" descr="A white backgrou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51719" name="Picture 1" descr="A white background with black and white text&#10;&#10;Description automatically generated"/>
                    <pic:cNvPicPr/>
                  </pic:nvPicPr>
                  <pic:blipFill>
                    <a:blip r:embed="rId34"/>
                    <a:stretch>
                      <a:fillRect/>
                    </a:stretch>
                  </pic:blipFill>
                  <pic:spPr>
                    <a:xfrm>
                      <a:off x="0" y="0"/>
                      <a:ext cx="5731510" cy="2542540"/>
                    </a:xfrm>
                    <a:prstGeom prst="rect">
                      <a:avLst/>
                    </a:prstGeom>
                  </pic:spPr>
                </pic:pic>
              </a:graphicData>
            </a:graphic>
          </wp:inline>
        </w:drawing>
      </w:r>
    </w:p>
    <w:p w14:paraId="2D7B9447" w14:textId="77777777" w:rsidR="00FF719B" w:rsidRDefault="00FF719B" w:rsidP="008D6FCA">
      <w:pPr>
        <w:spacing w:line="360" w:lineRule="auto"/>
        <w:rPr>
          <w:rFonts w:cs="Times New Roman"/>
        </w:rPr>
      </w:pPr>
    </w:p>
    <w:p w14:paraId="2B4B0753" w14:textId="77777777" w:rsidR="00FF719B" w:rsidRDefault="00FF719B" w:rsidP="008D6FCA">
      <w:pPr>
        <w:spacing w:line="360" w:lineRule="auto"/>
        <w:rPr>
          <w:rFonts w:cs="Times New Roman"/>
        </w:rPr>
      </w:pPr>
    </w:p>
    <w:p w14:paraId="55CC0C1E" w14:textId="77777777" w:rsidR="00FF719B" w:rsidRDefault="00FF719B" w:rsidP="008D6FCA">
      <w:pPr>
        <w:spacing w:line="360" w:lineRule="auto"/>
        <w:rPr>
          <w:rFonts w:cs="Times New Roman"/>
        </w:rPr>
      </w:pPr>
    </w:p>
    <w:p w14:paraId="33F01581" w14:textId="77777777" w:rsidR="00FF719B" w:rsidRDefault="00FF719B" w:rsidP="008D6FCA">
      <w:pPr>
        <w:spacing w:line="360" w:lineRule="auto"/>
        <w:rPr>
          <w:rFonts w:cs="Times New Roman"/>
        </w:rPr>
      </w:pPr>
    </w:p>
    <w:p w14:paraId="0B62F170" w14:textId="77777777" w:rsidR="00FF719B" w:rsidRPr="008D6FCA" w:rsidRDefault="00FF719B" w:rsidP="008D6FCA">
      <w:pPr>
        <w:spacing w:line="360" w:lineRule="auto"/>
        <w:rPr>
          <w:rFonts w:cs="Times New Roman"/>
        </w:rPr>
      </w:pPr>
    </w:p>
    <w:p w14:paraId="5C2B022E" w14:textId="78C5C40A" w:rsidR="007C65D7" w:rsidRDefault="007C65D7" w:rsidP="008D6FCA">
      <w:pPr>
        <w:pStyle w:val="Heading2"/>
        <w:spacing w:line="360" w:lineRule="auto"/>
        <w:jc w:val="both"/>
        <w:rPr>
          <w:rFonts w:cs="Times New Roman"/>
        </w:rPr>
      </w:pPr>
      <w:bookmarkStart w:id="27" w:name="_Toc145150227"/>
      <w:r w:rsidRPr="008D6FCA">
        <w:rPr>
          <w:rFonts w:cs="Times New Roman"/>
        </w:rPr>
        <w:lastRenderedPageBreak/>
        <w:t>The Statements</w:t>
      </w:r>
      <w:bookmarkEnd w:id="27"/>
      <w:r w:rsidRPr="008D6FCA">
        <w:rPr>
          <w:rFonts w:cs="Times New Roman"/>
        </w:rPr>
        <w:t xml:space="preserve"> </w:t>
      </w:r>
    </w:p>
    <w:p w14:paraId="70C05132" w14:textId="4ED4535D" w:rsidR="00FF719B" w:rsidRDefault="00FF719B" w:rsidP="00FF719B">
      <w:r>
        <w:rPr>
          <w:noProof/>
        </w:rPr>
        <w:drawing>
          <wp:inline distT="0" distB="0" distL="0" distR="0" wp14:anchorId="428F024F" wp14:editId="4DEF59B2">
            <wp:extent cx="5731510" cy="4803775"/>
            <wp:effectExtent l="0" t="0" r="2540" b="0"/>
            <wp:docPr id="2" name="Picture 1" descr="A document with numbers and text&#10;&#10;Description automatically generated">
              <a:extLst xmlns:a="http://schemas.openxmlformats.org/drawingml/2006/main">
                <a:ext uri="{FF2B5EF4-FFF2-40B4-BE49-F238E27FC236}">
                  <a16:creationId xmlns:a16="http://schemas.microsoft.com/office/drawing/2014/main" id="{069E6B06-FC12-8FED-E5BE-33CA98C1A8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ocument with numbers and text&#10;&#10;Description automatically generated">
                      <a:extLst>
                        <a:ext uri="{FF2B5EF4-FFF2-40B4-BE49-F238E27FC236}">
                          <a16:creationId xmlns:a16="http://schemas.microsoft.com/office/drawing/2014/main" id="{069E6B06-FC12-8FED-E5BE-33CA98C1A839}"/>
                        </a:ext>
                      </a:extLst>
                    </pic:cNvPr>
                    <pic:cNvPicPr>
                      <a:picLocks noChangeAspect="1"/>
                    </pic:cNvPicPr>
                  </pic:nvPicPr>
                  <pic:blipFill>
                    <a:blip r:embed="rId35"/>
                    <a:stretch>
                      <a:fillRect/>
                    </a:stretch>
                  </pic:blipFill>
                  <pic:spPr>
                    <a:xfrm>
                      <a:off x="0" y="0"/>
                      <a:ext cx="5731510" cy="4803775"/>
                    </a:xfrm>
                    <a:prstGeom prst="rect">
                      <a:avLst/>
                    </a:prstGeom>
                  </pic:spPr>
                </pic:pic>
              </a:graphicData>
            </a:graphic>
          </wp:inline>
        </w:drawing>
      </w:r>
    </w:p>
    <w:p w14:paraId="217AC720" w14:textId="6B013109" w:rsidR="00FF719B" w:rsidRDefault="00FF719B" w:rsidP="00FF719B">
      <w:r>
        <w:rPr>
          <w:noProof/>
        </w:rPr>
        <w:lastRenderedPageBreak/>
        <w:drawing>
          <wp:inline distT="0" distB="0" distL="0" distR="0" wp14:anchorId="27C30BB9" wp14:editId="6D145D5B">
            <wp:extent cx="5731510" cy="7915275"/>
            <wp:effectExtent l="0" t="0" r="2540" b="9525"/>
            <wp:docPr id="3" name="Picture 2" descr="A paper with numbers and text&#10;&#10;Description automatically generated">
              <a:extLst xmlns:a="http://schemas.openxmlformats.org/drawingml/2006/main">
                <a:ext uri="{FF2B5EF4-FFF2-40B4-BE49-F238E27FC236}">
                  <a16:creationId xmlns:a16="http://schemas.microsoft.com/office/drawing/2014/main" id="{CC82199A-C8A5-2AD7-F42F-F77DC4222C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aper with numbers and text&#10;&#10;Description automatically generated">
                      <a:extLst>
                        <a:ext uri="{FF2B5EF4-FFF2-40B4-BE49-F238E27FC236}">
                          <a16:creationId xmlns:a16="http://schemas.microsoft.com/office/drawing/2014/main" id="{CC82199A-C8A5-2AD7-F42F-F77DC4222C83}"/>
                        </a:ext>
                      </a:extLst>
                    </pic:cNvPr>
                    <pic:cNvPicPr>
                      <a:picLocks noChangeAspect="1"/>
                    </pic:cNvPicPr>
                  </pic:nvPicPr>
                  <pic:blipFill>
                    <a:blip r:embed="rId36"/>
                    <a:stretch>
                      <a:fillRect/>
                    </a:stretch>
                  </pic:blipFill>
                  <pic:spPr>
                    <a:xfrm>
                      <a:off x="0" y="0"/>
                      <a:ext cx="5731510" cy="7915275"/>
                    </a:xfrm>
                    <a:prstGeom prst="rect">
                      <a:avLst/>
                    </a:prstGeom>
                  </pic:spPr>
                </pic:pic>
              </a:graphicData>
            </a:graphic>
          </wp:inline>
        </w:drawing>
      </w:r>
    </w:p>
    <w:p w14:paraId="74D6438A" w14:textId="63DBFFC2" w:rsidR="00FF719B" w:rsidRDefault="00FF719B" w:rsidP="00FF719B">
      <w:r>
        <w:rPr>
          <w:noProof/>
        </w:rPr>
        <w:lastRenderedPageBreak/>
        <w:drawing>
          <wp:inline distT="0" distB="0" distL="0" distR="0" wp14:anchorId="09EF9F94" wp14:editId="36ED85A1">
            <wp:extent cx="5731510" cy="7195820"/>
            <wp:effectExtent l="0" t="0" r="2540" b="5080"/>
            <wp:docPr id="4" name="Picture 3" descr="A paper with text and numbers&#10;&#10;Description automatically generated">
              <a:extLst xmlns:a="http://schemas.openxmlformats.org/drawingml/2006/main">
                <a:ext uri="{FF2B5EF4-FFF2-40B4-BE49-F238E27FC236}">
                  <a16:creationId xmlns:a16="http://schemas.microsoft.com/office/drawing/2014/main" id="{4ECB3C0E-C1D5-3EC4-B18A-32E6E9C78F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aper with text and numbers&#10;&#10;Description automatically generated">
                      <a:extLst>
                        <a:ext uri="{FF2B5EF4-FFF2-40B4-BE49-F238E27FC236}">
                          <a16:creationId xmlns:a16="http://schemas.microsoft.com/office/drawing/2014/main" id="{4ECB3C0E-C1D5-3EC4-B18A-32E6E9C78FC4}"/>
                        </a:ext>
                      </a:extLst>
                    </pic:cNvPr>
                    <pic:cNvPicPr>
                      <a:picLocks noChangeAspect="1"/>
                    </pic:cNvPicPr>
                  </pic:nvPicPr>
                  <pic:blipFill>
                    <a:blip r:embed="rId37"/>
                    <a:stretch>
                      <a:fillRect/>
                    </a:stretch>
                  </pic:blipFill>
                  <pic:spPr>
                    <a:xfrm>
                      <a:off x="0" y="0"/>
                      <a:ext cx="5731510" cy="7195820"/>
                    </a:xfrm>
                    <a:prstGeom prst="rect">
                      <a:avLst/>
                    </a:prstGeom>
                  </pic:spPr>
                </pic:pic>
              </a:graphicData>
            </a:graphic>
          </wp:inline>
        </w:drawing>
      </w:r>
    </w:p>
    <w:p w14:paraId="2B4A0794" w14:textId="1605C598" w:rsidR="00FF719B" w:rsidRDefault="00FF719B" w:rsidP="00FF719B">
      <w:r>
        <w:rPr>
          <w:noProof/>
        </w:rPr>
        <w:lastRenderedPageBreak/>
        <w:drawing>
          <wp:inline distT="0" distB="0" distL="0" distR="0" wp14:anchorId="767A076C" wp14:editId="2A0C417B">
            <wp:extent cx="5731510" cy="4582795"/>
            <wp:effectExtent l="0" t="0" r="2540" b="8255"/>
            <wp:docPr id="13243009" name="Picture 13243009" descr="A paper with numbers and a list of income statement&#10;&#10;Description automatically generated with medium confidence">
              <a:extLst xmlns:a="http://schemas.openxmlformats.org/drawingml/2006/main">
                <a:ext uri="{FF2B5EF4-FFF2-40B4-BE49-F238E27FC236}">
                  <a16:creationId xmlns:a16="http://schemas.microsoft.com/office/drawing/2014/main" id="{84F2B23A-488B-34A3-85DE-922E6AF729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3009" name="Picture 13243009" descr="A paper with numbers and a list of income statement&#10;&#10;Description automatically generated with medium confidence">
                      <a:extLst>
                        <a:ext uri="{FF2B5EF4-FFF2-40B4-BE49-F238E27FC236}">
                          <a16:creationId xmlns:a16="http://schemas.microsoft.com/office/drawing/2014/main" id="{84F2B23A-488B-34A3-85DE-922E6AF729CA}"/>
                        </a:ext>
                      </a:extLst>
                    </pic:cNvPr>
                    <pic:cNvPicPr>
                      <a:picLocks noChangeAspect="1"/>
                    </pic:cNvPicPr>
                  </pic:nvPicPr>
                  <pic:blipFill>
                    <a:blip r:embed="rId38"/>
                    <a:stretch>
                      <a:fillRect/>
                    </a:stretch>
                  </pic:blipFill>
                  <pic:spPr>
                    <a:xfrm>
                      <a:off x="0" y="0"/>
                      <a:ext cx="5731510" cy="4582795"/>
                    </a:xfrm>
                    <a:prstGeom prst="rect">
                      <a:avLst/>
                    </a:prstGeom>
                  </pic:spPr>
                </pic:pic>
              </a:graphicData>
            </a:graphic>
          </wp:inline>
        </w:drawing>
      </w:r>
    </w:p>
    <w:p w14:paraId="27996510" w14:textId="77730C73" w:rsidR="00FF719B" w:rsidRDefault="00FF719B" w:rsidP="00FF719B">
      <w:r>
        <w:rPr>
          <w:noProof/>
        </w:rPr>
        <w:lastRenderedPageBreak/>
        <w:drawing>
          <wp:inline distT="0" distB="0" distL="0" distR="0" wp14:anchorId="13B199EE" wp14:editId="7E9DC7E1">
            <wp:extent cx="5731510" cy="7000875"/>
            <wp:effectExtent l="0" t="0" r="2540" b="9525"/>
            <wp:docPr id="1879781218" name="Picture 1879781218" descr="A paper with text and numbers&#10;&#10;Description automatically generated">
              <a:extLst xmlns:a="http://schemas.openxmlformats.org/drawingml/2006/main">
                <a:ext uri="{FF2B5EF4-FFF2-40B4-BE49-F238E27FC236}">
                  <a16:creationId xmlns:a16="http://schemas.microsoft.com/office/drawing/2014/main" id="{66BE099C-A1A2-D4A0-05FF-1BF1630F14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81218" name="Picture 1879781218" descr="A paper with text and numbers&#10;&#10;Description automatically generated">
                      <a:extLst>
                        <a:ext uri="{FF2B5EF4-FFF2-40B4-BE49-F238E27FC236}">
                          <a16:creationId xmlns:a16="http://schemas.microsoft.com/office/drawing/2014/main" id="{66BE099C-A1A2-D4A0-05FF-1BF1630F14FD}"/>
                        </a:ext>
                      </a:extLst>
                    </pic:cNvPr>
                    <pic:cNvPicPr>
                      <a:picLocks noChangeAspect="1"/>
                    </pic:cNvPicPr>
                  </pic:nvPicPr>
                  <pic:blipFill>
                    <a:blip r:embed="rId39"/>
                    <a:stretch>
                      <a:fillRect/>
                    </a:stretch>
                  </pic:blipFill>
                  <pic:spPr>
                    <a:xfrm>
                      <a:off x="0" y="0"/>
                      <a:ext cx="5731510" cy="7000875"/>
                    </a:xfrm>
                    <a:prstGeom prst="rect">
                      <a:avLst/>
                    </a:prstGeom>
                  </pic:spPr>
                </pic:pic>
              </a:graphicData>
            </a:graphic>
          </wp:inline>
        </w:drawing>
      </w:r>
    </w:p>
    <w:p w14:paraId="4AB4F6FD" w14:textId="50EB7B62" w:rsidR="00FF719B" w:rsidRPr="00FF719B" w:rsidRDefault="00FF719B" w:rsidP="00FF719B">
      <w:r>
        <w:rPr>
          <w:noProof/>
        </w:rPr>
        <w:lastRenderedPageBreak/>
        <w:drawing>
          <wp:inline distT="0" distB="0" distL="0" distR="0" wp14:anchorId="74E9488C" wp14:editId="20840781">
            <wp:extent cx="5731510" cy="6337300"/>
            <wp:effectExtent l="0" t="0" r="2540" b="6350"/>
            <wp:docPr id="1742944403" name="Picture 1742944403" descr="A paper with numbers and text&#10;&#10;Description automatically generated">
              <a:extLst xmlns:a="http://schemas.openxmlformats.org/drawingml/2006/main">
                <a:ext uri="{FF2B5EF4-FFF2-40B4-BE49-F238E27FC236}">
                  <a16:creationId xmlns:a16="http://schemas.microsoft.com/office/drawing/2014/main" id="{DA6B4162-E801-567F-2AA3-3547EE64D6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44403" name="Picture 1742944403" descr="A paper with numbers and text&#10;&#10;Description automatically generated">
                      <a:extLst>
                        <a:ext uri="{FF2B5EF4-FFF2-40B4-BE49-F238E27FC236}">
                          <a16:creationId xmlns:a16="http://schemas.microsoft.com/office/drawing/2014/main" id="{DA6B4162-E801-567F-2AA3-3547EE64D6E8}"/>
                        </a:ext>
                      </a:extLst>
                    </pic:cNvPr>
                    <pic:cNvPicPr>
                      <a:picLocks noChangeAspect="1"/>
                    </pic:cNvPicPr>
                  </pic:nvPicPr>
                  <pic:blipFill>
                    <a:blip r:embed="rId40"/>
                    <a:stretch>
                      <a:fillRect/>
                    </a:stretch>
                  </pic:blipFill>
                  <pic:spPr>
                    <a:xfrm>
                      <a:off x="0" y="0"/>
                      <a:ext cx="5731510" cy="6337300"/>
                    </a:xfrm>
                    <a:prstGeom prst="rect">
                      <a:avLst/>
                    </a:prstGeom>
                  </pic:spPr>
                </pic:pic>
              </a:graphicData>
            </a:graphic>
          </wp:inline>
        </w:drawing>
      </w:r>
    </w:p>
    <w:p w14:paraId="56240BAB" w14:textId="77777777" w:rsidR="0004493C" w:rsidRPr="008D6FCA" w:rsidRDefault="0004493C" w:rsidP="008D6FCA">
      <w:pPr>
        <w:spacing w:line="360" w:lineRule="auto"/>
        <w:rPr>
          <w:rFonts w:cs="Times New Roman"/>
        </w:rPr>
      </w:pPr>
    </w:p>
    <w:p w14:paraId="226A9D15" w14:textId="77777777" w:rsidR="0004493C" w:rsidRPr="008D6FCA" w:rsidRDefault="0004493C" w:rsidP="008D6FCA">
      <w:pPr>
        <w:spacing w:line="360" w:lineRule="auto"/>
        <w:rPr>
          <w:rFonts w:cs="Times New Roman"/>
        </w:rPr>
      </w:pPr>
    </w:p>
    <w:bookmarkEnd w:id="1"/>
    <w:p w14:paraId="2CC5E805" w14:textId="77777777" w:rsidR="0004493C" w:rsidRPr="008D6FCA" w:rsidRDefault="0004493C" w:rsidP="008D6FCA">
      <w:pPr>
        <w:spacing w:line="360" w:lineRule="auto"/>
        <w:rPr>
          <w:rFonts w:cs="Times New Roman"/>
        </w:rPr>
      </w:pPr>
    </w:p>
    <w:sectPr w:rsidR="0004493C" w:rsidRPr="008D6FCA" w:rsidSect="006B35AB">
      <w:footerReference w:type="default" r:id="rId41"/>
      <w:pgSz w:w="11906" w:h="16838"/>
      <w:pgMar w:top="1440" w:right="1440" w:bottom="1440" w:left="1440" w:header="708" w:footer="708" w:gutter="0"/>
      <w:pgBorders w:display="firstPage" w:offsetFrom="page">
        <w:top w:val="triple" w:sz="4" w:space="24" w:color="000000" w:themeColor="text1"/>
        <w:left w:val="triple" w:sz="4" w:space="24" w:color="000000" w:themeColor="text1"/>
        <w:bottom w:val="triple" w:sz="4" w:space="24" w:color="000000" w:themeColor="text1"/>
        <w:right w:val="triple" w:sz="4" w:space="24" w:color="000000" w:themeColor="tex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91A1B" w14:textId="77777777" w:rsidR="004B7785" w:rsidRDefault="004B7785" w:rsidP="002804A6">
      <w:pPr>
        <w:spacing w:after="0" w:line="240" w:lineRule="auto"/>
      </w:pPr>
      <w:r>
        <w:separator/>
      </w:r>
    </w:p>
  </w:endnote>
  <w:endnote w:type="continuationSeparator" w:id="0">
    <w:p w14:paraId="6D33E135" w14:textId="77777777" w:rsidR="004B7785" w:rsidRDefault="004B7785" w:rsidP="00280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165987"/>
      <w:docPartObj>
        <w:docPartGallery w:val="Page Numbers (Bottom of Page)"/>
        <w:docPartUnique/>
      </w:docPartObj>
    </w:sdtPr>
    <w:sdtEndPr>
      <w:rPr>
        <w:noProof/>
      </w:rPr>
    </w:sdtEndPr>
    <w:sdtContent>
      <w:p w14:paraId="763A85F2" w14:textId="30DFC604" w:rsidR="002804A6" w:rsidRDefault="00280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83FBB" w14:textId="7EC91FF5" w:rsidR="002804A6" w:rsidRDefault="00D9664A" w:rsidP="00D9664A">
    <w:pPr>
      <w:pStyle w:val="Footer"/>
      <w:tabs>
        <w:tab w:val="clear" w:pos="4513"/>
        <w:tab w:val="clear" w:pos="9026"/>
        <w:tab w:val="left" w:pos="819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0AFBD" w14:textId="77777777" w:rsidR="004B7785" w:rsidRDefault="004B7785" w:rsidP="002804A6">
      <w:pPr>
        <w:spacing w:after="0" w:line="240" w:lineRule="auto"/>
      </w:pPr>
      <w:r>
        <w:separator/>
      </w:r>
    </w:p>
  </w:footnote>
  <w:footnote w:type="continuationSeparator" w:id="0">
    <w:p w14:paraId="49411481" w14:textId="77777777" w:rsidR="004B7785" w:rsidRDefault="004B7785" w:rsidP="00280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DFC"/>
    <w:multiLevelType w:val="hybridMultilevel"/>
    <w:tmpl w:val="05AABD9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CEA1B2D"/>
    <w:multiLevelType w:val="hybridMultilevel"/>
    <w:tmpl w:val="12C67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5C5218"/>
    <w:multiLevelType w:val="hybridMultilevel"/>
    <w:tmpl w:val="32601B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6F13C4"/>
    <w:multiLevelType w:val="hybridMultilevel"/>
    <w:tmpl w:val="F44A65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1C5812"/>
    <w:multiLevelType w:val="hybridMultilevel"/>
    <w:tmpl w:val="B066DEBE"/>
    <w:lvl w:ilvl="0" w:tplc="90B2A418">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2AB05AF3"/>
    <w:multiLevelType w:val="hybridMultilevel"/>
    <w:tmpl w:val="95962F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CC2E8B"/>
    <w:multiLevelType w:val="hybridMultilevel"/>
    <w:tmpl w:val="B29238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2A77835"/>
    <w:multiLevelType w:val="hybridMultilevel"/>
    <w:tmpl w:val="E1C8557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101B6E"/>
    <w:multiLevelType w:val="hybridMultilevel"/>
    <w:tmpl w:val="822EA0C6"/>
    <w:lvl w:ilvl="0" w:tplc="3D7C24C8">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9" w15:restartNumberingAfterBreak="0">
    <w:nsid w:val="36790DB0"/>
    <w:multiLevelType w:val="hybridMultilevel"/>
    <w:tmpl w:val="822EA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0B6B4C"/>
    <w:multiLevelType w:val="hybridMultilevel"/>
    <w:tmpl w:val="EF0A14CE"/>
    <w:lvl w:ilvl="0" w:tplc="92E4CF0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1221E"/>
    <w:multiLevelType w:val="hybridMultilevel"/>
    <w:tmpl w:val="F5CAD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C56CA6"/>
    <w:multiLevelType w:val="hybridMultilevel"/>
    <w:tmpl w:val="2640C5EE"/>
    <w:lvl w:ilvl="0" w:tplc="3D7C24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BD0544"/>
    <w:multiLevelType w:val="hybridMultilevel"/>
    <w:tmpl w:val="581C926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AF20D1"/>
    <w:multiLevelType w:val="hybridMultilevel"/>
    <w:tmpl w:val="39F867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0B74DFD"/>
    <w:multiLevelType w:val="hybridMultilevel"/>
    <w:tmpl w:val="D88033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237FE6"/>
    <w:multiLevelType w:val="multilevel"/>
    <w:tmpl w:val="F9106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0E45E0"/>
    <w:multiLevelType w:val="hybridMultilevel"/>
    <w:tmpl w:val="D542D0B6"/>
    <w:lvl w:ilvl="0" w:tplc="D600714C">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6004897"/>
    <w:multiLevelType w:val="hybridMultilevel"/>
    <w:tmpl w:val="04D0F69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E865A85"/>
    <w:multiLevelType w:val="hybridMultilevel"/>
    <w:tmpl w:val="1158AE04"/>
    <w:lvl w:ilvl="0" w:tplc="0EEA95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F12F45"/>
    <w:multiLevelType w:val="hybridMultilevel"/>
    <w:tmpl w:val="58F89260"/>
    <w:lvl w:ilvl="0" w:tplc="93E65CFA">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6044EF"/>
    <w:multiLevelType w:val="hybridMultilevel"/>
    <w:tmpl w:val="81E6DCDC"/>
    <w:lvl w:ilvl="0" w:tplc="BE3C95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85486B"/>
    <w:multiLevelType w:val="hybridMultilevel"/>
    <w:tmpl w:val="A30ED0FE"/>
    <w:lvl w:ilvl="0" w:tplc="08090005">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56863663">
    <w:abstractNumId w:val="19"/>
  </w:num>
  <w:num w:numId="2" w16cid:durableId="1873955485">
    <w:abstractNumId w:val="8"/>
  </w:num>
  <w:num w:numId="3" w16cid:durableId="951131749">
    <w:abstractNumId w:val="4"/>
  </w:num>
  <w:num w:numId="4" w16cid:durableId="1277522178">
    <w:abstractNumId w:val="9"/>
  </w:num>
  <w:num w:numId="5" w16cid:durableId="43986466">
    <w:abstractNumId w:val="12"/>
  </w:num>
  <w:num w:numId="6" w16cid:durableId="2003704799">
    <w:abstractNumId w:val="17"/>
  </w:num>
  <w:num w:numId="7" w16cid:durableId="1450205259">
    <w:abstractNumId w:val="21"/>
  </w:num>
  <w:num w:numId="8" w16cid:durableId="1842117538">
    <w:abstractNumId w:val="20"/>
  </w:num>
  <w:num w:numId="9" w16cid:durableId="503738679">
    <w:abstractNumId w:val="10"/>
  </w:num>
  <w:num w:numId="10" w16cid:durableId="1934505581">
    <w:abstractNumId w:val="15"/>
  </w:num>
  <w:num w:numId="11" w16cid:durableId="810561003">
    <w:abstractNumId w:val="13"/>
  </w:num>
  <w:num w:numId="12" w16cid:durableId="1214272910">
    <w:abstractNumId w:val="16"/>
  </w:num>
  <w:num w:numId="13" w16cid:durableId="1282494318">
    <w:abstractNumId w:val="22"/>
  </w:num>
  <w:num w:numId="14" w16cid:durableId="750666050">
    <w:abstractNumId w:val="14"/>
  </w:num>
  <w:num w:numId="15" w16cid:durableId="958102336">
    <w:abstractNumId w:val="2"/>
  </w:num>
  <w:num w:numId="16" w16cid:durableId="1959605692">
    <w:abstractNumId w:val="3"/>
  </w:num>
  <w:num w:numId="17" w16cid:durableId="49616723">
    <w:abstractNumId w:val="0"/>
  </w:num>
  <w:num w:numId="18" w16cid:durableId="988172360">
    <w:abstractNumId w:val="6"/>
  </w:num>
  <w:num w:numId="19" w16cid:durableId="1222866668">
    <w:abstractNumId w:val="1"/>
  </w:num>
  <w:num w:numId="20" w16cid:durableId="1533760405">
    <w:abstractNumId w:val="7"/>
  </w:num>
  <w:num w:numId="21" w16cid:durableId="327363084">
    <w:abstractNumId w:val="11"/>
  </w:num>
  <w:num w:numId="22" w16cid:durableId="1208683983">
    <w:abstractNumId w:val="18"/>
  </w:num>
  <w:num w:numId="23" w16cid:durableId="8788562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25"/>
    <w:rsid w:val="00010DD4"/>
    <w:rsid w:val="00017BD8"/>
    <w:rsid w:val="00017F64"/>
    <w:rsid w:val="000217B6"/>
    <w:rsid w:val="000237DD"/>
    <w:rsid w:val="00033F10"/>
    <w:rsid w:val="00037267"/>
    <w:rsid w:val="00040A87"/>
    <w:rsid w:val="0004493C"/>
    <w:rsid w:val="00056D17"/>
    <w:rsid w:val="0006080D"/>
    <w:rsid w:val="00073034"/>
    <w:rsid w:val="00077011"/>
    <w:rsid w:val="000811E1"/>
    <w:rsid w:val="000823B6"/>
    <w:rsid w:val="00094CA5"/>
    <w:rsid w:val="000965F8"/>
    <w:rsid w:val="00096DCD"/>
    <w:rsid w:val="000A23B7"/>
    <w:rsid w:val="000A78C6"/>
    <w:rsid w:val="000B06DD"/>
    <w:rsid w:val="000B4866"/>
    <w:rsid w:val="000C271B"/>
    <w:rsid w:val="000C3B02"/>
    <w:rsid w:val="000D2688"/>
    <w:rsid w:val="000D330A"/>
    <w:rsid w:val="000D736B"/>
    <w:rsid w:val="000E7317"/>
    <w:rsid w:val="000E7539"/>
    <w:rsid w:val="000F5BB2"/>
    <w:rsid w:val="000F6321"/>
    <w:rsid w:val="001012FC"/>
    <w:rsid w:val="00110CCD"/>
    <w:rsid w:val="00126776"/>
    <w:rsid w:val="0012756F"/>
    <w:rsid w:val="0013114C"/>
    <w:rsid w:val="00132976"/>
    <w:rsid w:val="0013729B"/>
    <w:rsid w:val="00137944"/>
    <w:rsid w:val="0014153E"/>
    <w:rsid w:val="00147A7B"/>
    <w:rsid w:val="00151687"/>
    <w:rsid w:val="0015236D"/>
    <w:rsid w:val="00154005"/>
    <w:rsid w:val="001559CC"/>
    <w:rsid w:val="00156970"/>
    <w:rsid w:val="001644F4"/>
    <w:rsid w:val="00167588"/>
    <w:rsid w:val="00171529"/>
    <w:rsid w:val="001769F6"/>
    <w:rsid w:val="00182AE1"/>
    <w:rsid w:val="00183E8F"/>
    <w:rsid w:val="00184F7F"/>
    <w:rsid w:val="001875AF"/>
    <w:rsid w:val="001943C7"/>
    <w:rsid w:val="001951F2"/>
    <w:rsid w:val="00197B8B"/>
    <w:rsid w:val="001A0015"/>
    <w:rsid w:val="001A167C"/>
    <w:rsid w:val="001A73C3"/>
    <w:rsid w:val="001B200C"/>
    <w:rsid w:val="001B4183"/>
    <w:rsid w:val="001B59C1"/>
    <w:rsid w:val="001B6939"/>
    <w:rsid w:val="001C0905"/>
    <w:rsid w:val="001C3397"/>
    <w:rsid w:val="001D0C5C"/>
    <w:rsid w:val="001D23CE"/>
    <w:rsid w:val="001D6EDA"/>
    <w:rsid w:val="001D6F5A"/>
    <w:rsid w:val="001E2FDA"/>
    <w:rsid w:val="001E49A9"/>
    <w:rsid w:val="001F0F75"/>
    <w:rsid w:val="001F5482"/>
    <w:rsid w:val="00201896"/>
    <w:rsid w:val="00202908"/>
    <w:rsid w:val="002029D5"/>
    <w:rsid w:val="0021559E"/>
    <w:rsid w:val="00216599"/>
    <w:rsid w:val="002200EC"/>
    <w:rsid w:val="002221D7"/>
    <w:rsid w:val="00223E17"/>
    <w:rsid w:val="00240CFC"/>
    <w:rsid w:val="00244DBB"/>
    <w:rsid w:val="00245AA6"/>
    <w:rsid w:val="0024631E"/>
    <w:rsid w:val="0025074D"/>
    <w:rsid w:val="00253FFA"/>
    <w:rsid w:val="00254183"/>
    <w:rsid w:val="00254554"/>
    <w:rsid w:val="00254C5A"/>
    <w:rsid w:val="00256368"/>
    <w:rsid w:val="002619F2"/>
    <w:rsid w:val="00262E0A"/>
    <w:rsid w:val="002632DB"/>
    <w:rsid w:val="00263589"/>
    <w:rsid w:val="0027298D"/>
    <w:rsid w:val="002755A1"/>
    <w:rsid w:val="002804A6"/>
    <w:rsid w:val="0028323F"/>
    <w:rsid w:val="002873F9"/>
    <w:rsid w:val="00291579"/>
    <w:rsid w:val="00291FD4"/>
    <w:rsid w:val="00294BD8"/>
    <w:rsid w:val="00295396"/>
    <w:rsid w:val="002A2C7F"/>
    <w:rsid w:val="002A47B2"/>
    <w:rsid w:val="002A6248"/>
    <w:rsid w:val="002A66BA"/>
    <w:rsid w:val="002B052C"/>
    <w:rsid w:val="002C6F9C"/>
    <w:rsid w:val="002C7FA4"/>
    <w:rsid w:val="002D0BE5"/>
    <w:rsid w:val="002E29E2"/>
    <w:rsid w:val="002E3888"/>
    <w:rsid w:val="002E4721"/>
    <w:rsid w:val="002E7062"/>
    <w:rsid w:val="002E7B79"/>
    <w:rsid w:val="002F265C"/>
    <w:rsid w:val="002F4326"/>
    <w:rsid w:val="002F744D"/>
    <w:rsid w:val="00303391"/>
    <w:rsid w:val="00310775"/>
    <w:rsid w:val="00314062"/>
    <w:rsid w:val="00320B7B"/>
    <w:rsid w:val="003231F2"/>
    <w:rsid w:val="00324341"/>
    <w:rsid w:val="00324A15"/>
    <w:rsid w:val="0034269B"/>
    <w:rsid w:val="00343891"/>
    <w:rsid w:val="00347C39"/>
    <w:rsid w:val="00351F8D"/>
    <w:rsid w:val="003605E2"/>
    <w:rsid w:val="00365C13"/>
    <w:rsid w:val="003674F1"/>
    <w:rsid w:val="003705CA"/>
    <w:rsid w:val="00383D20"/>
    <w:rsid w:val="003864DD"/>
    <w:rsid w:val="00387B73"/>
    <w:rsid w:val="003921EF"/>
    <w:rsid w:val="00394EF0"/>
    <w:rsid w:val="00395F47"/>
    <w:rsid w:val="003A13D0"/>
    <w:rsid w:val="003A162A"/>
    <w:rsid w:val="003A5C85"/>
    <w:rsid w:val="003A61FD"/>
    <w:rsid w:val="003B2AB0"/>
    <w:rsid w:val="003C1873"/>
    <w:rsid w:val="003C213A"/>
    <w:rsid w:val="003C7AEF"/>
    <w:rsid w:val="003D10B8"/>
    <w:rsid w:val="003D53F8"/>
    <w:rsid w:val="003D5B3C"/>
    <w:rsid w:val="003E5A3C"/>
    <w:rsid w:val="004009CF"/>
    <w:rsid w:val="00401984"/>
    <w:rsid w:val="0040265F"/>
    <w:rsid w:val="0041343B"/>
    <w:rsid w:val="0041763E"/>
    <w:rsid w:val="004366A4"/>
    <w:rsid w:val="00436D8C"/>
    <w:rsid w:val="00452042"/>
    <w:rsid w:val="004623E1"/>
    <w:rsid w:val="00462413"/>
    <w:rsid w:val="00467815"/>
    <w:rsid w:val="00473C13"/>
    <w:rsid w:val="00474977"/>
    <w:rsid w:val="00475375"/>
    <w:rsid w:val="0047710F"/>
    <w:rsid w:val="00480AE7"/>
    <w:rsid w:val="00484B56"/>
    <w:rsid w:val="004A4D6D"/>
    <w:rsid w:val="004B095B"/>
    <w:rsid w:val="004B2DC8"/>
    <w:rsid w:val="004B54BA"/>
    <w:rsid w:val="004B6F3A"/>
    <w:rsid w:val="004B7785"/>
    <w:rsid w:val="004C08C6"/>
    <w:rsid w:val="004C46A7"/>
    <w:rsid w:val="004C5323"/>
    <w:rsid w:val="004C679C"/>
    <w:rsid w:val="004D0E6D"/>
    <w:rsid w:val="004D1622"/>
    <w:rsid w:val="004D29BA"/>
    <w:rsid w:val="004D487A"/>
    <w:rsid w:val="004F0C4D"/>
    <w:rsid w:val="004F4A66"/>
    <w:rsid w:val="004F5D58"/>
    <w:rsid w:val="004F7568"/>
    <w:rsid w:val="00510225"/>
    <w:rsid w:val="00511039"/>
    <w:rsid w:val="00513122"/>
    <w:rsid w:val="005221C0"/>
    <w:rsid w:val="00524B88"/>
    <w:rsid w:val="00525D6B"/>
    <w:rsid w:val="00526744"/>
    <w:rsid w:val="00531148"/>
    <w:rsid w:val="005331E9"/>
    <w:rsid w:val="00533BD0"/>
    <w:rsid w:val="00533EFD"/>
    <w:rsid w:val="00533FF0"/>
    <w:rsid w:val="00541240"/>
    <w:rsid w:val="00541AEF"/>
    <w:rsid w:val="00563546"/>
    <w:rsid w:val="005749EF"/>
    <w:rsid w:val="005867CC"/>
    <w:rsid w:val="005A11CD"/>
    <w:rsid w:val="005A2608"/>
    <w:rsid w:val="005A3983"/>
    <w:rsid w:val="005A4ECF"/>
    <w:rsid w:val="005B2AE0"/>
    <w:rsid w:val="005B6FE2"/>
    <w:rsid w:val="005C17AE"/>
    <w:rsid w:val="005C29F6"/>
    <w:rsid w:val="005C520C"/>
    <w:rsid w:val="005D4E62"/>
    <w:rsid w:val="005E138F"/>
    <w:rsid w:val="005F1AA9"/>
    <w:rsid w:val="005F1D12"/>
    <w:rsid w:val="00611B46"/>
    <w:rsid w:val="0061284A"/>
    <w:rsid w:val="00613C14"/>
    <w:rsid w:val="00617915"/>
    <w:rsid w:val="006207DB"/>
    <w:rsid w:val="006216DD"/>
    <w:rsid w:val="006229A3"/>
    <w:rsid w:val="00626A21"/>
    <w:rsid w:val="006272BE"/>
    <w:rsid w:val="00633E1E"/>
    <w:rsid w:val="00634768"/>
    <w:rsid w:val="006359B6"/>
    <w:rsid w:val="00636FAC"/>
    <w:rsid w:val="0064143A"/>
    <w:rsid w:val="00644256"/>
    <w:rsid w:val="00650E41"/>
    <w:rsid w:val="006568F9"/>
    <w:rsid w:val="00662288"/>
    <w:rsid w:val="0066353F"/>
    <w:rsid w:val="00664685"/>
    <w:rsid w:val="00667711"/>
    <w:rsid w:val="0067207F"/>
    <w:rsid w:val="00673CF5"/>
    <w:rsid w:val="00676BDE"/>
    <w:rsid w:val="0068777B"/>
    <w:rsid w:val="00693333"/>
    <w:rsid w:val="00693624"/>
    <w:rsid w:val="00694E3F"/>
    <w:rsid w:val="00697114"/>
    <w:rsid w:val="006A1037"/>
    <w:rsid w:val="006B20F4"/>
    <w:rsid w:val="006B35AB"/>
    <w:rsid w:val="006C4F12"/>
    <w:rsid w:val="006C5228"/>
    <w:rsid w:val="006D2D45"/>
    <w:rsid w:val="006D4317"/>
    <w:rsid w:val="006D4A07"/>
    <w:rsid w:val="006D7CB1"/>
    <w:rsid w:val="006E19FB"/>
    <w:rsid w:val="006E75E2"/>
    <w:rsid w:val="006F3665"/>
    <w:rsid w:val="006F5203"/>
    <w:rsid w:val="006F64C5"/>
    <w:rsid w:val="006F7799"/>
    <w:rsid w:val="00701B4D"/>
    <w:rsid w:val="00716958"/>
    <w:rsid w:val="007203C4"/>
    <w:rsid w:val="00723413"/>
    <w:rsid w:val="00725F1D"/>
    <w:rsid w:val="00727ABC"/>
    <w:rsid w:val="00730709"/>
    <w:rsid w:val="00737885"/>
    <w:rsid w:val="00742E11"/>
    <w:rsid w:val="00743181"/>
    <w:rsid w:val="00744032"/>
    <w:rsid w:val="007472A0"/>
    <w:rsid w:val="00750681"/>
    <w:rsid w:val="0075080E"/>
    <w:rsid w:val="00754129"/>
    <w:rsid w:val="00754CB1"/>
    <w:rsid w:val="00757B7C"/>
    <w:rsid w:val="00762D1F"/>
    <w:rsid w:val="00765B9B"/>
    <w:rsid w:val="007673A7"/>
    <w:rsid w:val="00771793"/>
    <w:rsid w:val="00774668"/>
    <w:rsid w:val="007773A9"/>
    <w:rsid w:val="00785F4C"/>
    <w:rsid w:val="00790A98"/>
    <w:rsid w:val="00790FDC"/>
    <w:rsid w:val="00794B38"/>
    <w:rsid w:val="00794E1B"/>
    <w:rsid w:val="00796B10"/>
    <w:rsid w:val="007A0DC9"/>
    <w:rsid w:val="007A3E57"/>
    <w:rsid w:val="007B3766"/>
    <w:rsid w:val="007B7ED1"/>
    <w:rsid w:val="007C0B85"/>
    <w:rsid w:val="007C586E"/>
    <w:rsid w:val="007C65D7"/>
    <w:rsid w:val="007D0491"/>
    <w:rsid w:val="007D0A9B"/>
    <w:rsid w:val="007D5287"/>
    <w:rsid w:val="007D6CA9"/>
    <w:rsid w:val="007E313C"/>
    <w:rsid w:val="007E6758"/>
    <w:rsid w:val="007F157A"/>
    <w:rsid w:val="007F38AB"/>
    <w:rsid w:val="007F3AF3"/>
    <w:rsid w:val="007F7531"/>
    <w:rsid w:val="007F7C07"/>
    <w:rsid w:val="0080144C"/>
    <w:rsid w:val="00804932"/>
    <w:rsid w:val="008169B1"/>
    <w:rsid w:val="00822B9C"/>
    <w:rsid w:val="00823793"/>
    <w:rsid w:val="00823913"/>
    <w:rsid w:val="00826E6B"/>
    <w:rsid w:val="0083141A"/>
    <w:rsid w:val="008340B8"/>
    <w:rsid w:val="0083751D"/>
    <w:rsid w:val="00855491"/>
    <w:rsid w:val="00860842"/>
    <w:rsid w:val="00866411"/>
    <w:rsid w:val="00866B6F"/>
    <w:rsid w:val="00867D44"/>
    <w:rsid w:val="0087146D"/>
    <w:rsid w:val="00891566"/>
    <w:rsid w:val="008933AE"/>
    <w:rsid w:val="008963BF"/>
    <w:rsid w:val="008A36EB"/>
    <w:rsid w:val="008A70E1"/>
    <w:rsid w:val="008B1ECA"/>
    <w:rsid w:val="008B4E5B"/>
    <w:rsid w:val="008B5231"/>
    <w:rsid w:val="008B6F52"/>
    <w:rsid w:val="008C3C13"/>
    <w:rsid w:val="008C5F60"/>
    <w:rsid w:val="008C7F23"/>
    <w:rsid w:val="008D6FCA"/>
    <w:rsid w:val="008D75CD"/>
    <w:rsid w:val="008E6381"/>
    <w:rsid w:val="008E72CB"/>
    <w:rsid w:val="008E7601"/>
    <w:rsid w:val="008F358F"/>
    <w:rsid w:val="008F49D3"/>
    <w:rsid w:val="008F4A66"/>
    <w:rsid w:val="00900295"/>
    <w:rsid w:val="00900A49"/>
    <w:rsid w:val="0090126C"/>
    <w:rsid w:val="00904973"/>
    <w:rsid w:val="0090546C"/>
    <w:rsid w:val="0090606D"/>
    <w:rsid w:val="00912FD4"/>
    <w:rsid w:val="009256D1"/>
    <w:rsid w:val="00925BE9"/>
    <w:rsid w:val="00937FA1"/>
    <w:rsid w:val="009428D1"/>
    <w:rsid w:val="00942CA6"/>
    <w:rsid w:val="00945DA8"/>
    <w:rsid w:val="00970B34"/>
    <w:rsid w:val="009743C6"/>
    <w:rsid w:val="00974C5B"/>
    <w:rsid w:val="00974D93"/>
    <w:rsid w:val="00976C9A"/>
    <w:rsid w:val="00987C8E"/>
    <w:rsid w:val="0099770B"/>
    <w:rsid w:val="009A245B"/>
    <w:rsid w:val="009A4317"/>
    <w:rsid w:val="009B2E29"/>
    <w:rsid w:val="009B63EB"/>
    <w:rsid w:val="009B7E28"/>
    <w:rsid w:val="009C00AE"/>
    <w:rsid w:val="009C0A0D"/>
    <w:rsid w:val="009C1CF4"/>
    <w:rsid w:val="009C5A3E"/>
    <w:rsid w:val="009C5B71"/>
    <w:rsid w:val="009D1644"/>
    <w:rsid w:val="009D3A11"/>
    <w:rsid w:val="009D5544"/>
    <w:rsid w:val="009E20BB"/>
    <w:rsid w:val="009E2D46"/>
    <w:rsid w:val="009E7117"/>
    <w:rsid w:val="009F20F2"/>
    <w:rsid w:val="00A02B26"/>
    <w:rsid w:val="00A04F0A"/>
    <w:rsid w:val="00A1033B"/>
    <w:rsid w:val="00A11151"/>
    <w:rsid w:val="00A15D1D"/>
    <w:rsid w:val="00A16555"/>
    <w:rsid w:val="00A35790"/>
    <w:rsid w:val="00A37D42"/>
    <w:rsid w:val="00A37F02"/>
    <w:rsid w:val="00A44B04"/>
    <w:rsid w:val="00A46D86"/>
    <w:rsid w:val="00A503F8"/>
    <w:rsid w:val="00A54A71"/>
    <w:rsid w:val="00A56129"/>
    <w:rsid w:val="00A563FC"/>
    <w:rsid w:val="00A63E42"/>
    <w:rsid w:val="00A64AAE"/>
    <w:rsid w:val="00A7213A"/>
    <w:rsid w:val="00A758E0"/>
    <w:rsid w:val="00A76680"/>
    <w:rsid w:val="00A76A73"/>
    <w:rsid w:val="00A77D21"/>
    <w:rsid w:val="00A77FCA"/>
    <w:rsid w:val="00A83BBF"/>
    <w:rsid w:val="00A8782E"/>
    <w:rsid w:val="00A926F3"/>
    <w:rsid w:val="00AA0BFF"/>
    <w:rsid w:val="00AA4322"/>
    <w:rsid w:val="00AA5812"/>
    <w:rsid w:val="00AA7F40"/>
    <w:rsid w:val="00AB04D5"/>
    <w:rsid w:val="00AB3A2A"/>
    <w:rsid w:val="00AB423C"/>
    <w:rsid w:val="00AB4D53"/>
    <w:rsid w:val="00AB5D14"/>
    <w:rsid w:val="00AB7673"/>
    <w:rsid w:val="00AB76C4"/>
    <w:rsid w:val="00AC2254"/>
    <w:rsid w:val="00AC2778"/>
    <w:rsid w:val="00AC51AC"/>
    <w:rsid w:val="00AD1F70"/>
    <w:rsid w:val="00AD21EC"/>
    <w:rsid w:val="00AD425B"/>
    <w:rsid w:val="00AD67F9"/>
    <w:rsid w:val="00AD7644"/>
    <w:rsid w:val="00AE0F72"/>
    <w:rsid w:val="00AE1194"/>
    <w:rsid w:val="00AE1394"/>
    <w:rsid w:val="00AE4582"/>
    <w:rsid w:val="00AE5B15"/>
    <w:rsid w:val="00AF3722"/>
    <w:rsid w:val="00AF400F"/>
    <w:rsid w:val="00AF60B4"/>
    <w:rsid w:val="00AF62FA"/>
    <w:rsid w:val="00B01015"/>
    <w:rsid w:val="00B044C4"/>
    <w:rsid w:val="00B074AE"/>
    <w:rsid w:val="00B10C53"/>
    <w:rsid w:val="00B11C78"/>
    <w:rsid w:val="00B1274C"/>
    <w:rsid w:val="00B12D1D"/>
    <w:rsid w:val="00B17C9A"/>
    <w:rsid w:val="00B225CA"/>
    <w:rsid w:val="00B23882"/>
    <w:rsid w:val="00B26D29"/>
    <w:rsid w:val="00B4208D"/>
    <w:rsid w:val="00B43B96"/>
    <w:rsid w:val="00B500C8"/>
    <w:rsid w:val="00B6018E"/>
    <w:rsid w:val="00B63BDF"/>
    <w:rsid w:val="00B737AC"/>
    <w:rsid w:val="00B820DC"/>
    <w:rsid w:val="00B86C75"/>
    <w:rsid w:val="00B91353"/>
    <w:rsid w:val="00B928C8"/>
    <w:rsid w:val="00B93C6F"/>
    <w:rsid w:val="00BA3306"/>
    <w:rsid w:val="00BA6652"/>
    <w:rsid w:val="00BB49DB"/>
    <w:rsid w:val="00BB4DBF"/>
    <w:rsid w:val="00BB6A74"/>
    <w:rsid w:val="00BC4B22"/>
    <w:rsid w:val="00BC6F89"/>
    <w:rsid w:val="00BD5363"/>
    <w:rsid w:val="00BD5F08"/>
    <w:rsid w:val="00BE3F9E"/>
    <w:rsid w:val="00BE5434"/>
    <w:rsid w:val="00BF1675"/>
    <w:rsid w:val="00C003AE"/>
    <w:rsid w:val="00C02813"/>
    <w:rsid w:val="00C0316C"/>
    <w:rsid w:val="00C06B5B"/>
    <w:rsid w:val="00C3225C"/>
    <w:rsid w:val="00C33000"/>
    <w:rsid w:val="00C334CF"/>
    <w:rsid w:val="00C33E6E"/>
    <w:rsid w:val="00C37E48"/>
    <w:rsid w:val="00C446E4"/>
    <w:rsid w:val="00C44A1D"/>
    <w:rsid w:val="00C510B6"/>
    <w:rsid w:val="00C513E4"/>
    <w:rsid w:val="00C515E3"/>
    <w:rsid w:val="00C52CB0"/>
    <w:rsid w:val="00C614EB"/>
    <w:rsid w:val="00C72D7D"/>
    <w:rsid w:val="00C8345D"/>
    <w:rsid w:val="00C87FB0"/>
    <w:rsid w:val="00CA0745"/>
    <w:rsid w:val="00CA1470"/>
    <w:rsid w:val="00CA2F5F"/>
    <w:rsid w:val="00CA4FCD"/>
    <w:rsid w:val="00CA5C16"/>
    <w:rsid w:val="00CB6ADA"/>
    <w:rsid w:val="00CC31AB"/>
    <w:rsid w:val="00CC6784"/>
    <w:rsid w:val="00CC7457"/>
    <w:rsid w:val="00CD516C"/>
    <w:rsid w:val="00CE2577"/>
    <w:rsid w:val="00CE523D"/>
    <w:rsid w:val="00CF70D3"/>
    <w:rsid w:val="00D041F7"/>
    <w:rsid w:val="00D20119"/>
    <w:rsid w:val="00D227F5"/>
    <w:rsid w:val="00D24840"/>
    <w:rsid w:val="00D25B13"/>
    <w:rsid w:val="00D30D7A"/>
    <w:rsid w:val="00D344D1"/>
    <w:rsid w:val="00D34FB7"/>
    <w:rsid w:val="00D562A6"/>
    <w:rsid w:val="00D61FD7"/>
    <w:rsid w:val="00D6279C"/>
    <w:rsid w:val="00D6366F"/>
    <w:rsid w:val="00D7271C"/>
    <w:rsid w:val="00D76207"/>
    <w:rsid w:val="00D77C60"/>
    <w:rsid w:val="00D87597"/>
    <w:rsid w:val="00D909B4"/>
    <w:rsid w:val="00D94E8A"/>
    <w:rsid w:val="00D95203"/>
    <w:rsid w:val="00D9664A"/>
    <w:rsid w:val="00D96EF7"/>
    <w:rsid w:val="00DA5521"/>
    <w:rsid w:val="00DB09B4"/>
    <w:rsid w:val="00DB28BB"/>
    <w:rsid w:val="00DB479F"/>
    <w:rsid w:val="00DB6946"/>
    <w:rsid w:val="00DC1931"/>
    <w:rsid w:val="00DD0882"/>
    <w:rsid w:val="00DD1B4B"/>
    <w:rsid w:val="00DD28B8"/>
    <w:rsid w:val="00DD498B"/>
    <w:rsid w:val="00DD5E2F"/>
    <w:rsid w:val="00DE279A"/>
    <w:rsid w:val="00DE3618"/>
    <w:rsid w:val="00DE3B9A"/>
    <w:rsid w:val="00DF02EA"/>
    <w:rsid w:val="00DF044F"/>
    <w:rsid w:val="00DF1E5F"/>
    <w:rsid w:val="00E00729"/>
    <w:rsid w:val="00E0603A"/>
    <w:rsid w:val="00E06455"/>
    <w:rsid w:val="00E06921"/>
    <w:rsid w:val="00E06E32"/>
    <w:rsid w:val="00E12587"/>
    <w:rsid w:val="00E12889"/>
    <w:rsid w:val="00E13DEA"/>
    <w:rsid w:val="00E20E04"/>
    <w:rsid w:val="00E2458B"/>
    <w:rsid w:val="00E27F5E"/>
    <w:rsid w:val="00E35BB6"/>
    <w:rsid w:val="00E36D1B"/>
    <w:rsid w:val="00E41E74"/>
    <w:rsid w:val="00E45419"/>
    <w:rsid w:val="00E50C43"/>
    <w:rsid w:val="00E61215"/>
    <w:rsid w:val="00E615D8"/>
    <w:rsid w:val="00E63DA6"/>
    <w:rsid w:val="00E6530E"/>
    <w:rsid w:val="00E65630"/>
    <w:rsid w:val="00E667FA"/>
    <w:rsid w:val="00E7166A"/>
    <w:rsid w:val="00E7360D"/>
    <w:rsid w:val="00E83EF6"/>
    <w:rsid w:val="00E86989"/>
    <w:rsid w:val="00E94F82"/>
    <w:rsid w:val="00E96D78"/>
    <w:rsid w:val="00EA59C8"/>
    <w:rsid w:val="00EB28D9"/>
    <w:rsid w:val="00EB7B0D"/>
    <w:rsid w:val="00EC1370"/>
    <w:rsid w:val="00EC1A23"/>
    <w:rsid w:val="00EC3917"/>
    <w:rsid w:val="00EC3DE4"/>
    <w:rsid w:val="00ED25DF"/>
    <w:rsid w:val="00ED343F"/>
    <w:rsid w:val="00ED38A7"/>
    <w:rsid w:val="00ED4325"/>
    <w:rsid w:val="00ED6327"/>
    <w:rsid w:val="00EE1553"/>
    <w:rsid w:val="00EF00E3"/>
    <w:rsid w:val="00EF049C"/>
    <w:rsid w:val="00EF0D92"/>
    <w:rsid w:val="00EF2198"/>
    <w:rsid w:val="00EF3026"/>
    <w:rsid w:val="00EF4426"/>
    <w:rsid w:val="00EF586B"/>
    <w:rsid w:val="00F00E12"/>
    <w:rsid w:val="00F05AC8"/>
    <w:rsid w:val="00F201F7"/>
    <w:rsid w:val="00F218B7"/>
    <w:rsid w:val="00F2422D"/>
    <w:rsid w:val="00F259F9"/>
    <w:rsid w:val="00F260F0"/>
    <w:rsid w:val="00F27782"/>
    <w:rsid w:val="00F3086A"/>
    <w:rsid w:val="00F4109E"/>
    <w:rsid w:val="00F42499"/>
    <w:rsid w:val="00F42CD8"/>
    <w:rsid w:val="00F45E34"/>
    <w:rsid w:val="00F47E0B"/>
    <w:rsid w:val="00F541AB"/>
    <w:rsid w:val="00F5434D"/>
    <w:rsid w:val="00F60473"/>
    <w:rsid w:val="00F61FD9"/>
    <w:rsid w:val="00F6512C"/>
    <w:rsid w:val="00F66118"/>
    <w:rsid w:val="00F70AC9"/>
    <w:rsid w:val="00F758C3"/>
    <w:rsid w:val="00F82D25"/>
    <w:rsid w:val="00F8421B"/>
    <w:rsid w:val="00F85068"/>
    <w:rsid w:val="00F91435"/>
    <w:rsid w:val="00F927C3"/>
    <w:rsid w:val="00F968B0"/>
    <w:rsid w:val="00FA0A97"/>
    <w:rsid w:val="00FA1401"/>
    <w:rsid w:val="00FB0C32"/>
    <w:rsid w:val="00FB7738"/>
    <w:rsid w:val="00FC3B46"/>
    <w:rsid w:val="00FC4E97"/>
    <w:rsid w:val="00FC7878"/>
    <w:rsid w:val="00FD0D1B"/>
    <w:rsid w:val="00FE15A3"/>
    <w:rsid w:val="00FE4CED"/>
    <w:rsid w:val="00FF7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779FB"/>
  <w15:chartTrackingRefBased/>
  <w15:docId w15:val="{F5BB2730-A3D6-45B9-BC1B-AC04A813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E57"/>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5D6B"/>
    <w:pPr>
      <w:keepNext/>
      <w:keepLines/>
      <w:spacing w:before="240" w:after="12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16555"/>
    <w:pPr>
      <w:keepNext/>
      <w:keepLines/>
      <w:spacing w:before="280" w:after="24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DBB"/>
    <w:pPr>
      <w:ind w:left="720"/>
      <w:contextualSpacing/>
    </w:pPr>
  </w:style>
  <w:style w:type="table" w:styleId="TableGrid">
    <w:name w:val="Table Grid"/>
    <w:basedOn w:val="TableNormal"/>
    <w:uiPriority w:val="39"/>
    <w:rsid w:val="00B17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5D6B"/>
    <w:rPr>
      <w:rFonts w:ascii="Times New Roman" w:eastAsiaTheme="majorEastAsia" w:hAnsi="Times New Roman" w:cstheme="majorBidi"/>
      <w:b/>
      <w:color w:val="000000" w:themeColor="text1"/>
      <w:sz w:val="28"/>
      <w:szCs w:val="32"/>
    </w:rPr>
  </w:style>
  <w:style w:type="paragraph" w:styleId="NoSpacing">
    <w:name w:val="No Spacing"/>
    <w:link w:val="NoSpacingChar"/>
    <w:uiPriority w:val="1"/>
    <w:qFormat/>
    <w:rsid w:val="00147A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7A7B"/>
    <w:rPr>
      <w:rFonts w:eastAsiaTheme="minorEastAsia"/>
      <w:lang w:val="en-US"/>
    </w:rPr>
  </w:style>
  <w:style w:type="paragraph" w:styleId="TOCHeading">
    <w:name w:val="TOC Heading"/>
    <w:basedOn w:val="Heading1"/>
    <w:next w:val="Normal"/>
    <w:uiPriority w:val="39"/>
    <w:unhideWhenUsed/>
    <w:qFormat/>
    <w:rsid w:val="00147A7B"/>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47A7B"/>
    <w:pPr>
      <w:spacing w:after="100"/>
    </w:pPr>
  </w:style>
  <w:style w:type="character" w:styleId="Hyperlink">
    <w:name w:val="Hyperlink"/>
    <w:basedOn w:val="DefaultParagraphFont"/>
    <w:uiPriority w:val="99"/>
    <w:unhideWhenUsed/>
    <w:rsid w:val="00147A7B"/>
    <w:rPr>
      <w:color w:val="0563C1" w:themeColor="hyperlink"/>
      <w:u w:val="single"/>
    </w:rPr>
  </w:style>
  <w:style w:type="paragraph" w:styleId="Header">
    <w:name w:val="header"/>
    <w:basedOn w:val="Normal"/>
    <w:link w:val="HeaderChar"/>
    <w:uiPriority w:val="99"/>
    <w:unhideWhenUsed/>
    <w:rsid w:val="00280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4A6"/>
  </w:style>
  <w:style w:type="paragraph" w:styleId="Footer">
    <w:name w:val="footer"/>
    <w:basedOn w:val="Normal"/>
    <w:link w:val="FooterChar"/>
    <w:uiPriority w:val="99"/>
    <w:unhideWhenUsed/>
    <w:rsid w:val="00280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4A6"/>
  </w:style>
  <w:style w:type="character" w:styleId="Emphasis">
    <w:name w:val="Emphasis"/>
    <w:basedOn w:val="DefaultParagraphFont"/>
    <w:uiPriority w:val="20"/>
    <w:qFormat/>
    <w:rsid w:val="00785F4C"/>
    <w:rPr>
      <w:i/>
      <w:iCs/>
    </w:rPr>
  </w:style>
  <w:style w:type="character" w:customStyle="1" w:styleId="Heading2Char">
    <w:name w:val="Heading 2 Char"/>
    <w:basedOn w:val="DefaultParagraphFont"/>
    <w:link w:val="Heading2"/>
    <w:uiPriority w:val="9"/>
    <w:rsid w:val="00A16555"/>
    <w:rPr>
      <w:rFonts w:ascii="Times New Roman" w:eastAsiaTheme="majorEastAsia" w:hAnsi="Times New Roman" w:cstheme="majorBidi"/>
      <w:b/>
      <w:color w:val="000000" w:themeColor="text1"/>
      <w:sz w:val="24"/>
      <w:szCs w:val="26"/>
    </w:rPr>
  </w:style>
  <w:style w:type="paragraph" w:styleId="Caption">
    <w:name w:val="caption"/>
    <w:basedOn w:val="Normal"/>
    <w:next w:val="Normal"/>
    <w:uiPriority w:val="35"/>
    <w:unhideWhenUsed/>
    <w:qFormat/>
    <w:rsid w:val="000F6321"/>
    <w:pPr>
      <w:spacing w:after="200" w:line="240" w:lineRule="auto"/>
    </w:pPr>
    <w:rPr>
      <w:i/>
      <w:iCs/>
      <w:color w:val="44546A" w:themeColor="text2"/>
      <w:sz w:val="18"/>
      <w:szCs w:val="18"/>
    </w:rPr>
  </w:style>
  <w:style w:type="table" w:styleId="ListTable5Dark-Accent1">
    <w:name w:val="List Table 5 Dark Accent 1"/>
    <w:basedOn w:val="TableNormal"/>
    <w:uiPriority w:val="50"/>
    <w:rsid w:val="001D23C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928C8"/>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928C8"/>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FollowedHyperlink">
    <w:name w:val="FollowedHyperlink"/>
    <w:basedOn w:val="DefaultParagraphFont"/>
    <w:uiPriority w:val="99"/>
    <w:semiHidden/>
    <w:unhideWhenUsed/>
    <w:rsid w:val="003A61FD"/>
    <w:rPr>
      <w:color w:val="954F72" w:themeColor="followedHyperlink"/>
      <w:u w:val="single"/>
    </w:rPr>
  </w:style>
  <w:style w:type="character" w:styleId="UnresolvedMention">
    <w:name w:val="Unresolved Mention"/>
    <w:basedOn w:val="DefaultParagraphFont"/>
    <w:uiPriority w:val="99"/>
    <w:semiHidden/>
    <w:unhideWhenUsed/>
    <w:rsid w:val="003A61FD"/>
    <w:rPr>
      <w:color w:val="605E5C"/>
      <w:shd w:val="clear" w:color="auto" w:fill="E1DFDD"/>
    </w:rPr>
  </w:style>
  <w:style w:type="paragraph" w:styleId="TOC2">
    <w:name w:val="toc 2"/>
    <w:basedOn w:val="Normal"/>
    <w:next w:val="Normal"/>
    <w:autoRedefine/>
    <w:uiPriority w:val="39"/>
    <w:unhideWhenUsed/>
    <w:rsid w:val="001769F6"/>
    <w:pPr>
      <w:spacing w:after="100"/>
      <w:ind w:left="240"/>
    </w:pPr>
  </w:style>
  <w:style w:type="table" w:styleId="TableGridLight">
    <w:name w:val="Grid Table Light"/>
    <w:basedOn w:val="TableNormal"/>
    <w:uiPriority w:val="40"/>
    <w:rsid w:val="00E716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443">
      <w:bodyDiv w:val="1"/>
      <w:marLeft w:val="0"/>
      <w:marRight w:val="0"/>
      <w:marTop w:val="0"/>
      <w:marBottom w:val="0"/>
      <w:divBdr>
        <w:top w:val="none" w:sz="0" w:space="0" w:color="auto"/>
        <w:left w:val="none" w:sz="0" w:space="0" w:color="auto"/>
        <w:bottom w:val="none" w:sz="0" w:space="0" w:color="auto"/>
        <w:right w:val="none" w:sz="0" w:space="0" w:color="auto"/>
      </w:divBdr>
    </w:div>
    <w:div w:id="41367792">
      <w:bodyDiv w:val="1"/>
      <w:marLeft w:val="0"/>
      <w:marRight w:val="0"/>
      <w:marTop w:val="0"/>
      <w:marBottom w:val="0"/>
      <w:divBdr>
        <w:top w:val="none" w:sz="0" w:space="0" w:color="auto"/>
        <w:left w:val="none" w:sz="0" w:space="0" w:color="auto"/>
        <w:bottom w:val="none" w:sz="0" w:space="0" w:color="auto"/>
        <w:right w:val="none" w:sz="0" w:space="0" w:color="auto"/>
      </w:divBdr>
    </w:div>
    <w:div w:id="144250357">
      <w:bodyDiv w:val="1"/>
      <w:marLeft w:val="0"/>
      <w:marRight w:val="0"/>
      <w:marTop w:val="0"/>
      <w:marBottom w:val="0"/>
      <w:divBdr>
        <w:top w:val="none" w:sz="0" w:space="0" w:color="auto"/>
        <w:left w:val="none" w:sz="0" w:space="0" w:color="auto"/>
        <w:bottom w:val="none" w:sz="0" w:space="0" w:color="auto"/>
        <w:right w:val="none" w:sz="0" w:space="0" w:color="auto"/>
      </w:divBdr>
    </w:div>
    <w:div w:id="251747770">
      <w:bodyDiv w:val="1"/>
      <w:marLeft w:val="0"/>
      <w:marRight w:val="0"/>
      <w:marTop w:val="0"/>
      <w:marBottom w:val="0"/>
      <w:divBdr>
        <w:top w:val="none" w:sz="0" w:space="0" w:color="auto"/>
        <w:left w:val="none" w:sz="0" w:space="0" w:color="auto"/>
        <w:bottom w:val="none" w:sz="0" w:space="0" w:color="auto"/>
        <w:right w:val="none" w:sz="0" w:space="0" w:color="auto"/>
      </w:divBdr>
    </w:div>
    <w:div w:id="342512368">
      <w:bodyDiv w:val="1"/>
      <w:marLeft w:val="0"/>
      <w:marRight w:val="0"/>
      <w:marTop w:val="0"/>
      <w:marBottom w:val="0"/>
      <w:divBdr>
        <w:top w:val="none" w:sz="0" w:space="0" w:color="auto"/>
        <w:left w:val="none" w:sz="0" w:space="0" w:color="auto"/>
        <w:bottom w:val="none" w:sz="0" w:space="0" w:color="auto"/>
        <w:right w:val="none" w:sz="0" w:space="0" w:color="auto"/>
      </w:divBdr>
    </w:div>
    <w:div w:id="580601959">
      <w:bodyDiv w:val="1"/>
      <w:marLeft w:val="0"/>
      <w:marRight w:val="0"/>
      <w:marTop w:val="0"/>
      <w:marBottom w:val="0"/>
      <w:divBdr>
        <w:top w:val="none" w:sz="0" w:space="0" w:color="auto"/>
        <w:left w:val="none" w:sz="0" w:space="0" w:color="auto"/>
        <w:bottom w:val="none" w:sz="0" w:space="0" w:color="auto"/>
        <w:right w:val="none" w:sz="0" w:space="0" w:color="auto"/>
      </w:divBdr>
    </w:div>
    <w:div w:id="606273913">
      <w:bodyDiv w:val="1"/>
      <w:marLeft w:val="0"/>
      <w:marRight w:val="0"/>
      <w:marTop w:val="0"/>
      <w:marBottom w:val="0"/>
      <w:divBdr>
        <w:top w:val="none" w:sz="0" w:space="0" w:color="auto"/>
        <w:left w:val="none" w:sz="0" w:space="0" w:color="auto"/>
        <w:bottom w:val="none" w:sz="0" w:space="0" w:color="auto"/>
        <w:right w:val="none" w:sz="0" w:space="0" w:color="auto"/>
      </w:divBdr>
    </w:div>
    <w:div w:id="852261749">
      <w:bodyDiv w:val="1"/>
      <w:marLeft w:val="0"/>
      <w:marRight w:val="0"/>
      <w:marTop w:val="0"/>
      <w:marBottom w:val="0"/>
      <w:divBdr>
        <w:top w:val="none" w:sz="0" w:space="0" w:color="auto"/>
        <w:left w:val="none" w:sz="0" w:space="0" w:color="auto"/>
        <w:bottom w:val="none" w:sz="0" w:space="0" w:color="auto"/>
        <w:right w:val="none" w:sz="0" w:space="0" w:color="auto"/>
      </w:divBdr>
    </w:div>
    <w:div w:id="959217086">
      <w:bodyDiv w:val="1"/>
      <w:marLeft w:val="0"/>
      <w:marRight w:val="0"/>
      <w:marTop w:val="0"/>
      <w:marBottom w:val="0"/>
      <w:divBdr>
        <w:top w:val="none" w:sz="0" w:space="0" w:color="auto"/>
        <w:left w:val="none" w:sz="0" w:space="0" w:color="auto"/>
        <w:bottom w:val="none" w:sz="0" w:space="0" w:color="auto"/>
        <w:right w:val="none" w:sz="0" w:space="0" w:color="auto"/>
      </w:divBdr>
    </w:div>
    <w:div w:id="1025181359">
      <w:bodyDiv w:val="1"/>
      <w:marLeft w:val="0"/>
      <w:marRight w:val="0"/>
      <w:marTop w:val="0"/>
      <w:marBottom w:val="0"/>
      <w:divBdr>
        <w:top w:val="none" w:sz="0" w:space="0" w:color="auto"/>
        <w:left w:val="none" w:sz="0" w:space="0" w:color="auto"/>
        <w:bottom w:val="none" w:sz="0" w:space="0" w:color="auto"/>
        <w:right w:val="none" w:sz="0" w:space="0" w:color="auto"/>
      </w:divBdr>
      <w:divsChild>
        <w:div w:id="1410301824">
          <w:marLeft w:val="0"/>
          <w:marRight w:val="0"/>
          <w:marTop w:val="0"/>
          <w:marBottom w:val="0"/>
          <w:divBdr>
            <w:top w:val="none" w:sz="0" w:space="0" w:color="auto"/>
            <w:left w:val="none" w:sz="0" w:space="0" w:color="auto"/>
            <w:bottom w:val="none" w:sz="0" w:space="0" w:color="auto"/>
            <w:right w:val="none" w:sz="0" w:space="0" w:color="auto"/>
          </w:divBdr>
          <w:divsChild>
            <w:div w:id="685906955">
              <w:marLeft w:val="0"/>
              <w:marRight w:val="0"/>
              <w:marTop w:val="0"/>
              <w:marBottom w:val="0"/>
              <w:divBdr>
                <w:top w:val="none" w:sz="0" w:space="0" w:color="auto"/>
                <w:left w:val="none" w:sz="0" w:space="0" w:color="auto"/>
                <w:bottom w:val="none" w:sz="0" w:space="0" w:color="auto"/>
                <w:right w:val="none" w:sz="0" w:space="0" w:color="auto"/>
              </w:divBdr>
            </w:div>
          </w:divsChild>
        </w:div>
        <w:div w:id="1050572288">
          <w:marLeft w:val="0"/>
          <w:marRight w:val="0"/>
          <w:marTop w:val="0"/>
          <w:marBottom w:val="0"/>
          <w:divBdr>
            <w:top w:val="none" w:sz="0" w:space="0" w:color="auto"/>
            <w:left w:val="none" w:sz="0" w:space="0" w:color="auto"/>
            <w:bottom w:val="none" w:sz="0" w:space="0" w:color="auto"/>
            <w:right w:val="none" w:sz="0" w:space="0" w:color="auto"/>
          </w:divBdr>
          <w:divsChild>
            <w:div w:id="2027172025">
              <w:marLeft w:val="0"/>
              <w:marRight w:val="0"/>
              <w:marTop w:val="0"/>
              <w:marBottom w:val="0"/>
              <w:divBdr>
                <w:top w:val="none" w:sz="0" w:space="0" w:color="auto"/>
                <w:left w:val="none" w:sz="0" w:space="0" w:color="auto"/>
                <w:bottom w:val="none" w:sz="0" w:space="0" w:color="auto"/>
                <w:right w:val="none" w:sz="0" w:space="0" w:color="auto"/>
              </w:divBdr>
            </w:div>
            <w:div w:id="1152138296">
              <w:marLeft w:val="0"/>
              <w:marRight w:val="0"/>
              <w:marTop w:val="0"/>
              <w:marBottom w:val="0"/>
              <w:divBdr>
                <w:top w:val="none" w:sz="0" w:space="0" w:color="auto"/>
                <w:left w:val="none" w:sz="0" w:space="0" w:color="auto"/>
                <w:bottom w:val="none" w:sz="0" w:space="0" w:color="auto"/>
                <w:right w:val="none" w:sz="0" w:space="0" w:color="auto"/>
              </w:divBdr>
            </w:div>
          </w:divsChild>
        </w:div>
        <w:div w:id="1233931624">
          <w:marLeft w:val="0"/>
          <w:marRight w:val="0"/>
          <w:marTop w:val="0"/>
          <w:marBottom w:val="0"/>
          <w:divBdr>
            <w:top w:val="none" w:sz="0" w:space="0" w:color="auto"/>
            <w:left w:val="none" w:sz="0" w:space="0" w:color="auto"/>
            <w:bottom w:val="none" w:sz="0" w:space="0" w:color="auto"/>
            <w:right w:val="none" w:sz="0" w:space="0" w:color="auto"/>
          </w:divBdr>
          <w:divsChild>
            <w:div w:id="2072078527">
              <w:marLeft w:val="0"/>
              <w:marRight w:val="0"/>
              <w:marTop w:val="0"/>
              <w:marBottom w:val="0"/>
              <w:divBdr>
                <w:top w:val="none" w:sz="0" w:space="0" w:color="auto"/>
                <w:left w:val="none" w:sz="0" w:space="0" w:color="auto"/>
                <w:bottom w:val="none" w:sz="0" w:space="0" w:color="auto"/>
                <w:right w:val="none" w:sz="0" w:space="0" w:color="auto"/>
              </w:divBdr>
            </w:div>
            <w:div w:id="43752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97891">
      <w:bodyDiv w:val="1"/>
      <w:marLeft w:val="0"/>
      <w:marRight w:val="0"/>
      <w:marTop w:val="0"/>
      <w:marBottom w:val="0"/>
      <w:divBdr>
        <w:top w:val="none" w:sz="0" w:space="0" w:color="auto"/>
        <w:left w:val="none" w:sz="0" w:space="0" w:color="auto"/>
        <w:bottom w:val="none" w:sz="0" w:space="0" w:color="auto"/>
        <w:right w:val="none" w:sz="0" w:space="0" w:color="auto"/>
      </w:divBdr>
    </w:div>
    <w:div w:id="1277445790">
      <w:bodyDiv w:val="1"/>
      <w:marLeft w:val="0"/>
      <w:marRight w:val="0"/>
      <w:marTop w:val="0"/>
      <w:marBottom w:val="0"/>
      <w:divBdr>
        <w:top w:val="none" w:sz="0" w:space="0" w:color="auto"/>
        <w:left w:val="none" w:sz="0" w:space="0" w:color="auto"/>
        <w:bottom w:val="none" w:sz="0" w:space="0" w:color="auto"/>
        <w:right w:val="none" w:sz="0" w:space="0" w:color="auto"/>
      </w:divBdr>
    </w:div>
    <w:div w:id="1444180927">
      <w:bodyDiv w:val="1"/>
      <w:marLeft w:val="0"/>
      <w:marRight w:val="0"/>
      <w:marTop w:val="0"/>
      <w:marBottom w:val="0"/>
      <w:divBdr>
        <w:top w:val="none" w:sz="0" w:space="0" w:color="auto"/>
        <w:left w:val="none" w:sz="0" w:space="0" w:color="auto"/>
        <w:bottom w:val="none" w:sz="0" w:space="0" w:color="auto"/>
        <w:right w:val="none" w:sz="0" w:space="0" w:color="auto"/>
      </w:divBdr>
    </w:div>
    <w:div w:id="1516267279">
      <w:bodyDiv w:val="1"/>
      <w:marLeft w:val="0"/>
      <w:marRight w:val="0"/>
      <w:marTop w:val="0"/>
      <w:marBottom w:val="0"/>
      <w:divBdr>
        <w:top w:val="none" w:sz="0" w:space="0" w:color="auto"/>
        <w:left w:val="none" w:sz="0" w:space="0" w:color="auto"/>
        <w:bottom w:val="none" w:sz="0" w:space="0" w:color="auto"/>
        <w:right w:val="none" w:sz="0" w:space="0" w:color="auto"/>
      </w:divBdr>
    </w:div>
    <w:div w:id="1628848588">
      <w:bodyDiv w:val="1"/>
      <w:marLeft w:val="0"/>
      <w:marRight w:val="0"/>
      <w:marTop w:val="0"/>
      <w:marBottom w:val="0"/>
      <w:divBdr>
        <w:top w:val="none" w:sz="0" w:space="0" w:color="auto"/>
        <w:left w:val="none" w:sz="0" w:space="0" w:color="auto"/>
        <w:bottom w:val="none" w:sz="0" w:space="0" w:color="auto"/>
        <w:right w:val="none" w:sz="0" w:space="0" w:color="auto"/>
      </w:divBdr>
    </w:div>
    <w:div w:id="1745756228">
      <w:bodyDiv w:val="1"/>
      <w:marLeft w:val="0"/>
      <w:marRight w:val="0"/>
      <w:marTop w:val="0"/>
      <w:marBottom w:val="0"/>
      <w:divBdr>
        <w:top w:val="none" w:sz="0" w:space="0" w:color="auto"/>
        <w:left w:val="none" w:sz="0" w:space="0" w:color="auto"/>
        <w:bottom w:val="none" w:sz="0" w:space="0" w:color="auto"/>
        <w:right w:val="none" w:sz="0" w:space="0" w:color="auto"/>
      </w:divBdr>
    </w:div>
    <w:div w:id="1797333169">
      <w:bodyDiv w:val="1"/>
      <w:marLeft w:val="0"/>
      <w:marRight w:val="0"/>
      <w:marTop w:val="0"/>
      <w:marBottom w:val="0"/>
      <w:divBdr>
        <w:top w:val="none" w:sz="0" w:space="0" w:color="auto"/>
        <w:left w:val="none" w:sz="0" w:space="0" w:color="auto"/>
        <w:bottom w:val="none" w:sz="0" w:space="0" w:color="auto"/>
        <w:right w:val="none" w:sz="0" w:space="0" w:color="auto"/>
      </w:divBdr>
    </w:div>
    <w:div w:id="1877965204">
      <w:bodyDiv w:val="1"/>
      <w:marLeft w:val="0"/>
      <w:marRight w:val="0"/>
      <w:marTop w:val="0"/>
      <w:marBottom w:val="0"/>
      <w:divBdr>
        <w:top w:val="none" w:sz="0" w:space="0" w:color="auto"/>
        <w:left w:val="none" w:sz="0" w:space="0" w:color="auto"/>
        <w:bottom w:val="none" w:sz="0" w:space="0" w:color="auto"/>
        <w:right w:val="none" w:sz="0" w:space="0" w:color="auto"/>
      </w:divBdr>
    </w:div>
    <w:div w:id="1932664424">
      <w:bodyDiv w:val="1"/>
      <w:marLeft w:val="0"/>
      <w:marRight w:val="0"/>
      <w:marTop w:val="0"/>
      <w:marBottom w:val="0"/>
      <w:divBdr>
        <w:top w:val="none" w:sz="0" w:space="0" w:color="auto"/>
        <w:left w:val="none" w:sz="0" w:space="0" w:color="auto"/>
        <w:bottom w:val="none" w:sz="0" w:space="0" w:color="auto"/>
        <w:right w:val="none" w:sz="0" w:space="0" w:color="auto"/>
      </w:divBdr>
    </w:div>
    <w:div w:id="2006200503">
      <w:bodyDiv w:val="1"/>
      <w:marLeft w:val="0"/>
      <w:marRight w:val="0"/>
      <w:marTop w:val="0"/>
      <w:marBottom w:val="0"/>
      <w:divBdr>
        <w:top w:val="none" w:sz="0" w:space="0" w:color="auto"/>
        <w:left w:val="none" w:sz="0" w:space="0" w:color="auto"/>
        <w:bottom w:val="none" w:sz="0" w:space="0" w:color="auto"/>
        <w:right w:val="none" w:sz="0" w:space="0" w:color="auto"/>
      </w:divBdr>
    </w:div>
    <w:div w:id="211905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4102/jef.v9i3.77" TargetMode="External"/><Relationship Id="rId26" Type="http://schemas.openxmlformats.org/officeDocument/2006/relationships/hyperlink" Target="https://doi.org/10.3390/jrfm15100459" TargetMode="External"/><Relationship Id="rId39" Type="http://schemas.openxmlformats.org/officeDocument/2006/relationships/image" Target="media/image14.png"/><Relationship Id="rId21" Type="http://schemas.openxmlformats.org/officeDocument/2006/relationships/hyperlink" Target="https://doi.org/10.1108/CFRI-10-2021-0208" TargetMode="External"/><Relationship Id="rId34" Type="http://schemas.openxmlformats.org/officeDocument/2006/relationships/image" Target="media/image9.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308/acch-51736" TargetMode="External"/><Relationship Id="rId20" Type="http://schemas.openxmlformats.org/officeDocument/2006/relationships/hyperlink" Target="https://doi.org/10.1108/IJPDLM-08-2012-0229" TargetMode="External"/><Relationship Id="rId29" Type="http://schemas.openxmlformats.org/officeDocument/2006/relationships/hyperlink" Target="https://doi.org/10.1111/j.1467-6281.2011.00331.x"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016/j.ijpe.2010.10.018" TargetMode="External"/><Relationship Id="rId32" Type="http://schemas.openxmlformats.org/officeDocument/2006/relationships/hyperlink" Target="https://doi.org/10.3390/su142316323" TargetMode="External"/><Relationship Id="rId37" Type="http://schemas.openxmlformats.org/officeDocument/2006/relationships/image" Target="media/image12.png"/><Relationship Id="rId40"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hyperlink" Target="https://doi.org/10.1108/96754260880001053" TargetMode="External"/><Relationship Id="rId23" Type="http://schemas.openxmlformats.org/officeDocument/2006/relationships/hyperlink" Target="https://doi.org/10.2308/accr-50632" TargetMode="External"/><Relationship Id="rId28" Type="http://schemas.openxmlformats.org/officeDocument/2006/relationships/hyperlink" Target="https://doi.org/10.1007/s10796-011-9321-1" TargetMode="External"/><Relationship Id="rId36" Type="http://schemas.openxmlformats.org/officeDocument/2006/relationships/image" Target="media/image11.png"/><Relationship Id="rId10" Type="http://schemas.openxmlformats.org/officeDocument/2006/relationships/image" Target="media/image3.jpeg"/><Relationship Id="rId19" Type="http://schemas.openxmlformats.org/officeDocument/2006/relationships/hyperlink" Target="https://doi.org/10.2308/iace.2008.23.1.77" TargetMode="External"/><Relationship Id="rId31" Type="http://schemas.openxmlformats.org/officeDocument/2006/relationships/hyperlink" Target="https://doi.org/10.1142/S02190915185002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6486/jramb.v2i1.233" TargetMode="External"/><Relationship Id="rId27" Type="http://schemas.openxmlformats.org/officeDocument/2006/relationships/hyperlink" Target="https://doi.org/10.1111/j.1911-3846.2010.01009.x" TargetMode="External"/><Relationship Id="rId30" Type="http://schemas.openxmlformats.org/officeDocument/2006/relationships/hyperlink" Target="https://doi.org/10.1177/09728201231169131" TargetMode="External"/><Relationship Id="rId35" Type="http://schemas.openxmlformats.org/officeDocument/2006/relationships/image" Target="media/image10.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80/09639284.2015.1075314" TargetMode="External"/><Relationship Id="rId25" Type="http://schemas.openxmlformats.org/officeDocument/2006/relationships/hyperlink" Target="https://doi.org/10.5937/ekoPolj1504061M" TargetMode="External"/><Relationship Id="rId33" Type="http://schemas.openxmlformats.org/officeDocument/2006/relationships/image" Target="media/image8.png"/><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9E73B-9693-4F0B-A1B1-96D290DA9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3557</TotalTime>
  <Pages>26</Pages>
  <Words>4749</Words>
  <Characters>27072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Okwute</dc:creator>
  <cp:keywords/>
  <dc:description/>
  <cp:lastModifiedBy>Fred Okwute</cp:lastModifiedBy>
  <cp:revision>155</cp:revision>
  <dcterms:created xsi:type="dcterms:W3CDTF">2022-07-26T09:14:00Z</dcterms:created>
  <dcterms:modified xsi:type="dcterms:W3CDTF">2023-09-09T11:41:00Z</dcterms:modified>
</cp:coreProperties>
</file>