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54CDB" w14:textId="1D4E2AE2" w:rsidR="006B3B26" w:rsidRPr="006B3B26" w:rsidRDefault="006B3B26" w:rsidP="006B3B2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ED7A842"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0826AEED" w14:textId="77777777" w:rsidR="006B3B26" w:rsidRPr="005F64DD" w:rsidRDefault="006B3B26" w:rsidP="006B3B26">
      <w:pPr>
        <w:jc w:val="center"/>
        <w:rPr>
          <w:rFonts w:ascii="Arial" w:hAnsi="Arial" w:cs="Arial"/>
          <w:b/>
          <w:bCs/>
          <w:sz w:val="24"/>
          <w:szCs w:val="24"/>
        </w:rPr>
      </w:pPr>
      <w:bookmarkStart w:id="0" w:name="_Hlk220346994"/>
      <w:r w:rsidRPr="005F64DD">
        <w:rPr>
          <w:rFonts w:ascii="Arial" w:hAnsi="Arial" w:cs="Arial"/>
          <w:b/>
          <w:bCs/>
          <w:sz w:val="24"/>
          <w:szCs w:val="24"/>
        </w:rPr>
        <w:t>Student Name: Sabina Kauser</w:t>
      </w:r>
    </w:p>
    <w:p w14:paraId="4F117750" w14:textId="77777777" w:rsidR="006B3B26" w:rsidRPr="005F64DD" w:rsidRDefault="006B3B26" w:rsidP="006B3B26">
      <w:pPr>
        <w:jc w:val="center"/>
        <w:rPr>
          <w:rFonts w:ascii="Arial" w:hAnsi="Arial" w:cs="Arial"/>
          <w:b/>
          <w:bCs/>
          <w:sz w:val="24"/>
          <w:szCs w:val="24"/>
        </w:rPr>
      </w:pPr>
      <w:r w:rsidRPr="005F64DD">
        <w:rPr>
          <w:rFonts w:ascii="Arial" w:hAnsi="Arial" w:cs="Arial"/>
          <w:b/>
          <w:bCs/>
          <w:sz w:val="24"/>
          <w:szCs w:val="24"/>
        </w:rPr>
        <w:t>Student Number: 2212416</w:t>
      </w:r>
    </w:p>
    <w:p w14:paraId="6C1B2142" w14:textId="738DA1A3" w:rsidR="006B3B26" w:rsidRPr="005F64DD" w:rsidRDefault="006B3B26" w:rsidP="006B3B26">
      <w:pPr>
        <w:jc w:val="center"/>
        <w:rPr>
          <w:rFonts w:ascii="Arial" w:hAnsi="Arial" w:cs="Arial"/>
          <w:b/>
          <w:bCs/>
          <w:sz w:val="24"/>
          <w:szCs w:val="24"/>
        </w:rPr>
      </w:pPr>
      <w:r w:rsidRPr="005F64DD">
        <w:rPr>
          <w:rFonts w:ascii="Arial" w:hAnsi="Arial" w:cs="Arial"/>
          <w:b/>
          <w:bCs/>
          <w:sz w:val="24"/>
          <w:szCs w:val="24"/>
        </w:rPr>
        <w:t xml:space="preserve">Lecturer Name: </w:t>
      </w:r>
      <w:r>
        <w:rPr>
          <w:rFonts w:ascii="Arial" w:hAnsi="Arial" w:cs="Arial"/>
          <w:b/>
          <w:bCs/>
          <w:sz w:val="24"/>
          <w:szCs w:val="24"/>
        </w:rPr>
        <w:t>Chloe Harries</w:t>
      </w:r>
    </w:p>
    <w:p w14:paraId="67D7E213" w14:textId="78350240" w:rsidR="006B3B26" w:rsidRPr="005F64DD" w:rsidRDefault="006B3B26" w:rsidP="006B3B26">
      <w:pPr>
        <w:jc w:val="center"/>
        <w:rPr>
          <w:rFonts w:ascii="Arial" w:hAnsi="Arial" w:cs="Arial"/>
          <w:b/>
          <w:bCs/>
          <w:sz w:val="24"/>
          <w:szCs w:val="24"/>
        </w:rPr>
      </w:pPr>
      <w:r w:rsidRPr="005F64DD">
        <w:rPr>
          <w:rFonts w:ascii="Arial" w:hAnsi="Arial" w:cs="Arial"/>
          <w:b/>
          <w:bCs/>
          <w:sz w:val="24"/>
          <w:szCs w:val="24"/>
        </w:rPr>
        <w:t>Module Code: BMHP</w:t>
      </w:r>
      <w:r>
        <w:rPr>
          <w:rFonts w:ascii="Arial" w:hAnsi="Arial" w:cs="Arial"/>
          <w:b/>
          <w:bCs/>
          <w:sz w:val="24"/>
          <w:szCs w:val="24"/>
        </w:rPr>
        <w:t>6020</w:t>
      </w:r>
      <w:r w:rsidRPr="005F64DD">
        <w:rPr>
          <w:rFonts w:ascii="Arial" w:hAnsi="Arial" w:cs="Arial"/>
          <w:b/>
          <w:bCs/>
          <w:sz w:val="24"/>
          <w:szCs w:val="24"/>
        </w:rPr>
        <w:t>_BIRM</w:t>
      </w:r>
    </w:p>
    <w:p w14:paraId="6008F1E7" w14:textId="2D0D0FAB" w:rsidR="006B3B26" w:rsidRPr="005F64DD" w:rsidRDefault="006B3B26" w:rsidP="006B3B26">
      <w:pPr>
        <w:jc w:val="center"/>
        <w:rPr>
          <w:rFonts w:ascii="Arial" w:hAnsi="Arial" w:cs="Arial"/>
          <w:b/>
          <w:bCs/>
          <w:sz w:val="24"/>
          <w:szCs w:val="24"/>
        </w:rPr>
      </w:pPr>
      <w:r w:rsidRPr="005F64DD">
        <w:rPr>
          <w:rFonts w:ascii="Arial" w:hAnsi="Arial" w:cs="Arial"/>
          <w:b/>
          <w:bCs/>
          <w:sz w:val="24"/>
          <w:szCs w:val="24"/>
        </w:rPr>
        <w:t xml:space="preserve">Changemakers: </w:t>
      </w:r>
      <w:r>
        <w:rPr>
          <w:rFonts w:ascii="Arial" w:hAnsi="Arial" w:cs="Arial"/>
          <w:b/>
          <w:bCs/>
          <w:sz w:val="24"/>
          <w:szCs w:val="24"/>
        </w:rPr>
        <w:t>Independent Project</w:t>
      </w:r>
    </w:p>
    <w:p w14:paraId="5B58B7C2"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bookmarkEnd w:id="0"/>
    <w:p w14:paraId="734F3DE5"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0E83BB94"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507C427F"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5D151BE3"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43433097"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73ED50A1"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5DF1DF07"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35D41AE5"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39A0EC5C"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06FBFC80"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3CDAC16B"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077063C6"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702C2E3F"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45989DA9"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157597F2"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1754CA5A"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77D00F20"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74846D8E"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1D45BD9E" w14:textId="77777777" w:rsid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32721E90" w14:textId="176BCA8A" w:rsidR="006B3B26" w:rsidRPr="006B3B26" w:rsidRDefault="006B3B26" w:rsidP="006B3B26">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r w:rsidRPr="006B3B26">
        <w:rPr>
          <w:rFonts w:ascii="Arial" w:eastAsia="Times New Roman" w:hAnsi="Arial" w:cs="Arial"/>
          <w:b/>
          <w:bCs/>
          <w:kern w:val="36"/>
          <w:sz w:val="24"/>
          <w:szCs w:val="24"/>
          <w:lang w:eastAsia="en-GB"/>
          <w14:ligatures w14:val="none"/>
        </w:rPr>
        <w:t>Element 1 – Project Proposal</w:t>
      </w:r>
    </w:p>
    <w:p w14:paraId="5F0B4C35" w14:textId="12DC43A9"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p>
    <w:p w14:paraId="35CB9216" w14:textId="18A929E8"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b/>
          <w:bCs/>
          <w:kern w:val="0"/>
          <w:sz w:val="24"/>
          <w:szCs w:val="24"/>
          <w:lang w:eastAsia="en-GB"/>
          <w14:ligatures w14:val="none"/>
        </w:rPr>
        <w:t>The Importance of Person-Centred Care in Health and Social Care Services</w:t>
      </w:r>
    </w:p>
    <w:p w14:paraId="5DB022DE" w14:textId="1F948F21"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 xml:space="preserve">1) Aim </w:t>
      </w:r>
    </w:p>
    <w:p w14:paraId="4BCFCD07" w14:textId="0FA06E03"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The aim of this research is to explore the significance of person-centred care within health and social care services by critically examining existing academic literature and policy. The study seeks to understand how person-centred approaches influence service user wellbeing, care quality, and professional practice.</w:t>
      </w:r>
    </w:p>
    <w:p w14:paraId="7DF95FAE" w14:textId="6FC75366"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2) Objectives</w:t>
      </w:r>
    </w:p>
    <w:p w14:paraId="62D883C1" w14:textId="77777777" w:rsidR="006B3B26" w:rsidRPr="006B3B26" w:rsidRDefault="006B3B26" w:rsidP="006B3B2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To </w:t>
      </w:r>
      <w:r w:rsidRPr="006B3B26">
        <w:rPr>
          <w:rFonts w:ascii="Arial" w:eastAsia="Times New Roman" w:hAnsi="Arial" w:cs="Arial"/>
          <w:b/>
          <w:bCs/>
          <w:kern w:val="0"/>
          <w:sz w:val="24"/>
          <w:szCs w:val="24"/>
          <w:lang w:eastAsia="en-GB"/>
          <w14:ligatures w14:val="none"/>
        </w:rPr>
        <w:t>define and examine</w:t>
      </w:r>
      <w:r w:rsidRPr="006B3B26">
        <w:rPr>
          <w:rFonts w:ascii="Arial" w:eastAsia="Times New Roman" w:hAnsi="Arial" w:cs="Arial"/>
          <w:kern w:val="0"/>
          <w:sz w:val="24"/>
          <w:szCs w:val="24"/>
          <w:lang w:eastAsia="en-GB"/>
          <w14:ligatures w14:val="none"/>
        </w:rPr>
        <w:t xml:space="preserve"> the key principles of person-centred care within health and social care practice.</w:t>
      </w:r>
    </w:p>
    <w:p w14:paraId="27437289" w14:textId="77777777" w:rsidR="006B3B26" w:rsidRPr="006B3B26" w:rsidRDefault="006B3B26" w:rsidP="006B3B2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To </w:t>
      </w:r>
      <w:r w:rsidRPr="006B3B26">
        <w:rPr>
          <w:rFonts w:ascii="Arial" w:eastAsia="Times New Roman" w:hAnsi="Arial" w:cs="Arial"/>
          <w:b/>
          <w:bCs/>
          <w:kern w:val="0"/>
          <w:sz w:val="24"/>
          <w:szCs w:val="24"/>
          <w:lang w:eastAsia="en-GB"/>
          <w14:ligatures w14:val="none"/>
        </w:rPr>
        <w:t>analyse</w:t>
      </w:r>
      <w:r w:rsidRPr="006B3B26">
        <w:rPr>
          <w:rFonts w:ascii="Arial" w:eastAsia="Times New Roman" w:hAnsi="Arial" w:cs="Arial"/>
          <w:kern w:val="0"/>
          <w:sz w:val="24"/>
          <w:szCs w:val="24"/>
          <w:lang w:eastAsia="en-GB"/>
          <w14:ligatures w14:val="none"/>
        </w:rPr>
        <w:t xml:space="preserve"> academic literature and policy evidence regarding the impact of person-centred care on service user outcomes.</w:t>
      </w:r>
    </w:p>
    <w:p w14:paraId="618DA911" w14:textId="77777777" w:rsidR="006B3B26" w:rsidRPr="006B3B26" w:rsidRDefault="006B3B26" w:rsidP="006B3B2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To </w:t>
      </w:r>
      <w:r w:rsidRPr="006B3B26">
        <w:rPr>
          <w:rFonts w:ascii="Arial" w:eastAsia="Times New Roman" w:hAnsi="Arial" w:cs="Arial"/>
          <w:b/>
          <w:bCs/>
          <w:kern w:val="0"/>
          <w:sz w:val="24"/>
          <w:szCs w:val="24"/>
          <w:lang w:eastAsia="en-GB"/>
          <w14:ligatures w14:val="none"/>
        </w:rPr>
        <w:t>evaluate</w:t>
      </w:r>
      <w:r w:rsidRPr="006B3B26">
        <w:rPr>
          <w:rFonts w:ascii="Arial" w:eastAsia="Times New Roman" w:hAnsi="Arial" w:cs="Arial"/>
          <w:kern w:val="0"/>
          <w:sz w:val="24"/>
          <w:szCs w:val="24"/>
          <w:lang w:eastAsia="en-GB"/>
          <w14:ligatures w14:val="none"/>
        </w:rPr>
        <w:t xml:space="preserve"> challenges and barriers that restrict the effective implementation of person-centred care in health and social care settings.</w:t>
      </w:r>
    </w:p>
    <w:p w14:paraId="129BCCF7" w14:textId="77777777" w:rsidR="006B3B26" w:rsidRPr="006B3B26" w:rsidRDefault="006B3B26" w:rsidP="006B3B2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To </w:t>
      </w:r>
      <w:r w:rsidRPr="006B3B26">
        <w:rPr>
          <w:rFonts w:ascii="Arial" w:eastAsia="Times New Roman" w:hAnsi="Arial" w:cs="Arial"/>
          <w:b/>
          <w:bCs/>
          <w:kern w:val="0"/>
          <w:sz w:val="24"/>
          <w:szCs w:val="24"/>
          <w:lang w:eastAsia="en-GB"/>
          <w14:ligatures w14:val="none"/>
        </w:rPr>
        <w:t>provide recommendations</w:t>
      </w:r>
      <w:r w:rsidRPr="006B3B26">
        <w:rPr>
          <w:rFonts w:ascii="Arial" w:eastAsia="Times New Roman" w:hAnsi="Arial" w:cs="Arial"/>
          <w:kern w:val="0"/>
          <w:sz w:val="24"/>
          <w:szCs w:val="24"/>
          <w:lang w:eastAsia="en-GB"/>
          <w14:ligatures w14:val="none"/>
        </w:rPr>
        <w:t xml:space="preserve"> for improving the delivery of person-centred care based on insights from secondary research.</w:t>
      </w:r>
    </w:p>
    <w:p w14:paraId="7E12E6C2" w14:textId="4F04931C" w:rsidR="006B3B26" w:rsidRPr="006B3B26" w:rsidRDefault="006B3B26" w:rsidP="006B3B26">
      <w:pPr>
        <w:spacing w:after="0" w:line="240" w:lineRule="auto"/>
        <w:rPr>
          <w:rFonts w:ascii="Arial" w:eastAsia="Times New Roman" w:hAnsi="Arial" w:cs="Arial"/>
          <w:kern w:val="0"/>
          <w:sz w:val="24"/>
          <w:szCs w:val="24"/>
          <w:lang w:eastAsia="en-GB"/>
          <w14:ligatures w14:val="none"/>
        </w:rPr>
      </w:pPr>
    </w:p>
    <w:p w14:paraId="362BA82C" w14:textId="10740C32"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3) Background / Rationale</w:t>
      </w:r>
    </w:p>
    <w:p w14:paraId="43DF7806" w14:textId="77777777"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Person-centred care is a fundamental concept in health and social care, emphasising dignity, respect, choice, and individual involvement in care decisions. UK legislation and policy, such as the Care Act 2014 and NICE guidelines, reinforce person-centred approaches as essential for promoting wellbeing and improving care quality (McCormack and McCance, 2017; NICE, 2018). Research indicates that person-centred care enhances service user satisfaction, supports independence, and can lead to better health outcomes.</w:t>
      </w:r>
    </w:p>
    <w:p w14:paraId="6F0C686D" w14:textId="77777777"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Despite its importance, evidence suggests that person-centred care is inconsistently applied in practice. Organisational pressures, limited resources, and workforce constraints can result in task-focused care that fails to meet individual needs (Wilberforce et al., 2017). This research addresses the gap between policy expectations and actual practice, contributing to a deeper understanding of why person-centred care is crucial and how its implementation can be strengthened in health and social care services.</w:t>
      </w:r>
    </w:p>
    <w:p w14:paraId="4A0F0D2A" w14:textId="0EF60813" w:rsidR="006B3B26" w:rsidRPr="006B3B26" w:rsidRDefault="006B3B26" w:rsidP="006B3B26">
      <w:pPr>
        <w:spacing w:after="0" w:line="240" w:lineRule="auto"/>
        <w:rPr>
          <w:rFonts w:ascii="Arial" w:eastAsia="Times New Roman" w:hAnsi="Arial" w:cs="Arial"/>
          <w:kern w:val="0"/>
          <w:sz w:val="24"/>
          <w:szCs w:val="24"/>
          <w:lang w:eastAsia="en-GB"/>
          <w14:ligatures w14:val="none"/>
        </w:rPr>
      </w:pPr>
    </w:p>
    <w:p w14:paraId="3E78EFEE" w14:textId="4FB6D610"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4) Methods (Secondary Research Only)</w:t>
      </w:r>
    </w:p>
    <w:p w14:paraId="55D0D57B" w14:textId="5ACFDEE4"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lastRenderedPageBreak/>
        <w:t xml:space="preserve">This study will adopt a </w:t>
      </w:r>
      <w:r w:rsidRPr="006B3B26">
        <w:rPr>
          <w:rFonts w:ascii="Arial" w:eastAsia="Times New Roman" w:hAnsi="Arial" w:cs="Arial"/>
          <w:b/>
          <w:bCs/>
          <w:kern w:val="0"/>
          <w:sz w:val="24"/>
          <w:szCs w:val="24"/>
          <w:lang w:eastAsia="en-GB"/>
          <w14:ligatures w14:val="none"/>
        </w:rPr>
        <w:t>secondary research approach</w:t>
      </w:r>
      <w:r w:rsidRPr="006B3B26">
        <w:rPr>
          <w:rFonts w:ascii="Arial" w:eastAsia="Times New Roman" w:hAnsi="Arial" w:cs="Arial"/>
          <w:kern w:val="0"/>
          <w:sz w:val="24"/>
          <w:szCs w:val="24"/>
          <w:lang w:eastAsia="en-GB"/>
          <w14:ligatures w14:val="none"/>
        </w:rPr>
        <w:t xml:space="preserve">, using peer-reviewed journal articles, government reports, and professional guidelines related to person-centred care. Sources will be selected based on relevance, credibility, and publication within the last 10 years. A </w:t>
      </w:r>
      <w:r w:rsidRPr="006B3B26">
        <w:rPr>
          <w:rFonts w:ascii="Arial" w:eastAsia="Times New Roman" w:hAnsi="Arial" w:cs="Arial"/>
          <w:b/>
          <w:bCs/>
          <w:kern w:val="0"/>
          <w:sz w:val="24"/>
          <w:szCs w:val="24"/>
          <w:lang w:eastAsia="en-GB"/>
          <w14:ligatures w14:val="none"/>
        </w:rPr>
        <w:t>thematic review</w:t>
      </w:r>
      <w:r w:rsidRPr="006B3B26">
        <w:rPr>
          <w:rFonts w:ascii="Arial" w:eastAsia="Times New Roman" w:hAnsi="Arial" w:cs="Arial"/>
          <w:kern w:val="0"/>
          <w:sz w:val="24"/>
          <w:szCs w:val="24"/>
          <w:lang w:eastAsia="en-GB"/>
          <w14:ligatures w14:val="none"/>
        </w:rPr>
        <w:t xml:space="preserve"> will be conducted to identify recurring themes, compare findings, and synthesise insights. Ethical considerations include accurate citation, adherence to Harvard referencing, and avoidance of plagiarism. This approach allows the researcher to critically engage with existing evidence and policy, providing a robust understanding of person-centred care without direct involvement of participants.</w:t>
      </w:r>
    </w:p>
    <w:p w14:paraId="479AAA59" w14:textId="332FDA1D"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5) Resources</w:t>
      </w:r>
    </w:p>
    <w:p w14:paraId="1385E9EF" w14:textId="77777777" w:rsidR="006B3B26" w:rsidRPr="006B3B26" w:rsidRDefault="006B3B26" w:rsidP="006B3B26">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Google Scholar</w:t>
      </w:r>
    </w:p>
    <w:p w14:paraId="136C21E3" w14:textId="77777777" w:rsidR="006B3B26" w:rsidRPr="006B3B26" w:rsidRDefault="006B3B26" w:rsidP="006B3B26">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University online library</w:t>
      </w:r>
    </w:p>
    <w:p w14:paraId="365CAD73" w14:textId="77777777" w:rsidR="006B3B26" w:rsidRPr="006B3B26" w:rsidRDefault="006B3B26" w:rsidP="006B3B26">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NICE and NHS policy websites</w:t>
      </w:r>
    </w:p>
    <w:p w14:paraId="17822E08" w14:textId="6CE00E77" w:rsidR="006B3B26" w:rsidRPr="006B3B26" w:rsidRDefault="006B3B26" w:rsidP="006B3B26">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Microsoft Word</w:t>
      </w:r>
    </w:p>
    <w:p w14:paraId="782CB807" w14:textId="088BD8B8"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6) Timescale</w:t>
      </w:r>
    </w:p>
    <w:p w14:paraId="669CDD8D" w14:textId="77777777" w:rsidR="006B3B26" w:rsidRPr="006B3B26" w:rsidRDefault="006B3B26" w:rsidP="006B3B26">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Literature search and source selection: Weeks 1–2</w:t>
      </w:r>
    </w:p>
    <w:p w14:paraId="2AEC518D" w14:textId="77777777" w:rsidR="006B3B26" w:rsidRPr="006B3B26" w:rsidRDefault="006B3B26" w:rsidP="006B3B26">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Critical reading and thematic analysis: Weeks 3–4</w:t>
      </w:r>
    </w:p>
    <w:p w14:paraId="190841C2" w14:textId="6AB200F6" w:rsidR="006B3B26" w:rsidRPr="006B3B26" w:rsidRDefault="006B3B26" w:rsidP="006B3B26">
      <w:pPr>
        <w:numPr>
          <w:ilvl w:val="0"/>
          <w:numId w:val="3"/>
        </w:num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Writing, reviewing, and final editing: Weeks 5–6</w:t>
      </w:r>
    </w:p>
    <w:p w14:paraId="6CCF7468" w14:textId="22A86FC8"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 xml:space="preserve">7) Self-Reflection as Researcher </w:t>
      </w:r>
    </w:p>
    <w:p w14:paraId="56D9C30D" w14:textId="49DBC3DE"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My strengths include critical engagement with academic literature and policy analysis. A challenge may be managing time effectively and synthesising diverse sources. This project will help develop advanced analytical skills, academic writing, and critical thinking, supporting my progression as a Level 6 Health and Social Care researcher.</w:t>
      </w:r>
    </w:p>
    <w:p w14:paraId="57F11B23" w14:textId="355F742B"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b/>
          <w:bCs/>
          <w:kern w:val="0"/>
          <w:sz w:val="24"/>
          <w:szCs w:val="24"/>
          <w:lang w:eastAsia="en-GB"/>
          <w14:ligatures w14:val="none"/>
        </w:rPr>
        <w:t xml:space="preserve">References </w:t>
      </w:r>
    </w:p>
    <w:p w14:paraId="15A192A4" w14:textId="4C3CEA30" w:rsidR="006B3B26" w:rsidRPr="006B3B26" w:rsidRDefault="006B3B26" w:rsidP="006B3B26">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Braun, V. and Clarke, V. (2006) </w:t>
      </w:r>
      <w:r w:rsidRPr="006B3B26">
        <w:rPr>
          <w:rFonts w:ascii="Arial" w:eastAsia="Times New Roman" w:hAnsi="Arial" w:cs="Arial"/>
          <w:i/>
          <w:iCs/>
          <w:kern w:val="0"/>
          <w:sz w:val="24"/>
          <w:szCs w:val="24"/>
          <w:lang w:eastAsia="en-GB"/>
          <w14:ligatures w14:val="none"/>
        </w:rPr>
        <w:t>Using thematic analysis in psychology</w:t>
      </w:r>
      <w:r w:rsidRPr="006B3B26">
        <w:rPr>
          <w:rFonts w:ascii="Arial" w:eastAsia="Times New Roman" w:hAnsi="Arial" w:cs="Arial"/>
          <w:kern w:val="0"/>
          <w:sz w:val="24"/>
          <w:szCs w:val="24"/>
          <w:lang w:eastAsia="en-GB"/>
          <w14:ligatures w14:val="none"/>
        </w:rPr>
        <w:t>. Qualitative Research in Psychology, 3(2), pp. 77–101.</w:t>
      </w:r>
    </w:p>
    <w:p w14:paraId="72836056" w14:textId="77777777"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McCormack, B. and McCance, T. (2017) </w:t>
      </w:r>
      <w:r w:rsidRPr="006B3B26">
        <w:rPr>
          <w:rFonts w:ascii="Arial" w:eastAsia="Times New Roman" w:hAnsi="Arial" w:cs="Arial"/>
          <w:i/>
          <w:iCs/>
          <w:kern w:val="0"/>
          <w:sz w:val="24"/>
          <w:szCs w:val="24"/>
          <w:lang w:eastAsia="en-GB"/>
          <w14:ligatures w14:val="none"/>
        </w:rPr>
        <w:t>Person-Centred Practice in Nursing and Health Care</w:t>
      </w:r>
      <w:r w:rsidRPr="006B3B26">
        <w:rPr>
          <w:rFonts w:ascii="Arial" w:eastAsia="Times New Roman" w:hAnsi="Arial" w:cs="Arial"/>
          <w:kern w:val="0"/>
          <w:sz w:val="24"/>
          <w:szCs w:val="24"/>
          <w:lang w:eastAsia="en-GB"/>
          <w14:ligatures w14:val="none"/>
        </w:rPr>
        <w:t xml:space="preserve">. 2nd </w:t>
      </w:r>
      <w:proofErr w:type="spellStart"/>
      <w:r w:rsidRPr="006B3B26">
        <w:rPr>
          <w:rFonts w:ascii="Arial" w:eastAsia="Times New Roman" w:hAnsi="Arial" w:cs="Arial"/>
          <w:kern w:val="0"/>
          <w:sz w:val="24"/>
          <w:szCs w:val="24"/>
          <w:lang w:eastAsia="en-GB"/>
          <w14:ligatures w14:val="none"/>
        </w:rPr>
        <w:t>edn</w:t>
      </w:r>
      <w:proofErr w:type="spellEnd"/>
      <w:r w:rsidRPr="006B3B26">
        <w:rPr>
          <w:rFonts w:ascii="Arial" w:eastAsia="Times New Roman" w:hAnsi="Arial" w:cs="Arial"/>
          <w:kern w:val="0"/>
          <w:sz w:val="24"/>
          <w:szCs w:val="24"/>
          <w:lang w:eastAsia="en-GB"/>
          <w14:ligatures w14:val="none"/>
        </w:rPr>
        <w:t>. Oxford: Wiley Blackwell.</w:t>
      </w:r>
    </w:p>
    <w:p w14:paraId="3513BD60" w14:textId="77777777" w:rsidR="006B3B26" w:rsidRPr="006B3B26"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NICE (2018) </w:t>
      </w:r>
      <w:r w:rsidRPr="006B3B26">
        <w:rPr>
          <w:rFonts w:ascii="Arial" w:eastAsia="Times New Roman" w:hAnsi="Arial" w:cs="Arial"/>
          <w:i/>
          <w:iCs/>
          <w:kern w:val="0"/>
          <w:sz w:val="24"/>
          <w:szCs w:val="24"/>
          <w:lang w:eastAsia="en-GB"/>
          <w14:ligatures w14:val="none"/>
        </w:rPr>
        <w:t>Person-centred care</w:t>
      </w:r>
      <w:r w:rsidRPr="006B3B26">
        <w:rPr>
          <w:rFonts w:ascii="Arial" w:eastAsia="Times New Roman" w:hAnsi="Arial" w:cs="Arial"/>
          <w:kern w:val="0"/>
          <w:sz w:val="24"/>
          <w:szCs w:val="24"/>
          <w:lang w:eastAsia="en-GB"/>
          <w14:ligatures w14:val="none"/>
        </w:rPr>
        <w:t>. London: National Institute for Health and Care Excellence.</w:t>
      </w:r>
    </w:p>
    <w:p w14:paraId="61F2FE95" w14:textId="42139E52" w:rsidR="00306DC5" w:rsidRDefault="006B3B26"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6B3B26">
        <w:rPr>
          <w:rFonts w:ascii="Arial" w:eastAsia="Times New Roman" w:hAnsi="Arial" w:cs="Arial"/>
          <w:kern w:val="0"/>
          <w:sz w:val="24"/>
          <w:szCs w:val="24"/>
          <w:lang w:eastAsia="en-GB"/>
          <w14:ligatures w14:val="none"/>
        </w:rPr>
        <w:t xml:space="preserve">Wilberforce, M. et al. (2017) </w:t>
      </w:r>
      <w:r w:rsidRPr="006B3B26">
        <w:rPr>
          <w:rFonts w:ascii="Arial" w:eastAsia="Times New Roman" w:hAnsi="Arial" w:cs="Arial"/>
          <w:i/>
          <w:iCs/>
          <w:kern w:val="0"/>
          <w:sz w:val="24"/>
          <w:szCs w:val="24"/>
          <w:lang w:eastAsia="en-GB"/>
          <w14:ligatures w14:val="none"/>
        </w:rPr>
        <w:t>Person-centred care in social care services</w:t>
      </w:r>
      <w:r w:rsidRPr="006B3B26">
        <w:rPr>
          <w:rFonts w:ascii="Arial" w:eastAsia="Times New Roman" w:hAnsi="Arial" w:cs="Arial"/>
          <w:kern w:val="0"/>
          <w:sz w:val="24"/>
          <w:szCs w:val="24"/>
          <w:lang w:eastAsia="en-GB"/>
          <w14:ligatures w14:val="none"/>
        </w:rPr>
        <w:t>. Health &amp; Social Care in the Community, 25(2), pp. 1–10.</w:t>
      </w:r>
    </w:p>
    <w:p w14:paraId="43D579A0" w14:textId="77777777" w:rsidR="005C7126" w:rsidRDefault="005C7126" w:rsidP="006B3B26">
      <w:pPr>
        <w:spacing w:before="100" w:beforeAutospacing="1" w:after="100" w:afterAutospacing="1" w:line="240" w:lineRule="auto"/>
        <w:rPr>
          <w:rFonts w:ascii="Arial" w:eastAsia="Times New Roman" w:hAnsi="Arial" w:cs="Arial"/>
          <w:kern w:val="0"/>
          <w:sz w:val="24"/>
          <w:szCs w:val="24"/>
          <w:lang w:eastAsia="en-GB"/>
          <w14:ligatures w14:val="none"/>
        </w:rPr>
      </w:pPr>
    </w:p>
    <w:p w14:paraId="1037BB8A" w14:textId="77777777" w:rsidR="005C7126" w:rsidRDefault="005C7126" w:rsidP="006B3B26">
      <w:pPr>
        <w:spacing w:before="100" w:beforeAutospacing="1" w:after="100" w:afterAutospacing="1" w:line="240" w:lineRule="auto"/>
        <w:rPr>
          <w:rFonts w:ascii="Arial" w:eastAsia="Times New Roman" w:hAnsi="Arial" w:cs="Arial"/>
          <w:kern w:val="0"/>
          <w:sz w:val="24"/>
          <w:szCs w:val="24"/>
          <w:lang w:eastAsia="en-GB"/>
          <w14:ligatures w14:val="none"/>
        </w:rPr>
      </w:pPr>
    </w:p>
    <w:p w14:paraId="5098010D" w14:textId="77777777" w:rsidR="005C7126" w:rsidRDefault="005C7126" w:rsidP="006B3B26">
      <w:pPr>
        <w:spacing w:before="100" w:beforeAutospacing="1" w:after="100" w:afterAutospacing="1" w:line="240" w:lineRule="auto"/>
        <w:rPr>
          <w:rFonts w:ascii="Arial" w:eastAsia="Times New Roman" w:hAnsi="Arial" w:cs="Arial"/>
          <w:kern w:val="0"/>
          <w:sz w:val="24"/>
          <w:szCs w:val="24"/>
          <w:lang w:eastAsia="en-GB"/>
          <w14:ligatures w14:val="none"/>
        </w:rPr>
      </w:pPr>
    </w:p>
    <w:p w14:paraId="5BD64FD7" w14:textId="77777777" w:rsidR="005C7126" w:rsidRDefault="005C7126" w:rsidP="006B3B26">
      <w:pPr>
        <w:spacing w:before="100" w:beforeAutospacing="1" w:after="100" w:afterAutospacing="1" w:line="240" w:lineRule="auto"/>
        <w:rPr>
          <w:rFonts w:ascii="Arial" w:eastAsia="Times New Roman" w:hAnsi="Arial" w:cs="Arial"/>
          <w:kern w:val="0"/>
          <w:sz w:val="24"/>
          <w:szCs w:val="24"/>
          <w:lang w:eastAsia="en-GB"/>
          <w14:ligatures w14:val="none"/>
        </w:rPr>
      </w:pPr>
    </w:p>
    <w:p w14:paraId="6ED2D36A" w14:textId="5E68E160" w:rsidR="005C7126" w:rsidRPr="006B3B26" w:rsidRDefault="00A76E3D" w:rsidP="006B3B26">
      <w:pPr>
        <w:spacing w:before="100" w:beforeAutospacing="1" w:after="100" w:afterAutospacing="1" w:line="240" w:lineRule="auto"/>
        <w:rPr>
          <w:rFonts w:ascii="Arial" w:eastAsia="Times New Roman" w:hAnsi="Arial" w:cs="Arial"/>
          <w:kern w:val="0"/>
          <w:sz w:val="24"/>
          <w:szCs w:val="24"/>
          <w:lang w:eastAsia="en-GB"/>
          <w14:ligatures w14:val="none"/>
        </w:rPr>
      </w:pPr>
      <w:r w:rsidRPr="00A76E3D">
        <w:rPr>
          <w:rFonts w:ascii="Arial" w:eastAsia="Times New Roman" w:hAnsi="Arial" w:cs="Arial"/>
          <w:kern w:val="0"/>
          <w:sz w:val="24"/>
          <w:szCs w:val="24"/>
          <w:lang w:eastAsia="en-GB"/>
          <w14:ligatures w14:val="none"/>
        </w:rPr>
        <w:lastRenderedPageBreak/>
        <w:drawing>
          <wp:anchor distT="0" distB="0" distL="114300" distR="114300" simplePos="0" relativeHeight="251658240" behindDoc="0" locked="0" layoutInCell="1" allowOverlap="1" wp14:anchorId="789AFA9C" wp14:editId="7887494A">
            <wp:simplePos x="0" y="0"/>
            <wp:positionH relativeFrom="margin">
              <wp:posOffset>-676910</wp:posOffset>
            </wp:positionH>
            <wp:positionV relativeFrom="paragraph">
              <wp:posOffset>64770</wp:posOffset>
            </wp:positionV>
            <wp:extent cx="7023100" cy="8788400"/>
            <wp:effectExtent l="0" t="0" r="6350" b="0"/>
            <wp:wrapTopAndBottom/>
            <wp:docPr id="533176554" name="Picture 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176554" name="Picture 1" descr="A poster with text and images&#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7023100" cy="8788400"/>
                    </a:xfrm>
                    <a:prstGeom prst="rect">
                      <a:avLst/>
                    </a:prstGeom>
                  </pic:spPr>
                </pic:pic>
              </a:graphicData>
            </a:graphic>
            <wp14:sizeRelH relativeFrom="margin">
              <wp14:pctWidth>0</wp14:pctWidth>
            </wp14:sizeRelH>
            <wp14:sizeRelV relativeFrom="margin">
              <wp14:pctHeight>0</wp14:pctHeight>
            </wp14:sizeRelV>
          </wp:anchor>
        </w:drawing>
      </w:r>
    </w:p>
    <w:sectPr w:rsidR="005C7126" w:rsidRPr="006B3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B2171"/>
    <w:multiLevelType w:val="multilevel"/>
    <w:tmpl w:val="516C3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41671D"/>
    <w:multiLevelType w:val="multilevel"/>
    <w:tmpl w:val="395C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F1C4F"/>
    <w:multiLevelType w:val="multilevel"/>
    <w:tmpl w:val="519EB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781539"/>
    <w:multiLevelType w:val="multilevel"/>
    <w:tmpl w:val="A99C3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85251">
    <w:abstractNumId w:val="0"/>
  </w:num>
  <w:num w:numId="2" w16cid:durableId="1948194297">
    <w:abstractNumId w:val="3"/>
  </w:num>
  <w:num w:numId="3" w16cid:durableId="794300154">
    <w:abstractNumId w:val="1"/>
  </w:num>
  <w:num w:numId="4" w16cid:durableId="18910683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B26"/>
    <w:rsid w:val="002D13E6"/>
    <w:rsid w:val="002D6BE4"/>
    <w:rsid w:val="00306DC5"/>
    <w:rsid w:val="003463F8"/>
    <w:rsid w:val="00391C87"/>
    <w:rsid w:val="0044160A"/>
    <w:rsid w:val="005C7126"/>
    <w:rsid w:val="006B3B26"/>
    <w:rsid w:val="007059A3"/>
    <w:rsid w:val="007F2745"/>
    <w:rsid w:val="00A76E3D"/>
    <w:rsid w:val="00AA3CEE"/>
    <w:rsid w:val="00AF5F50"/>
    <w:rsid w:val="00F1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61F26"/>
  <w15:chartTrackingRefBased/>
  <w15:docId w15:val="{D0C2D2D9-C18B-47C6-B8CE-3F5995AD4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B26"/>
    <w:rPr>
      <w:rFonts w:eastAsiaTheme="majorEastAsia" w:cstheme="majorBidi"/>
      <w:color w:val="272727" w:themeColor="text1" w:themeTint="D8"/>
    </w:rPr>
  </w:style>
  <w:style w:type="paragraph" w:styleId="Title">
    <w:name w:val="Title"/>
    <w:basedOn w:val="Normal"/>
    <w:next w:val="Normal"/>
    <w:link w:val="TitleChar"/>
    <w:uiPriority w:val="10"/>
    <w:qFormat/>
    <w:rsid w:val="006B3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B26"/>
    <w:pPr>
      <w:spacing w:before="160"/>
      <w:jc w:val="center"/>
    </w:pPr>
    <w:rPr>
      <w:i/>
      <w:iCs/>
      <w:color w:val="404040" w:themeColor="text1" w:themeTint="BF"/>
    </w:rPr>
  </w:style>
  <w:style w:type="character" w:customStyle="1" w:styleId="QuoteChar">
    <w:name w:val="Quote Char"/>
    <w:basedOn w:val="DefaultParagraphFont"/>
    <w:link w:val="Quote"/>
    <w:uiPriority w:val="29"/>
    <w:rsid w:val="006B3B26"/>
    <w:rPr>
      <w:i/>
      <w:iCs/>
      <w:color w:val="404040" w:themeColor="text1" w:themeTint="BF"/>
    </w:rPr>
  </w:style>
  <w:style w:type="paragraph" w:styleId="ListParagraph">
    <w:name w:val="List Paragraph"/>
    <w:basedOn w:val="Normal"/>
    <w:uiPriority w:val="34"/>
    <w:qFormat/>
    <w:rsid w:val="006B3B26"/>
    <w:pPr>
      <w:ind w:left="720"/>
      <w:contextualSpacing/>
    </w:pPr>
  </w:style>
  <w:style w:type="character" w:styleId="IntenseEmphasis">
    <w:name w:val="Intense Emphasis"/>
    <w:basedOn w:val="DefaultParagraphFont"/>
    <w:uiPriority w:val="21"/>
    <w:qFormat/>
    <w:rsid w:val="006B3B26"/>
    <w:rPr>
      <w:i/>
      <w:iCs/>
      <w:color w:val="0F4761" w:themeColor="accent1" w:themeShade="BF"/>
    </w:rPr>
  </w:style>
  <w:style w:type="paragraph" w:styleId="IntenseQuote">
    <w:name w:val="Intense Quote"/>
    <w:basedOn w:val="Normal"/>
    <w:next w:val="Normal"/>
    <w:link w:val="IntenseQuoteChar"/>
    <w:uiPriority w:val="30"/>
    <w:qFormat/>
    <w:rsid w:val="006B3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B26"/>
    <w:rPr>
      <w:i/>
      <w:iCs/>
      <w:color w:val="0F4761" w:themeColor="accent1" w:themeShade="BF"/>
    </w:rPr>
  </w:style>
  <w:style w:type="character" w:styleId="IntenseReference">
    <w:name w:val="Intense Reference"/>
    <w:basedOn w:val="DefaultParagraphFont"/>
    <w:uiPriority w:val="32"/>
    <w:qFormat/>
    <w:rsid w:val="006B3B2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595</Words>
  <Characters>3398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kauser</dc:creator>
  <cp:keywords/>
  <dc:description/>
  <cp:lastModifiedBy>sabina kauser</cp:lastModifiedBy>
  <cp:revision>1</cp:revision>
  <dcterms:created xsi:type="dcterms:W3CDTF">2026-01-26T14:47:00Z</dcterms:created>
  <dcterms:modified xsi:type="dcterms:W3CDTF">2026-02-13T21:31:00Z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00aedf6c-b3e2-4cbc-a304-9723299a8a2f</vt:lpwstr>
  </property>
</Properties>
</file>