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32FC2F" w14:textId="77777777" w:rsidR="007C59E8" w:rsidRPr="00185254" w:rsidRDefault="007C59E8" w:rsidP="007C59E8">
      <w:pPr>
        <w:tabs>
          <w:tab w:val="right" w:pos="10567"/>
        </w:tabs>
        <w:spacing w:after="63" w:line="360" w:lineRule="auto"/>
        <w:rPr>
          <w:rFonts w:ascii="Arial" w:hAnsi="Arial" w:cs="Arial"/>
          <w:sz w:val="22"/>
        </w:rPr>
      </w:pPr>
      <w:r w:rsidRPr="00185254">
        <w:rPr>
          <w:rFonts w:ascii="Arial" w:hAnsi="Arial" w:cs="Arial"/>
          <w:noProof/>
          <w:sz w:val="22"/>
        </w:rPr>
        <w:drawing>
          <wp:inline distT="0" distB="0" distL="0" distR="0" wp14:anchorId="7C5A366D" wp14:editId="2BE6F8F9">
            <wp:extent cx="1809750" cy="723900"/>
            <wp:effectExtent l="0" t="0" r="0" b="0"/>
            <wp:docPr id="295" name="Picture 295"/>
            <wp:cNvGraphicFramePr/>
            <a:graphic xmlns:a="http://schemas.openxmlformats.org/drawingml/2006/main">
              <a:graphicData uri="http://schemas.openxmlformats.org/drawingml/2006/picture">
                <pic:pic xmlns:pic="http://schemas.openxmlformats.org/drawingml/2006/picture">
                  <pic:nvPicPr>
                    <pic:cNvPr id="295" name="Picture 295"/>
                    <pic:cNvPicPr/>
                  </pic:nvPicPr>
                  <pic:blipFill>
                    <a:blip r:embed="rId6"/>
                    <a:stretch>
                      <a:fillRect/>
                    </a:stretch>
                  </pic:blipFill>
                  <pic:spPr>
                    <a:xfrm>
                      <a:off x="0" y="0"/>
                      <a:ext cx="1809750" cy="723900"/>
                    </a:xfrm>
                    <a:prstGeom prst="rect">
                      <a:avLst/>
                    </a:prstGeom>
                  </pic:spPr>
                </pic:pic>
              </a:graphicData>
            </a:graphic>
          </wp:inline>
        </w:drawing>
      </w:r>
      <w:r w:rsidRPr="00185254">
        <w:rPr>
          <w:rFonts w:ascii="Arial" w:eastAsia="Arial" w:hAnsi="Arial" w:cs="Arial"/>
          <w:sz w:val="22"/>
        </w:rPr>
        <w:tab/>
        <w:t xml:space="preserve">  </w:t>
      </w:r>
    </w:p>
    <w:p w14:paraId="10014143" w14:textId="77777777" w:rsidR="007C59E8" w:rsidRPr="00185254" w:rsidRDefault="007C59E8" w:rsidP="007C59E8">
      <w:pPr>
        <w:spacing w:after="0" w:line="360" w:lineRule="auto"/>
        <w:ind w:right="21"/>
        <w:jc w:val="center"/>
        <w:rPr>
          <w:rFonts w:ascii="Arial" w:eastAsia="Arial" w:hAnsi="Arial" w:cs="Arial"/>
          <w:b/>
          <w:sz w:val="22"/>
        </w:rPr>
      </w:pPr>
    </w:p>
    <w:p w14:paraId="1B3164EF" w14:textId="77777777" w:rsidR="007C59E8" w:rsidRDefault="007C59E8" w:rsidP="007C59E8">
      <w:pPr>
        <w:spacing w:after="0" w:line="360" w:lineRule="auto"/>
        <w:ind w:right="21"/>
        <w:rPr>
          <w:rFonts w:ascii="Arial" w:eastAsia="Arial" w:hAnsi="Arial" w:cs="Arial"/>
          <w:b/>
          <w:sz w:val="22"/>
        </w:rPr>
      </w:pPr>
    </w:p>
    <w:p w14:paraId="50F9E423" w14:textId="77777777" w:rsidR="007C59E8" w:rsidRDefault="007C59E8" w:rsidP="007C59E8">
      <w:pPr>
        <w:spacing w:after="0" w:line="360" w:lineRule="auto"/>
        <w:ind w:right="21"/>
        <w:rPr>
          <w:rFonts w:ascii="Arial" w:eastAsia="Arial" w:hAnsi="Arial" w:cs="Arial"/>
          <w:b/>
          <w:sz w:val="22"/>
        </w:rPr>
      </w:pPr>
    </w:p>
    <w:p w14:paraId="1DB1FF37" w14:textId="77777777" w:rsidR="007C59E8" w:rsidRPr="00185254" w:rsidRDefault="007C59E8" w:rsidP="007C59E8">
      <w:pPr>
        <w:spacing w:after="0" w:line="360" w:lineRule="auto"/>
        <w:ind w:right="21"/>
        <w:rPr>
          <w:rFonts w:ascii="Arial" w:eastAsia="Arial" w:hAnsi="Arial" w:cs="Arial"/>
          <w:b/>
          <w:sz w:val="22"/>
        </w:rPr>
      </w:pPr>
    </w:p>
    <w:p w14:paraId="5098950E" w14:textId="77777777" w:rsidR="007C59E8" w:rsidRPr="00185254" w:rsidRDefault="007C59E8" w:rsidP="007C59E8">
      <w:pPr>
        <w:spacing w:after="0" w:line="360" w:lineRule="auto"/>
        <w:ind w:right="21"/>
        <w:jc w:val="center"/>
        <w:rPr>
          <w:rFonts w:ascii="Arial" w:eastAsia="Arial" w:hAnsi="Arial" w:cs="Arial"/>
          <w:b/>
          <w:sz w:val="22"/>
        </w:rPr>
      </w:pPr>
    </w:p>
    <w:p w14:paraId="089B1D25" w14:textId="77777777" w:rsidR="007C59E8" w:rsidRPr="00185254" w:rsidRDefault="007C59E8" w:rsidP="007C59E8">
      <w:pPr>
        <w:spacing w:after="0" w:line="360" w:lineRule="auto"/>
        <w:ind w:right="21"/>
        <w:jc w:val="center"/>
        <w:rPr>
          <w:rFonts w:ascii="Arial" w:eastAsia="Arial" w:hAnsi="Arial" w:cs="Arial"/>
          <w:b/>
          <w:sz w:val="22"/>
        </w:rPr>
      </w:pPr>
    </w:p>
    <w:tbl>
      <w:tblPr>
        <w:tblStyle w:val="TableGrid"/>
        <w:tblpPr w:leftFromText="180" w:rightFromText="180" w:vertAnchor="text" w:horzAnchor="margin" w:tblpY="34"/>
        <w:tblW w:w="8978" w:type="dxa"/>
        <w:tblInd w:w="0" w:type="dxa"/>
        <w:tblCellMar>
          <w:top w:w="45" w:type="dxa"/>
          <w:left w:w="106" w:type="dxa"/>
          <w:right w:w="49" w:type="dxa"/>
        </w:tblCellMar>
        <w:tblLook w:val="04A0" w:firstRow="1" w:lastRow="0" w:firstColumn="1" w:lastColumn="0" w:noHBand="0" w:noVBand="1"/>
      </w:tblPr>
      <w:tblGrid>
        <w:gridCol w:w="2358"/>
        <w:gridCol w:w="6620"/>
      </w:tblGrid>
      <w:tr w:rsidR="007C59E8" w:rsidRPr="00185254" w14:paraId="46C7502B" w14:textId="77777777" w:rsidTr="00DC0C9F">
        <w:trPr>
          <w:trHeight w:val="541"/>
        </w:trPr>
        <w:tc>
          <w:tcPr>
            <w:tcW w:w="2358"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41B9CCDD" w14:textId="41B97F46" w:rsidR="007C59E8" w:rsidRPr="007C59E8" w:rsidRDefault="007C59E8" w:rsidP="00DC0C9F">
            <w:pPr>
              <w:spacing w:line="360" w:lineRule="auto"/>
              <w:rPr>
                <w:rFonts w:ascii="Arial" w:eastAsia="Arial" w:hAnsi="Arial" w:cs="Arial"/>
                <w:b/>
                <w:sz w:val="22"/>
                <w:szCs w:val="22"/>
              </w:rPr>
            </w:pPr>
            <w:r w:rsidRPr="00185254">
              <w:rPr>
                <w:rFonts w:ascii="Arial" w:eastAsia="Arial" w:hAnsi="Arial" w:cs="Arial"/>
                <w:b/>
                <w:sz w:val="22"/>
                <w:szCs w:val="22"/>
              </w:rPr>
              <w:t xml:space="preserve">Name: </w:t>
            </w:r>
          </w:p>
        </w:tc>
        <w:tc>
          <w:tcPr>
            <w:tcW w:w="6620" w:type="dxa"/>
            <w:tcBorders>
              <w:top w:val="single" w:sz="4" w:space="0" w:color="000000"/>
              <w:left w:val="single" w:sz="4" w:space="0" w:color="000000"/>
              <w:bottom w:val="single" w:sz="4" w:space="0" w:color="000000"/>
              <w:right w:val="single" w:sz="4" w:space="0" w:color="000000"/>
            </w:tcBorders>
            <w:vAlign w:val="center"/>
          </w:tcPr>
          <w:p w14:paraId="0FF50B83" w14:textId="43DA5160" w:rsidR="007C59E8" w:rsidRPr="00185254" w:rsidRDefault="0003571E" w:rsidP="00DC0C9F">
            <w:pPr>
              <w:spacing w:line="360" w:lineRule="auto"/>
              <w:ind w:left="2"/>
              <w:rPr>
                <w:rFonts w:ascii="Arial" w:hAnsi="Arial" w:cs="Arial"/>
                <w:sz w:val="22"/>
                <w:szCs w:val="22"/>
              </w:rPr>
            </w:pPr>
            <w:r>
              <w:rPr>
                <w:rFonts w:ascii="Arial" w:eastAsia="Arial" w:hAnsi="Arial" w:cs="Arial"/>
                <w:b/>
                <w:sz w:val="22"/>
                <w:szCs w:val="22"/>
              </w:rPr>
              <w:t>Ioan-Ciprian Tanase</w:t>
            </w:r>
          </w:p>
        </w:tc>
      </w:tr>
      <w:tr w:rsidR="00AF506F" w:rsidRPr="00185254" w14:paraId="43D27D82" w14:textId="77777777" w:rsidTr="00DC0C9F">
        <w:trPr>
          <w:trHeight w:val="541"/>
        </w:trPr>
        <w:tc>
          <w:tcPr>
            <w:tcW w:w="2358"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69339B30" w14:textId="7D25B346" w:rsidR="00AF506F" w:rsidRPr="00185254" w:rsidRDefault="00AF506F" w:rsidP="00DC0C9F">
            <w:pPr>
              <w:spacing w:line="360" w:lineRule="auto"/>
              <w:rPr>
                <w:rFonts w:ascii="Arial" w:eastAsia="Arial" w:hAnsi="Arial" w:cs="Arial"/>
                <w:b/>
                <w:sz w:val="22"/>
              </w:rPr>
            </w:pPr>
            <w:r>
              <w:rPr>
                <w:rFonts w:ascii="Arial" w:eastAsia="Arial" w:hAnsi="Arial" w:cs="Arial"/>
                <w:b/>
                <w:sz w:val="22"/>
                <w:szCs w:val="22"/>
              </w:rPr>
              <w:t>Student ID</w:t>
            </w:r>
          </w:p>
        </w:tc>
        <w:tc>
          <w:tcPr>
            <w:tcW w:w="6620" w:type="dxa"/>
            <w:tcBorders>
              <w:top w:val="single" w:sz="4" w:space="0" w:color="000000"/>
              <w:left w:val="single" w:sz="4" w:space="0" w:color="000000"/>
              <w:bottom w:val="single" w:sz="4" w:space="0" w:color="000000"/>
              <w:right w:val="single" w:sz="4" w:space="0" w:color="000000"/>
            </w:tcBorders>
            <w:vAlign w:val="center"/>
          </w:tcPr>
          <w:p w14:paraId="7BD5600B" w14:textId="59BE723F" w:rsidR="00AF506F" w:rsidRPr="00185254" w:rsidRDefault="0003571E" w:rsidP="00DC0C9F">
            <w:pPr>
              <w:spacing w:line="360" w:lineRule="auto"/>
              <w:ind w:left="2"/>
              <w:rPr>
                <w:rFonts w:ascii="Arial" w:hAnsi="Arial" w:cs="Arial"/>
                <w:sz w:val="22"/>
              </w:rPr>
            </w:pPr>
            <w:r>
              <w:rPr>
                <w:rFonts w:ascii="Arial" w:hAnsi="Arial" w:cs="Arial"/>
                <w:sz w:val="22"/>
              </w:rPr>
              <w:t>2414116</w:t>
            </w:r>
          </w:p>
        </w:tc>
      </w:tr>
      <w:tr w:rsidR="007C59E8" w:rsidRPr="00185254" w14:paraId="50532C28" w14:textId="77777777" w:rsidTr="00DC0C9F">
        <w:trPr>
          <w:trHeight w:val="541"/>
        </w:trPr>
        <w:tc>
          <w:tcPr>
            <w:tcW w:w="2358"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7E2B168D" w14:textId="7F85B527" w:rsidR="007C59E8" w:rsidRPr="00185254" w:rsidRDefault="007C59E8" w:rsidP="007C59E8">
            <w:pPr>
              <w:spacing w:line="360" w:lineRule="auto"/>
              <w:rPr>
                <w:rFonts w:ascii="Arial" w:eastAsia="Arial" w:hAnsi="Arial" w:cs="Arial"/>
                <w:b/>
                <w:sz w:val="22"/>
              </w:rPr>
            </w:pPr>
            <w:r w:rsidRPr="007C59E8">
              <w:rPr>
                <w:rFonts w:ascii="Arial" w:eastAsia="Arial" w:hAnsi="Arial" w:cs="Arial"/>
                <w:b/>
                <w:sz w:val="22"/>
              </w:rPr>
              <w:t>Programme</w:t>
            </w:r>
          </w:p>
        </w:tc>
        <w:tc>
          <w:tcPr>
            <w:tcW w:w="6620" w:type="dxa"/>
            <w:tcBorders>
              <w:top w:val="single" w:sz="4" w:space="0" w:color="000000"/>
              <w:left w:val="single" w:sz="4" w:space="0" w:color="000000"/>
              <w:bottom w:val="single" w:sz="4" w:space="0" w:color="000000"/>
              <w:right w:val="single" w:sz="4" w:space="0" w:color="000000"/>
            </w:tcBorders>
            <w:vAlign w:val="center"/>
          </w:tcPr>
          <w:p w14:paraId="560D1E60" w14:textId="35E29C51" w:rsidR="007C59E8" w:rsidRPr="00185254" w:rsidRDefault="007C59E8" w:rsidP="007C59E8">
            <w:pPr>
              <w:spacing w:line="360" w:lineRule="auto"/>
              <w:ind w:left="2"/>
              <w:rPr>
                <w:rFonts w:ascii="Arial" w:eastAsia="Arial" w:hAnsi="Arial" w:cs="Arial"/>
                <w:b/>
                <w:sz w:val="22"/>
              </w:rPr>
            </w:pPr>
            <w:r w:rsidRPr="00185254">
              <w:rPr>
                <w:rFonts w:ascii="Arial" w:eastAsia="Arial" w:hAnsi="Arial" w:cs="Arial"/>
                <w:b/>
                <w:sz w:val="22"/>
                <w:szCs w:val="22"/>
              </w:rPr>
              <w:t xml:space="preserve">BSc Health and Social Care </w:t>
            </w:r>
          </w:p>
        </w:tc>
      </w:tr>
      <w:tr w:rsidR="007C59E8" w:rsidRPr="00185254" w14:paraId="423605E0" w14:textId="77777777" w:rsidTr="00DC0C9F">
        <w:trPr>
          <w:trHeight w:val="541"/>
        </w:trPr>
        <w:tc>
          <w:tcPr>
            <w:tcW w:w="2358"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65D70863" w14:textId="77777777" w:rsidR="007C59E8" w:rsidRPr="00185254" w:rsidRDefault="007C59E8" w:rsidP="007C59E8">
            <w:pPr>
              <w:spacing w:line="360" w:lineRule="auto"/>
              <w:rPr>
                <w:rFonts w:ascii="Arial" w:eastAsia="Arial" w:hAnsi="Arial" w:cs="Arial"/>
                <w:b/>
                <w:sz w:val="22"/>
                <w:szCs w:val="22"/>
              </w:rPr>
            </w:pPr>
            <w:r w:rsidRPr="00185254">
              <w:rPr>
                <w:rFonts w:ascii="Arial" w:eastAsia="Arial" w:hAnsi="Arial" w:cs="Arial"/>
                <w:b/>
                <w:sz w:val="22"/>
                <w:szCs w:val="22"/>
              </w:rPr>
              <w:t>Module:</w:t>
            </w:r>
          </w:p>
        </w:tc>
        <w:tc>
          <w:tcPr>
            <w:tcW w:w="6620" w:type="dxa"/>
            <w:tcBorders>
              <w:top w:val="single" w:sz="4" w:space="0" w:color="000000"/>
              <w:left w:val="single" w:sz="4" w:space="0" w:color="000000"/>
              <w:bottom w:val="single" w:sz="4" w:space="0" w:color="000000"/>
              <w:right w:val="single" w:sz="4" w:space="0" w:color="000000"/>
            </w:tcBorders>
            <w:vAlign w:val="center"/>
          </w:tcPr>
          <w:p w14:paraId="0569AD9D" w14:textId="77777777" w:rsidR="007C59E8" w:rsidRPr="00185254" w:rsidRDefault="007C59E8" w:rsidP="007C59E8">
            <w:pPr>
              <w:spacing w:line="360" w:lineRule="auto"/>
              <w:ind w:left="2"/>
              <w:rPr>
                <w:rFonts w:ascii="Arial" w:eastAsia="Arial" w:hAnsi="Arial" w:cs="Arial"/>
                <w:b/>
                <w:sz w:val="22"/>
                <w:szCs w:val="22"/>
              </w:rPr>
            </w:pPr>
            <w:r w:rsidRPr="00185254">
              <w:rPr>
                <w:rFonts w:ascii="Arial" w:eastAsia="Arial" w:hAnsi="Arial" w:cs="Arial"/>
                <w:b/>
                <w:sz w:val="22"/>
                <w:szCs w:val="22"/>
              </w:rPr>
              <w:t>Principles of Health and Social Care Practice</w:t>
            </w:r>
          </w:p>
        </w:tc>
      </w:tr>
      <w:tr w:rsidR="007C59E8" w:rsidRPr="00185254" w14:paraId="4131F041" w14:textId="77777777" w:rsidTr="00DC0C9F">
        <w:trPr>
          <w:trHeight w:val="541"/>
        </w:trPr>
        <w:tc>
          <w:tcPr>
            <w:tcW w:w="2358"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2D8C31CD" w14:textId="77777777" w:rsidR="007C59E8" w:rsidRPr="00185254" w:rsidRDefault="007C59E8" w:rsidP="007C59E8">
            <w:pPr>
              <w:spacing w:line="360" w:lineRule="auto"/>
              <w:rPr>
                <w:rFonts w:ascii="Arial" w:eastAsia="Arial" w:hAnsi="Arial" w:cs="Arial"/>
                <w:b/>
                <w:sz w:val="22"/>
                <w:szCs w:val="22"/>
              </w:rPr>
            </w:pPr>
            <w:r w:rsidRPr="00185254">
              <w:rPr>
                <w:rFonts w:ascii="Arial" w:eastAsia="Arial" w:hAnsi="Arial" w:cs="Arial"/>
                <w:b/>
                <w:sz w:val="22"/>
                <w:szCs w:val="22"/>
              </w:rPr>
              <w:t>Module code:</w:t>
            </w:r>
          </w:p>
        </w:tc>
        <w:tc>
          <w:tcPr>
            <w:tcW w:w="6620" w:type="dxa"/>
            <w:tcBorders>
              <w:top w:val="single" w:sz="4" w:space="0" w:color="000000"/>
              <w:left w:val="single" w:sz="4" w:space="0" w:color="000000"/>
              <w:bottom w:val="single" w:sz="4" w:space="0" w:color="000000"/>
              <w:right w:val="single" w:sz="4" w:space="0" w:color="000000"/>
            </w:tcBorders>
            <w:vAlign w:val="center"/>
          </w:tcPr>
          <w:p w14:paraId="765F4DA0" w14:textId="77777777" w:rsidR="007C59E8" w:rsidRPr="00185254" w:rsidRDefault="007C59E8" w:rsidP="007C59E8">
            <w:pPr>
              <w:spacing w:line="360" w:lineRule="auto"/>
              <w:ind w:left="2"/>
              <w:rPr>
                <w:rFonts w:ascii="Arial" w:eastAsia="Arial" w:hAnsi="Arial" w:cs="Arial"/>
                <w:b/>
                <w:sz w:val="22"/>
                <w:szCs w:val="22"/>
              </w:rPr>
            </w:pPr>
            <w:r w:rsidRPr="00185254">
              <w:rPr>
                <w:rFonts w:ascii="Arial" w:eastAsia="Arial" w:hAnsi="Arial" w:cs="Arial"/>
                <w:b/>
                <w:sz w:val="22"/>
                <w:szCs w:val="22"/>
              </w:rPr>
              <w:t>BMHP5016</w:t>
            </w:r>
          </w:p>
        </w:tc>
      </w:tr>
      <w:tr w:rsidR="007C59E8" w:rsidRPr="00185254" w14:paraId="5E58E4A0" w14:textId="77777777" w:rsidTr="00DC0C9F">
        <w:trPr>
          <w:trHeight w:val="541"/>
        </w:trPr>
        <w:tc>
          <w:tcPr>
            <w:tcW w:w="2358"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33DAD4A4" w14:textId="77777777" w:rsidR="007C59E8" w:rsidRPr="00185254" w:rsidRDefault="007C59E8" w:rsidP="007C59E8">
            <w:pPr>
              <w:spacing w:line="360" w:lineRule="auto"/>
              <w:rPr>
                <w:rFonts w:ascii="Arial" w:hAnsi="Arial" w:cs="Arial"/>
                <w:sz w:val="22"/>
                <w:szCs w:val="22"/>
              </w:rPr>
            </w:pPr>
            <w:r w:rsidRPr="00185254">
              <w:rPr>
                <w:rFonts w:ascii="Arial" w:eastAsia="Arial" w:hAnsi="Arial" w:cs="Arial"/>
                <w:b/>
                <w:sz w:val="22"/>
                <w:szCs w:val="22"/>
              </w:rPr>
              <w:t>Assignment Title:</w:t>
            </w:r>
          </w:p>
        </w:tc>
        <w:tc>
          <w:tcPr>
            <w:tcW w:w="6620" w:type="dxa"/>
            <w:tcBorders>
              <w:top w:val="single" w:sz="4" w:space="0" w:color="000000"/>
              <w:left w:val="single" w:sz="4" w:space="0" w:color="000000"/>
              <w:bottom w:val="single" w:sz="4" w:space="0" w:color="000000"/>
              <w:right w:val="single" w:sz="4" w:space="0" w:color="000000"/>
            </w:tcBorders>
            <w:vAlign w:val="center"/>
          </w:tcPr>
          <w:p w14:paraId="75D097B5" w14:textId="2191B697" w:rsidR="007C59E8" w:rsidRPr="00185254" w:rsidRDefault="007C59E8" w:rsidP="007C59E8">
            <w:pPr>
              <w:spacing w:line="360" w:lineRule="auto"/>
              <w:ind w:left="2"/>
              <w:rPr>
                <w:rFonts w:ascii="Arial" w:hAnsi="Arial" w:cs="Arial"/>
                <w:sz w:val="22"/>
                <w:szCs w:val="22"/>
              </w:rPr>
            </w:pPr>
            <w:r w:rsidRPr="007C59E8">
              <w:rPr>
                <w:rFonts w:ascii="Arial" w:eastAsia="Arial" w:hAnsi="Arial" w:cs="Arial"/>
                <w:b/>
                <w:sz w:val="22"/>
                <w:szCs w:val="22"/>
              </w:rPr>
              <w:t>Component 2: Written Assignment (Essay)</w:t>
            </w:r>
          </w:p>
        </w:tc>
      </w:tr>
      <w:tr w:rsidR="0003571E" w:rsidRPr="00185254" w14:paraId="26D8ED12" w14:textId="77777777" w:rsidTr="00DC0C9F">
        <w:trPr>
          <w:trHeight w:val="829"/>
        </w:trPr>
        <w:tc>
          <w:tcPr>
            <w:tcW w:w="2358" w:type="dxa"/>
            <w:tcBorders>
              <w:top w:val="single" w:sz="4" w:space="0" w:color="000000"/>
              <w:left w:val="single" w:sz="4" w:space="0" w:color="000000"/>
              <w:bottom w:val="single" w:sz="4" w:space="0" w:color="000000"/>
              <w:right w:val="single" w:sz="4" w:space="0" w:color="000000"/>
            </w:tcBorders>
            <w:shd w:val="clear" w:color="auto" w:fill="D9D9D9"/>
          </w:tcPr>
          <w:p w14:paraId="15EFC495" w14:textId="3BAEE0C5" w:rsidR="0003571E" w:rsidRPr="00185254" w:rsidRDefault="0003571E" w:rsidP="007C59E8">
            <w:pPr>
              <w:spacing w:line="360" w:lineRule="auto"/>
              <w:rPr>
                <w:rFonts w:ascii="Arial" w:eastAsia="Arial" w:hAnsi="Arial" w:cs="Arial"/>
                <w:b/>
                <w:sz w:val="22"/>
              </w:rPr>
            </w:pPr>
            <w:r>
              <w:rPr>
                <w:rFonts w:ascii="Arial" w:eastAsia="Arial" w:hAnsi="Arial" w:cs="Arial"/>
                <w:b/>
                <w:sz w:val="22"/>
              </w:rPr>
              <w:t>Lecturer:</w:t>
            </w:r>
          </w:p>
        </w:tc>
        <w:tc>
          <w:tcPr>
            <w:tcW w:w="6620" w:type="dxa"/>
            <w:tcBorders>
              <w:top w:val="single" w:sz="4" w:space="0" w:color="000000"/>
              <w:left w:val="single" w:sz="4" w:space="0" w:color="000000"/>
              <w:bottom w:val="single" w:sz="4" w:space="0" w:color="000000"/>
              <w:right w:val="single" w:sz="4" w:space="0" w:color="000000"/>
            </w:tcBorders>
          </w:tcPr>
          <w:p w14:paraId="2A555635" w14:textId="18613AAE" w:rsidR="0003571E" w:rsidRPr="00185254" w:rsidRDefault="0003571E" w:rsidP="007C59E8">
            <w:pPr>
              <w:spacing w:after="247" w:line="360" w:lineRule="auto"/>
              <w:ind w:left="2"/>
              <w:rPr>
                <w:rFonts w:ascii="Arial" w:eastAsia="Arial" w:hAnsi="Arial" w:cs="Arial"/>
                <w:b/>
                <w:sz w:val="22"/>
              </w:rPr>
            </w:pPr>
            <w:r>
              <w:rPr>
                <w:rFonts w:ascii="Arial" w:eastAsia="Arial" w:hAnsi="Arial" w:cs="Arial"/>
                <w:b/>
                <w:sz w:val="22"/>
                <w:szCs w:val="22"/>
              </w:rPr>
              <w:t>Farah Wiita</w:t>
            </w:r>
          </w:p>
        </w:tc>
      </w:tr>
      <w:tr w:rsidR="007C59E8" w:rsidRPr="00185254" w14:paraId="1D5997DB" w14:textId="77777777" w:rsidTr="00D3140B">
        <w:trPr>
          <w:trHeight w:val="313"/>
        </w:trPr>
        <w:tc>
          <w:tcPr>
            <w:tcW w:w="2358" w:type="dxa"/>
            <w:tcBorders>
              <w:top w:val="single" w:sz="4" w:space="0" w:color="000000"/>
              <w:left w:val="single" w:sz="4" w:space="0" w:color="000000"/>
              <w:bottom w:val="single" w:sz="4" w:space="0" w:color="000000"/>
              <w:right w:val="single" w:sz="4" w:space="0" w:color="000000"/>
            </w:tcBorders>
            <w:shd w:val="clear" w:color="auto" w:fill="D9D9D9"/>
          </w:tcPr>
          <w:p w14:paraId="1347C14B" w14:textId="77777777" w:rsidR="007C59E8" w:rsidRPr="00185254" w:rsidRDefault="007C59E8" w:rsidP="007C59E8">
            <w:pPr>
              <w:spacing w:line="360" w:lineRule="auto"/>
              <w:rPr>
                <w:rFonts w:ascii="Arial" w:hAnsi="Arial" w:cs="Arial"/>
                <w:sz w:val="22"/>
                <w:szCs w:val="22"/>
              </w:rPr>
            </w:pPr>
            <w:r w:rsidRPr="00185254">
              <w:rPr>
                <w:rFonts w:ascii="Arial" w:eastAsia="Arial" w:hAnsi="Arial" w:cs="Arial"/>
                <w:b/>
                <w:sz w:val="22"/>
                <w:szCs w:val="22"/>
              </w:rPr>
              <w:t>Date:</w:t>
            </w:r>
          </w:p>
        </w:tc>
        <w:tc>
          <w:tcPr>
            <w:tcW w:w="6620" w:type="dxa"/>
            <w:tcBorders>
              <w:top w:val="single" w:sz="4" w:space="0" w:color="000000"/>
              <w:left w:val="single" w:sz="4" w:space="0" w:color="000000"/>
              <w:bottom w:val="single" w:sz="4" w:space="0" w:color="000000"/>
              <w:right w:val="single" w:sz="4" w:space="0" w:color="000000"/>
            </w:tcBorders>
          </w:tcPr>
          <w:p w14:paraId="42CF14B1" w14:textId="7A499122" w:rsidR="007C59E8" w:rsidRPr="00185254" w:rsidRDefault="007C59E8" w:rsidP="007C59E8">
            <w:pPr>
              <w:spacing w:after="247" w:line="360" w:lineRule="auto"/>
              <w:ind w:left="2"/>
              <w:rPr>
                <w:rFonts w:ascii="Arial" w:hAnsi="Arial" w:cs="Arial"/>
                <w:sz w:val="22"/>
                <w:szCs w:val="22"/>
              </w:rPr>
            </w:pPr>
            <w:r w:rsidRPr="00185254">
              <w:rPr>
                <w:rFonts w:ascii="Arial" w:eastAsia="Arial" w:hAnsi="Arial" w:cs="Arial"/>
                <w:b/>
                <w:sz w:val="22"/>
                <w:szCs w:val="22"/>
              </w:rPr>
              <w:t xml:space="preserve"> </w:t>
            </w:r>
            <w:r w:rsidR="00CA4074">
              <w:rPr>
                <w:rFonts w:ascii="Arial" w:eastAsia="Arial" w:hAnsi="Arial" w:cs="Arial"/>
                <w:b/>
                <w:sz w:val="22"/>
                <w:szCs w:val="22"/>
              </w:rPr>
              <w:t xml:space="preserve">3 December </w:t>
            </w:r>
            <w:r w:rsidRPr="00185254">
              <w:rPr>
                <w:rFonts w:ascii="Arial" w:eastAsia="Arial" w:hAnsi="Arial" w:cs="Arial"/>
                <w:b/>
                <w:sz w:val="22"/>
                <w:szCs w:val="22"/>
              </w:rPr>
              <w:t xml:space="preserve">2025 </w:t>
            </w:r>
          </w:p>
        </w:tc>
      </w:tr>
      <w:tr w:rsidR="007C59E8" w:rsidRPr="00185254" w14:paraId="4DF22F0D" w14:textId="77777777" w:rsidTr="0003571E">
        <w:trPr>
          <w:trHeight w:val="596"/>
        </w:trPr>
        <w:tc>
          <w:tcPr>
            <w:tcW w:w="2358" w:type="dxa"/>
            <w:tcBorders>
              <w:top w:val="single" w:sz="4" w:space="0" w:color="000000"/>
              <w:left w:val="single" w:sz="4" w:space="0" w:color="000000"/>
              <w:bottom w:val="single" w:sz="4" w:space="0" w:color="000000"/>
              <w:right w:val="single" w:sz="4" w:space="0" w:color="000000"/>
            </w:tcBorders>
            <w:shd w:val="clear" w:color="auto" w:fill="D9D9D9"/>
          </w:tcPr>
          <w:p w14:paraId="11235FF6" w14:textId="77777777" w:rsidR="007C59E8" w:rsidRPr="00185254" w:rsidRDefault="007C59E8" w:rsidP="007C59E8">
            <w:pPr>
              <w:spacing w:line="360" w:lineRule="auto"/>
              <w:jc w:val="both"/>
              <w:rPr>
                <w:rFonts w:ascii="Arial" w:hAnsi="Arial" w:cs="Arial"/>
                <w:sz w:val="22"/>
                <w:szCs w:val="22"/>
              </w:rPr>
            </w:pPr>
            <w:r w:rsidRPr="00185254">
              <w:rPr>
                <w:rFonts w:ascii="Arial" w:eastAsia="Arial" w:hAnsi="Arial" w:cs="Arial"/>
                <w:b/>
                <w:sz w:val="22"/>
                <w:szCs w:val="22"/>
              </w:rPr>
              <w:t>Word count</w:t>
            </w:r>
          </w:p>
        </w:tc>
        <w:tc>
          <w:tcPr>
            <w:tcW w:w="6620" w:type="dxa"/>
            <w:tcBorders>
              <w:top w:val="single" w:sz="4" w:space="0" w:color="000000"/>
              <w:left w:val="single" w:sz="4" w:space="0" w:color="000000"/>
              <w:bottom w:val="single" w:sz="4" w:space="0" w:color="000000"/>
              <w:right w:val="single" w:sz="4" w:space="0" w:color="000000"/>
            </w:tcBorders>
            <w:vAlign w:val="center"/>
          </w:tcPr>
          <w:p w14:paraId="15252B13" w14:textId="4ED65DA9" w:rsidR="007C59E8" w:rsidRPr="00FA4275" w:rsidRDefault="00FA4275" w:rsidP="00FA4275">
            <w:pPr>
              <w:spacing w:line="360" w:lineRule="auto"/>
              <w:rPr>
                <w:rFonts w:ascii="Arial" w:hAnsi="Arial" w:cs="Arial"/>
                <w:b/>
                <w:bCs/>
                <w:sz w:val="22"/>
                <w:szCs w:val="22"/>
              </w:rPr>
            </w:pPr>
            <w:r>
              <w:rPr>
                <w:rFonts w:ascii="Arial" w:hAnsi="Arial" w:cs="Arial"/>
                <w:b/>
                <w:bCs/>
                <w:sz w:val="22"/>
                <w:szCs w:val="22"/>
              </w:rPr>
              <w:t>2,022 words</w:t>
            </w:r>
          </w:p>
        </w:tc>
      </w:tr>
    </w:tbl>
    <w:p w14:paraId="5F03D392" w14:textId="77777777" w:rsidR="007C59E8" w:rsidRPr="00185254" w:rsidRDefault="007C59E8" w:rsidP="007C59E8">
      <w:pPr>
        <w:spacing w:after="0" w:line="360" w:lineRule="auto"/>
        <w:ind w:right="21"/>
        <w:jc w:val="center"/>
        <w:rPr>
          <w:rFonts w:ascii="Arial" w:hAnsi="Arial" w:cs="Arial"/>
          <w:sz w:val="22"/>
        </w:rPr>
      </w:pPr>
    </w:p>
    <w:p w14:paraId="30D87DAD" w14:textId="77777777" w:rsidR="007C59E8" w:rsidRPr="00185254" w:rsidRDefault="007C59E8" w:rsidP="007C59E8">
      <w:pPr>
        <w:spacing w:line="360" w:lineRule="auto"/>
        <w:jc w:val="both"/>
        <w:rPr>
          <w:rFonts w:ascii="Arial" w:hAnsi="Arial" w:cs="Arial"/>
          <w:b/>
          <w:bCs/>
          <w:sz w:val="22"/>
        </w:rPr>
      </w:pPr>
    </w:p>
    <w:p w14:paraId="3E472EED" w14:textId="5638A52F" w:rsidR="007C59E8" w:rsidRDefault="007C59E8">
      <w:pPr>
        <w:rPr>
          <w:rFonts w:ascii="Arial" w:hAnsi="Arial" w:cs="Arial"/>
          <w:b/>
          <w:bCs/>
          <w:sz w:val="22"/>
        </w:rPr>
      </w:pPr>
      <w:r>
        <w:rPr>
          <w:rFonts w:ascii="Arial" w:hAnsi="Arial" w:cs="Arial"/>
          <w:b/>
          <w:bCs/>
          <w:sz w:val="22"/>
        </w:rPr>
        <w:br w:type="page"/>
      </w:r>
    </w:p>
    <w:p w14:paraId="2A376F9C" w14:textId="2F730065" w:rsidR="00EB6B0E" w:rsidRPr="00EB6B0E" w:rsidRDefault="00EB6B0E" w:rsidP="005C1607">
      <w:pPr>
        <w:spacing w:line="360" w:lineRule="auto"/>
        <w:jc w:val="both"/>
        <w:rPr>
          <w:rFonts w:ascii="Arial" w:hAnsi="Arial" w:cs="Arial"/>
          <w:b/>
          <w:bCs/>
          <w:sz w:val="22"/>
        </w:rPr>
      </w:pPr>
      <w:r w:rsidRPr="00EB6B0E">
        <w:rPr>
          <w:rFonts w:ascii="Arial" w:hAnsi="Arial" w:cs="Arial"/>
          <w:b/>
          <w:bCs/>
          <w:sz w:val="22"/>
        </w:rPr>
        <w:lastRenderedPageBreak/>
        <w:t xml:space="preserve">Ethics of Care </w:t>
      </w:r>
    </w:p>
    <w:p w14:paraId="688D93E9" w14:textId="77777777" w:rsidR="00EB6B0E" w:rsidRPr="00EB6B0E" w:rsidRDefault="00EB6B0E" w:rsidP="005C1607">
      <w:pPr>
        <w:spacing w:line="360" w:lineRule="auto"/>
        <w:jc w:val="both"/>
        <w:rPr>
          <w:rFonts w:ascii="Arial" w:hAnsi="Arial" w:cs="Arial"/>
          <w:b/>
          <w:bCs/>
          <w:sz w:val="22"/>
        </w:rPr>
      </w:pPr>
      <w:r w:rsidRPr="00EB6B0E">
        <w:rPr>
          <w:rFonts w:ascii="Arial" w:hAnsi="Arial" w:cs="Arial"/>
          <w:b/>
          <w:bCs/>
          <w:sz w:val="22"/>
        </w:rPr>
        <w:t>Introduction</w:t>
      </w:r>
    </w:p>
    <w:p w14:paraId="4139C1C5" w14:textId="26AD7C7D" w:rsidR="00675A91" w:rsidRPr="00675A91" w:rsidRDefault="00965D61" w:rsidP="005C1607">
      <w:pPr>
        <w:spacing w:line="360" w:lineRule="auto"/>
        <w:jc w:val="both"/>
        <w:rPr>
          <w:rFonts w:ascii="Arial" w:hAnsi="Arial" w:cs="Arial"/>
          <w:sz w:val="22"/>
        </w:rPr>
      </w:pPr>
      <w:r w:rsidRPr="005C1607">
        <w:rPr>
          <w:rFonts w:ascii="Arial" w:hAnsi="Arial" w:cs="Arial"/>
          <w:sz w:val="22"/>
        </w:rPr>
        <w:t>The ethics of care redefines moral life not as based on abstract universal rules or individual autonomy, but as inherently relational: in the form of dependency, vulnerability, responsiveness, and responsibility. This framework has arisen in the health and social care field with widespread influence in the development of person-centred practice, as it refocuses on the lived reality of caring relationships and not duty. Care ethics has a long history related to feminist moral philosophy, but it has significantly changed nowadays, taking on institutional, technological, and policy aspects. In this essay, the origin and growth of the ethics of care are first traced along with the ongoing critique and academic reactions. It then critically examines the ways the ethics of care have been put to use within health and social care policy and practice, and pays attention to the tensions and constraints on the ground. It ends with suggestions to further incorporate the ethics of care in these areas, and concludes by considering its changing possibilities</w:t>
      </w:r>
      <w:r w:rsidR="00675A91" w:rsidRPr="00675A91">
        <w:rPr>
          <w:rFonts w:ascii="Arial" w:hAnsi="Arial" w:cs="Arial"/>
          <w:sz w:val="22"/>
        </w:rPr>
        <w:t>.</w:t>
      </w:r>
    </w:p>
    <w:p w14:paraId="5FCB6B65" w14:textId="77777777" w:rsidR="00675A91" w:rsidRPr="00675A91" w:rsidRDefault="00675A91" w:rsidP="005C1607">
      <w:pPr>
        <w:spacing w:line="360" w:lineRule="auto"/>
        <w:jc w:val="both"/>
        <w:rPr>
          <w:rFonts w:ascii="Arial" w:hAnsi="Arial" w:cs="Arial"/>
          <w:sz w:val="22"/>
        </w:rPr>
      </w:pPr>
      <w:r w:rsidRPr="00675A91">
        <w:rPr>
          <w:rFonts w:ascii="Arial" w:hAnsi="Arial" w:cs="Arial"/>
          <w:b/>
          <w:bCs/>
          <w:sz w:val="22"/>
        </w:rPr>
        <w:t>Emergence and Development of the Ethics of Care</w:t>
      </w:r>
    </w:p>
    <w:p w14:paraId="001ACC47" w14:textId="77777777" w:rsidR="00B627B3" w:rsidRPr="005C1607" w:rsidRDefault="00B627B3" w:rsidP="005C1607">
      <w:pPr>
        <w:spacing w:line="360" w:lineRule="auto"/>
        <w:jc w:val="both"/>
        <w:rPr>
          <w:rFonts w:ascii="Arial" w:hAnsi="Arial" w:cs="Arial"/>
          <w:sz w:val="22"/>
        </w:rPr>
      </w:pPr>
      <w:r w:rsidRPr="005C1607">
        <w:rPr>
          <w:rFonts w:ascii="Arial" w:hAnsi="Arial" w:cs="Arial"/>
          <w:sz w:val="22"/>
        </w:rPr>
        <w:t xml:space="preserve">Ethics of care was developed out of feminist criticism on traditional moral theories that promoted impartiality, rationality, and individual autonomy as the main moral goods. Early theorists like Carol Gilligan and Nel </w:t>
      </w:r>
      <w:proofErr w:type="spellStart"/>
      <w:r w:rsidRPr="005C1607">
        <w:rPr>
          <w:rFonts w:ascii="Arial" w:hAnsi="Arial" w:cs="Arial"/>
          <w:sz w:val="22"/>
        </w:rPr>
        <w:t>Noddings</w:t>
      </w:r>
      <w:proofErr w:type="spellEnd"/>
      <w:r w:rsidRPr="005C1607">
        <w:rPr>
          <w:rFonts w:ascii="Arial" w:hAnsi="Arial" w:cs="Arial"/>
          <w:sz w:val="22"/>
        </w:rPr>
        <w:t xml:space="preserve"> claimed that the traditional models of moral development failed to acknowledge the moral voice of caring, especially in moral reasoning in women (Serpe, 2024). Gradually, care ethics evolved into a powerful normative theory, which has been expressed by other thinkers such as Virginia Held and Joan Tronto, who brought about the idea of care as a political and social value, rather than a family virtue (Quilliam et al., 2023). Over the past few years, researchers have applied care ethics to organisational, technological, and global issues, beyond the inter-personal moral philosophy.</w:t>
      </w:r>
    </w:p>
    <w:p w14:paraId="589A1D59" w14:textId="1F1B7239" w:rsidR="00675A91" w:rsidRPr="00675A91" w:rsidRDefault="00B627B3" w:rsidP="005C1607">
      <w:pPr>
        <w:spacing w:line="360" w:lineRule="auto"/>
        <w:jc w:val="both"/>
        <w:rPr>
          <w:rFonts w:ascii="Arial" w:hAnsi="Arial" w:cs="Arial"/>
          <w:sz w:val="22"/>
        </w:rPr>
      </w:pPr>
      <w:r w:rsidRPr="005C1607">
        <w:rPr>
          <w:rFonts w:ascii="Arial" w:hAnsi="Arial" w:cs="Arial"/>
          <w:sz w:val="22"/>
        </w:rPr>
        <w:t xml:space="preserve">This evolution is reflected in modern literature. A case in point is the critical analysis by </w:t>
      </w:r>
      <w:proofErr w:type="spellStart"/>
      <w:r w:rsidRPr="005C1607">
        <w:rPr>
          <w:rFonts w:ascii="Arial" w:hAnsi="Arial" w:cs="Arial"/>
          <w:sz w:val="22"/>
        </w:rPr>
        <w:t>Ramvi</w:t>
      </w:r>
      <w:proofErr w:type="spellEnd"/>
      <w:r w:rsidRPr="005C1607">
        <w:rPr>
          <w:rFonts w:ascii="Arial" w:hAnsi="Arial" w:cs="Arial"/>
          <w:sz w:val="22"/>
        </w:rPr>
        <w:t xml:space="preserve"> and </w:t>
      </w:r>
      <w:proofErr w:type="spellStart"/>
      <w:r w:rsidRPr="005C1607">
        <w:rPr>
          <w:rFonts w:ascii="Arial" w:hAnsi="Arial" w:cs="Arial"/>
          <w:sz w:val="22"/>
        </w:rPr>
        <w:t>Gripsrud</w:t>
      </w:r>
      <w:proofErr w:type="spellEnd"/>
      <w:r w:rsidRPr="005C1607">
        <w:rPr>
          <w:rFonts w:ascii="Arial" w:hAnsi="Arial" w:cs="Arial"/>
          <w:sz w:val="22"/>
        </w:rPr>
        <w:t xml:space="preserve"> (2025) of the conceptualization of health professionals of ideals of care in technologically mediated health care, which resulted in tensions between traditional care values and innovation. In the same way, Shaw and McCosker (2025) work out a relational ethics framework of AI and automated systems in health care, which underlines the reconfigurations of caring relationships through automation. These developments demonstrate how the ethics of care has moved away to focus on the nature of caring, but how care is provided in the institutions and technology contexts</w:t>
      </w:r>
      <w:r w:rsidR="00675A91" w:rsidRPr="00675A91">
        <w:rPr>
          <w:rFonts w:ascii="Arial" w:hAnsi="Arial" w:cs="Arial"/>
          <w:sz w:val="22"/>
        </w:rPr>
        <w:t>.</w:t>
      </w:r>
    </w:p>
    <w:p w14:paraId="2B64CB9B" w14:textId="77777777" w:rsidR="00675A91" w:rsidRPr="00675A91" w:rsidRDefault="00675A91" w:rsidP="005C1607">
      <w:pPr>
        <w:spacing w:line="360" w:lineRule="auto"/>
        <w:jc w:val="both"/>
        <w:rPr>
          <w:rFonts w:ascii="Arial" w:hAnsi="Arial" w:cs="Arial"/>
          <w:sz w:val="22"/>
        </w:rPr>
      </w:pPr>
      <w:r w:rsidRPr="00675A91">
        <w:rPr>
          <w:rFonts w:ascii="Arial" w:hAnsi="Arial" w:cs="Arial"/>
          <w:b/>
          <w:bCs/>
          <w:sz w:val="22"/>
        </w:rPr>
        <w:t>Critiques and Theoretical Responses</w:t>
      </w:r>
    </w:p>
    <w:p w14:paraId="6586D22A" w14:textId="77777777" w:rsidR="000C74A1" w:rsidRPr="005C1607" w:rsidRDefault="000C74A1" w:rsidP="005C1607">
      <w:pPr>
        <w:spacing w:line="360" w:lineRule="auto"/>
        <w:jc w:val="both"/>
        <w:rPr>
          <w:rFonts w:ascii="Arial" w:hAnsi="Arial" w:cs="Arial"/>
          <w:sz w:val="22"/>
        </w:rPr>
      </w:pPr>
      <w:r w:rsidRPr="005C1607">
        <w:rPr>
          <w:rFonts w:ascii="Arial" w:hAnsi="Arial" w:cs="Arial"/>
          <w:sz w:val="22"/>
        </w:rPr>
        <w:lastRenderedPageBreak/>
        <w:t>In spite of these merits, the ethics of care has received significant criticism. A major criticism is that care ethics are biased in that they give more weight to the intimate relationships, like family, at the expense of moral obligations (Durmuş, 2022). This favoritism is something that questions the issue of justice, fairness, and the handling of strangers. Care ethicists have reacted by incorporating justice, according to them, based on reasoning, asking care and justice to complement each other without competition in a moral theory.</w:t>
      </w:r>
    </w:p>
    <w:p w14:paraId="00397518" w14:textId="77777777" w:rsidR="000C74A1" w:rsidRPr="005C1607" w:rsidRDefault="000C74A1" w:rsidP="005C1607">
      <w:pPr>
        <w:spacing w:line="360" w:lineRule="auto"/>
        <w:jc w:val="both"/>
        <w:rPr>
          <w:rFonts w:ascii="Arial" w:hAnsi="Arial" w:cs="Arial"/>
          <w:sz w:val="22"/>
        </w:rPr>
      </w:pPr>
      <w:r w:rsidRPr="005C1607">
        <w:rPr>
          <w:rFonts w:ascii="Arial" w:hAnsi="Arial" w:cs="Arial"/>
          <w:sz w:val="22"/>
        </w:rPr>
        <w:t xml:space="preserve">The other criticism pertains to the problems of boundaries, within the professional care contexts, unrestricted requirements to care can contribute to the caregiver burnout, role confusion, or exploitation. When researchers studied the role of nurses in Malaysia, they discovered that care needs would be chaotic in the absence of proper boundaries </w:t>
      </w:r>
      <w:r w:rsidRPr="00675A91">
        <w:rPr>
          <w:rFonts w:ascii="Arial" w:hAnsi="Arial" w:cs="Arial"/>
          <w:sz w:val="22"/>
        </w:rPr>
        <w:t>(</w:t>
      </w:r>
      <w:proofErr w:type="spellStart"/>
      <w:r w:rsidRPr="00675A91">
        <w:rPr>
          <w:rFonts w:ascii="Arial" w:hAnsi="Arial" w:cs="Arial"/>
          <w:sz w:val="22"/>
        </w:rPr>
        <w:t>Ramvi</w:t>
      </w:r>
      <w:proofErr w:type="spellEnd"/>
      <w:r w:rsidRPr="005C1607">
        <w:rPr>
          <w:rFonts w:ascii="Arial" w:hAnsi="Arial" w:cs="Arial"/>
          <w:sz w:val="22"/>
        </w:rPr>
        <w:t xml:space="preserve"> and</w:t>
      </w:r>
      <w:r w:rsidRPr="00675A91">
        <w:rPr>
          <w:rFonts w:ascii="Arial" w:hAnsi="Arial" w:cs="Arial"/>
          <w:sz w:val="22"/>
        </w:rPr>
        <w:t> </w:t>
      </w:r>
      <w:proofErr w:type="spellStart"/>
      <w:r w:rsidRPr="00675A91">
        <w:rPr>
          <w:rFonts w:ascii="Arial" w:hAnsi="Arial" w:cs="Arial"/>
          <w:sz w:val="22"/>
        </w:rPr>
        <w:t>Gripsrud</w:t>
      </w:r>
      <w:proofErr w:type="spellEnd"/>
      <w:r w:rsidRPr="00675A91">
        <w:rPr>
          <w:rFonts w:ascii="Arial" w:hAnsi="Arial" w:cs="Arial"/>
          <w:sz w:val="22"/>
        </w:rPr>
        <w:t>, 2025).</w:t>
      </w:r>
      <w:r w:rsidRPr="005C1607">
        <w:rPr>
          <w:rFonts w:ascii="Arial" w:hAnsi="Arial" w:cs="Arial"/>
          <w:sz w:val="22"/>
        </w:rPr>
        <w:t xml:space="preserve"> As a reaction, the ethicists have demanded a limited ethic of care which acknowledges the limits of responsibility and the need to take care of oneself.</w:t>
      </w:r>
    </w:p>
    <w:p w14:paraId="4E1F2464" w14:textId="4218F4EF" w:rsidR="00675A91" w:rsidRPr="00675A91" w:rsidRDefault="000C74A1" w:rsidP="005C1607">
      <w:pPr>
        <w:spacing w:line="360" w:lineRule="auto"/>
        <w:jc w:val="both"/>
        <w:rPr>
          <w:rFonts w:ascii="Arial" w:hAnsi="Arial" w:cs="Arial"/>
          <w:sz w:val="22"/>
        </w:rPr>
      </w:pPr>
      <w:r w:rsidRPr="005C1607">
        <w:rPr>
          <w:rFonts w:ascii="Arial" w:hAnsi="Arial" w:cs="Arial"/>
          <w:sz w:val="22"/>
        </w:rPr>
        <w:t>Normative ambiguity is also a matter of concern. Care ethics has been accused of not giving clear advice in complicated or limited-resource settings. Empirical literature has reacted to this by demonstrating that care ethics can be used to lead organisational reform. To illustrate, Selvakumar and Kenny (2023) state that care ethics is relevant in enabling moral resilience among healthcare professionals and enabling them to manage ethical stress.</w:t>
      </w:r>
      <w:r w:rsidR="00EB6B0E">
        <w:rPr>
          <w:rFonts w:ascii="Arial" w:hAnsi="Arial" w:cs="Arial"/>
          <w:sz w:val="22"/>
        </w:rPr>
        <w:t xml:space="preserve"> </w:t>
      </w:r>
      <w:r w:rsidRPr="005C1607">
        <w:rPr>
          <w:rFonts w:ascii="Arial" w:hAnsi="Arial" w:cs="Arial"/>
          <w:sz w:val="22"/>
        </w:rPr>
        <w:t>Besides, care ethics has been gendered in the past, with early theorists linking caring to women. The critics say that this strengthens stereotypes. Modern care ethicists, in turn, decouple care and gender, and make relational capacities socialized, having to be helped by institutions, rather than supposedly inherent in women</w:t>
      </w:r>
      <w:r w:rsidR="00675A91" w:rsidRPr="00675A91">
        <w:rPr>
          <w:rFonts w:ascii="Arial" w:hAnsi="Arial" w:cs="Arial"/>
          <w:sz w:val="22"/>
        </w:rPr>
        <w:t>.</w:t>
      </w:r>
    </w:p>
    <w:p w14:paraId="1BC3FDBA" w14:textId="77777777" w:rsidR="00675A91" w:rsidRPr="00675A91" w:rsidRDefault="00675A91" w:rsidP="005C1607">
      <w:pPr>
        <w:spacing w:line="360" w:lineRule="auto"/>
        <w:jc w:val="both"/>
        <w:rPr>
          <w:rFonts w:ascii="Arial" w:hAnsi="Arial" w:cs="Arial"/>
          <w:sz w:val="22"/>
        </w:rPr>
      </w:pPr>
      <w:r w:rsidRPr="00675A91">
        <w:rPr>
          <w:rFonts w:ascii="Arial" w:hAnsi="Arial" w:cs="Arial"/>
          <w:b/>
          <w:bCs/>
          <w:sz w:val="22"/>
        </w:rPr>
        <w:t>Application in Health and Social Care Practice</w:t>
      </w:r>
    </w:p>
    <w:p w14:paraId="6218D0DF" w14:textId="77777777" w:rsidR="00BC078B" w:rsidRPr="005C1607" w:rsidRDefault="00BC078B" w:rsidP="005C1607">
      <w:pPr>
        <w:spacing w:line="360" w:lineRule="auto"/>
        <w:jc w:val="both"/>
        <w:rPr>
          <w:rFonts w:ascii="Arial" w:hAnsi="Arial" w:cs="Arial"/>
          <w:sz w:val="22"/>
        </w:rPr>
      </w:pPr>
      <w:r w:rsidRPr="005C1607">
        <w:rPr>
          <w:rFonts w:ascii="Arial" w:hAnsi="Arial" w:cs="Arial"/>
          <w:sz w:val="22"/>
        </w:rPr>
        <w:t xml:space="preserve">Person-centred approaches in healthcare practice are supported by the ethics of care in relation to vulnerability as well as relational engagement, attentiveness, and responsiveness. The scaffold of ethics of care offers in modern health-care practice the framework underlying person-centred approaches to anticipate relational engagement, conscientiousness, and principled responsiveness to the vulnerable nature of patients.  </w:t>
      </w:r>
    </w:p>
    <w:p w14:paraId="039CA320" w14:textId="76E173B8" w:rsidR="00BC078B" w:rsidRPr="005C1607" w:rsidRDefault="00BC078B" w:rsidP="005C1607">
      <w:pPr>
        <w:spacing w:line="360" w:lineRule="auto"/>
        <w:jc w:val="both"/>
        <w:rPr>
          <w:rFonts w:ascii="Arial" w:hAnsi="Arial" w:cs="Arial"/>
          <w:sz w:val="22"/>
        </w:rPr>
      </w:pPr>
      <w:r w:rsidRPr="005C1607">
        <w:rPr>
          <w:rFonts w:ascii="Arial" w:hAnsi="Arial" w:cs="Arial"/>
          <w:sz w:val="22"/>
        </w:rPr>
        <w:t>In the palliative care environment, this relational ethic is well-suited to the nature of care. One of the most recent scoping reviews revealed that the key building blocks of good palliative care are core care-ethical characteristics, which include responsiveness, connectedness, empathy, and hope (Bertaud et al., 2025). These relational obligations develop trust, respect, and valuable support for both patients and their families.</w:t>
      </w:r>
      <w:r w:rsidR="00EB6B0E">
        <w:rPr>
          <w:rFonts w:ascii="Arial" w:hAnsi="Arial" w:cs="Arial"/>
          <w:sz w:val="22"/>
        </w:rPr>
        <w:t xml:space="preserve"> </w:t>
      </w:r>
      <w:r w:rsidRPr="005C1607">
        <w:rPr>
          <w:rFonts w:ascii="Arial" w:hAnsi="Arial" w:cs="Arial"/>
          <w:sz w:val="22"/>
        </w:rPr>
        <w:t xml:space="preserve">Care ethics also uphold organisational reform in an institutional setting. The care ethics of Held have been applied to rural health to criticize and redesign access structures. One research found that conventional measures of availability and affordability overlook the relational aspects of access in a rural context </w:t>
      </w:r>
      <w:r w:rsidRPr="005C1607">
        <w:rPr>
          <w:rFonts w:ascii="Arial" w:hAnsi="Arial" w:cs="Arial"/>
          <w:sz w:val="22"/>
        </w:rPr>
        <w:lastRenderedPageBreak/>
        <w:t>(</w:t>
      </w:r>
      <w:bookmarkStart w:id="0" w:name="_Hlk214453178"/>
      <w:r w:rsidRPr="005C1607">
        <w:rPr>
          <w:rFonts w:ascii="Arial" w:hAnsi="Arial" w:cs="Arial"/>
          <w:sz w:val="22"/>
        </w:rPr>
        <w:t>Quilliam</w:t>
      </w:r>
      <w:bookmarkEnd w:id="0"/>
      <w:r w:rsidRPr="005C1607">
        <w:rPr>
          <w:rFonts w:ascii="Arial" w:hAnsi="Arial" w:cs="Arial"/>
          <w:sz w:val="22"/>
        </w:rPr>
        <w:t xml:space="preserve"> et al., 2023). Care ethics encourages policymakers to take into account relational obstacles to care by foregrounding interdependence and continuity.</w:t>
      </w:r>
      <w:r w:rsidR="00EB6B0E">
        <w:rPr>
          <w:rFonts w:ascii="Arial" w:hAnsi="Arial" w:cs="Arial"/>
          <w:sz w:val="22"/>
        </w:rPr>
        <w:t xml:space="preserve"> </w:t>
      </w:r>
      <w:r w:rsidRPr="005C1607">
        <w:rPr>
          <w:rFonts w:ascii="Arial" w:hAnsi="Arial" w:cs="Arial"/>
          <w:sz w:val="22"/>
        </w:rPr>
        <w:t xml:space="preserve">Care ethics has also changed professional education. A scoping review of medical education discovered that the inclusion of virtue ethics and care ethics in curricula fosters humanistic aspects of healthcare professionals, which facilitates empathy, character development, and patient-relationship competencies </w:t>
      </w:r>
      <w:r w:rsidRPr="00675A91">
        <w:rPr>
          <w:rFonts w:ascii="Arial" w:hAnsi="Arial" w:cs="Arial"/>
          <w:sz w:val="22"/>
        </w:rPr>
        <w:t>(Doukas et al., 2022).</w:t>
      </w:r>
    </w:p>
    <w:p w14:paraId="2B2AAE76" w14:textId="77777777" w:rsidR="00BC078B" w:rsidRPr="005C1607" w:rsidRDefault="00BC078B" w:rsidP="005C1607">
      <w:pPr>
        <w:spacing w:line="360" w:lineRule="auto"/>
        <w:jc w:val="both"/>
        <w:rPr>
          <w:rFonts w:ascii="Arial" w:hAnsi="Arial" w:cs="Arial"/>
          <w:sz w:val="22"/>
        </w:rPr>
      </w:pPr>
      <w:r w:rsidRPr="005C1607">
        <w:rPr>
          <w:rFonts w:ascii="Arial" w:hAnsi="Arial" w:cs="Arial"/>
          <w:sz w:val="22"/>
        </w:rPr>
        <w:t xml:space="preserve">Nonetheless, the incorporation of care ethics into practice demonstrates various hurdles. In modern environments where healthcare is straining due to technological innovation, health practitioners juggle their efficiency and relationship care. According to </w:t>
      </w:r>
      <w:proofErr w:type="spellStart"/>
      <w:r w:rsidRPr="005C1607">
        <w:rPr>
          <w:rFonts w:ascii="Arial" w:hAnsi="Arial" w:cs="Arial"/>
          <w:sz w:val="22"/>
        </w:rPr>
        <w:t>Ramvi</w:t>
      </w:r>
      <w:proofErr w:type="spellEnd"/>
      <w:r w:rsidRPr="005C1607">
        <w:rPr>
          <w:rFonts w:ascii="Arial" w:hAnsi="Arial" w:cs="Arial"/>
          <w:sz w:val="22"/>
        </w:rPr>
        <w:t xml:space="preserve"> and </w:t>
      </w:r>
      <w:proofErr w:type="spellStart"/>
      <w:r w:rsidRPr="005C1607">
        <w:rPr>
          <w:rFonts w:ascii="Arial" w:hAnsi="Arial" w:cs="Arial"/>
          <w:sz w:val="22"/>
        </w:rPr>
        <w:t>Gripsrud</w:t>
      </w:r>
      <w:proofErr w:type="spellEnd"/>
      <w:r w:rsidRPr="005C1607">
        <w:rPr>
          <w:rFonts w:ascii="Arial" w:hAnsi="Arial" w:cs="Arial"/>
          <w:sz w:val="22"/>
        </w:rPr>
        <w:t xml:space="preserve"> (2025), the ideal of professionals is frequently in conflict with the requirements of technology adoption, which leads to the development of dissonance between the option of the old value of caring and new ways of service provision. At the same time, practitioners in the conditions of long-term care encounter moral distress because of insufficient resources, organizational factors, and ethical confusion. A 2025 scoping review established that the lack of communication, scarcity of resources, and power are the factors that cause moral distress among long-term care professionals without enough processes to resolve them (Vinckers and </w:t>
      </w:r>
      <w:proofErr w:type="spellStart"/>
      <w:r w:rsidRPr="005C1607">
        <w:rPr>
          <w:rFonts w:ascii="Arial" w:hAnsi="Arial" w:cs="Arial"/>
          <w:sz w:val="22"/>
        </w:rPr>
        <w:t>Landeweer</w:t>
      </w:r>
      <w:proofErr w:type="spellEnd"/>
      <w:r w:rsidRPr="005C1607">
        <w:rPr>
          <w:rFonts w:ascii="Arial" w:hAnsi="Arial" w:cs="Arial"/>
          <w:sz w:val="22"/>
        </w:rPr>
        <w:t>, 2025).</w:t>
      </w:r>
    </w:p>
    <w:p w14:paraId="562F8965" w14:textId="1F73A250" w:rsidR="00675A91" w:rsidRPr="00675A91" w:rsidRDefault="00BC078B" w:rsidP="005C1607">
      <w:pPr>
        <w:spacing w:line="360" w:lineRule="auto"/>
        <w:jc w:val="both"/>
        <w:rPr>
          <w:rFonts w:ascii="Arial" w:hAnsi="Arial" w:cs="Arial"/>
          <w:sz w:val="22"/>
        </w:rPr>
      </w:pPr>
      <w:r w:rsidRPr="005C1607">
        <w:rPr>
          <w:rFonts w:ascii="Arial" w:hAnsi="Arial" w:cs="Arial"/>
          <w:sz w:val="22"/>
        </w:rPr>
        <w:t xml:space="preserve">Additionally, the COVID-19 disease has escalated ethical dilemmas. The ICU staff members have stated that they were suffering a lot in terms of moral distress in relation to end-of-life decision-making during the pandemic (van </w:t>
      </w:r>
      <w:proofErr w:type="spellStart"/>
      <w:r w:rsidRPr="005C1607">
        <w:rPr>
          <w:rFonts w:ascii="Arial" w:hAnsi="Arial" w:cs="Arial"/>
          <w:sz w:val="22"/>
        </w:rPr>
        <w:t>Zuylen</w:t>
      </w:r>
      <w:proofErr w:type="spellEnd"/>
      <w:r w:rsidRPr="005C1607">
        <w:rPr>
          <w:rFonts w:ascii="Arial" w:hAnsi="Arial" w:cs="Arial"/>
          <w:sz w:val="22"/>
        </w:rPr>
        <w:t xml:space="preserve"> et al., 2023). However, they also found elements that encouraged moral fortitude, entailing collaboration within a team, an ethical climate, and peer solidarity. Moral frameworks based on care ethics can be used to interpret and enhance these coping strategies with regard to Relational support and shared moral practices</w:t>
      </w:r>
      <w:r w:rsidR="00675A91" w:rsidRPr="00675A91">
        <w:rPr>
          <w:rFonts w:ascii="Arial" w:hAnsi="Arial" w:cs="Arial"/>
          <w:sz w:val="22"/>
        </w:rPr>
        <w:t>.</w:t>
      </w:r>
    </w:p>
    <w:p w14:paraId="78B6BEC1" w14:textId="77777777" w:rsidR="00675A91" w:rsidRPr="00675A91" w:rsidRDefault="00675A91" w:rsidP="005C1607">
      <w:pPr>
        <w:spacing w:line="360" w:lineRule="auto"/>
        <w:jc w:val="both"/>
        <w:rPr>
          <w:rFonts w:ascii="Arial" w:hAnsi="Arial" w:cs="Arial"/>
          <w:sz w:val="22"/>
        </w:rPr>
      </w:pPr>
      <w:r w:rsidRPr="00675A91">
        <w:rPr>
          <w:rFonts w:ascii="Arial" w:hAnsi="Arial" w:cs="Arial"/>
          <w:b/>
          <w:bCs/>
          <w:sz w:val="22"/>
        </w:rPr>
        <w:t>Policy Tensions and Ethical Challenges</w:t>
      </w:r>
    </w:p>
    <w:p w14:paraId="226F49BB" w14:textId="77777777" w:rsidR="00FC3695" w:rsidRPr="005C1607" w:rsidRDefault="00FC3695" w:rsidP="005C1607">
      <w:pPr>
        <w:spacing w:line="360" w:lineRule="auto"/>
        <w:jc w:val="both"/>
        <w:rPr>
          <w:rFonts w:ascii="Arial" w:hAnsi="Arial" w:cs="Arial"/>
          <w:sz w:val="22"/>
        </w:rPr>
      </w:pPr>
      <w:r w:rsidRPr="005C1607">
        <w:rPr>
          <w:rFonts w:ascii="Arial" w:hAnsi="Arial" w:cs="Arial"/>
          <w:sz w:val="22"/>
        </w:rPr>
        <w:t xml:space="preserve">The incorporation of care ethics into health and social care policy is faced with a chain of systemic challenges. Managerialist paradigms, efficiency-based measures, and standardisation procedures dominate in most health systems. These institutional demands are often at odds with relational imperatives of care ethics that require the distribution of time, continuity, emotive labour, and flexible practices, all of which are notoriously difficult to balance with the inflexible policy paradigms. As a result, the establishment of relational values requires concrete structural commitment and not just performing rhetorical gestures.  </w:t>
      </w:r>
    </w:p>
    <w:p w14:paraId="226C3F03" w14:textId="77777777" w:rsidR="00FC3695" w:rsidRPr="005C1607" w:rsidRDefault="00FC3695" w:rsidP="005C1607">
      <w:pPr>
        <w:spacing w:line="360" w:lineRule="auto"/>
        <w:jc w:val="both"/>
        <w:rPr>
          <w:rFonts w:ascii="Arial" w:hAnsi="Arial" w:cs="Arial"/>
          <w:sz w:val="22"/>
        </w:rPr>
      </w:pPr>
      <w:r w:rsidRPr="005C1607">
        <w:rPr>
          <w:rFonts w:ascii="Arial" w:hAnsi="Arial" w:cs="Arial"/>
          <w:sz w:val="22"/>
        </w:rPr>
        <w:t xml:space="preserve">The other aspect of the discussion of workforce sustainability is the enduring tensions that are very apparent in the sphere of care labour that is overly gendered, undervalued, and underpaid. Recent policy models continue to ignore the subtle emotional and relational </w:t>
      </w:r>
      <w:r w:rsidRPr="005C1607">
        <w:rPr>
          <w:rFonts w:ascii="Arial" w:hAnsi="Arial" w:cs="Arial"/>
          <w:sz w:val="22"/>
        </w:rPr>
        <w:lastRenderedPageBreak/>
        <w:t>aspects of care that form part of this process, overlooking an essential part of labour value. An exemplary example is selective caregiving by the private organisations that act in the middle-income environment: employers tend to offer care-oriented benefits only to the most valuable or longest-term employees, thus reinforcing existing inequalities (</w:t>
      </w:r>
      <w:proofErr w:type="spellStart"/>
      <w:r w:rsidRPr="00675A91">
        <w:rPr>
          <w:rFonts w:ascii="Arial" w:hAnsi="Arial" w:cs="Arial"/>
          <w:sz w:val="22"/>
        </w:rPr>
        <w:t>Vijayasingham</w:t>
      </w:r>
      <w:proofErr w:type="spellEnd"/>
      <w:r w:rsidRPr="005C1607">
        <w:rPr>
          <w:rFonts w:ascii="Arial" w:hAnsi="Arial" w:cs="Arial"/>
          <w:sz w:val="22"/>
        </w:rPr>
        <w:t xml:space="preserve"> et al., 2021). This type of discriminatory usage of benefits not only defies the universal moral imperatives of the care ethics but also raises serious concerns of justice that require stringent academic scrutiny.  </w:t>
      </w:r>
    </w:p>
    <w:p w14:paraId="636D4FF7" w14:textId="58B5ABB2" w:rsidR="00675A91" w:rsidRPr="00675A91" w:rsidRDefault="00FC3695" w:rsidP="005C1607">
      <w:pPr>
        <w:spacing w:line="360" w:lineRule="auto"/>
        <w:jc w:val="both"/>
        <w:rPr>
          <w:rFonts w:ascii="Arial" w:hAnsi="Arial" w:cs="Arial"/>
          <w:sz w:val="22"/>
        </w:rPr>
      </w:pPr>
      <w:r w:rsidRPr="005C1607">
        <w:rPr>
          <w:rFonts w:ascii="Arial" w:hAnsi="Arial" w:cs="Arial"/>
          <w:sz w:val="22"/>
        </w:rPr>
        <w:t>The policy landscape is further complicated by the issue of technological disruption. Artificial intelligence, automated systems, and robotics are finding their way to sit deeper and deeper in the care delivery, with their promise of substantial benefits in efficiency and the threat of the relational dimension of care being undermined. Shaw and McCosker (2025) insist that such systems ought to be provided by relational ethics with an emphasis on appropriate distance, responsiveness, and accountability of human-machine relations.</w:t>
      </w:r>
      <w:r w:rsidR="00EB6B0E">
        <w:rPr>
          <w:rFonts w:ascii="Arial" w:hAnsi="Arial" w:cs="Arial"/>
          <w:sz w:val="22"/>
        </w:rPr>
        <w:t xml:space="preserve"> </w:t>
      </w:r>
      <w:r w:rsidRPr="005C1607">
        <w:rPr>
          <w:rFonts w:ascii="Arial" w:hAnsi="Arial" w:cs="Arial"/>
          <w:sz w:val="22"/>
        </w:rPr>
        <w:t>In addition, the policy of social care should address the issues of online communication with the help of social media. A recent review has demonstrated that although social media has an ability to enhance care relationships, the emerging ethical debates are largely biomedical to the point of not considering relational or organisational issues (</w:t>
      </w:r>
      <w:proofErr w:type="spellStart"/>
      <w:r w:rsidRPr="005C1607">
        <w:rPr>
          <w:rFonts w:ascii="Arial" w:hAnsi="Arial" w:cs="Arial"/>
          <w:sz w:val="22"/>
        </w:rPr>
        <w:t>Vandemeulebroucke</w:t>
      </w:r>
      <w:proofErr w:type="spellEnd"/>
      <w:r w:rsidRPr="005C1607">
        <w:rPr>
          <w:rFonts w:ascii="Arial" w:hAnsi="Arial" w:cs="Arial"/>
          <w:sz w:val="22"/>
        </w:rPr>
        <w:t xml:space="preserve"> and Bolte, 2025). Without a care-ethical lens, these policies might not sufficiently support the trust, boundary integrity, identity, and power in the digital care settings</w:t>
      </w:r>
      <w:r w:rsidR="00675A91" w:rsidRPr="00675A91">
        <w:rPr>
          <w:rFonts w:ascii="Arial" w:hAnsi="Arial" w:cs="Arial"/>
          <w:sz w:val="22"/>
        </w:rPr>
        <w:t>.</w:t>
      </w:r>
    </w:p>
    <w:p w14:paraId="73A1A493" w14:textId="77777777" w:rsidR="00675A91" w:rsidRPr="00675A91" w:rsidRDefault="00675A91" w:rsidP="005C1607">
      <w:pPr>
        <w:spacing w:line="360" w:lineRule="auto"/>
        <w:jc w:val="both"/>
        <w:rPr>
          <w:rFonts w:ascii="Arial" w:hAnsi="Arial" w:cs="Arial"/>
          <w:sz w:val="22"/>
        </w:rPr>
      </w:pPr>
      <w:r w:rsidRPr="00675A91">
        <w:rPr>
          <w:rFonts w:ascii="Arial" w:hAnsi="Arial" w:cs="Arial"/>
          <w:b/>
          <w:bCs/>
          <w:sz w:val="22"/>
        </w:rPr>
        <w:t>Recommendations for Policy and Practice</w:t>
      </w:r>
    </w:p>
    <w:p w14:paraId="757B943D" w14:textId="4C88BB62" w:rsidR="00CC0C91" w:rsidRPr="005C1607" w:rsidRDefault="00CC0C91" w:rsidP="005C1607">
      <w:pPr>
        <w:spacing w:line="360" w:lineRule="auto"/>
        <w:jc w:val="both"/>
        <w:rPr>
          <w:rFonts w:ascii="Arial" w:hAnsi="Arial" w:cs="Arial"/>
          <w:sz w:val="22"/>
        </w:rPr>
      </w:pPr>
      <w:r w:rsidRPr="005C1607">
        <w:rPr>
          <w:rFonts w:ascii="Arial" w:hAnsi="Arial" w:cs="Arial"/>
          <w:sz w:val="22"/>
        </w:rPr>
        <w:t>In order to further bring the ethics of care into health and social care, a number of strategic measures are necessary. To begin with, policymakers should incorporate the principles of relations into the service design and use the principles of care ethics as the theoretical foundation of the legislation, funding framework, and accountability mechanisms. This involves direct identification and rewarding of emotional labour, sustenance of care, and relational practices. Second, the organisational leadership should put relational caring into the fore. Institutions ought to transform the performance indicators to include relational metrics such as patient-provider continuity, trust, responsiveness, and shared decision-making, in addition to the conventional efficiency and throughput metrics. Ethics support groups or deliberations on moral cases should be fostered by leaders to support a culture of care ethics.</w:t>
      </w:r>
    </w:p>
    <w:p w14:paraId="1F0F8D08" w14:textId="2E8FFBC3" w:rsidR="00CC0C91" w:rsidRPr="005C1607" w:rsidRDefault="00CC0C91" w:rsidP="005C1607">
      <w:pPr>
        <w:spacing w:line="360" w:lineRule="auto"/>
        <w:jc w:val="both"/>
        <w:rPr>
          <w:rFonts w:ascii="Arial" w:hAnsi="Arial" w:cs="Arial"/>
          <w:sz w:val="22"/>
        </w:rPr>
      </w:pPr>
      <w:r w:rsidRPr="005C1607">
        <w:rPr>
          <w:rFonts w:ascii="Arial" w:hAnsi="Arial" w:cs="Arial"/>
          <w:sz w:val="22"/>
        </w:rPr>
        <w:t xml:space="preserve">Third, the policies of the workforce must promote moral strength. Ethics of care, self-care, setting boundaries, and joint reflection should be included in training programmes and professional development curricula. The institutions should take the initiative to offer peer support and supervisory structures, and ethical discussion places, so that the care professionals are left with the capacity to handle the emotional loads without compromising </w:t>
      </w:r>
      <w:r w:rsidRPr="005C1607">
        <w:rPr>
          <w:rFonts w:ascii="Arial" w:hAnsi="Arial" w:cs="Arial"/>
          <w:sz w:val="22"/>
        </w:rPr>
        <w:lastRenderedPageBreak/>
        <w:t>their professional integrity.</w:t>
      </w:r>
      <w:r w:rsidR="00EB6B0E">
        <w:rPr>
          <w:rFonts w:ascii="Arial" w:hAnsi="Arial" w:cs="Arial"/>
          <w:sz w:val="22"/>
        </w:rPr>
        <w:t xml:space="preserve"> </w:t>
      </w:r>
      <w:r w:rsidRPr="005C1607">
        <w:rPr>
          <w:rFonts w:ascii="Arial" w:hAnsi="Arial" w:cs="Arial"/>
          <w:sz w:val="22"/>
        </w:rPr>
        <w:t>Fourth, relational ethics should be used to inform the implementation of technology. Policymakers and designers must use models that ensure the protection of human dignity, connection, and responsibility when implementing AI, automation, or social robotics. Care-ethical views ought to be embedded in the ethics committees and governance agencies, making technology enhance caring interactions as opposed to replacing them.</w:t>
      </w:r>
    </w:p>
    <w:p w14:paraId="15300744" w14:textId="514765C5" w:rsidR="00675A91" w:rsidRPr="00675A91" w:rsidRDefault="00CC0C91" w:rsidP="005C1607">
      <w:pPr>
        <w:spacing w:line="360" w:lineRule="auto"/>
        <w:jc w:val="both"/>
        <w:rPr>
          <w:rFonts w:ascii="Arial" w:hAnsi="Arial" w:cs="Arial"/>
          <w:sz w:val="22"/>
        </w:rPr>
      </w:pPr>
      <w:r w:rsidRPr="005C1607">
        <w:rPr>
          <w:rFonts w:ascii="Arial" w:hAnsi="Arial" w:cs="Arial"/>
          <w:sz w:val="22"/>
        </w:rPr>
        <w:t>Fifth, the policy of social care should recognize the digital relationality. The ethical provisions that regulate the use of social media in care should explicitly address care-ethical issues: boundary maintenance, confidentiality, identity, trust, and power. Guidance should be co-produced by regulators and organisations with service users, carers, and professionals to ensure that relational dimensions are completely honoured. Lastly, research agendas should be enlarged. Strong empirical research is needed to investigate care ethics in different contexts- especially investigating moral distress, moral resilience, and relational ethics in the context of long-term care, under-resourced and global care labour regimes. Sustainable policy will require longitudinal studies of technology-mediated environments that are crucial in the process of information</w:t>
      </w:r>
      <w:r w:rsidR="00675A91" w:rsidRPr="00675A91">
        <w:rPr>
          <w:rFonts w:ascii="Arial" w:hAnsi="Arial" w:cs="Arial"/>
          <w:sz w:val="22"/>
        </w:rPr>
        <w:t>.</w:t>
      </w:r>
    </w:p>
    <w:p w14:paraId="6E937492" w14:textId="77777777" w:rsidR="00675A91" w:rsidRPr="00675A91" w:rsidRDefault="00675A91" w:rsidP="005C1607">
      <w:pPr>
        <w:spacing w:line="360" w:lineRule="auto"/>
        <w:jc w:val="both"/>
        <w:rPr>
          <w:rFonts w:ascii="Arial" w:hAnsi="Arial" w:cs="Arial"/>
          <w:sz w:val="22"/>
        </w:rPr>
      </w:pPr>
      <w:r w:rsidRPr="00675A91">
        <w:rPr>
          <w:rFonts w:ascii="Arial" w:hAnsi="Arial" w:cs="Arial"/>
          <w:b/>
          <w:bCs/>
          <w:sz w:val="22"/>
        </w:rPr>
        <w:t>Conclusion</w:t>
      </w:r>
    </w:p>
    <w:p w14:paraId="080B5277" w14:textId="482D15BD" w:rsidR="00424806" w:rsidRPr="005C1607" w:rsidRDefault="00CB7BD5" w:rsidP="005C1607">
      <w:pPr>
        <w:spacing w:line="360" w:lineRule="auto"/>
        <w:jc w:val="both"/>
        <w:rPr>
          <w:rFonts w:ascii="Arial" w:hAnsi="Arial" w:cs="Arial"/>
          <w:sz w:val="22"/>
        </w:rPr>
      </w:pPr>
      <w:r w:rsidRPr="005C1607">
        <w:rPr>
          <w:rFonts w:ascii="Arial" w:hAnsi="Arial" w:cs="Arial"/>
          <w:sz w:val="22"/>
        </w:rPr>
        <w:t>Care ethics provides a very human conception of health and social care, which is founded on relationships, responsiveness, vulnerability, and responsibility. The diversity of its evolution is testified by its feminist orientation; its moral theory transformed into sociopolitical and institutional orientation. However, it is still a daunting task to implement care ethics in practice and policy. The process of marginalisation of the relational values is conspired by managerialism, technological innovation, resource scarcity, and workforce burnout. Systemic changes in the design of policies, institutional culture and professional development, technological governance and research are essential to the fulfilment of the promise of person-centred care based on care ethics. Health and social care systems can go beyond the superficially committed and really become caring systems where persons are seen, heard, and valued in their vulnerability and interdependence by proactively developing the structures that apply relationality and dignity</w:t>
      </w:r>
      <w:r w:rsidR="00675A91" w:rsidRPr="00675A91">
        <w:rPr>
          <w:rFonts w:ascii="Arial" w:hAnsi="Arial" w:cs="Arial"/>
          <w:sz w:val="22"/>
        </w:rPr>
        <w:t>.</w:t>
      </w:r>
    </w:p>
    <w:p w14:paraId="52E3F329" w14:textId="77777777" w:rsidR="00424806" w:rsidRPr="005C1607" w:rsidRDefault="00424806" w:rsidP="005C1607">
      <w:pPr>
        <w:spacing w:line="360" w:lineRule="auto"/>
        <w:jc w:val="both"/>
        <w:rPr>
          <w:rFonts w:ascii="Arial" w:hAnsi="Arial" w:cs="Arial"/>
          <w:sz w:val="22"/>
        </w:rPr>
      </w:pPr>
      <w:r w:rsidRPr="005C1607">
        <w:rPr>
          <w:rFonts w:ascii="Arial" w:hAnsi="Arial" w:cs="Arial"/>
          <w:sz w:val="22"/>
        </w:rPr>
        <w:br w:type="page"/>
      </w:r>
    </w:p>
    <w:p w14:paraId="7626A07D" w14:textId="464C2749" w:rsidR="00424806" w:rsidRPr="005C1607" w:rsidRDefault="00424806" w:rsidP="005C1607">
      <w:pPr>
        <w:spacing w:line="360" w:lineRule="auto"/>
        <w:jc w:val="both"/>
        <w:rPr>
          <w:rFonts w:ascii="Arial" w:hAnsi="Arial" w:cs="Arial"/>
          <w:b/>
          <w:bCs/>
          <w:sz w:val="22"/>
        </w:rPr>
      </w:pPr>
      <w:r w:rsidRPr="005C1607">
        <w:rPr>
          <w:rFonts w:ascii="Arial" w:hAnsi="Arial" w:cs="Arial"/>
          <w:b/>
          <w:bCs/>
          <w:sz w:val="22"/>
        </w:rPr>
        <w:lastRenderedPageBreak/>
        <w:t>References</w:t>
      </w:r>
    </w:p>
    <w:p w14:paraId="2CF3026A" w14:textId="77777777" w:rsidR="005C1607" w:rsidRPr="005C1607" w:rsidRDefault="005C1607" w:rsidP="005C1607">
      <w:pPr>
        <w:spacing w:line="360" w:lineRule="auto"/>
        <w:jc w:val="both"/>
        <w:rPr>
          <w:rFonts w:ascii="Arial" w:hAnsi="Arial" w:cs="Arial"/>
          <w:sz w:val="22"/>
        </w:rPr>
      </w:pPr>
      <w:r w:rsidRPr="005C1607">
        <w:rPr>
          <w:rFonts w:ascii="Arial" w:hAnsi="Arial" w:cs="Arial"/>
          <w:sz w:val="22"/>
        </w:rPr>
        <w:t>Amin, S.M., Atta, M.H.R., Khedr, M.A., El-Gazar, H.E. and Zoromba, M.A., 2025. Impact of moral resilience and interprofessional collaboration on nurses’ ethical competence. </w:t>
      </w:r>
      <w:r w:rsidRPr="005C1607">
        <w:rPr>
          <w:rFonts w:ascii="Arial" w:hAnsi="Arial" w:cs="Arial"/>
          <w:i/>
          <w:iCs/>
          <w:sz w:val="22"/>
        </w:rPr>
        <w:t>Nursing ethics</w:t>
      </w:r>
      <w:r w:rsidRPr="005C1607">
        <w:rPr>
          <w:rFonts w:ascii="Arial" w:hAnsi="Arial" w:cs="Arial"/>
          <w:sz w:val="22"/>
        </w:rPr>
        <w:t>, </w:t>
      </w:r>
      <w:r w:rsidRPr="005C1607">
        <w:rPr>
          <w:rFonts w:ascii="Arial" w:hAnsi="Arial" w:cs="Arial"/>
          <w:i/>
          <w:iCs/>
          <w:sz w:val="22"/>
        </w:rPr>
        <w:t>32</w:t>
      </w:r>
      <w:r w:rsidRPr="005C1607">
        <w:rPr>
          <w:rFonts w:ascii="Arial" w:hAnsi="Arial" w:cs="Arial"/>
          <w:sz w:val="22"/>
        </w:rPr>
        <w:t xml:space="preserve">(5), pp.1477-1492. </w:t>
      </w:r>
      <w:hyperlink r:id="rId7" w:history="1">
        <w:r w:rsidRPr="005C1607">
          <w:rPr>
            <w:rStyle w:val="Hyperlink"/>
            <w:rFonts w:ascii="Arial" w:hAnsi="Arial" w:cs="Arial"/>
            <w:sz w:val="22"/>
          </w:rPr>
          <w:t>https://doi.org/10.1177/09697330241277993</w:t>
        </w:r>
      </w:hyperlink>
    </w:p>
    <w:p w14:paraId="01B062F2" w14:textId="77777777" w:rsidR="005C1607" w:rsidRPr="005C1607" w:rsidRDefault="005C1607" w:rsidP="005C1607">
      <w:pPr>
        <w:spacing w:line="360" w:lineRule="auto"/>
        <w:jc w:val="both"/>
        <w:rPr>
          <w:rFonts w:ascii="Arial" w:hAnsi="Arial" w:cs="Arial"/>
          <w:sz w:val="22"/>
        </w:rPr>
      </w:pPr>
      <w:bookmarkStart w:id="1" w:name="_Hlk214456665"/>
      <w:r w:rsidRPr="005C1607">
        <w:rPr>
          <w:rFonts w:ascii="Arial" w:hAnsi="Arial" w:cs="Arial"/>
          <w:sz w:val="22"/>
        </w:rPr>
        <w:t>Bertaud</w:t>
      </w:r>
      <w:bookmarkEnd w:id="1"/>
      <w:r w:rsidRPr="005C1607">
        <w:rPr>
          <w:rFonts w:ascii="Arial" w:hAnsi="Arial" w:cs="Arial"/>
          <w:sz w:val="22"/>
        </w:rPr>
        <w:t>, S., Wilkinson, D. and Kelley, M., 2025. The heart of palliative care is relational: a scoping review of the ethics of care in palliative medicine. </w:t>
      </w:r>
      <w:r w:rsidRPr="005C1607">
        <w:rPr>
          <w:rFonts w:ascii="Arial" w:hAnsi="Arial" w:cs="Arial"/>
          <w:i/>
          <w:iCs/>
          <w:sz w:val="22"/>
        </w:rPr>
        <w:t>BMC Palliative Care</w:t>
      </w:r>
      <w:r w:rsidRPr="005C1607">
        <w:rPr>
          <w:rFonts w:ascii="Arial" w:hAnsi="Arial" w:cs="Arial"/>
          <w:sz w:val="22"/>
        </w:rPr>
        <w:t>, </w:t>
      </w:r>
      <w:r w:rsidRPr="005C1607">
        <w:rPr>
          <w:rFonts w:ascii="Arial" w:hAnsi="Arial" w:cs="Arial"/>
          <w:i/>
          <w:iCs/>
          <w:sz w:val="22"/>
        </w:rPr>
        <w:t>24</w:t>
      </w:r>
      <w:r w:rsidRPr="005C1607">
        <w:rPr>
          <w:rFonts w:ascii="Arial" w:hAnsi="Arial" w:cs="Arial"/>
          <w:sz w:val="22"/>
        </w:rPr>
        <w:t xml:space="preserve">(1), p.150. </w:t>
      </w:r>
      <w:hyperlink r:id="rId8" w:history="1">
        <w:r w:rsidRPr="005C1607">
          <w:rPr>
            <w:rStyle w:val="Hyperlink"/>
            <w:rFonts w:ascii="Arial" w:hAnsi="Arial" w:cs="Arial"/>
            <w:sz w:val="22"/>
          </w:rPr>
          <w:t>https://doi.org/10.1186/s12904-025-01784-5</w:t>
        </w:r>
      </w:hyperlink>
    </w:p>
    <w:p w14:paraId="66D0877F" w14:textId="77777777" w:rsidR="005C1607" w:rsidRPr="005C1607" w:rsidRDefault="005C1607" w:rsidP="005C1607">
      <w:pPr>
        <w:spacing w:line="360" w:lineRule="auto"/>
        <w:jc w:val="both"/>
        <w:rPr>
          <w:rFonts w:ascii="Arial" w:hAnsi="Arial" w:cs="Arial"/>
          <w:sz w:val="22"/>
        </w:rPr>
      </w:pPr>
      <w:r w:rsidRPr="005C1607">
        <w:rPr>
          <w:rFonts w:ascii="Arial" w:hAnsi="Arial" w:cs="Arial"/>
          <w:sz w:val="22"/>
        </w:rPr>
        <w:t>Doukas, D.J., Ozar, D.T., Darragh, M., de Groot, J.M., Carter, B.S. and Stout, N., 2022. Virtue and care ethics &amp; humanism in medical education: a scoping review. </w:t>
      </w:r>
      <w:r w:rsidRPr="005C1607">
        <w:rPr>
          <w:rFonts w:ascii="Arial" w:hAnsi="Arial" w:cs="Arial"/>
          <w:i/>
          <w:iCs/>
          <w:sz w:val="22"/>
        </w:rPr>
        <w:t>BMC Medical Education</w:t>
      </w:r>
      <w:r w:rsidRPr="005C1607">
        <w:rPr>
          <w:rFonts w:ascii="Arial" w:hAnsi="Arial" w:cs="Arial"/>
          <w:sz w:val="22"/>
        </w:rPr>
        <w:t>, </w:t>
      </w:r>
      <w:r w:rsidRPr="005C1607">
        <w:rPr>
          <w:rFonts w:ascii="Arial" w:hAnsi="Arial" w:cs="Arial"/>
          <w:i/>
          <w:iCs/>
          <w:sz w:val="22"/>
        </w:rPr>
        <w:t>22</w:t>
      </w:r>
      <w:r w:rsidRPr="005C1607">
        <w:rPr>
          <w:rFonts w:ascii="Arial" w:hAnsi="Arial" w:cs="Arial"/>
          <w:sz w:val="22"/>
        </w:rPr>
        <w:t xml:space="preserve">(1), p.131. </w:t>
      </w:r>
      <w:hyperlink r:id="rId9" w:history="1">
        <w:r w:rsidRPr="005C1607">
          <w:rPr>
            <w:rStyle w:val="Hyperlink"/>
            <w:rFonts w:ascii="Arial" w:hAnsi="Arial" w:cs="Arial"/>
            <w:sz w:val="22"/>
          </w:rPr>
          <w:t>https://doi.org/10.1186/s12909-021-03051-6</w:t>
        </w:r>
      </w:hyperlink>
    </w:p>
    <w:p w14:paraId="68EB0C12" w14:textId="77777777" w:rsidR="005C1607" w:rsidRPr="005C1607" w:rsidRDefault="005C1607" w:rsidP="005C1607">
      <w:pPr>
        <w:spacing w:line="360" w:lineRule="auto"/>
        <w:jc w:val="both"/>
        <w:rPr>
          <w:rFonts w:ascii="Arial" w:hAnsi="Arial" w:cs="Arial"/>
          <w:sz w:val="22"/>
        </w:rPr>
      </w:pPr>
      <w:bookmarkStart w:id="2" w:name="_Hlk214453666"/>
      <w:r w:rsidRPr="005C1607">
        <w:rPr>
          <w:rFonts w:ascii="Arial" w:hAnsi="Arial" w:cs="Arial"/>
          <w:sz w:val="22"/>
        </w:rPr>
        <w:t>Durmuş, D., 2022</w:t>
      </w:r>
      <w:bookmarkEnd w:id="2"/>
      <w:r w:rsidRPr="005C1607">
        <w:rPr>
          <w:rFonts w:ascii="Arial" w:hAnsi="Arial" w:cs="Arial"/>
          <w:sz w:val="22"/>
        </w:rPr>
        <w:t>. Care ethics and paternalism: A Beauvoirian approach. </w:t>
      </w:r>
      <w:r w:rsidRPr="005C1607">
        <w:rPr>
          <w:rFonts w:ascii="Arial" w:hAnsi="Arial" w:cs="Arial"/>
          <w:i/>
          <w:iCs/>
          <w:sz w:val="22"/>
        </w:rPr>
        <w:t>philosophies</w:t>
      </w:r>
      <w:r w:rsidRPr="005C1607">
        <w:rPr>
          <w:rFonts w:ascii="Arial" w:hAnsi="Arial" w:cs="Arial"/>
          <w:sz w:val="22"/>
        </w:rPr>
        <w:t>, </w:t>
      </w:r>
      <w:r w:rsidRPr="005C1607">
        <w:rPr>
          <w:rFonts w:ascii="Arial" w:hAnsi="Arial" w:cs="Arial"/>
          <w:i/>
          <w:iCs/>
          <w:sz w:val="22"/>
        </w:rPr>
        <w:t>7</w:t>
      </w:r>
      <w:r w:rsidRPr="005C1607">
        <w:rPr>
          <w:rFonts w:ascii="Arial" w:hAnsi="Arial" w:cs="Arial"/>
          <w:sz w:val="22"/>
        </w:rPr>
        <w:t xml:space="preserve">(3), p.53. </w:t>
      </w:r>
      <w:hyperlink r:id="rId10" w:history="1">
        <w:r w:rsidRPr="005C1607">
          <w:rPr>
            <w:rStyle w:val="Hyperlink"/>
            <w:rFonts w:ascii="Arial" w:hAnsi="Arial" w:cs="Arial"/>
            <w:sz w:val="22"/>
          </w:rPr>
          <w:t>https://doi.org/10.3390/philosophies7030053</w:t>
        </w:r>
      </w:hyperlink>
    </w:p>
    <w:p w14:paraId="1C3B05D4" w14:textId="77777777" w:rsidR="005C1607" w:rsidRPr="005C1607" w:rsidRDefault="005C1607" w:rsidP="005C1607">
      <w:pPr>
        <w:spacing w:line="360" w:lineRule="auto"/>
        <w:jc w:val="both"/>
        <w:rPr>
          <w:rFonts w:ascii="Arial" w:hAnsi="Arial" w:cs="Arial"/>
          <w:sz w:val="22"/>
        </w:rPr>
      </w:pPr>
      <w:r w:rsidRPr="005C1607">
        <w:rPr>
          <w:rFonts w:ascii="Arial" w:hAnsi="Arial" w:cs="Arial"/>
          <w:sz w:val="22"/>
        </w:rPr>
        <w:t>Jemal, K., Samuel, A., Geta, A., Desalegn, F., Gebru, L., Tadele, T., Genet, E., Abate, M. and Tafesse, N., 2022. Evaluation of compassionate and respectful care implementation status in model healthcare facilities: a cross-sectional study. </w:t>
      </w:r>
      <w:r w:rsidRPr="005C1607">
        <w:rPr>
          <w:rFonts w:ascii="Arial" w:hAnsi="Arial" w:cs="Arial"/>
          <w:i/>
          <w:iCs/>
          <w:sz w:val="22"/>
        </w:rPr>
        <w:t>Archives of Public Health</w:t>
      </w:r>
      <w:r w:rsidRPr="005C1607">
        <w:rPr>
          <w:rFonts w:ascii="Arial" w:hAnsi="Arial" w:cs="Arial"/>
          <w:sz w:val="22"/>
        </w:rPr>
        <w:t>, </w:t>
      </w:r>
      <w:r w:rsidRPr="005C1607">
        <w:rPr>
          <w:rFonts w:ascii="Arial" w:hAnsi="Arial" w:cs="Arial"/>
          <w:i/>
          <w:iCs/>
          <w:sz w:val="22"/>
        </w:rPr>
        <w:t>80</w:t>
      </w:r>
      <w:r w:rsidRPr="005C1607">
        <w:rPr>
          <w:rFonts w:ascii="Arial" w:hAnsi="Arial" w:cs="Arial"/>
          <w:sz w:val="22"/>
        </w:rPr>
        <w:t xml:space="preserve">(1), p.84. </w:t>
      </w:r>
      <w:hyperlink r:id="rId11" w:history="1">
        <w:r w:rsidRPr="005C1607">
          <w:rPr>
            <w:rStyle w:val="Hyperlink"/>
            <w:rFonts w:ascii="Arial" w:hAnsi="Arial" w:cs="Arial"/>
            <w:sz w:val="22"/>
          </w:rPr>
          <w:t>https://doi.org/10.1186/s13690-022-00845-y</w:t>
        </w:r>
      </w:hyperlink>
    </w:p>
    <w:p w14:paraId="1F5B5016" w14:textId="77777777" w:rsidR="005C1607" w:rsidRPr="005C1607" w:rsidRDefault="005C1607" w:rsidP="005C1607">
      <w:pPr>
        <w:spacing w:line="360" w:lineRule="auto"/>
        <w:jc w:val="both"/>
        <w:rPr>
          <w:rFonts w:ascii="Arial" w:hAnsi="Arial" w:cs="Arial"/>
          <w:sz w:val="22"/>
        </w:rPr>
      </w:pPr>
      <w:r w:rsidRPr="005C1607">
        <w:rPr>
          <w:rFonts w:ascii="Arial" w:hAnsi="Arial" w:cs="Arial"/>
          <w:sz w:val="22"/>
        </w:rPr>
        <w:t xml:space="preserve">Kalani, Z., </w:t>
      </w:r>
      <w:proofErr w:type="spellStart"/>
      <w:r w:rsidRPr="005C1607">
        <w:rPr>
          <w:rFonts w:ascii="Arial" w:hAnsi="Arial" w:cs="Arial"/>
          <w:sz w:val="22"/>
        </w:rPr>
        <w:t>Barkhordari-Sharifabad</w:t>
      </w:r>
      <w:proofErr w:type="spellEnd"/>
      <w:r w:rsidRPr="005C1607">
        <w:rPr>
          <w:rFonts w:ascii="Arial" w:hAnsi="Arial" w:cs="Arial"/>
          <w:sz w:val="22"/>
        </w:rPr>
        <w:t xml:space="preserve">, M. and </w:t>
      </w:r>
      <w:proofErr w:type="spellStart"/>
      <w:r w:rsidRPr="005C1607">
        <w:rPr>
          <w:rFonts w:ascii="Arial" w:hAnsi="Arial" w:cs="Arial"/>
          <w:sz w:val="22"/>
        </w:rPr>
        <w:t>Chehelmard</w:t>
      </w:r>
      <w:proofErr w:type="spellEnd"/>
      <w:r w:rsidRPr="005C1607">
        <w:rPr>
          <w:rFonts w:ascii="Arial" w:hAnsi="Arial" w:cs="Arial"/>
          <w:sz w:val="22"/>
        </w:rPr>
        <w:t>, N., 2023. Correlation between moral distress and clinical competence in COVID-19 ICU nurses. </w:t>
      </w:r>
      <w:r w:rsidRPr="005C1607">
        <w:rPr>
          <w:rFonts w:ascii="Arial" w:hAnsi="Arial" w:cs="Arial"/>
          <w:i/>
          <w:iCs/>
          <w:sz w:val="22"/>
        </w:rPr>
        <w:t>BMC nursing</w:t>
      </w:r>
      <w:r w:rsidRPr="005C1607">
        <w:rPr>
          <w:rFonts w:ascii="Arial" w:hAnsi="Arial" w:cs="Arial"/>
          <w:sz w:val="22"/>
        </w:rPr>
        <w:t>, </w:t>
      </w:r>
      <w:r w:rsidRPr="005C1607">
        <w:rPr>
          <w:rFonts w:ascii="Arial" w:hAnsi="Arial" w:cs="Arial"/>
          <w:i/>
          <w:iCs/>
          <w:sz w:val="22"/>
        </w:rPr>
        <w:t>22</w:t>
      </w:r>
      <w:r w:rsidRPr="005C1607">
        <w:rPr>
          <w:rFonts w:ascii="Arial" w:hAnsi="Arial" w:cs="Arial"/>
          <w:sz w:val="22"/>
        </w:rPr>
        <w:t xml:space="preserve">(1), p.107. </w:t>
      </w:r>
      <w:hyperlink r:id="rId12" w:history="1">
        <w:r w:rsidRPr="005C1607">
          <w:rPr>
            <w:rStyle w:val="Hyperlink"/>
            <w:rFonts w:ascii="Arial" w:hAnsi="Arial" w:cs="Arial"/>
            <w:sz w:val="22"/>
          </w:rPr>
          <w:t>https://doi.org/10.1186/s12912-023-01277-x</w:t>
        </w:r>
      </w:hyperlink>
    </w:p>
    <w:p w14:paraId="0D1C2D11" w14:textId="77777777" w:rsidR="005C1607" w:rsidRPr="005C1607" w:rsidRDefault="005C1607" w:rsidP="005C1607">
      <w:pPr>
        <w:spacing w:line="360" w:lineRule="auto"/>
        <w:jc w:val="both"/>
        <w:rPr>
          <w:rFonts w:ascii="Arial" w:hAnsi="Arial" w:cs="Arial"/>
          <w:sz w:val="22"/>
        </w:rPr>
      </w:pPr>
      <w:r w:rsidRPr="005C1607">
        <w:rPr>
          <w:rFonts w:ascii="Arial" w:hAnsi="Arial" w:cs="Arial"/>
          <w:sz w:val="22"/>
        </w:rPr>
        <w:t>Maunder, R.G., Heeney, N.D., Greenberg, R.A., Jeffs, L.P., Wiesenfeld, L.A., Johnstone, J. and Hunter, J.J., 2023. The relationship between moral distress, burnout, and considering leaving a hospital job during the COVID-19 pandemic: a longitudinal survey. </w:t>
      </w:r>
      <w:r w:rsidRPr="005C1607">
        <w:rPr>
          <w:rFonts w:ascii="Arial" w:hAnsi="Arial" w:cs="Arial"/>
          <w:i/>
          <w:iCs/>
          <w:sz w:val="22"/>
        </w:rPr>
        <w:t>BMC nursing</w:t>
      </w:r>
      <w:r w:rsidRPr="005C1607">
        <w:rPr>
          <w:rFonts w:ascii="Arial" w:hAnsi="Arial" w:cs="Arial"/>
          <w:sz w:val="22"/>
        </w:rPr>
        <w:t>, </w:t>
      </w:r>
      <w:r w:rsidRPr="005C1607">
        <w:rPr>
          <w:rFonts w:ascii="Arial" w:hAnsi="Arial" w:cs="Arial"/>
          <w:i/>
          <w:iCs/>
          <w:sz w:val="22"/>
        </w:rPr>
        <w:t>22</w:t>
      </w:r>
      <w:r w:rsidRPr="005C1607">
        <w:rPr>
          <w:rFonts w:ascii="Arial" w:hAnsi="Arial" w:cs="Arial"/>
          <w:sz w:val="22"/>
        </w:rPr>
        <w:t xml:space="preserve">(1), p.243. </w:t>
      </w:r>
      <w:hyperlink r:id="rId13" w:history="1">
        <w:r w:rsidRPr="005C1607">
          <w:rPr>
            <w:rStyle w:val="Hyperlink"/>
            <w:rFonts w:ascii="Arial" w:hAnsi="Arial" w:cs="Arial"/>
            <w:sz w:val="22"/>
          </w:rPr>
          <w:t>https://doi.org/10.1186/s12912-023-01407-5</w:t>
        </w:r>
      </w:hyperlink>
    </w:p>
    <w:p w14:paraId="0CF9AD2F" w14:textId="77777777" w:rsidR="005C1607" w:rsidRPr="005C1607" w:rsidRDefault="005C1607" w:rsidP="005C1607">
      <w:pPr>
        <w:spacing w:line="360" w:lineRule="auto"/>
        <w:jc w:val="both"/>
        <w:rPr>
          <w:rFonts w:ascii="Arial" w:hAnsi="Arial" w:cs="Arial"/>
          <w:sz w:val="22"/>
        </w:rPr>
      </w:pPr>
      <w:r w:rsidRPr="005C1607">
        <w:rPr>
          <w:rFonts w:ascii="Arial" w:hAnsi="Arial" w:cs="Arial"/>
          <w:sz w:val="22"/>
        </w:rPr>
        <w:t xml:space="preserve">Mussie, K.M., Setchell, J., Elger, B.S., Kaba, M., </w:t>
      </w:r>
      <w:proofErr w:type="spellStart"/>
      <w:r w:rsidRPr="005C1607">
        <w:rPr>
          <w:rFonts w:ascii="Arial" w:hAnsi="Arial" w:cs="Arial"/>
          <w:sz w:val="22"/>
        </w:rPr>
        <w:t>Memirie</w:t>
      </w:r>
      <w:proofErr w:type="spellEnd"/>
      <w:r w:rsidRPr="005C1607">
        <w:rPr>
          <w:rFonts w:ascii="Arial" w:hAnsi="Arial" w:cs="Arial"/>
          <w:sz w:val="22"/>
        </w:rPr>
        <w:t>, S.T. and Wangmo, T., 2022. Care of older persons in Eastern Africa: A scoping review of ethical issues. </w:t>
      </w:r>
      <w:r w:rsidRPr="005C1607">
        <w:rPr>
          <w:rFonts w:ascii="Arial" w:hAnsi="Arial" w:cs="Arial"/>
          <w:i/>
          <w:iCs/>
          <w:sz w:val="22"/>
        </w:rPr>
        <w:t>Frontiers in Public Health</w:t>
      </w:r>
      <w:r w:rsidRPr="005C1607">
        <w:rPr>
          <w:rFonts w:ascii="Arial" w:hAnsi="Arial" w:cs="Arial"/>
          <w:sz w:val="22"/>
        </w:rPr>
        <w:t>, </w:t>
      </w:r>
      <w:r w:rsidRPr="005C1607">
        <w:rPr>
          <w:rFonts w:ascii="Arial" w:hAnsi="Arial" w:cs="Arial"/>
          <w:i/>
          <w:iCs/>
          <w:sz w:val="22"/>
        </w:rPr>
        <w:t>10</w:t>
      </w:r>
      <w:r w:rsidRPr="005C1607">
        <w:rPr>
          <w:rFonts w:ascii="Arial" w:hAnsi="Arial" w:cs="Arial"/>
          <w:sz w:val="22"/>
        </w:rPr>
        <w:t xml:space="preserve">, p.923097. </w:t>
      </w:r>
      <w:hyperlink r:id="rId14" w:history="1">
        <w:r w:rsidRPr="005C1607">
          <w:rPr>
            <w:rStyle w:val="Hyperlink"/>
            <w:rFonts w:ascii="Arial" w:hAnsi="Arial" w:cs="Arial"/>
            <w:sz w:val="22"/>
          </w:rPr>
          <w:t>https://doi.org/10.3389/fpubh.2022.923097</w:t>
        </w:r>
      </w:hyperlink>
    </w:p>
    <w:p w14:paraId="6175ACE7" w14:textId="77777777" w:rsidR="005C1607" w:rsidRPr="005C1607" w:rsidRDefault="005C1607" w:rsidP="005C1607">
      <w:pPr>
        <w:spacing w:line="360" w:lineRule="auto"/>
        <w:jc w:val="both"/>
        <w:rPr>
          <w:rFonts w:ascii="Arial" w:hAnsi="Arial" w:cs="Arial"/>
          <w:sz w:val="22"/>
        </w:rPr>
      </w:pPr>
      <w:r w:rsidRPr="005C1607">
        <w:rPr>
          <w:rFonts w:ascii="Arial" w:hAnsi="Arial" w:cs="Arial"/>
          <w:sz w:val="22"/>
        </w:rPr>
        <w:t>Quilliam, C., Glenister, K., Ervin, K. and Weller-Newton, J., 2023. Revisiting rural healthcare access through Held’s ethics of care. </w:t>
      </w:r>
      <w:r w:rsidRPr="005C1607">
        <w:rPr>
          <w:rFonts w:ascii="Arial" w:hAnsi="Arial" w:cs="Arial"/>
          <w:i/>
          <w:iCs/>
          <w:sz w:val="22"/>
        </w:rPr>
        <w:t>Social Theory &amp; Health</w:t>
      </w:r>
      <w:r w:rsidRPr="005C1607">
        <w:rPr>
          <w:rFonts w:ascii="Arial" w:hAnsi="Arial" w:cs="Arial"/>
          <w:sz w:val="22"/>
        </w:rPr>
        <w:t>, </w:t>
      </w:r>
      <w:r w:rsidRPr="005C1607">
        <w:rPr>
          <w:rFonts w:ascii="Arial" w:hAnsi="Arial" w:cs="Arial"/>
          <w:i/>
          <w:iCs/>
          <w:sz w:val="22"/>
        </w:rPr>
        <w:t>21</w:t>
      </w:r>
      <w:r w:rsidRPr="005C1607">
        <w:rPr>
          <w:rFonts w:ascii="Arial" w:hAnsi="Arial" w:cs="Arial"/>
          <w:sz w:val="22"/>
        </w:rPr>
        <w:t xml:space="preserve">(2), pp.178-193. </w:t>
      </w:r>
      <w:hyperlink r:id="rId15" w:history="1">
        <w:r w:rsidRPr="005C1607">
          <w:rPr>
            <w:rStyle w:val="Hyperlink"/>
            <w:rFonts w:ascii="Arial" w:hAnsi="Arial" w:cs="Arial"/>
            <w:sz w:val="22"/>
          </w:rPr>
          <w:t>https://doi.org/10.1057/s41285-022-00181-9</w:t>
        </w:r>
      </w:hyperlink>
    </w:p>
    <w:p w14:paraId="7A770909" w14:textId="77777777" w:rsidR="005C1607" w:rsidRPr="005C1607" w:rsidRDefault="005C1607" w:rsidP="005C1607">
      <w:pPr>
        <w:spacing w:line="360" w:lineRule="auto"/>
        <w:jc w:val="both"/>
        <w:rPr>
          <w:rFonts w:ascii="Arial" w:hAnsi="Arial" w:cs="Arial"/>
          <w:sz w:val="22"/>
        </w:rPr>
      </w:pPr>
      <w:proofErr w:type="spellStart"/>
      <w:r w:rsidRPr="005C1607">
        <w:rPr>
          <w:rFonts w:ascii="Arial" w:hAnsi="Arial" w:cs="Arial"/>
          <w:sz w:val="22"/>
        </w:rPr>
        <w:t>Ramvi</w:t>
      </w:r>
      <w:proofErr w:type="spellEnd"/>
      <w:r w:rsidRPr="005C1607">
        <w:rPr>
          <w:rFonts w:ascii="Arial" w:hAnsi="Arial" w:cs="Arial"/>
          <w:sz w:val="22"/>
        </w:rPr>
        <w:t xml:space="preserve">, E. and </w:t>
      </w:r>
      <w:proofErr w:type="spellStart"/>
      <w:r w:rsidRPr="005C1607">
        <w:rPr>
          <w:rFonts w:ascii="Arial" w:hAnsi="Arial" w:cs="Arial"/>
          <w:sz w:val="22"/>
        </w:rPr>
        <w:t>Gripsrud</w:t>
      </w:r>
      <w:proofErr w:type="spellEnd"/>
      <w:r w:rsidRPr="005C1607">
        <w:rPr>
          <w:rFonts w:ascii="Arial" w:hAnsi="Arial" w:cs="Arial"/>
          <w:sz w:val="22"/>
        </w:rPr>
        <w:t>, B.H., 2025. Professionals’ ideals of care in the context of technological innovation in healthcare, a focus group study. </w:t>
      </w:r>
      <w:r w:rsidRPr="005C1607">
        <w:rPr>
          <w:rFonts w:ascii="Arial" w:hAnsi="Arial" w:cs="Arial"/>
          <w:i/>
          <w:iCs/>
          <w:sz w:val="22"/>
        </w:rPr>
        <w:t>BMC nursing</w:t>
      </w:r>
      <w:r w:rsidRPr="005C1607">
        <w:rPr>
          <w:rFonts w:ascii="Arial" w:hAnsi="Arial" w:cs="Arial"/>
          <w:sz w:val="22"/>
        </w:rPr>
        <w:t>, </w:t>
      </w:r>
      <w:r w:rsidRPr="005C1607">
        <w:rPr>
          <w:rFonts w:ascii="Arial" w:hAnsi="Arial" w:cs="Arial"/>
          <w:i/>
          <w:iCs/>
          <w:sz w:val="22"/>
        </w:rPr>
        <w:t>24</w:t>
      </w:r>
      <w:r w:rsidRPr="005C1607">
        <w:rPr>
          <w:rFonts w:ascii="Arial" w:hAnsi="Arial" w:cs="Arial"/>
          <w:sz w:val="22"/>
        </w:rPr>
        <w:t xml:space="preserve">(1), pp.1-8. </w:t>
      </w:r>
      <w:hyperlink r:id="rId16" w:history="1">
        <w:r w:rsidRPr="005C1607">
          <w:rPr>
            <w:rStyle w:val="Hyperlink"/>
            <w:rFonts w:ascii="Arial" w:hAnsi="Arial" w:cs="Arial"/>
            <w:sz w:val="22"/>
          </w:rPr>
          <w:t>https://doi.org/10.1186/s12912-025-03908-x</w:t>
        </w:r>
      </w:hyperlink>
    </w:p>
    <w:p w14:paraId="43A2866C" w14:textId="77777777" w:rsidR="005C1607" w:rsidRPr="005C1607" w:rsidRDefault="005C1607" w:rsidP="005C1607">
      <w:pPr>
        <w:spacing w:line="360" w:lineRule="auto"/>
        <w:jc w:val="both"/>
        <w:rPr>
          <w:rFonts w:ascii="Arial" w:hAnsi="Arial" w:cs="Arial"/>
          <w:sz w:val="22"/>
        </w:rPr>
      </w:pPr>
      <w:r w:rsidRPr="005C1607">
        <w:rPr>
          <w:rFonts w:ascii="Arial" w:hAnsi="Arial" w:cs="Arial"/>
          <w:sz w:val="22"/>
        </w:rPr>
        <w:lastRenderedPageBreak/>
        <w:t>Selvakumar, S. and Kenny, B., 2023. Ethics of care and moral resilience in health care practice: a scoping review. </w:t>
      </w:r>
      <w:r w:rsidRPr="005C1607">
        <w:rPr>
          <w:rFonts w:ascii="Arial" w:hAnsi="Arial" w:cs="Arial"/>
          <w:i/>
          <w:iCs/>
          <w:sz w:val="22"/>
        </w:rPr>
        <w:t>Clinical Ethics</w:t>
      </w:r>
      <w:r w:rsidRPr="005C1607">
        <w:rPr>
          <w:rFonts w:ascii="Arial" w:hAnsi="Arial" w:cs="Arial"/>
          <w:sz w:val="22"/>
        </w:rPr>
        <w:t>, </w:t>
      </w:r>
      <w:r w:rsidRPr="005C1607">
        <w:rPr>
          <w:rFonts w:ascii="Arial" w:hAnsi="Arial" w:cs="Arial"/>
          <w:i/>
          <w:iCs/>
          <w:sz w:val="22"/>
        </w:rPr>
        <w:t>18</w:t>
      </w:r>
      <w:r w:rsidRPr="005C1607">
        <w:rPr>
          <w:rFonts w:ascii="Arial" w:hAnsi="Arial" w:cs="Arial"/>
          <w:sz w:val="22"/>
        </w:rPr>
        <w:t xml:space="preserve">(1), pp.88-96. </w:t>
      </w:r>
      <w:hyperlink r:id="rId17" w:history="1">
        <w:r w:rsidRPr="005C1607">
          <w:rPr>
            <w:rStyle w:val="Hyperlink"/>
            <w:rFonts w:ascii="Arial" w:hAnsi="Arial" w:cs="Arial"/>
            <w:sz w:val="22"/>
          </w:rPr>
          <w:t>https://doi.org/10.1177/14777509211061845</w:t>
        </w:r>
      </w:hyperlink>
    </w:p>
    <w:p w14:paraId="4D0BA34B" w14:textId="77777777" w:rsidR="005C1607" w:rsidRPr="005C1607" w:rsidRDefault="005C1607" w:rsidP="005C1607">
      <w:pPr>
        <w:spacing w:line="360" w:lineRule="auto"/>
        <w:jc w:val="both"/>
        <w:rPr>
          <w:rFonts w:ascii="Arial" w:hAnsi="Arial" w:cs="Arial"/>
          <w:sz w:val="22"/>
        </w:rPr>
      </w:pPr>
      <w:bookmarkStart w:id="3" w:name="_Hlk214453146"/>
      <w:r w:rsidRPr="005C1607">
        <w:rPr>
          <w:rFonts w:ascii="Arial" w:hAnsi="Arial" w:cs="Arial"/>
          <w:sz w:val="22"/>
        </w:rPr>
        <w:t>Serpe</w:t>
      </w:r>
      <w:bookmarkEnd w:id="3"/>
      <w:r w:rsidRPr="005C1607">
        <w:rPr>
          <w:rFonts w:ascii="Arial" w:hAnsi="Arial" w:cs="Arial"/>
          <w:sz w:val="22"/>
        </w:rPr>
        <w:t xml:space="preserve">, A., 2024. Ethics of care: Its evolution and significance for law. In Research Handbook on Legal Evolution (pp. 460-480). Edward Elgar Publishing. </w:t>
      </w:r>
      <w:hyperlink r:id="rId18" w:history="1">
        <w:r w:rsidRPr="005C1607">
          <w:rPr>
            <w:rStyle w:val="Hyperlink"/>
            <w:rFonts w:ascii="Arial" w:hAnsi="Arial" w:cs="Arial"/>
            <w:sz w:val="22"/>
          </w:rPr>
          <w:t>https://doi.org/10.4337/9781803921822.00044</w:t>
        </w:r>
      </w:hyperlink>
    </w:p>
    <w:p w14:paraId="528447B7" w14:textId="77777777" w:rsidR="005C1607" w:rsidRPr="005C1607" w:rsidRDefault="005C1607" w:rsidP="005C1607">
      <w:pPr>
        <w:spacing w:line="360" w:lineRule="auto"/>
        <w:jc w:val="both"/>
        <w:rPr>
          <w:rFonts w:ascii="Arial" w:hAnsi="Arial" w:cs="Arial"/>
          <w:sz w:val="22"/>
        </w:rPr>
      </w:pPr>
      <w:r w:rsidRPr="005C1607">
        <w:rPr>
          <w:rFonts w:ascii="Arial" w:hAnsi="Arial" w:cs="Arial"/>
          <w:sz w:val="22"/>
        </w:rPr>
        <w:t>Shaw, F. and McCosker, A., 2025. Relational Ethics in the Administration of Healthcare Technology: AI, Automation and Proper Distance. </w:t>
      </w:r>
      <w:r w:rsidRPr="005C1607">
        <w:rPr>
          <w:rFonts w:ascii="Arial" w:hAnsi="Arial" w:cs="Arial"/>
          <w:i/>
          <w:iCs/>
          <w:sz w:val="22"/>
        </w:rPr>
        <w:t>Sociology of Health &amp; Illness</w:t>
      </w:r>
      <w:r w:rsidRPr="005C1607">
        <w:rPr>
          <w:rFonts w:ascii="Arial" w:hAnsi="Arial" w:cs="Arial"/>
          <w:sz w:val="22"/>
        </w:rPr>
        <w:t>, </w:t>
      </w:r>
      <w:r w:rsidRPr="005C1607">
        <w:rPr>
          <w:rFonts w:ascii="Arial" w:hAnsi="Arial" w:cs="Arial"/>
          <w:i/>
          <w:iCs/>
          <w:sz w:val="22"/>
        </w:rPr>
        <w:t>47</w:t>
      </w:r>
      <w:r w:rsidRPr="005C1607">
        <w:rPr>
          <w:rFonts w:ascii="Arial" w:hAnsi="Arial" w:cs="Arial"/>
          <w:sz w:val="22"/>
        </w:rPr>
        <w:t xml:space="preserve">(5), p.e70055. </w:t>
      </w:r>
      <w:hyperlink r:id="rId19" w:history="1">
        <w:r w:rsidRPr="005C1607">
          <w:rPr>
            <w:rStyle w:val="Hyperlink"/>
            <w:rFonts w:ascii="Arial" w:hAnsi="Arial" w:cs="Arial"/>
            <w:sz w:val="22"/>
          </w:rPr>
          <w:t>https://doi.org/10.1111/1467-9566.70055</w:t>
        </w:r>
      </w:hyperlink>
    </w:p>
    <w:p w14:paraId="37C01EA8" w14:textId="77777777" w:rsidR="005C1607" w:rsidRPr="005C1607" w:rsidRDefault="005C1607" w:rsidP="005C1607">
      <w:pPr>
        <w:spacing w:line="360" w:lineRule="auto"/>
        <w:jc w:val="both"/>
        <w:rPr>
          <w:rFonts w:ascii="Arial" w:hAnsi="Arial" w:cs="Arial"/>
          <w:sz w:val="22"/>
        </w:rPr>
      </w:pPr>
      <w:r w:rsidRPr="005C1607">
        <w:rPr>
          <w:rFonts w:ascii="Arial" w:hAnsi="Arial" w:cs="Arial"/>
          <w:sz w:val="22"/>
        </w:rPr>
        <w:t>Shuai, T., Xuan, Y., Jiménez-Herrera, M.F., Yi, L. and Tian, X., 2024. Moral distress and compassion fatigue among nursing interns: a cross-sectional study on the mediating roles of moral resilience and professional identity. </w:t>
      </w:r>
      <w:proofErr w:type="spellStart"/>
      <w:r w:rsidRPr="005C1607">
        <w:rPr>
          <w:rFonts w:ascii="Arial" w:hAnsi="Arial" w:cs="Arial"/>
          <w:i/>
          <w:iCs/>
          <w:sz w:val="22"/>
        </w:rPr>
        <w:t>Bmc</w:t>
      </w:r>
      <w:proofErr w:type="spellEnd"/>
      <w:r w:rsidRPr="005C1607">
        <w:rPr>
          <w:rFonts w:ascii="Arial" w:hAnsi="Arial" w:cs="Arial"/>
          <w:i/>
          <w:iCs/>
          <w:sz w:val="22"/>
        </w:rPr>
        <w:t xml:space="preserve"> Nursing</w:t>
      </w:r>
      <w:r w:rsidRPr="005C1607">
        <w:rPr>
          <w:rFonts w:ascii="Arial" w:hAnsi="Arial" w:cs="Arial"/>
          <w:sz w:val="22"/>
        </w:rPr>
        <w:t>, </w:t>
      </w:r>
      <w:r w:rsidRPr="005C1607">
        <w:rPr>
          <w:rFonts w:ascii="Arial" w:hAnsi="Arial" w:cs="Arial"/>
          <w:i/>
          <w:iCs/>
          <w:sz w:val="22"/>
        </w:rPr>
        <w:t>23</w:t>
      </w:r>
      <w:r w:rsidRPr="005C1607">
        <w:rPr>
          <w:rFonts w:ascii="Arial" w:hAnsi="Arial" w:cs="Arial"/>
          <w:sz w:val="22"/>
        </w:rPr>
        <w:t xml:space="preserve">(1), p.638. </w:t>
      </w:r>
      <w:hyperlink r:id="rId20" w:history="1">
        <w:r w:rsidRPr="005C1607">
          <w:rPr>
            <w:rStyle w:val="Hyperlink"/>
            <w:rFonts w:ascii="Arial" w:hAnsi="Arial" w:cs="Arial"/>
            <w:sz w:val="22"/>
          </w:rPr>
          <w:t>https://doi.org/10.1186/s12912-024-02307-y</w:t>
        </w:r>
      </w:hyperlink>
    </w:p>
    <w:p w14:paraId="6064F170" w14:textId="77777777" w:rsidR="005C1607" w:rsidRPr="005C1607" w:rsidRDefault="005C1607" w:rsidP="005C1607">
      <w:pPr>
        <w:spacing w:line="360" w:lineRule="auto"/>
        <w:jc w:val="both"/>
        <w:rPr>
          <w:rFonts w:ascii="Arial" w:hAnsi="Arial" w:cs="Arial"/>
          <w:sz w:val="22"/>
        </w:rPr>
      </w:pPr>
      <w:r w:rsidRPr="005C1607">
        <w:rPr>
          <w:rFonts w:ascii="Arial" w:hAnsi="Arial" w:cs="Arial"/>
          <w:sz w:val="22"/>
        </w:rPr>
        <w:t xml:space="preserve">Sorina, E., </w:t>
      </w:r>
      <w:proofErr w:type="spellStart"/>
      <w:r w:rsidRPr="005C1607">
        <w:rPr>
          <w:rFonts w:ascii="Arial" w:hAnsi="Arial" w:cs="Arial"/>
          <w:sz w:val="22"/>
        </w:rPr>
        <w:t>Novacescu</w:t>
      </w:r>
      <w:proofErr w:type="spellEnd"/>
      <w:r w:rsidRPr="005C1607">
        <w:rPr>
          <w:rFonts w:ascii="Arial" w:hAnsi="Arial" w:cs="Arial"/>
          <w:sz w:val="22"/>
        </w:rPr>
        <w:t xml:space="preserve">, D., Barb, A.C., </w:t>
      </w:r>
      <w:proofErr w:type="spellStart"/>
      <w:r w:rsidRPr="005C1607">
        <w:rPr>
          <w:rFonts w:ascii="Arial" w:hAnsi="Arial" w:cs="Arial"/>
          <w:sz w:val="22"/>
        </w:rPr>
        <w:t>Ciolofan</w:t>
      </w:r>
      <w:proofErr w:type="spellEnd"/>
      <w:r w:rsidRPr="005C1607">
        <w:rPr>
          <w:rFonts w:ascii="Arial" w:hAnsi="Arial" w:cs="Arial"/>
          <w:sz w:val="22"/>
        </w:rPr>
        <w:t>, A., Dumitru, C.S., Zara, F., Patrascu, R. and Enache, A., 2025, November. From Burnout to Resilience: Addressing Moral Injury in Nursing Through Organizational Innovation in the Post-Pandemic Era. In </w:t>
      </w:r>
      <w:r w:rsidRPr="005C1607">
        <w:rPr>
          <w:rFonts w:ascii="Arial" w:hAnsi="Arial" w:cs="Arial"/>
          <w:i/>
          <w:iCs/>
          <w:sz w:val="22"/>
        </w:rPr>
        <w:t>Healthcare</w:t>
      </w:r>
      <w:r w:rsidRPr="005C1607">
        <w:rPr>
          <w:rFonts w:ascii="Arial" w:hAnsi="Arial" w:cs="Arial"/>
          <w:sz w:val="22"/>
        </w:rPr>
        <w:t xml:space="preserve"> (Vol. 13, No. 21, p. 2822). MDPI. </w:t>
      </w:r>
      <w:hyperlink r:id="rId21" w:history="1">
        <w:r w:rsidRPr="005C1607">
          <w:rPr>
            <w:rStyle w:val="Hyperlink"/>
            <w:rFonts w:ascii="Arial" w:hAnsi="Arial" w:cs="Arial"/>
            <w:sz w:val="22"/>
          </w:rPr>
          <w:t>https://doi.org/10.3390/healthcare13212822</w:t>
        </w:r>
      </w:hyperlink>
    </w:p>
    <w:p w14:paraId="1B8F50CC" w14:textId="77777777" w:rsidR="005C1607" w:rsidRPr="005C1607" w:rsidRDefault="005C1607" w:rsidP="005C1607">
      <w:pPr>
        <w:spacing w:line="360" w:lineRule="auto"/>
        <w:jc w:val="both"/>
        <w:rPr>
          <w:rFonts w:ascii="Arial" w:hAnsi="Arial" w:cs="Arial"/>
          <w:sz w:val="22"/>
        </w:rPr>
      </w:pPr>
      <w:r w:rsidRPr="005C1607">
        <w:rPr>
          <w:rFonts w:ascii="Arial" w:hAnsi="Arial" w:cs="Arial"/>
          <w:sz w:val="22"/>
        </w:rPr>
        <w:t xml:space="preserve">van </w:t>
      </w:r>
      <w:proofErr w:type="spellStart"/>
      <w:r w:rsidRPr="005C1607">
        <w:rPr>
          <w:rFonts w:ascii="Arial" w:hAnsi="Arial" w:cs="Arial"/>
          <w:sz w:val="22"/>
        </w:rPr>
        <w:t>Zuylen</w:t>
      </w:r>
      <w:proofErr w:type="spellEnd"/>
      <w:r w:rsidRPr="005C1607">
        <w:rPr>
          <w:rFonts w:ascii="Arial" w:hAnsi="Arial" w:cs="Arial"/>
          <w:sz w:val="22"/>
        </w:rPr>
        <w:t xml:space="preserve">, M.L., de </w:t>
      </w:r>
      <w:proofErr w:type="spellStart"/>
      <w:r w:rsidRPr="005C1607">
        <w:rPr>
          <w:rFonts w:ascii="Arial" w:hAnsi="Arial" w:cs="Arial"/>
          <w:sz w:val="22"/>
        </w:rPr>
        <w:t>Snoo-Trimp</w:t>
      </w:r>
      <w:proofErr w:type="spellEnd"/>
      <w:r w:rsidRPr="005C1607">
        <w:rPr>
          <w:rFonts w:ascii="Arial" w:hAnsi="Arial" w:cs="Arial"/>
          <w:sz w:val="22"/>
        </w:rPr>
        <w:t xml:space="preserve">, J.C., </w:t>
      </w:r>
      <w:proofErr w:type="spellStart"/>
      <w:r w:rsidRPr="005C1607">
        <w:rPr>
          <w:rFonts w:ascii="Arial" w:hAnsi="Arial" w:cs="Arial"/>
          <w:sz w:val="22"/>
        </w:rPr>
        <w:t>Metselaar</w:t>
      </w:r>
      <w:proofErr w:type="spellEnd"/>
      <w:r w:rsidRPr="005C1607">
        <w:rPr>
          <w:rFonts w:ascii="Arial" w:hAnsi="Arial" w:cs="Arial"/>
          <w:sz w:val="22"/>
        </w:rPr>
        <w:t xml:space="preserve">, S., </w:t>
      </w:r>
      <w:proofErr w:type="spellStart"/>
      <w:r w:rsidRPr="005C1607">
        <w:rPr>
          <w:rFonts w:ascii="Arial" w:hAnsi="Arial" w:cs="Arial"/>
          <w:sz w:val="22"/>
        </w:rPr>
        <w:t>Dongelmans</w:t>
      </w:r>
      <w:proofErr w:type="spellEnd"/>
      <w:r w:rsidRPr="005C1607">
        <w:rPr>
          <w:rFonts w:ascii="Arial" w:hAnsi="Arial" w:cs="Arial"/>
          <w:sz w:val="22"/>
        </w:rPr>
        <w:t xml:space="preserve">, D.A. and </w:t>
      </w:r>
      <w:proofErr w:type="spellStart"/>
      <w:r w:rsidRPr="005C1607">
        <w:rPr>
          <w:rFonts w:ascii="Arial" w:hAnsi="Arial" w:cs="Arial"/>
          <w:sz w:val="22"/>
        </w:rPr>
        <w:t>Molewijk</w:t>
      </w:r>
      <w:proofErr w:type="spellEnd"/>
      <w:r w:rsidRPr="005C1607">
        <w:rPr>
          <w:rFonts w:ascii="Arial" w:hAnsi="Arial" w:cs="Arial"/>
          <w:sz w:val="22"/>
        </w:rPr>
        <w:t>, B., 2023. Moral distress and positive experiences of ICU staff during the COVID-19 pandemic: lessons learned. </w:t>
      </w:r>
      <w:r w:rsidRPr="005C1607">
        <w:rPr>
          <w:rFonts w:ascii="Arial" w:hAnsi="Arial" w:cs="Arial"/>
          <w:i/>
          <w:iCs/>
          <w:sz w:val="22"/>
        </w:rPr>
        <w:t>BMC Medical Ethics</w:t>
      </w:r>
      <w:r w:rsidRPr="005C1607">
        <w:rPr>
          <w:rFonts w:ascii="Arial" w:hAnsi="Arial" w:cs="Arial"/>
          <w:sz w:val="22"/>
        </w:rPr>
        <w:t>, </w:t>
      </w:r>
      <w:r w:rsidRPr="005C1607">
        <w:rPr>
          <w:rFonts w:ascii="Arial" w:hAnsi="Arial" w:cs="Arial"/>
          <w:i/>
          <w:iCs/>
          <w:sz w:val="22"/>
        </w:rPr>
        <w:t>24</w:t>
      </w:r>
      <w:r w:rsidRPr="005C1607">
        <w:rPr>
          <w:rFonts w:ascii="Arial" w:hAnsi="Arial" w:cs="Arial"/>
          <w:sz w:val="22"/>
        </w:rPr>
        <w:t xml:space="preserve">(1), p.40. </w:t>
      </w:r>
      <w:hyperlink r:id="rId22" w:history="1">
        <w:r w:rsidRPr="005C1607">
          <w:rPr>
            <w:rStyle w:val="Hyperlink"/>
            <w:rFonts w:ascii="Arial" w:hAnsi="Arial" w:cs="Arial"/>
            <w:sz w:val="22"/>
          </w:rPr>
          <w:t>https://doi.org/10.1186/s12910-023-00919-8</w:t>
        </w:r>
      </w:hyperlink>
    </w:p>
    <w:p w14:paraId="641B664B" w14:textId="77777777" w:rsidR="005C1607" w:rsidRPr="005C1607" w:rsidRDefault="005C1607" w:rsidP="005C1607">
      <w:pPr>
        <w:spacing w:line="360" w:lineRule="auto"/>
        <w:jc w:val="both"/>
        <w:rPr>
          <w:rFonts w:ascii="Arial" w:hAnsi="Arial" w:cs="Arial"/>
          <w:sz w:val="22"/>
        </w:rPr>
      </w:pPr>
      <w:bookmarkStart w:id="4" w:name="_Hlk214457728"/>
      <w:r w:rsidRPr="005C1607">
        <w:rPr>
          <w:rFonts w:ascii="Arial" w:hAnsi="Arial" w:cs="Arial"/>
          <w:sz w:val="22"/>
        </w:rPr>
        <w:t>Vandemeulebroucke, T. and Bolte, L., 2025</w:t>
      </w:r>
      <w:bookmarkEnd w:id="4"/>
      <w:r w:rsidRPr="005C1607">
        <w:rPr>
          <w:rFonts w:ascii="Arial" w:hAnsi="Arial" w:cs="Arial"/>
          <w:sz w:val="22"/>
        </w:rPr>
        <w:t>. The use of social media in social care: a systematic review of the argument-based ethics literature. </w:t>
      </w:r>
      <w:r w:rsidRPr="005C1607">
        <w:rPr>
          <w:rFonts w:ascii="Arial" w:hAnsi="Arial" w:cs="Arial"/>
          <w:i/>
          <w:iCs/>
          <w:sz w:val="22"/>
        </w:rPr>
        <w:t>Medicine, Health Care and Philosophy</w:t>
      </w:r>
      <w:r w:rsidRPr="005C1607">
        <w:rPr>
          <w:rFonts w:ascii="Arial" w:hAnsi="Arial" w:cs="Arial"/>
          <w:sz w:val="22"/>
        </w:rPr>
        <w:t xml:space="preserve">, pp.1-27. </w:t>
      </w:r>
      <w:hyperlink r:id="rId23" w:history="1">
        <w:r w:rsidRPr="005C1607">
          <w:rPr>
            <w:rStyle w:val="Hyperlink"/>
            <w:rFonts w:ascii="Arial" w:hAnsi="Arial" w:cs="Arial"/>
            <w:sz w:val="22"/>
          </w:rPr>
          <w:t>https://doi.org/10.1007/s11019-025-10269-4</w:t>
        </w:r>
      </w:hyperlink>
    </w:p>
    <w:p w14:paraId="0A303054" w14:textId="77777777" w:rsidR="005C1607" w:rsidRPr="005C1607" w:rsidRDefault="005C1607" w:rsidP="005C1607">
      <w:pPr>
        <w:spacing w:line="360" w:lineRule="auto"/>
        <w:jc w:val="both"/>
        <w:rPr>
          <w:rFonts w:ascii="Arial" w:hAnsi="Arial" w:cs="Arial"/>
          <w:sz w:val="22"/>
        </w:rPr>
      </w:pPr>
      <w:proofErr w:type="spellStart"/>
      <w:r w:rsidRPr="005C1607">
        <w:rPr>
          <w:rFonts w:ascii="Arial" w:hAnsi="Arial" w:cs="Arial"/>
          <w:sz w:val="22"/>
        </w:rPr>
        <w:t>Vijayasingham</w:t>
      </w:r>
      <w:proofErr w:type="spellEnd"/>
      <w:r w:rsidRPr="005C1607">
        <w:rPr>
          <w:rFonts w:ascii="Arial" w:hAnsi="Arial" w:cs="Arial"/>
          <w:sz w:val="22"/>
        </w:rPr>
        <w:t xml:space="preserve">, L., </w:t>
      </w:r>
      <w:proofErr w:type="spellStart"/>
      <w:r w:rsidRPr="005C1607">
        <w:rPr>
          <w:rFonts w:ascii="Arial" w:hAnsi="Arial" w:cs="Arial"/>
          <w:sz w:val="22"/>
        </w:rPr>
        <w:t>Jogulu</w:t>
      </w:r>
      <w:proofErr w:type="spellEnd"/>
      <w:r w:rsidRPr="005C1607">
        <w:rPr>
          <w:rFonts w:ascii="Arial" w:hAnsi="Arial" w:cs="Arial"/>
          <w:sz w:val="22"/>
        </w:rPr>
        <w:t>, U. and Allotey, P., 2021. Ethics of care and selective organisational caregiving by private employers for employees with chronic illness in a middle-income country. </w:t>
      </w:r>
      <w:r w:rsidRPr="005C1607">
        <w:rPr>
          <w:rFonts w:ascii="Arial" w:hAnsi="Arial" w:cs="Arial"/>
          <w:i/>
          <w:iCs/>
          <w:sz w:val="22"/>
        </w:rPr>
        <w:t>Social Science &amp; Medicine</w:t>
      </w:r>
      <w:r w:rsidRPr="005C1607">
        <w:rPr>
          <w:rFonts w:ascii="Arial" w:hAnsi="Arial" w:cs="Arial"/>
          <w:sz w:val="22"/>
        </w:rPr>
        <w:t>, </w:t>
      </w:r>
      <w:r w:rsidRPr="005C1607">
        <w:rPr>
          <w:rFonts w:ascii="Arial" w:hAnsi="Arial" w:cs="Arial"/>
          <w:i/>
          <w:iCs/>
          <w:sz w:val="22"/>
        </w:rPr>
        <w:t>269</w:t>
      </w:r>
      <w:r w:rsidRPr="005C1607">
        <w:rPr>
          <w:rFonts w:ascii="Arial" w:hAnsi="Arial" w:cs="Arial"/>
          <w:sz w:val="22"/>
        </w:rPr>
        <w:t xml:space="preserve">, p.113608. </w:t>
      </w:r>
      <w:hyperlink r:id="rId24" w:history="1">
        <w:r w:rsidRPr="005C1607">
          <w:rPr>
            <w:rStyle w:val="Hyperlink"/>
            <w:rFonts w:ascii="Arial" w:hAnsi="Arial" w:cs="Arial"/>
            <w:sz w:val="22"/>
          </w:rPr>
          <w:t>https://doi.org/10.1016/j.socscimed.2020.113608</w:t>
        </w:r>
      </w:hyperlink>
    </w:p>
    <w:p w14:paraId="47C47635" w14:textId="2DF02385" w:rsidR="00AB7518" w:rsidRPr="005C1607" w:rsidRDefault="005C1607" w:rsidP="005C1607">
      <w:pPr>
        <w:spacing w:line="360" w:lineRule="auto"/>
        <w:jc w:val="both"/>
        <w:rPr>
          <w:rFonts w:ascii="Arial" w:hAnsi="Arial" w:cs="Arial"/>
          <w:sz w:val="22"/>
        </w:rPr>
      </w:pPr>
      <w:r w:rsidRPr="005C1607">
        <w:rPr>
          <w:rFonts w:ascii="Arial" w:hAnsi="Arial" w:cs="Arial"/>
          <w:sz w:val="22"/>
        </w:rPr>
        <w:t xml:space="preserve">Vinckers, F. and </w:t>
      </w:r>
      <w:proofErr w:type="spellStart"/>
      <w:r w:rsidRPr="005C1607">
        <w:rPr>
          <w:rFonts w:ascii="Arial" w:hAnsi="Arial" w:cs="Arial"/>
          <w:sz w:val="22"/>
        </w:rPr>
        <w:t>Landeweer</w:t>
      </w:r>
      <w:proofErr w:type="spellEnd"/>
      <w:r w:rsidRPr="005C1607">
        <w:rPr>
          <w:rFonts w:ascii="Arial" w:hAnsi="Arial" w:cs="Arial"/>
          <w:sz w:val="22"/>
        </w:rPr>
        <w:t>, E., 2025. Moral distress among healthcare professionals in long-term care settings: a scoping review. </w:t>
      </w:r>
      <w:r w:rsidRPr="005C1607">
        <w:rPr>
          <w:rFonts w:ascii="Arial" w:hAnsi="Arial" w:cs="Arial"/>
          <w:i/>
          <w:iCs/>
          <w:sz w:val="22"/>
        </w:rPr>
        <w:t>Philosophy, Ethics, and Humanities in Medicine</w:t>
      </w:r>
      <w:r w:rsidRPr="005C1607">
        <w:rPr>
          <w:rFonts w:ascii="Arial" w:hAnsi="Arial" w:cs="Arial"/>
          <w:sz w:val="22"/>
        </w:rPr>
        <w:t>, </w:t>
      </w:r>
      <w:r w:rsidRPr="005C1607">
        <w:rPr>
          <w:rFonts w:ascii="Arial" w:hAnsi="Arial" w:cs="Arial"/>
          <w:i/>
          <w:iCs/>
          <w:sz w:val="22"/>
        </w:rPr>
        <w:t>20</w:t>
      </w:r>
      <w:r w:rsidRPr="005C1607">
        <w:rPr>
          <w:rFonts w:ascii="Arial" w:hAnsi="Arial" w:cs="Arial"/>
          <w:sz w:val="22"/>
        </w:rPr>
        <w:t xml:space="preserve">(1), p.8. </w:t>
      </w:r>
      <w:hyperlink r:id="rId25" w:history="1">
        <w:r w:rsidRPr="005C1607">
          <w:rPr>
            <w:rStyle w:val="Hyperlink"/>
            <w:rFonts w:ascii="Arial" w:hAnsi="Arial" w:cs="Arial"/>
            <w:sz w:val="22"/>
          </w:rPr>
          <w:t>https://doi.org/10.1186/s13010-025-00171-5</w:t>
        </w:r>
      </w:hyperlink>
    </w:p>
    <w:sectPr w:rsidR="00AB7518" w:rsidRPr="005C1607">
      <w:headerReference w:type="default" r:id="rId2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90C2471" w14:textId="77777777" w:rsidR="002F46D8" w:rsidRDefault="002F46D8" w:rsidP="007C59E8">
      <w:pPr>
        <w:spacing w:after="0" w:line="240" w:lineRule="auto"/>
      </w:pPr>
      <w:r>
        <w:separator/>
      </w:r>
    </w:p>
  </w:endnote>
  <w:endnote w:type="continuationSeparator" w:id="0">
    <w:p w14:paraId="49325D86" w14:textId="77777777" w:rsidR="002F46D8" w:rsidRDefault="002F46D8" w:rsidP="007C59E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FB584B9" w14:textId="77777777" w:rsidR="002F46D8" w:rsidRDefault="002F46D8" w:rsidP="007C59E8">
      <w:pPr>
        <w:spacing w:after="0" w:line="240" w:lineRule="auto"/>
      </w:pPr>
      <w:r>
        <w:separator/>
      </w:r>
    </w:p>
  </w:footnote>
  <w:footnote w:type="continuationSeparator" w:id="0">
    <w:p w14:paraId="459066C3" w14:textId="77777777" w:rsidR="002F46D8" w:rsidRDefault="002F46D8" w:rsidP="007C59E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43273041"/>
      <w:docPartObj>
        <w:docPartGallery w:val="Page Numbers (Top of Page)"/>
        <w:docPartUnique/>
      </w:docPartObj>
    </w:sdtPr>
    <w:sdtEndPr>
      <w:rPr>
        <w:noProof/>
      </w:rPr>
    </w:sdtEndPr>
    <w:sdtContent>
      <w:p w14:paraId="30A2B6FD" w14:textId="1D277165" w:rsidR="007C59E8" w:rsidRDefault="007C59E8">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5BCA5B39" w14:textId="77777777" w:rsidR="007C59E8" w:rsidRDefault="007C59E8">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5A91"/>
    <w:rsid w:val="0003571E"/>
    <w:rsid w:val="00056F8F"/>
    <w:rsid w:val="000A5BEE"/>
    <w:rsid w:val="000C6FDD"/>
    <w:rsid w:val="000C74A1"/>
    <w:rsid w:val="0012685F"/>
    <w:rsid w:val="00156F88"/>
    <w:rsid w:val="00251E17"/>
    <w:rsid w:val="00254C61"/>
    <w:rsid w:val="0028324C"/>
    <w:rsid w:val="00297572"/>
    <w:rsid w:val="002F1B01"/>
    <w:rsid w:val="002F46D8"/>
    <w:rsid w:val="00320C31"/>
    <w:rsid w:val="00363839"/>
    <w:rsid w:val="00424806"/>
    <w:rsid w:val="0044617E"/>
    <w:rsid w:val="0045422A"/>
    <w:rsid w:val="00513877"/>
    <w:rsid w:val="005640B8"/>
    <w:rsid w:val="00582711"/>
    <w:rsid w:val="005C1607"/>
    <w:rsid w:val="00675A91"/>
    <w:rsid w:val="006A0DD3"/>
    <w:rsid w:val="006C60C1"/>
    <w:rsid w:val="00711D17"/>
    <w:rsid w:val="00731887"/>
    <w:rsid w:val="00752EAE"/>
    <w:rsid w:val="00761658"/>
    <w:rsid w:val="00763D3C"/>
    <w:rsid w:val="007C59E8"/>
    <w:rsid w:val="008E4A29"/>
    <w:rsid w:val="008E6693"/>
    <w:rsid w:val="00926C20"/>
    <w:rsid w:val="00965D61"/>
    <w:rsid w:val="00A0316E"/>
    <w:rsid w:val="00A5617B"/>
    <w:rsid w:val="00AB7518"/>
    <w:rsid w:val="00AF506F"/>
    <w:rsid w:val="00B627B3"/>
    <w:rsid w:val="00BB7A5B"/>
    <w:rsid w:val="00BB7EE5"/>
    <w:rsid w:val="00BC078B"/>
    <w:rsid w:val="00CA4074"/>
    <w:rsid w:val="00CB7BD5"/>
    <w:rsid w:val="00CC0C91"/>
    <w:rsid w:val="00CC6C74"/>
    <w:rsid w:val="00D239C5"/>
    <w:rsid w:val="00D3140B"/>
    <w:rsid w:val="00DC05BB"/>
    <w:rsid w:val="00E03DF8"/>
    <w:rsid w:val="00EA492C"/>
    <w:rsid w:val="00EB6B0E"/>
    <w:rsid w:val="00F06C54"/>
    <w:rsid w:val="00F17A8A"/>
    <w:rsid w:val="00F65741"/>
    <w:rsid w:val="00FA4275"/>
    <w:rsid w:val="00FB4E49"/>
    <w:rsid w:val="00FC369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49F4F1"/>
  <w15:chartTrackingRefBased/>
  <w15:docId w15:val="{8A148916-8688-4AAC-B4A2-37EDA6C442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SimSun"/>
        <w:sz w:val="24"/>
        <w:szCs w:val="22"/>
        <w:lang w:val="en-GB" w:eastAsia="en-US" w:bidi="ar-SA"/>
        <w14:ligatures w14:val="standardContextual"/>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3DF8"/>
  </w:style>
  <w:style w:type="paragraph" w:styleId="Heading1">
    <w:name w:val="heading 1"/>
    <w:basedOn w:val="Normal"/>
    <w:next w:val="Normal"/>
    <w:link w:val="Heading1Char"/>
    <w:autoRedefine/>
    <w:uiPriority w:val="9"/>
    <w:qFormat/>
    <w:rsid w:val="00363839"/>
    <w:pPr>
      <w:keepNext/>
      <w:keepLines/>
      <w:spacing w:before="240" w:after="0"/>
      <w:outlineLvl w:val="0"/>
    </w:pPr>
    <w:rPr>
      <w:rFonts w:eastAsiaTheme="majorEastAsia" w:cstheme="majorBidi"/>
      <w:b/>
      <w:sz w:val="32"/>
      <w:szCs w:val="32"/>
    </w:rPr>
  </w:style>
  <w:style w:type="paragraph" w:styleId="Heading2">
    <w:name w:val="heading 2"/>
    <w:basedOn w:val="Normal"/>
    <w:next w:val="Normal"/>
    <w:link w:val="Heading2Char"/>
    <w:autoRedefine/>
    <w:uiPriority w:val="9"/>
    <w:semiHidden/>
    <w:unhideWhenUsed/>
    <w:qFormat/>
    <w:rsid w:val="00BB7EE5"/>
    <w:pPr>
      <w:keepNext/>
      <w:keepLines/>
      <w:spacing w:before="40" w:after="0"/>
      <w:outlineLvl w:val="1"/>
    </w:pPr>
    <w:rPr>
      <w:rFonts w:eastAsiaTheme="majorEastAsia" w:cstheme="majorBidi"/>
      <w:b/>
      <w:szCs w:val="26"/>
    </w:rPr>
  </w:style>
  <w:style w:type="paragraph" w:styleId="Heading3">
    <w:name w:val="heading 3"/>
    <w:basedOn w:val="Normal"/>
    <w:next w:val="Normal"/>
    <w:link w:val="Heading3Char"/>
    <w:autoRedefine/>
    <w:uiPriority w:val="9"/>
    <w:semiHidden/>
    <w:unhideWhenUsed/>
    <w:qFormat/>
    <w:rsid w:val="0028324C"/>
    <w:pPr>
      <w:keepNext/>
      <w:keepLines/>
      <w:spacing w:before="40" w:after="0"/>
      <w:outlineLvl w:val="2"/>
    </w:pPr>
    <w:rPr>
      <w:rFonts w:eastAsiaTheme="majorEastAsia" w:cstheme="majorBidi"/>
      <w:b/>
    </w:rPr>
  </w:style>
  <w:style w:type="paragraph" w:styleId="Heading4">
    <w:name w:val="heading 4"/>
    <w:basedOn w:val="Normal"/>
    <w:next w:val="Normal"/>
    <w:link w:val="Heading4Char"/>
    <w:uiPriority w:val="9"/>
    <w:semiHidden/>
    <w:unhideWhenUsed/>
    <w:qFormat/>
    <w:rsid w:val="00675A91"/>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675A91"/>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675A91"/>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675A91"/>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675A91"/>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675A91"/>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63839"/>
    <w:rPr>
      <w:rFonts w:eastAsiaTheme="majorEastAsia" w:cstheme="majorBidi"/>
      <w:b/>
      <w:sz w:val="32"/>
      <w:szCs w:val="32"/>
    </w:rPr>
  </w:style>
  <w:style w:type="character" w:customStyle="1" w:styleId="Heading3Char">
    <w:name w:val="Heading 3 Char"/>
    <w:basedOn w:val="DefaultParagraphFont"/>
    <w:link w:val="Heading3"/>
    <w:uiPriority w:val="9"/>
    <w:semiHidden/>
    <w:rsid w:val="0028324C"/>
    <w:rPr>
      <w:rFonts w:eastAsiaTheme="majorEastAsia" w:cstheme="majorBidi"/>
      <w:b/>
      <w:lang w:val="en-US"/>
    </w:rPr>
  </w:style>
  <w:style w:type="character" w:customStyle="1" w:styleId="Heading2Char">
    <w:name w:val="Heading 2 Char"/>
    <w:basedOn w:val="DefaultParagraphFont"/>
    <w:link w:val="Heading2"/>
    <w:uiPriority w:val="9"/>
    <w:semiHidden/>
    <w:rsid w:val="00BB7EE5"/>
    <w:rPr>
      <w:rFonts w:eastAsiaTheme="majorEastAsia" w:cstheme="majorBidi"/>
      <w:b/>
      <w:szCs w:val="26"/>
      <w:lang w:val="en-US"/>
    </w:rPr>
  </w:style>
  <w:style w:type="character" w:customStyle="1" w:styleId="Heading4Char">
    <w:name w:val="Heading 4 Char"/>
    <w:basedOn w:val="DefaultParagraphFont"/>
    <w:link w:val="Heading4"/>
    <w:uiPriority w:val="9"/>
    <w:semiHidden/>
    <w:rsid w:val="00675A91"/>
    <w:rPr>
      <w:rFonts w:asciiTheme="minorHAnsi" w:eastAsiaTheme="majorEastAsia" w:hAnsiTheme="minorHAnsi" w:cstheme="majorBidi"/>
      <w:i/>
      <w:iCs/>
      <w:color w:val="2F5496" w:themeColor="accent1" w:themeShade="BF"/>
      <w:lang w:val="en-US"/>
    </w:rPr>
  </w:style>
  <w:style w:type="character" w:customStyle="1" w:styleId="Heading5Char">
    <w:name w:val="Heading 5 Char"/>
    <w:basedOn w:val="DefaultParagraphFont"/>
    <w:link w:val="Heading5"/>
    <w:uiPriority w:val="9"/>
    <w:semiHidden/>
    <w:rsid w:val="00675A91"/>
    <w:rPr>
      <w:rFonts w:asciiTheme="minorHAnsi" w:eastAsiaTheme="majorEastAsia" w:hAnsiTheme="minorHAnsi" w:cstheme="majorBidi"/>
      <w:color w:val="2F5496" w:themeColor="accent1" w:themeShade="BF"/>
      <w:lang w:val="en-US"/>
    </w:rPr>
  </w:style>
  <w:style w:type="character" w:customStyle="1" w:styleId="Heading6Char">
    <w:name w:val="Heading 6 Char"/>
    <w:basedOn w:val="DefaultParagraphFont"/>
    <w:link w:val="Heading6"/>
    <w:uiPriority w:val="9"/>
    <w:semiHidden/>
    <w:rsid w:val="00675A91"/>
    <w:rPr>
      <w:rFonts w:asciiTheme="minorHAnsi" w:eastAsiaTheme="majorEastAsia" w:hAnsiTheme="minorHAnsi" w:cstheme="majorBidi"/>
      <w:i/>
      <w:iCs/>
      <w:color w:val="595959" w:themeColor="text1" w:themeTint="A6"/>
      <w:lang w:val="en-US"/>
    </w:rPr>
  </w:style>
  <w:style w:type="character" w:customStyle="1" w:styleId="Heading7Char">
    <w:name w:val="Heading 7 Char"/>
    <w:basedOn w:val="DefaultParagraphFont"/>
    <w:link w:val="Heading7"/>
    <w:uiPriority w:val="9"/>
    <w:semiHidden/>
    <w:rsid w:val="00675A91"/>
    <w:rPr>
      <w:rFonts w:asciiTheme="minorHAnsi" w:eastAsiaTheme="majorEastAsia" w:hAnsiTheme="minorHAnsi" w:cstheme="majorBidi"/>
      <w:color w:val="595959" w:themeColor="text1" w:themeTint="A6"/>
      <w:lang w:val="en-US"/>
    </w:rPr>
  </w:style>
  <w:style w:type="character" w:customStyle="1" w:styleId="Heading8Char">
    <w:name w:val="Heading 8 Char"/>
    <w:basedOn w:val="DefaultParagraphFont"/>
    <w:link w:val="Heading8"/>
    <w:uiPriority w:val="9"/>
    <w:semiHidden/>
    <w:rsid w:val="00675A91"/>
    <w:rPr>
      <w:rFonts w:asciiTheme="minorHAnsi" w:eastAsiaTheme="majorEastAsia" w:hAnsiTheme="minorHAnsi" w:cstheme="majorBidi"/>
      <w:i/>
      <w:iCs/>
      <w:color w:val="272727" w:themeColor="text1" w:themeTint="D8"/>
      <w:lang w:val="en-US"/>
    </w:rPr>
  </w:style>
  <w:style w:type="character" w:customStyle="1" w:styleId="Heading9Char">
    <w:name w:val="Heading 9 Char"/>
    <w:basedOn w:val="DefaultParagraphFont"/>
    <w:link w:val="Heading9"/>
    <w:uiPriority w:val="9"/>
    <w:semiHidden/>
    <w:rsid w:val="00675A91"/>
    <w:rPr>
      <w:rFonts w:asciiTheme="minorHAnsi" w:eastAsiaTheme="majorEastAsia" w:hAnsiTheme="minorHAnsi" w:cstheme="majorBidi"/>
      <w:color w:val="272727" w:themeColor="text1" w:themeTint="D8"/>
      <w:lang w:val="en-US"/>
    </w:rPr>
  </w:style>
  <w:style w:type="paragraph" w:styleId="Title">
    <w:name w:val="Title"/>
    <w:basedOn w:val="Normal"/>
    <w:next w:val="Normal"/>
    <w:link w:val="TitleChar"/>
    <w:uiPriority w:val="10"/>
    <w:qFormat/>
    <w:rsid w:val="00675A9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75A91"/>
    <w:rPr>
      <w:rFonts w:asciiTheme="majorHAnsi" w:eastAsiaTheme="majorEastAsia" w:hAnsiTheme="majorHAnsi" w:cstheme="majorBidi"/>
      <w:spacing w:val="-10"/>
      <w:kern w:val="28"/>
      <w:sz w:val="56"/>
      <w:szCs w:val="56"/>
      <w:lang w:val="en-US"/>
    </w:rPr>
  </w:style>
  <w:style w:type="paragraph" w:styleId="Subtitle">
    <w:name w:val="Subtitle"/>
    <w:basedOn w:val="Normal"/>
    <w:next w:val="Normal"/>
    <w:link w:val="SubtitleChar"/>
    <w:uiPriority w:val="11"/>
    <w:qFormat/>
    <w:rsid w:val="00675A91"/>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75A91"/>
    <w:rPr>
      <w:rFonts w:asciiTheme="minorHAnsi" w:eastAsiaTheme="majorEastAsia" w:hAnsiTheme="minorHAnsi" w:cstheme="majorBidi"/>
      <w:color w:val="595959" w:themeColor="text1" w:themeTint="A6"/>
      <w:spacing w:val="15"/>
      <w:sz w:val="28"/>
      <w:szCs w:val="28"/>
      <w:lang w:val="en-US"/>
    </w:rPr>
  </w:style>
  <w:style w:type="paragraph" w:styleId="Quote">
    <w:name w:val="Quote"/>
    <w:basedOn w:val="Normal"/>
    <w:next w:val="Normal"/>
    <w:link w:val="QuoteChar"/>
    <w:uiPriority w:val="29"/>
    <w:qFormat/>
    <w:rsid w:val="00675A91"/>
    <w:pPr>
      <w:spacing w:before="160"/>
      <w:jc w:val="center"/>
    </w:pPr>
    <w:rPr>
      <w:i/>
      <w:iCs/>
      <w:color w:val="404040" w:themeColor="text1" w:themeTint="BF"/>
    </w:rPr>
  </w:style>
  <w:style w:type="character" w:customStyle="1" w:styleId="QuoteChar">
    <w:name w:val="Quote Char"/>
    <w:basedOn w:val="DefaultParagraphFont"/>
    <w:link w:val="Quote"/>
    <w:uiPriority w:val="29"/>
    <w:rsid w:val="00675A91"/>
    <w:rPr>
      <w:i/>
      <w:iCs/>
      <w:color w:val="404040" w:themeColor="text1" w:themeTint="BF"/>
      <w:lang w:val="en-US"/>
    </w:rPr>
  </w:style>
  <w:style w:type="paragraph" w:styleId="ListParagraph">
    <w:name w:val="List Paragraph"/>
    <w:basedOn w:val="Normal"/>
    <w:uiPriority w:val="34"/>
    <w:qFormat/>
    <w:rsid w:val="00675A91"/>
    <w:pPr>
      <w:ind w:left="720"/>
      <w:contextualSpacing/>
    </w:pPr>
  </w:style>
  <w:style w:type="character" w:styleId="IntenseEmphasis">
    <w:name w:val="Intense Emphasis"/>
    <w:basedOn w:val="DefaultParagraphFont"/>
    <w:uiPriority w:val="21"/>
    <w:qFormat/>
    <w:rsid w:val="00675A91"/>
    <w:rPr>
      <w:i/>
      <w:iCs/>
      <w:color w:val="2F5496" w:themeColor="accent1" w:themeShade="BF"/>
    </w:rPr>
  </w:style>
  <w:style w:type="paragraph" w:styleId="IntenseQuote">
    <w:name w:val="Intense Quote"/>
    <w:basedOn w:val="Normal"/>
    <w:next w:val="Normal"/>
    <w:link w:val="IntenseQuoteChar"/>
    <w:uiPriority w:val="30"/>
    <w:qFormat/>
    <w:rsid w:val="00675A9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675A91"/>
    <w:rPr>
      <w:i/>
      <w:iCs/>
      <w:color w:val="2F5496" w:themeColor="accent1" w:themeShade="BF"/>
      <w:lang w:val="en-US"/>
    </w:rPr>
  </w:style>
  <w:style w:type="character" w:styleId="IntenseReference">
    <w:name w:val="Intense Reference"/>
    <w:basedOn w:val="DefaultParagraphFont"/>
    <w:uiPriority w:val="32"/>
    <w:qFormat/>
    <w:rsid w:val="00675A91"/>
    <w:rPr>
      <w:b/>
      <w:bCs/>
      <w:smallCaps/>
      <w:color w:val="2F5496" w:themeColor="accent1" w:themeShade="BF"/>
      <w:spacing w:val="5"/>
    </w:rPr>
  </w:style>
  <w:style w:type="character" w:styleId="Hyperlink">
    <w:name w:val="Hyperlink"/>
    <w:basedOn w:val="DefaultParagraphFont"/>
    <w:uiPriority w:val="99"/>
    <w:unhideWhenUsed/>
    <w:rsid w:val="00FB4E49"/>
    <w:rPr>
      <w:color w:val="0563C1" w:themeColor="hyperlink"/>
      <w:u w:val="single"/>
    </w:rPr>
  </w:style>
  <w:style w:type="character" w:styleId="UnresolvedMention">
    <w:name w:val="Unresolved Mention"/>
    <w:basedOn w:val="DefaultParagraphFont"/>
    <w:uiPriority w:val="99"/>
    <w:semiHidden/>
    <w:unhideWhenUsed/>
    <w:rsid w:val="00FB4E49"/>
    <w:rPr>
      <w:color w:val="605E5C"/>
      <w:shd w:val="clear" w:color="auto" w:fill="E1DFDD"/>
    </w:rPr>
  </w:style>
  <w:style w:type="paragraph" w:styleId="Header">
    <w:name w:val="header"/>
    <w:basedOn w:val="Normal"/>
    <w:link w:val="HeaderChar"/>
    <w:uiPriority w:val="99"/>
    <w:unhideWhenUsed/>
    <w:rsid w:val="007C59E8"/>
    <w:pPr>
      <w:tabs>
        <w:tab w:val="center" w:pos="4513"/>
        <w:tab w:val="right" w:pos="9026"/>
      </w:tabs>
      <w:spacing w:after="0" w:line="240" w:lineRule="auto"/>
    </w:pPr>
  </w:style>
  <w:style w:type="character" w:customStyle="1" w:styleId="HeaderChar">
    <w:name w:val="Header Char"/>
    <w:basedOn w:val="DefaultParagraphFont"/>
    <w:link w:val="Header"/>
    <w:uiPriority w:val="99"/>
    <w:rsid w:val="007C59E8"/>
  </w:style>
  <w:style w:type="paragraph" w:styleId="Footer">
    <w:name w:val="footer"/>
    <w:basedOn w:val="Normal"/>
    <w:link w:val="FooterChar"/>
    <w:uiPriority w:val="99"/>
    <w:unhideWhenUsed/>
    <w:rsid w:val="007C59E8"/>
    <w:pPr>
      <w:tabs>
        <w:tab w:val="center" w:pos="4513"/>
        <w:tab w:val="right" w:pos="9026"/>
      </w:tabs>
      <w:spacing w:after="0" w:line="240" w:lineRule="auto"/>
    </w:pPr>
  </w:style>
  <w:style w:type="character" w:customStyle="1" w:styleId="FooterChar">
    <w:name w:val="Footer Char"/>
    <w:basedOn w:val="DefaultParagraphFont"/>
    <w:link w:val="Footer"/>
    <w:uiPriority w:val="99"/>
    <w:rsid w:val="007C59E8"/>
  </w:style>
  <w:style w:type="table" w:customStyle="1" w:styleId="TableGrid">
    <w:name w:val="TableGrid"/>
    <w:rsid w:val="007C59E8"/>
    <w:pPr>
      <w:spacing w:after="0" w:line="240" w:lineRule="auto"/>
    </w:pPr>
    <w:rPr>
      <w:rFonts w:asciiTheme="minorHAnsi" w:eastAsiaTheme="minorEastAsia" w:hAnsiTheme="minorHAnsi" w:cstheme="minorBidi"/>
      <w:kern w:val="2"/>
      <w:szCs w:val="24"/>
      <w:lang w:eastAsia="en-GB"/>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186/s12904-025-01784-5" TargetMode="External"/><Relationship Id="rId13" Type="http://schemas.openxmlformats.org/officeDocument/2006/relationships/hyperlink" Target="https://doi.org/10.1186/s12912-023-01407-5" TargetMode="External"/><Relationship Id="rId18" Type="http://schemas.openxmlformats.org/officeDocument/2006/relationships/hyperlink" Target="https://doi.org/10.4337/9781803921822.00044" TargetMode="External"/><Relationship Id="rId26" Type="http://schemas.openxmlformats.org/officeDocument/2006/relationships/header" Target="header1.xml"/><Relationship Id="rId3" Type="http://schemas.openxmlformats.org/officeDocument/2006/relationships/webSettings" Target="webSettings.xml"/><Relationship Id="rId21" Type="http://schemas.openxmlformats.org/officeDocument/2006/relationships/hyperlink" Target="https://doi.org/10.3390/healthcare13212822" TargetMode="External"/><Relationship Id="rId7" Type="http://schemas.openxmlformats.org/officeDocument/2006/relationships/hyperlink" Target="https://doi.org/10.1177/09697330241277993" TargetMode="External"/><Relationship Id="rId12" Type="http://schemas.openxmlformats.org/officeDocument/2006/relationships/hyperlink" Target="https://doi.org/10.1186/s12912-023-01277-x" TargetMode="External"/><Relationship Id="rId17" Type="http://schemas.openxmlformats.org/officeDocument/2006/relationships/hyperlink" Target="https://doi.org/10.1177/14777509211061845" TargetMode="External"/><Relationship Id="rId25" Type="http://schemas.openxmlformats.org/officeDocument/2006/relationships/hyperlink" Target="https://doi.org/10.1186/s13010-025-00171-5" TargetMode="External"/><Relationship Id="rId2" Type="http://schemas.openxmlformats.org/officeDocument/2006/relationships/settings" Target="settings.xml"/><Relationship Id="rId16" Type="http://schemas.openxmlformats.org/officeDocument/2006/relationships/hyperlink" Target="https://doi.org/10.1186/s12912-025-03908-x" TargetMode="External"/><Relationship Id="rId20" Type="http://schemas.openxmlformats.org/officeDocument/2006/relationships/hyperlink" Target="https://doi.org/10.1186/s12912-024-02307-y" TargetMode="Externa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yperlink" Target="https://doi.org/10.1186/s13690-022-00845-y" TargetMode="External"/><Relationship Id="rId24" Type="http://schemas.openxmlformats.org/officeDocument/2006/relationships/hyperlink" Target="https://doi.org/10.1016/j.socscimed.2020.113608" TargetMode="External"/><Relationship Id="rId5" Type="http://schemas.openxmlformats.org/officeDocument/2006/relationships/endnotes" Target="endnotes.xml"/><Relationship Id="rId15" Type="http://schemas.openxmlformats.org/officeDocument/2006/relationships/hyperlink" Target="https://doi.org/10.1057/s41285-022-00181-9" TargetMode="External"/><Relationship Id="rId23" Type="http://schemas.openxmlformats.org/officeDocument/2006/relationships/hyperlink" Target="https://doi.org/10.1007/s11019-025-10269-4" TargetMode="External"/><Relationship Id="rId28" Type="http://schemas.openxmlformats.org/officeDocument/2006/relationships/theme" Target="theme/theme1.xml"/><Relationship Id="rId10" Type="http://schemas.openxmlformats.org/officeDocument/2006/relationships/hyperlink" Target="https://doi.org/10.3390/philosophies7030053" TargetMode="External"/><Relationship Id="rId19" Type="http://schemas.openxmlformats.org/officeDocument/2006/relationships/hyperlink" Target="https://doi.org/10.1111/1467-9566.70055" TargetMode="External"/><Relationship Id="rId4" Type="http://schemas.openxmlformats.org/officeDocument/2006/relationships/footnotes" Target="footnotes.xml"/><Relationship Id="rId9" Type="http://schemas.openxmlformats.org/officeDocument/2006/relationships/hyperlink" Target="https://doi.org/10.1186/s12909-021-03051-6" TargetMode="External"/><Relationship Id="rId14" Type="http://schemas.openxmlformats.org/officeDocument/2006/relationships/hyperlink" Target="https://doi.org/10.3389/fpubh.2022.923097" TargetMode="External"/><Relationship Id="rId22" Type="http://schemas.openxmlformats.org/officeDocument/2006/relationships/hyperlink" Target="https://doi.org/10.1186/s12910-023-00919-8"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8</Pages>
  <Words>3020</Words>
  <Characters>17220</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20200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Ioan Ciprian Tanase (2414116)</cp:lastModifiedBy>
  <cp:revision>3</cp:revision>
  <dcterms:created xsi:type="dcterms:W3CDTF">2025-12-03T09:28:00Z</dcterms:created>
  <dcterms:modified xsi:type="dcterms:W3CDTF">2025-12-03T09:29:00Z</dcterms:modified>
</cp:coreProperties>
</file>