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F1F944C" w14:textId="77777777" w:rsidR="0017502D" w:rsidRPr="0017502D" w:rsidRDefault="0017502D" w:rsidP="0017502D">
      <w:pPr>
        <w:jc w:val="center"/>
        <w:rPr>
          <w:u w:val="single"/>
        </w:rPr>
      </w:pPr>
      <w:r w:rsidRPr="0017502D">
        <w:rPr>
          <w:u w:val="single"/>
        </w:rPr>
        <w:t>‘Jesus was a reformer of first-century Jewish attitudes to women.’ Discuss.</w:t>
      </w:r>
    </w:p>
    <w:p w14:paraId="4988DFBB" w14:textId="77777777" w:rsidR="0017502D" w:rsidRDefault="0017502D" w:rsidP="0017502D"/>
    <w:p w14:paraId="22FBE4A6" w14:textId="77777777" w:rsidR="0017502D" w:rsidRDefault="0017502D" w:rsidP="0017502D"/>
    <w:p w14:paraId="347F745F" w14:textId="24F20841" w:rsidR="0017502D" w:rsidRDefault="0017502D" w:rsidP="0017502D"/>
    <w:p w14:paraId="3C72BC01" w14:textId="7247A19D" w:rsidR="008974AC" w:rsidRDefault="001B70A7" w:rsidP="0017502D">
      <w:r>
        <w:t xml:space="preserve">This essay will attempt to definitively </w:t>
      </w:r>
      <w:r w:rsidR="00E13329">
        <w:t xml:space="preserve">support or </w:t>
      </w:r>
      <w:r w:rsidR="00332588">
        <w:t>oppose the statement that ‘Jesus was a reformer o</w:t>
      </w:r>
      <w:r w:rsidR="00581585">
        <w:t>f</w:t>
      </w:r>
      <w:r w:rsidR="00332588">
        <w:t xml:space="preserve"> first-century Jewish attitudes to women</w:t>
      </w:r>
      <w:r w:rsidR="00D92B93">
        <w:t xml:space="preserve">’. </w:t>
      </w:r>
      <w:r w:rsidR="009D09C0">
        <w:t xml:space="preserve">To do this, modern scholarship will be consulted along with </w:t>
      </w:r>
      <w:r w:rsidR="00BD5EA9">
        <w:t xml:space="preserve">ancients sources such as the books of Matthew, Mark, Luke and John in the Bible </w:t>
      </w:r>
      <w:r w:rsidR="001D3AD0">
        <w:t xml:space="preserve">as a guide to how women were treated and perceived by Jesus and those around him </w:t>
      </w:r>
      <w:r w:rsidR="0091086F">
        <w:t xml:space="preserve">compared to the otherwise dominating view of women in Palestinian Judaism. </w:t>
      </w:r>
    </w:p>
    <w:p w14:paraId="1D7584E2" w14:textId="77777777" w:rsidR="00E05930" w:rsidRDefault="00E05930" w:rsidP="0017502D"/>
    <w:p w14:paraId="57B01EB2" w14:textId="1995ABBA" w:rsidR="001E1EA6" w:rsidRDefault="00887D9E" w:rsidP="0017502D">
      <w:r>
        <w:t>During</w:t>
      </w:r>
      <w:r w:rsidR="001E1EA6">
        <w:t>, and before, the time of Jesus in the 1</w:t>
      </w:r>
      <w:r w:rsidR="001E1EA6" w:rsidRPr="001E1EA6">
        <w:rPr>
          <w:vertAlign w:val="superscript"/>
        </w:rPr>
        <w:t>st</w:t>
      </w:r>
      <w:r w:rsidR="001E1EA6">
        <w:t xml:space="preserve"> century </w:t>
      </w:r>
      <w:r w:rsidR="00CA41C5">
        <w:t xml:space="preserve">CE the Palestine Jewish culture was, according to Ben </w:t>
      </w:r>
      <w:proofErr w:type="spellStart"/>
      <w:r w:rsidR="00CA41C5">
        <w:t>Witherington</w:t>
      </w:r>
      <w:proofErr w:type="spellEnd"/>
      <w:r w:rsidR="003640AA">
        <w:t>, “</w:t>
      </w:r>
      <w:r w:rsidR="003640AA" w:rsidRPr="00493532">
        <w:rPr>
          <w:i/>
          <w:iCs/>
        </w:rPr>
        <w:t>of the most patriarchal in the Mediterranean crescent</w:t>
      </w:r>
      <w:r w:rsidR="00CB7D46">
        <w:t>.”</w:t>
      </w:r>
      <w:r w:rsidR="00CB7D46">
        <w:rPr>
          <w:rStyle w:val="FootnoteReference"/>
        </w:rPr>
        <w:footnoteReference w:id="1"/>
      </w:r>
      <w:r w:rsidR="00E17D1F">
        <w:t xml:space="preserve"> </w:t>
      </w:r>
      <w:r w:rsidR="00537D90">
        <w:t>Women ere seen a</w:t>
      </w:r>
      <w:r w:rsidR="005B75AD">
        <w:t>s being subordinate to men, and therefore “</w:t>
      </w:r>
      <w:r w:rsidR="005B75AD" w:rsidRPr="003024FC">
        <w:rPr>
          <w:i/>
          <w:iCs/>
        </w:rPr>
        <w:t xml:space="preserve">the home and family were basically the </w:t>
      </w:r>
      <w:r w:rsidR="00493532" w:rsidRPr="003024FC">
        <w:rPr>
          <w:i/>
          <w:iCs/>
        </w:rPr>
        <w:t>only spheres where women could play significant roles in early Judaism.</w:t>
      </w:r>
      <w:r w:rsidR="00493532">
        <w:t>”</w:t>
      </w:r>
      <w:r w:rsidR="00493532">
        <w:rPr>
          <w:rStyle w:val="FootnoteReference"/>
        </w:rPr>
        <w:footnoteReference w:id="2"/>
      </w:r>
      <w:r w:rsidR="003024FC">
        <w:t xml:space="preserve"> </w:t>
      </w:r>
    </w:p>
    <w:p w14:paraId="1DE9D078" w14:textId="2DEF5387" w:rsidR="005459F6" w:rsidRDefault="005459F6" w:rsidP="0017502D"/>
    <w:p w14:paraId="09C24829" w14:textId="77777777" w:rsidR="005459F6" w:rsidRDefault="005459F6" w:rsidP="004B6551">
      <w:r>
        <w:t xml:space="preserve">Women were seen as less than men, even less than boys by Jewish groups in the ancient world, with Joachim </w:t>
      </w:r>
      <w:proofErr w:type="spellStart"/>
      <w:r>
        <w:t>Jeremias</w:t>
      </w:r>
      <w:proofErr w:type="spellEnd"/>
      <w:r>
        <w:t xml:space="preserve"> stating that “</w:t>
      </w:r>
      <w:r w:rsidRPr="00781B7D">
        <w:rPr>
          <w:i/>
          <w:iCs/>
        </w:rPr>
        <w:t>Judaism had a very low opinion of women</w:t>
      </w:r>
      <w:r>
        <w:t>”</w:t>
      </w:r>
      <w:r>
        <w:rPr>
          <w:rStyle w:val="FootnoteReference"/>
        </w:rPr>
        <w:footnoteReference w:id="3"/>
      </w:r>
      <w:r>
        <w:t xml:space="preserve">. This view was prominent in this period of Judaism.An interesting example of women in early Judaism comes from Leonard </w:t>
      </w:r>
      <w:proofErr w:type="spellStart"/>
      <w:r>
        <w:t>Swidler</w:t>
      </w:r>
      <w:proofErr w:type="spellEnd"/>
      <w:r>
        <w:t>, who says: “</w:t>
      </w:r>
      <w:r w:rsidRPr="00303722">
        <w:rPr>
          <w:i/>
          <w:iCs/>
        </w:rPr>
        <w:t xml:space="preserve">a dominance of a severely inferior status of women and even an intense </w:t>
      </w:r>
      <w:proofErr w:type="spellStart"/>
      <w:r w:rsidRPr="00303722">
        <w:rPr>
          <w:i/>
          <w:iCs/>
        </w:rPr>
        <w:t>misogynism</w:t>
      </w:r>
      <w:proofErr w:type="spellEnd"/>
      <w:r w:rsidRPr="00303722">
        <w:rPr>
          <w:i/>
          <w:iCs/>
        </w:rPr>
        <w:t xml:space="preserve"> in the formative period of Judaism [that is] in no way weakened or deflected by evidence that there existed at the same time sincere human affection towards wives… or that there were some domineering Jewish women</w:t>
      </w:r>
      <w:r>
        <w:t>”</w:t>
      </w:r>
      <w:r>
        <w:rPr>
          <w:rStyle w:val="FootnoteReference"/>
        </w:rPr>
        <w:footnoteReference w:id="4"/>
      </w:r>
      <w:r>
        <w:t xml:space="preserve">. </w:t>
      </w:r>
    </w:p>
    <w:p w14:paraId="0D365240" w14:textId="77FE1C5E" w:rsidR="008B292F" w:rsidRDefault="008B292F" w:rsidP="0017502D"/>
    <w:p w14:paraId="71688619" w14:textId="6D48DEB8" w:rsidR="00297D0A" w:rsidRDefault="00D650F6" w:rsidP="0017502D">
      <w:r>
        <w:t xml:space="preserve">The presence of women in the Jesus movement, which later became </w:t>
      </w:r>
      <w:r w:rsidR="006D2784">
        <w:t xml:space="preserve">Christianity, is unquestionable. The importance of Jesus’ mother, the Virgin Mary, is </w:t>
      </w:r>
      <w:r w:rsidR="009B7D90">
        <w:t>undeniable even now in modern Catholicism and Christianity</w:t>
      </w:r>
      <w:r w:rsidR="00940516">
        <w:t xml:space="preserve">. This prominence was unusual in </w:t>
      </w:r>
      <w:r w:rsidR="00F33240">
        <w:t>Judaism at this time.</w:t>
      </w:r>
      <w:r w:rsidR="00F74901">
        <w:t xml:space="preserve"> </w:t>
      </w:r>
      <w:r w:rsidR="00F74901">
        <w:t xml:space="preserve">Other women of importance in the time of Jesus were his other female followers. </w:t>
      </w:r>
      <w:r w:rsidR="00852560">
        <w:t>Many contemporary Jewish women were followers of the ‘Jesus cult’</w:t>
      </w:r>
      <w:r w:rsidR="00F74901">
        <w:t xml:space="preserve">, which allowed them </w:t>
      </w:r>
      <w:r w:rsidR="006751D3">
        <w:t xml:space="preserve">greater freedom than they otherwise had. </w:t>
      </w:r>
      <w:r w:rsidR="00F95892">
        <w:t>These female followers include</w:t>
      </w:r>
      <w:r w:rsidR="008852E1">
        <w:t xml:space="preserve"> </w:t>
      </w:r>
      <w:r w:rsidR="008D7824">
        <w:t>Mary Magdalene</w:t>
      </w:r>
      <w:r w:rsidR="0069331C">
        <w:rPr>
          <w:rStyle w:val="FootnoteReference"/>
        </w:rPr>
        <w:footnoteReference w:id="5"/>
      </w:r>
      <w:r w:rsidR="008D7824">
        <w:t>, Joanna and Suzanna</w:t>
      </w:r>
      <w:r w:rsidR="00F70232">
        <w:t xml:space="preserve">, along with others who were unnamed. </w:t>
      </w:r>
      <w:r w:rsidR="009A3F23">
        <w:t xml:space="preserve">Another notable women is Phoebe, </w:t>
      </w:r>
      <w:r w:rsidR="00692998">
        <w:t>who was a deacon and a benefactor of the Jesus movement</w:t>
      </w:r>
      <w:r w:rsidR="00692998">
        <w:rPr>
          <w:rStyle w:val="FootnoteReference"/>
        </w:rPr>
        <w:footnoteReference w:id="6"/>
      </w:r>
      <w:r w:rsidR="00692998">
        <w:t>.</w:t>
      </w:r>
      <w:r w:rsidR="00010A24">
        <w:t xml:space="preserve"> </w:t>
      </w:r>
      <w:r w:rsidR="00C90E96">
        <w:t xml:space="preserve">Priscilla was another woman </w:t>
      </w:r>
      <w:r w:rsidR="00502525">
        <w:t xml:space="preserve">who, along with her husband, </w:t>
      </w:r>
      <w:r w:rsidR="006B3875">
        <w:t>followed Jesus as mention by Paul</w:t>
      </w:r>
      <w:r w:rsidR="006B3875">
        <w:rPr>
          <w:rStyle w:val="FootnoteReference"/>
        </w:rPr>
        <w:footnoteReference w:id="7"/>
      </w:r>
      <w:r w:rsidR="006B3875">
        <w:t>.</w:t>
      </w:r>
      <w:r w:rsidR="0056498E">
        <w:t xml:space="preserve"> Mary of Bethany</w:t>
      </w:r>
      <w:r w:rsidR="0056498E">
        <w:rPr>
          <w:rStyle w:val="FootnoteReference"/>
        </w:rPr>
        <w:footnoteReference w:id="8"/>
      </w:r>
      <w:r w:rsidR="0056498E">
        <w:t xml:space="preserve"> is another women mention in reference to Jesus.</w:t>
      </w:r>
    </w:p>
    <w:p w14:paraId="10F85C83" w14:textId="42EB6C90" w:rsidR="00EF4CAC" w:rsidRDefault="00EF4CAC" w:rsidP="0017502D"/>
    <w:p w14:paraId="3CB3135F" w14:textId="77777777" w:rsidR="00DB4AE2" w:rsidRDefault="00DB4AE2" w:rsidP="004B6551">
      <w:r>
        <w:t>On the one hand, the majority of characters in Jesus’ parables are male. However, it should be noted that in these parables Jesus does in fact use the experiences and roles of women such as the mentions of women baking bread, childbirth and of widows for parabolic illustrations. One example of this is from Mathew 13:33 with the description of a woman baking bread, “</w:t>
      </w:r>
      <w:r w:rsidRPr="000E69E7">
        <w:rPr>
          <w:i/>
          <w:iCs/>
        </w:rPr>
        <w:t>the kingdom of heaven is like yeast that a woman took and mixed in with three measures of flour until all of it was leavened</w:t>
      </w:r>
      <w:r>
        <w:t>”</w:t>
      </w:r>
      <w:r>
        <w:rPr>
          <w:rStyle w:val="FootnoteReference"/>
        </w:rPr>
        <w:footnoteReference w:id="9"/>
      </w:r>
      <w:r>
        <w:t>. Jesus also compares his work to the work of women in the Parable of Lost Coin</w:t>
      </w:r>
      <w:r>
        <w:rPr>
          <w:rStyle w:val="FootnoteReference"/>
        </w:rPr>
        <w:footnoteReference w:id="10"/>
      </w:r>
      <w:r>
        <w:t xml:space="preserve">. These </w:t>
      </w:r>
      <w:r>
        <w:lastRenderedPageBreak/>
        <w:t>mentions of women and their activities were inevitably going to feature occasionally as a point of comparison with the kingdom of God as Jesus often drew images from everyday Palestine life.</w:t>
      </w:r>
    </w:p>
    <w:p w14:paraId="3CFB01D9" w14:textId="77777777" w:rsidR="00DB4AE2" w:rsidRDefault="00DB4AE2" w:rsidP="004B6551"/>
    <w:p w14:paraId="0482AF9D" w14:textId="77777777" w:rsidR="00DB4AE2" w:rsidRDefault="00DB4AE2" w:rsidP="004B6551">
      <w:r>
        <w:t>In the Parable of the Leaven (Matthew 13:33)</w:t>
      </w:r>
      <w:r>
        <w:rPr>
          <w:rStyle w:val="FootnoteReference"/>
        </w:rPr>
        <w:footnoteReference w:id="11"/>
      </w:r>
      <w:r>
        <w:t xml:space="preserve">, the scholar Joel B. Green argues that Jesus </w:t>
      </w:r>
      <w:r w:rsidRPr="00264B18">
        <w:t>"</w:t>
      </w:r>
      <w:r w:rsidRPr="00264B18">
        <w:rPr>
          <w:i/>
          <w:iCs/>
        </w:rPr>
        <w:t>asks people — male or female, privileged or peasant, it does not matter — to enter the domain of a first-century woman and household cook in order to gain perspective on the domain of God</w:t>
      </w:r>
      <w:r>
        <w:t>.”</w:t>
      </w:r>
      <w:r>
        <w:rPr>
          <w:rStyle w:val="FootnoteReference"/>
        </w:rPr>
        <w:footnoteReference w:id="12"/>
      </w:r>
    </w:p>
    <w:p w14:paraId="2497BBFB" w14:textId="77777777" w:rsidR="00DB4AE2" w:rsidRDefault="00DB4AE2" w:rsidP="004B6551"/>
    <w:p w14:paraId="5CB095C5" w14:textId="5101A560" w:rsidR="006751D3" w:rsidRDefault="00DB4AE2" w:rsidP="0017502D">
      <w:r>
        <w:t>While not as prominent as the males mentioned in reference to Jesus, there were in fact several women mentioned in his stories. Not only were these women mentioned, but in certain cases they were integral parts to the stories. There are many obscure women mentioned in relation to Jesus. For example there are; Peter’ mother-in-law</w:t>
      </w:r>
      <w:r>
        <w:rPr>
          <w:rStyle w:val="FootnoteReference"/>
        </w:rPr>
        <w:footnoteReference w:id="13"/>
      </w:r>
      <w:r>
        <w:t>, a woman who touches Jesus’ clothing</w:t>
      </w:r>
      <w:r>
        <w:rPr>
          <w:rStyle w:val="FootnoteReference"/>
        </w:rPr>
        <w:footnoteReference w:id="14"/>
      </w:r>
      <w:r>
        <w:t>, a woman bent double</w:t>
      </w:r>
      <w:r>
        <w:rPr>
          <w:rStyle w:val="FootnoteReference"/>
        </w:rPr>
        <w:footnoteReference w:id="15"/>
      </w:r>
      <w:r>
        <w:t xml:space="preserve">, the widow of </w:t>
      </w:r>
      <w:proofErr w:type="spellStart"/>
      <w:r>
        <w:t>Nian</w:t>
      </w:r>
      <w:proofErr w:type="spellEnd"/>
      <w:r>
        <w:rPr>
          <w:rStyle w:val="FootnoteReference"/>
        </w:rPr>
        <w:footnoteReference w:id="16"/>
      </w:r>
      <w:r>
        <w:t xml:space="preserve"> and the daughter of </w:t>
      </w:r>
      <w:proofErr w:type="spellStart"/>
      <w:r>
        <w:t>Jairus</w:t>
      </w:r>
      <w:proofErr w:type="spellEnd"/>
      <w:r>
        <w:rPr>
          <w:rStyle w:val="FootnoteReference"/>
        </w:rPr>
        <w:footnoteReference w:id="17"/>
      </w:r>
      <w:r>
        <w:t>. Women as the followers of Jesus were often seen as models of faith to aspire to and emulate. Such examples include; the Parable of ten virgins</w:t>
      </w:r>
      <w:r>
        <w:rPr>
          <w:rStyle w:val="FootnoteReference"/>
        </w:rPr>
        <w:footnoteReference w:id="18"/>
      </w:r>
      <w:r>
        <w:t>, the parable of a poor widow’s offering</w:t>
      </w:r>
      <w:r>
        <w:rPr>
          <w:rStyle w:val="FootnoteReference"/>
        </w:rPr>
        <w:footnoteReference w:id="19"/>
      </w:r>
      <w:r>
        <w:t xml:space="preserve">, the parable of the widow of </w:t>
      </w:r>
      <w:proofErr w:type="spellStart"/>
      <w:r>
        <w:t>Zarephath</w:t>
      </w:r>
      <w:proofErr w:type="spellEnd"/>
      <w:r>
        <w:rPr>
          <w:rStyle w:val="FootnoteReference"/>
        </w:rPr>
        <w:footnoteReference w:id="20"/>
      </w:r>
      <w:r>
        <w:t>, the parable of the persistent widow</w:t>
      </w:r>
      <w:r>
        <w:rPr>
          <w:rStyle w:val="FootnoteReference"/>
        </w:rPr>
        <w:footnoteReference w:id="21"/>
      </w:r>
      <w:r>
        <w:t xml:space="preserve"> and the parable of the Queen of the South</w:t>
      </w:r>
      <w:r>
        <w:rPr>
          <w:rStyle w:val="FootnoteReference"/>
        </w:rPr>
        <w:footnoteReference w:id="22"/>
      </w:r>
      <w:r>
        <w:t xml:space="preserve">. </w:t>
      </w:r>
    </w:p>
    <w:p w14:paraId="5682F50A" w14:textId="77777777" w:rsidR="006751D3" w:rsidRDefault="006751D3" w:rsidP="0017502D"/>
    <w:p w14:paraId="31EB5C57" w14:textId="01CCC530" w:rsidR="00C73781" w:rsidRDefault="00F03A5E" w:rsidP="0017502D">
      <w:r>
        <w:t xml:space="preserve">Additionally, women were important </w:t>
      </w:r>
      <w:r w:rsidR="00A3786B">
        <w:t xml:space="preserve">to Jesus as they were  integral in two out of three of the </w:t>
      </w:r>
      <w:r w:rsidR="00DF7BB5">
        <w:t xml:space="preserve">stories of which people were raised from the dead. In one was that </w:t>
      </w:r>
      <w:r w:rsidR="00DD7DD6">
        <w:t xml:space="preserve">of the widow of </w:t>
      </w:r>
      <w:proofErr w:type="spellStart"/>
      <w:r w:rsidR="00DD7DD6">
        <w:t>Nain</w:t>
      </w:r>
      <w:proofErr w:type="spellEnd"/>
      <w:r w:rsidR="00DD7DD6">
        <w:t>, who’</w:t>
      </w:r>
      <w:r w:rsidR="00C73781">
        <w:t>s husband was raised from the dead</w:t>
      </w:r>
      <w:r w:rsidR="00C73781">
        <w:rPr>
          <w:rStyle w:val="FootnoteReference"/>
        </w:rPr>
        <w:footnoteReference w:id="23"/>
      </w:r>
      <w:r w:rsidR="00C73781">
        <w:t>.</w:t>
      </w:r>
      <w:r w:rsidR="00B94199">
        <w:t xml:space="preserve"> The other occasion was the resurrection of Lazarus by Jesus, who was returned to his sisters </w:t>
      </w:r>
      <w:r w:rsidR="009B630C">
        <w:t>Mary and Martha</w:t>
      </w:r>
      <w:r w:rsidR="009B630C">
        <w:rPr>
          <w:rStyle w:val="FootnoteReference"/>
        </w:rPr>
        <w:footnoteReference w:id="24"/>
      </w:r>
      <w:r w:rsidR="009B630C">
        <w:t>.</w:t>
      </w:r>
    </w:p>
    <w:p w14:paraId="51E92E89" w14:textId="77777777" w:rsidR="0017502D" w:rsidRDefault="0017502D" w:rsidP="0017502D"/>
    <w:p w14:paraId="611FA498" w14:textId="42EFACC7" w:rsidR="0017502D" w:rsidRDefault="00BA413B" w:rsidP="0017502D">
      <w:r>
        <w:t xml:space="preserve">It is written that when </w:t>
      </w:r>
      <w:r w:rsidR="0017502D">
        <w:t xml:space="preserve">Jesus’ </w:t>
      </w:r>
      <w:r w:rsidR="00776249">
        <w:t>male</w:t>
      </w:r>
      <w:r w:rsidR="0017502D">
        <w:t xml:space="preserve"> followers deserted him, the women were the ones who stayed when he was crucified, women were the wines to wrap and bury him, and a woman was the first one to find his burial cave empty when he had risen</w:t>
      </w:r>
      <w:r w:rsidR="00B20120">
        <w:rPr>
          <w:rStyle w:val="FootnoteReference"/>
        </w:rPr>
        <w:footnoteReference w:id="25"/>
      </w:r>
      <w:r w:rsidR="0017502D">
        <w:t>.</w:t>
      </w:r>
      <w:r w:rsidR="000F1E50">
        <w:t xml:space="preserve"> </w:t>
      </w:r>
      <w:r w:rsidR="00D27D67">
        <w:t xml:space="preserve">According to Matthew, the women were the ones to </w:t>
      </w:r>
      <w:r w:rsidR="00325496">
        <w:t>proclaim the news of Jesus’ resurrection</w:t>
      </w:r>
      <w:r w:rsidR="00325496">
        <w:rPr>
          <w:rStyle w:val="FootnoteReference"/>
        </w:rPr>
        <w:footnoteReference w:id="26"/>
      </w:r>
      <w:r w:rsidR="00325496">
        <w:t xml:space="preserve">, though Mark argues </w:t>
      </w:r>
      <w:r w:rsidR="001E16CA">
        <w:t>that they fled after finding the tomb empty</w:t>
      </w:r>
      <w:r w:rsidR="001E16CA">
        <w:rPr>
          <w:rStyle w:val="FootnoteReference"/>
        </w:rPr>
        <w:footnoteReference w:id="27"/>
      </w:r>
      <w:r w:rsidR="001E16CA">
        <w:t xml:space="preserve">. </w:t>
      </w:r>
    </w:p>
    <w:p w14:paraId="77594D7B" w14:textId="77777777" w:rsidR="00B3195D" w:rsidRDefault="00B3195D"/>
    <w:p w14:paraId="266A65CB" w14:textId="7B1597EF" w:rsidR="004C00C7" w:rsidRDefault="008A372A">
      <w:r>
        <w:t>This list of stories and parables which mention women may not be seen by many as extensive</w:t>
      </w:r>
      <w:r w:rsidR="002F3B0F">
        <w:t xml:space="preserve">, and in the grans scheme of things it is not. However, when put in the context of the </w:t>
      </w:r>
      <w:r w:rsidR="00F16BA5">
        <w:t>cultural norms of the time, geographical region and in some cases</w:t>
      </w:r>
      <w:r w:rsidR="004C00C7">
        <w:t xml:space="preserve"> the</w:t>
      </w:r>
      <w:r w:rsidR="00F16BA5">
        <w:t xml:space="preserve"> religious </w:t>
      </w:r>
      <w:r w:rsidR="004C00C7">
        <w:t xml:space="preserve">belief system, it shows that Jesus </w:t>
      </w:r>
      <w:r w:rsidR="00812203">
        <w:t xml:space="preserve">was rather radical for that time with his views on women. </w:t>
      </w:r>
      <w:r w:rsidR="00AC2050">
        <w:t xml:space="preserve">As such, it is clear that Jesus was, at least to a certain extent, a reformer of </w:t>
      </w:r>
      <w:r w:rsidR="006634F0">
        <w:t>first-century Jewish attitudes to women.</w:t>
      </w:r>
    </w:p>
    <w:p w14:paraId="6AAC1C16" w14:textId="77777777" w:rsidR="004771C9" w:rsidRDefault="004771C9" w:rsidP="0017502D"/>
    <w:p w14:paraId="2396371A" w14:textId="13AA072E" w:rsidR="004771C9" w:rsidRDefault="008557BE" w:rsidP="0017502D">
      <w:r>
        <w:t xml:space="preserve">It is fair to say that the statement </w:t>
      </w:r>
      <w:r w:rsidR="00E05930">
        <w:t>‘</w:t>
      </w:r>
      <w:r w:rsidR="00E05930">
        <w:t>Jesus was a reformer of first-century Jewish attitudes to women</w:t>
      </w:r>
      <w:r w:rsidR="00E05930">
        <w:t xml:space="preserve">’ </w:t>
      </w:r>
      <w:r w:rsidR="00825F31">
        <w:t xml:space="preserve">is an accurate one. </w:t>
      </w:r>
      <w:r w:rsidR="00333BF2">
        <w:t xml:space="preserve">As </w:t>
      </w:r>
      <w:proofErr w:type="spellStart"/>
      <w:r w:rsidR="00333BF2">
        <w:t>Witherington</w:t>
      </w:r>
      <w:proofErr w:type="spellEnd"/>
      <w:r w:rsidR="00333BF2">
        <w:t xml:space="preserve"> </w:t>
      </w:r>
      <w:r w:rsidR="00AC4939">
        <w:t xml:space="preserve">states, </w:t>
      </w:r>
      <w:r w:rsidR="00E94DA0">
        <w:t xml:space="preserve">women were not </w:t>
      </w:r>
      <w:r w:rsidR="00E63E6E">
        <w:t xml:space="preserve">allowed to be </w:t>
      </w:r>
      <w:r w:rsidR="00137F77">
        <w:t xml:space="preserve">“disciples </w:t>
      </w:r>
      <w:r w:rsidR="00656925">
        <w:t xml:space="preserve">of a great </w:t>
      </w:r>
      <w:r w:rsidR="00656925">
        <w:lastRenderedPageBreak/>
        <w:t>teacher</w:t>
      </w:r>
      <w:r w:rsidR="001466FC">
        <w:t>, much less travel with such a teacher, or to instruct anyone other than children</w:t>
      </w:r>
      <w:r w:rsidR="00573E23">
        <w:t>.”</w:t>
      </w:r>
      <w:r w:rsidR="00573E23">
        <w:rPr>
          <w:rStyle w:val="FootnoteReference"/>
        </w:rPr>
        <w:footnoteReference w:id="28"/>
      </w:r>
      <w:r w:rsidR="008178D2">
        <w:t xml:space="preserve"> </w:t>
      </w:r>
      <w:r w:rsidR="00853174">
        <w:t xml:space="preserve">Women’s subordinate nature in Palestine Judaism during the time of Jesus was, then, </w:t>
      </w:r>
      <w:r w:rsidR="0075323F">
        <w:t xml:space="preserve">radically </w:t>
      </w:r>
      <w:r w:rsidR="005B27ED">
        <w:t xml:space="preserve">changed </w:t>
      </w:r>
      <w:r w:rsidR="0045199B">
        <w:t>by Jesus and his followers</w:t>
      </w:r>
      <w:r w:rsidR="009B6394">
        <w:t xml:space="preserve"> – most especially with the prominence of female disciples, namely Mary Magdalene. </w:t>
      </w:r>
      <w:r w:rsidR="00646F43">
        <w:t xml:space="preserve">It is undoubtably, then, that Jesus was a reformer of </w:t>
      </w:r>
      <w:r w:rsidR="00BE4833">
        <w:t xml:space="preserve">the patriarchal society in Judaism at the time. </w:t>
      </w:r>
      <w:r w:rsidR="004771C9">
        <w:br w:type="page"/>
      </w:r>
    </w:p>
    <w:p w14:paraId="59A848B6" w14:textId="6288E0C1" w:rsidR="0017502D" w:rsidRDefault="0017502D" w:rsidP="0017502D">
      <w:r>
        <w:lastRenderedPageBreak/>
        <w:t xml:space="preserve">Bibliography: </w:t>
      </w:r>
    </w:p>
    <w:p w14:paraId="27FA5718" w14:textId="0A00FC2A" w:rsidR="0017502D" w:rsidRDefault="0017502D" w:rsidP="0017502D"/>
    <w:p w14:paraId="62D69585" w14:textId="50C1A10C" w:rsidR="004771C9" w:rsidRDefault="00883A68" w:rsidP="0017502D">
      <w:r>
        <w:t xml:space="preserve">The Bible. </w:t>
      </w:r>
      <w:r w:rsidR="00DB1E86">
        <w:t xml:space="preserve">New Revised Standard Version. </w:t>
      </w:r>
    </w:p>
    <w:p w14:paraId="7CD17B26" w14:textId="77777777" w:rsidR="0017502D" w:rsidRDefault="0017502D" w:rsidP="0017502D"/>
    <w:p w14:paraId="740DEE69" w14:textId="55802A2E" w:rsidR="001B473A" w:rsidRDefault="001B473A" w:rsidP="0017502D"/>
    <w:p w14:paraId="30DF0040" w14:textId="5E46F599" w:rsidR="001B473A" w:rsidRDefault="001B473A" w:rsidP="0017502D">
      <w:r>
        <w:t xml:space="preserve">Corley, K. (2002). Women and the Historical Jesus: Feminist Myths of Christian Origins. London: </w:t>
      </w:r>
      <w:proofErr w:type="spellStart"/>
      <w:r>
        <w:t>Polebridge</w:t>
      </w:r>
      <w:proofErr w:type="spellEnd"/>
      <w:r>
        <w:t xml:space="preserve"> Press. </w:t>
      </w:r>
    </w:p>
    <w:p w14:paraId="06F09228" w14:textId="5B18DD58" w:rsidR="0017502D" w:rsidRDefault="0017502D" w:rsidP="0017502D"/>
    <w:p w14:paraId="48C87292" w14:textId="710EEB00" w:rsidR="006D3A36" w:rsidRDefault="006D3A36" w:rsidP="0017502D">
      <w:r>
        <w:t xml:space="preserve">D’Angelo, M. R. (1999). </w:t>
      </w:r>
      <w:r w:rsidR="00DB5B95">
        <w:t>'(Re) Presentations of Women in the Gospel of Matthew and Luke-Acts,' pp.171-99</w:t>
      </w:r>
      <w:r w:rsidR="00227F9C">
        <w:t xml:space="preserve">. In </w:t>
      </w:r>
      <w:r w:rsidR="00DB5B95">
        <w:t>Women and Christian Origins</w:t>
      </w:r>
      <w:r w:rsidR="00227F9C">
        <w:t>, E</w:t>
      </w:r>
      <w:r w:rsidR="00DB5B95">
        <w:t xml:space="preserve">ds. Ross Shepard </w:t>
      </w:r>
      <w:proofErr w:type="spellStart"/>
      <w:r w:rsidR="00DB5B95">
        <w:t>Kraemer</w:t>
      </w:r>
      <w:proofErr w:type="spellEnd"/>
      <w:r w:rsidR="00DB5B95">
        <w:t xml:space="preserve"> and Mary Rose D'Angelo</w:t>
      </w:r>
      <w:r w:rsidR="00227F9C">
        <w:t xml:space="preserve">. </w:t>
      </w:r>
      <w:r w:rsidR="00DB5B95">
        <w:t xml:space="preserve"> Oxford: Oxford University Press.</w:t>
      </w:r>
    </w:p>
    <w:p w14:paraId="0198060F" w14:textId="77777777" w:rsidR="006D3A36" w:rsidRDefault="006D3A36" w:rsidP="0017502D"/>
    <w:p w14:paraId="76451AF3" w14:textId="0203AA86" w:rsidR="00212451" w:rsidRDefault="00212451" w:rsidP="0017502D">
      <w:r w:rsidRPr="00E8403A">
        <w:t>Green</w:t>
      </w:r>
      <w:r w:rsidR="005B1EFE">
        <w:t xml:space="preserve">, J. B. </w:t>
      </w:r>
      <w:r>
        <w:t xml:space="preserve">(1997). </w:t>
      </w:r>
      <w:r w:rsidRPr="00E8403A">
        <w:t>The Gospel of Luke</w:t>
      </w:r>
      <w:r>
        <w:t>. W. B.</w:t>
      </w:r>
      <w:r w:rsidRPr="00E8403A">
        <w:t xml:space="preserve"> Eerdmans</w:t>
      </w:r>
      <w:r>
        <w:t xml:space="preserve"> Publishing Co.</w:t>
      </w:r>
    </w:p>
    <w:p w14:paraId="0FD4D930" w14:textId="73B0E670" w:rsidR="004653F7" w:rsidRDefault="004653F7" w:rsidP="0017502D"/>
    <w:p w14:paraId="64854295" w14:textId="2FDCC2CA" w:rsidR="000934B0" w:rsidRPr="003208E3" w:rsidRDefault="000934B0" w:rsidP="000934B0">
      <w:pPr>
        <w:pStyle w:val="FootnoteText"/>
        <w:rPr>
          <w:sz w:val="22"/>
          <w:szCs w:val="22"/>
        </w:rPr>
      </w:pPr>
      <w:proofErr w:type="spellStart"/>
      <w:r w:rsidRPr="003208E3">
        <w:rPr>
          <w:sz w:val="22"/>
          <w:szCs w:val="22"/>
        </w:rPr>
        <w:t>Jeremias</w:t>
      </w:r>
      <w:proofErr w:type="spellEnd"/>
      <w:r w:rsidRPr="003208E3">
        <w:rPr>
          <w:sz w:val="22"/>
          <w:szCs w:val="22"/>
        </w:rPr>
        <w:t xml:space="preserve">, J. (1969). Jerusalem in the Time of Jesus. </w:t>
      </w:r>
    </w:p>
    <w:p w14:paraId="3F3E0185" w14:textId="77777777" w:rsidR="000934B0" w:rsidRDefault="000934B0" w:rsidP="0017502D"/>
    <w:p w14:paraId="5623C273" w14:textId="7DA5356B" w:rsidR="0017502D" w:rsidRDefault="0017502D" w:rsidP="0017502D">
      <w:r>
        <w:t>Levine,</w:t>
      </w:r>
      <w:r w:rsidR="00212451">
        <w:t xml:space="preserve"> A</w:t>
      </w:r>
      <w:r w:rsidR="004653F7">
        <w:t xml:space="preserve">-J. (1994). </w:t>
      </w:r>
      <w:r>
        <w:t xml:space="preserve"> Second Temple Judaism, Jesus, and Women: Yeast of Eden, Biblical Interpretation, Vol. 2.</w:t>
      </w:r>
    </w:p>
    <w:p w14:paraId="45FF3757" w14:textId="6AFAECFA" w:rsidR="001B473A" w:rsidRDefault="001B473A" w:rsidP="0017502D"/>
    <w:p w14:paraId="20BFC64B" w14:textId="1D00FA1E" w:rsidR="005B1EFE" w:rsidRDefault="001B473A" w:rsidP="0017502D">
      <w:r>
        <w:t xml:space="preserve">Mark, S. (2008). Women in Early Judaism: Twenty Five Years of Research and </w:t>
      </w:r>
      <w:proofErr w:type="spellStart"/>
      <w:r>
        <w:t>Reenvisioning</w:t>
      </w:r>
      <w:proofErr w:type="spellEnd"/>
      <w:r>
        <w:t>, Currents in Biblical Research.</w:t>
      </w:r>
    </w:p>
    <w:p w14:paraId="137DF5F9" w14:textId="4368AF17" w:rsidR="00E66287" w:rsidRDefault="00E66287"/>
    <w:p w14:paraId="2211E08C" w14:textId="220FD6C9" w:rsidR="008F7D78" w:rsidRDefault="008F7D78">
      <w:proofErr w:type="spellStart"/>
      <w:r>
        <w:t>Swidler</w:t>
      </w:r>
      <w:proofErr w:type="spellEnd"/>
      <w:r>
        <w:t>, L. (1976). Women in Judaism: The Status of Women in Formative Judaism.</w:t>
      </w:r>
      <w:r>
        <w:t xml:space="preserve"> </w:t>
      </w:r>
      <w:proofErr w:type="spellStart"/>
      <w:r w:rsidR="00527BCA">
        <w:t>Metuchen</w:t>
      </w:r>
      <w:proofErr w:type="spellEnd"/>
      <w:r w:rsidR="00527BCA">
        <w:t xml:space="preserve">, NJ: Scarecrow Press. </w:t>
      </w:r>
    </w:p>
    <w:p w14:paraId="08E6272B" w14:textId="77777777" w:rsidR="008F7D78" w:rsidRDefault="008F7D78"/>
    <w:p w14:paraId="0B9ECE33" w14:textId="38B5881E" w:rsidR="004C12C9" w:rsidRDefault="00E66287">
      <w:proofErr w:type="spellStart"/>
      <w:r>
        <w:t>W</w:t>
      </w:r>
      <w:r w:rsidR="0016665A">
        <w:t>itherington</w:t>
      </w:r>
      <w:proofErr w:type="spellEnd"/>
      <w:r w:rsidR="0016665A">
        <w:t xml:space="preserve">, B. </w:t>
      </w:r>
      <w:r w:rsidR="00B83C59">
        <w:t xml:space="preserve">(1987). Women </w:t>
      </w:r>
      <w:r w:rsidR="006A3329">
        <w:t xml:space="preserve">in the ministry </w:t>
      </w:r>
      <w:r w:rsidR="00E67969">
        <w:t xml:space="preserve">of Jesus: </w:t>
      </w:r>
      <w:r w:rsidR="00724305">
        <w:t>a study of Jesu</w:t>
      </w:r>
      <w:r w:rsidR="006C24ED">
        <w:t xml:space="preserve">s’ attitudes </w:t>
      </w:r>
      <w:r w:rsidR="00F674E3">
        <w:t xml:space="preserve">to women and their roles </w:t>
      </w:r>
      <w:r w:rsidR="00C008B0">
        <w:t xml:space="preserve">as reflected </w:t>
      </w:r>
      <w:r w:rsidR="00AA506C">
        <w:t xml:space="preserve">in his </w:t>
      </w:r>
      <w:r w:rsidR="004C12C9">
        <w:t xml:space="preserve">earthly </w:t>
      </w:r>
      <w:r w:rsidR="00D60348">
        <w:t xml:space="preserve">life. Cambridge: Cambridge University Press. </w:t>
      </w:r>
    </w:p>
    <w:p w14:paraId="2733C516" w14:textId="081C9CD6" w:rsidR="003208E3" w:rsidRDefault="003208E3"/>
    <w:p w14:paraId="4CB967ED" w14:textId="2D43D3C4" w:rsidR="003208E3" w:rsidRPr="003208E3" w:rsidRDefault="003208E3" w:rsidP="003208E3">
      <w:pPr>
        <w:pStyle w:val="FootnoteText"/>
        <w:rPr>
          <w:sz w:val="22"/>
          <w:szCs w:val="22"/>
        </w:rPr>
      </w:pPr>
      <w:proofErr w:type="spellStart"/>
      <w:r w:rsidRPr="003208E3">
        <w:rPr>
          <w:sz w:val="22"/>
          <w:szCs w:val="22"/>
        </w:rPr>
        <w:t>Witherington</w:t>
      </w:r>
      <w:proofErr w:type="spellEnd"/>
      <w:r w:rsidRPr="003208E3">
        <w:rPr>
          <w:sz w:val="22"/>
          <w:szCs w:val="22"/>
        </w:rPr>
        <w:t xml:space="preserve">, B. ‘Women’. Anchor Bible Dictionary VI:957 </w:t>
      </w:r>
    </w:p>
    <w:sectPr w:rsidR="003208E3" w:rsidRPr="003208E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457524" w14:textId="77777777" w:rsidR="00FC4D9C" w:rsidRDefault="00FC4D9C" w:rsidP="00376FC6">
      <w:r>
        <w:separator/>
      </w:r>
    </w:p>
  </w:endnote>
  <w:endnote w:type="continuationSeparator" w:id="0">
    <w:p w14:paraId="77217BAC" w14:textId="77777777" w:rsidR="00FC4D9C" w:rsidRDefault="00FC4D9C" w:rsidP="00376F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403BC6" w14:textId="77777777" w:rsidR="00FC4D9C" w:rsidRDefault="00FC4D9C" w:rsidP="00376FC6">
      <w:r>
        <w:separator/>
      </w:r>
    </w:p>
  </w:footnote>
  <w:footnote w:type="continuationSeparator" w:id="0">
    <w:p w14:paraId="421BC977" w14:textId="77777777" w:rsidR="00FC4D9C" w:rsidRDefault="00FC4D9C" w:rsidP="00376FC6">
      <w:r>
        <w:continuationSeparator/>
      </w:r>
    </w:p>
  </w:footnote>
  <w:footnote w:id="1">
    <w:p w14:paraId="7FB3B1F6" w14:textId="02EC928C" w:rsidR="00CB7D46" w:rsidRDefault="00CB7D46">
      <w:pPr>
        <w:pStyle w:val="FootnoteText"/>
      </w:pPr>
      <w:r>
        <w:rPr>
          <w:rStyle w:val="FootnoteReference"/>
        </w:rPr>
        <w:footnoteRef/>
      </w:r>
      <w:r>
        <w:t xml:space="preserve"> </w:t>
      </w:r>
      <w:proofErr w:type="spellStart"/>
      <w:r>
        <w:t>Witherington</w:t>
      </w:r>
      <w:proofErr w:type="spellEnd"/>
      <w:r>
        <w:t xml:space="preserve">, B. ‘Women’. Anchor Bible Dictionary VI:957 </w:t>
      </w:r>
    </w:p>
  </w:footnote>
  <w:footnote w:id="2">
    <w:p w14:paraId="09D3EB71" w14:textId="4C63870D" w:rsidR="00493532" w:rsidRDefault="00493532">
      <w:pPr>
        <w:pStyle w:val="FootnoteText"/>
      </w:pPr>
      <w:r>
        <w:rPr>
          <w:rStyle w:val="FootnoteReference"/>
        </w:rPr>
        <w:footnoteRef/>
      </w:r>
      <w:r>
        <w:t xml:space="preserve"> </w:t>
      </w:r>
      <w:proofErr w:type="spellStart"/>
      <w:r>
        <w:t>Witherington</w:t>
      </w:r>
      <w:proofErr w:type="spellEnd"/>
      <w:r>
        <w:t xml:space="preserve">, B. ‘Women’. Anchor Bible Dictionary VI:957 </w:t>
      </w:r>
    </w:p>
  </w:footnote>
  <w:footnote w:id="3">
    <w:p w14:paraId="7D570E4E" w14:textId="77777777" w:rsidR="005459F6" w:rsidRDefault="005459F6">
      <w:pPr>
        <w:pStyle w:val="FootnoteText"/>
      </w:pPr>
      <w:r>
        <w:rPr>
          <w:rStyle w:val="FootnoteReference"/>
        </w:rPr>
        <w:footnoteRef/>
      </w:r>
      <w:r>
        <w:t xml:space="preserve"> </w:t>
      </w:r>
      <w:proofErr w:type="spellStart"/>
      <w:r>
        <w:t>Jeremias</w:t>
      </w:r>
      <w:proofErr w:type="spellEnd"/>
      <w:r>
        <w:t xml:space="preserve">, J. (1969). Jerusalem in the Time of Jesus. </w:t>
      </w:r>
    </w:p>
  </w:footnote>
  <w:footnote w:id="4">
    <w:p w14:paraId="0FCCB622" w14:textId="77777777" w:rsidR="005459F6" w:rsidRDefault="005459F6">
      <w:pPr>
        <w:pStyle w:val="FootnoteText"/>
      </w:pPr>
      <w:r>
        <w:rPr>
          <w:rStyle w:val="FootnoteReference"/>
        </w:rPr>
        <w:footnoteRef/>
      </w:r>
      <w:r>
        <w:t xml:space="preserve"> </w:t>
      </w:r>
      <w:proofErr w:type="spellStart"/>
      <w:r>
        <w:t>Swidler</w:t>
      </w:r>
      <w:proofErr w:type="spellEnd"/>
      <w:r>
        <w:t>, L. (1976). Women in Judaism: The Status of Women in Formative Judaism. pp.168-69.</w:t>
      </w:r>
    </w:p>
  </w:footnote>
  <w:footnote w:id="5">
    <w:p w14:paraId="1F9539F3" w14:textId="30D25588" w:rsidR="0069331C" w:rsidRDefault="0069331C">
      <w:pPr>
        <w:pStyle w:val="FootnoteText"/>
      </w:pPr>
      <w:r>
        <w:rPr>
          <w:rStyle w:val="FootnoteReference"/>
        </w:rPr>
        <w:footnoteRef/>
      </w:r>
      <w:r>
        <w:t xml:space="preserve"> Luke 7:36-50</w:t>
      </w:r>
    </w:p>
  </w:footnote>
  <w:footnote w:id="6">
    <w:p w14:paraId="0178C9C6" w14:textId="43D8C96C" w:rsidR="00692998" w:rsidRDefault="00692998">
      <w:pPr>
        <w:pStyle w:val="FootnoteText"/>
      </w:pPr>
      <w:r>
        <w:rPr>
          <w:rStyle w:val="FootnoteReference"/>
        </w:rPr>
        <w:footnoteRef/>
      </w:r>
      <w:r>
        <w:t xml:space="preserve"> </w:t>
      </w:r>
      <w:r w:rsidR="00010A24">
        <w:t>Romans 16:11-12</w:t>
      </w:r>
    </w:p>
  </w:footnote>
  <w:footnote w:id="7">
    <w:p w14:paraId="6DAB261A" w14:textId="779FB3ED" w:rsidR="006B3875" w:rsidRDefault="006B3875">
      <w:pPr>
        <w:pStyle w:val="FootnoteText"/>
      </w:pPr>
      <w:r>
        <w:rPr>
          <w:rStyle w:val="FootnoteReference"/>
        </w:rPr>
        <w:footnoteRef/>
      </w:r>
      <w:r>
        <w:t xml:space="preserve"> Romans 16:3-5</w:t>
      </w:r>
    </w:p>
  </w:footnote>
  <w:footnote w:id="8">
    <w:p w14:paraId="13E1A538" w14:textId="5F89E2DB" w:rsidR="0056498E" w:rsidRDefault="0056498E">
      <w:pPr>
        <w:pStyle w:val="FootnoteText"/>
      </w:pPr>
      <w:r>
        <w:rPr>
          <w:rStyle w:val="FootnoteReference"/>
        </w:rPr>
        <w:footnoteRef/>
      </w:r>
      <w:r>
        <w:t xml:space="preserve"> </w:t>
      </w:r>
      <w:r w:rsidR="00562CDD">
        <w:t>Luke 10:39</w:t>
      </w:r>
      <w:r w:rsidR="00773D31">
        <w:t>; John 20:1-3</w:t>
      </w:r>
    </w:p>
  </w:footnote>
  <w:footnote w:id="9">
    <w:p w14:paraId="3B1ED551" w14:textId="77777777" w:rsidR="00DB4AE2" w:rsidRDefault="00DB4AE2">
      <w:pPr>
        <w:pStyle w:val="FootnoteText"/>
      </w:pPr>
      <w:r>
        <w:rPr>
          <w:rStyle w:val="FootnoteReference"/>
        </w:rPr>
        <w:footnoteRef/>
      </w:r>
      <w:r>
        <w:t xml:space="preserve"> Matt. 13:33; </w:t>
      </w:r>
      <w:proofErr w:type="spellStart"/>
      <w:r>
        <w:t>Witherington</w:t>
      </w:r>
      <w:proofErr w:type="spellEnd"/>
      <w:r>
        <w:t>, B. (1987). Women in the ministry of Jesus: a study of Jesus’ attitudes to women and their roles as reflected in his earthly life. pp.39-41</w:t>
      </w:r>
    </w:p>
  </w:footnote>
  <w:footnote w:id="10">
    <w:p w14:paraId="28EA47CA" w14:textId="77777777" w:rsidR="00DB4AE2" w:rsidRDefault="00DB4AE2">
      <w:pPr>
        <w:pStyle w:val="FootnoteText"/>
      </w:pPr>
      <w:r>
        <w:rPr>
          <w:rStyle w:val="FootnoteReference"/>
        </w:rPr>
        <w:footnoteRef/>
      </w:r>
      <w:r>
        <w:t xml:space="preserve"> </w:t>
      </w:r>
      <w:proofErr w:type="spellStart"/>
      <w:r>
        <w:t>Witherington</w:t>
      </w:r>
      <w:proofErr w:type="spellEnd"/>
      <w:r>
        <w:t>, B. (1987). Women in the ministry of Jesus: a study of Jesus’ attitudes to women and their roles as reflected in his earthly life. pp. 39-41</w:t>
      </w:r>
    </w:p>
  </w:footnote>
  <w:footnote w:id="11">
    <w:p w14:paraId="3ED0CF2C" w14:textId="77777777" w:rsidR="00DB4AE2" w:rsidRDefault="00DB4AE2">
      <w:pPr>
        <w:pStyle w:val="FootnoteText"/>
      </w:pPr>
      <w:r>
        <w:rPr>
          <w:rStyle w:val="FootnoteReference"/>
        </w:rPr>
        <w:footnoteRef/>
      </w:r>
      <w:r>
        <w:t xml:space="preserve"> Matthew 13:33</w:t>
      </w:r>
    </w:p>
  </w:footnote>
  <w:footnote w:id="12">
    <w:p w14:paraId="6BA8AD10" w14:textId="77777777" w:rsidR="00DB4AE2" w:rsidRDefault="00DB4AE2">
      <w:pPr>
        <w:pStyle w:val="FootnoteText"/>
      </w:pPr>
      <w:r>
        <w:rPr>
          <w:rStyle w:val="FootnoteReference"/>
        </w:rPr>
        <w:footnoteRef/>
      </w:r>
      <w:r>
        <w:t xml:space="preserve"> </w:t>
      </w:r>
      <w:r w:rsidRPr="00E8403A">
        <w:t>J</w:t>
      </w:r>
      <w:r>
        <w:t>.</w:t>
      </w:r>
      <w:r w:rsidRPr="00E8403A">
        <w:t xml:space="preserve"> B. Green</w:t>
      </w:r>
      <w:r>
        <w:t xml:space="preserve">. (1997). </w:t>
      </w:r>
      <w:r w:rsidRPr="00E8403A">
        <w:t>The Gospel of Luke</w:t>
      </w:r>
      <w:r>
        <w:t>. W. B.</w:t>
      </w:r>
      <w:r w:rsidRPr="00E8403A">
        <w:t xml:space="preserve"> Eerdmans</w:t>
      </w:r>
      <w:r>
        <w:t xml:space="preserve"> Publishing Co.  </w:t>
      </w:r>
      <w:r w:rsidRPr="00E8403A">
        <w:t>p. 527.</w:t>
      </w:r>
    </w:p>
  </w:footnote>
  <w:footnote w:id="13">
    <w:p w14:paraId="41043619" w14:textId="77777777" w:rsidR="00DB4AE2" w:rsidRDefault="00DB4AE2">
      <w:pPr>
        <w:pStyle w:val="FootnoteText"/>
      </w:pPr>
      <w:r>
        <w:rPr>
          <w:rStyle w:val="FootnoteReference"/>
        </w:rPr>
        <w:footnoteRef/>
      </w:r>
      <w:r>
        <w:t xml:space="preserve"> Matt. 8:14-15; Mark 1:30-31; Luke 4:38-39</w:t>
      </w:r>
    </w:p>
  </w:footnote>
  <w:footnote w:id="14">
    <w:p w14:paraId="599C3D83" w14:textId="77777777" w:rsidR="00DB4AE2" w:rsidRDefault="00DB4AE2">
      <w:pPr>
        <w:pStyle w:val="FootnoteText"/>
      </w:pPr>
      <w:r>
        <w:rPr>
          <w:rStyle w:val="FootnoteReference"/>
        </w:rPr>
        <w:footnoteRef/>
      </w:r>
      <w:r>
        <w:t xml:space="preserve"> Mark 5:25-34</w:t>
      </w:r>
    </w:p>
  </w:footnote>
  <w:footnote w:id="15">
    <w:p w14:paraId="59F0C206" w14:textId="77777777" w:rsidR="00DB4AE2" w:rsidRDefault="00DB4AE2">
      <w:pPr>
        <w:pStyle w:val="FootnoteText"/>
      </w:pPr>
      <w:r>
        <w:rPr>
          <w:rStyle w:val="FootnoteReference"/>
        </w:rPr>
        <w:footnoteRef/>
      </w:r>
      <w:r>
        <w:t xml:space="preserve"> Luke 13:10-17</w:t>
      </w:r>
    </w:p>
  </w:footnote>
  <w:footnote w:id="16">
    <w:p w14:paraId="04504E8E" w14:textId="77777777" w:rsidR="00DB4AE2" w:rsidRDefault="00DB4AE2">
      <w:pPr>
        <w:pStyle w:val="FootnoteText"/>
      </w:pPr>
      <w:r>
        <w:rPr>
          <w:rStyle w:val="FootnoteReference"/>
        </w:rPr>
        <w:footnoteRef/>
      </w:r>
      <w:r>
        <w:t xml:space="preserve"> Luke 7:11-17</w:t>
      </w:r>
    </w:p>
  </w:footnote>
  <w:footnote w:id="17">
    <w:p w14:paraId="17E2400E" w14:textId="77777777" w:rsidR="00DB4AE2" w:rsidRDefault="00DB4AE2">
      <w:pPr>
        <w:pStyle w:val="FootnoteText"/>
      </w:pPr>
      <w:r>
        <w:rPr>
          <w:rStyle w:val="FootnoteReference"/>
        </w:rPr>
        <w:footnoteRef/>
      </w:r>
      <w:r>
        <w:t xml:space="preserve"> Mark 5:35-43</w:t>
      </w:r>
    </w:p>
  </w:footnote>
  <w:footnote w:id="18">
    <w:p w14:paraId="5DC021D7" w14:textId="77777777" w:rsidR="00DB4AE2" w:rsidRDefault="00DB4AE2">
      <w:pPr>
        <w:pStyle w:val="FootnoteText"/>
      </w:pPr>
      <w:r>
        <w:rPr>
          <w:rStyle w:val="FootnoteReference"/>
        </w:rPr>
        <w:footnoteRef/>
      </w:r>
      <w:r>
        <w:t xml:space="preserve"> Matt. 25:1-13</w:t>
      </w:r>
    </w:p>
  </w:footnote>
  <w:footnote w:id="19">
    <w:p w14:paraId="2EDF1D42" w14:textId="77777777" w:rsidR="00DB4AE2" w:rsidRDefault="00DB4AE2">
      <w:pPr>
        <w:pStyle w:val="FootnoteText"/>
      </w:pPr>
      <w:r>
        <w:rPr>
          <w:rStyle w:val="FootnoteReference"/>
        </w:rPr>
        <w:footnoteRef/>
      </w:r>
      <w:r>
        <w:t xml:space="preserve"> Mark 12:41-44; Luke 21:1-4</w:t>
      </w:r>
    </w:p>
  </w:footnote>
  <w:footnote w:id="20">
    <w:p w14:paraId="407232E3" w14:textId="77777777" w:rsidR="00DB4AE2" w:rsidRDefault="00DB4AE2">
      <w:pPr>
        <w:pStyle w:val="FootnoteText"/>
      </w:pPr>
      <w:r>
        <w:rPr>
          <w:rStyle w:val="FootnoteReference"/>
        </w:rPr>
        <w:footnoteRef/>
      </w:r>
      <w:r>
        <w:t xml:space="preserve"> Luke 4:24-26</w:t>
      </w:r>
    </w:p>
  </w:footnote>
  <w:footnote w:id="21">
    <w:p w14:paraId="7816F3FF" w14:textId="77777777" w:rsidR="00DB4AE2" w:rsidRDefault="00DB4AE2">
      <w:pPr>
        <w:pStyle w:val="FootnoteText"/>
      </w:pPr>
      <w:r>
        <w:rPr>
          <w:rStyle w:val="FootnoteReference"/>
        </w:rPr>
        <w:footnoteRef/>
      </w:r>
      <w:r>
        <w:t xml:space="preserve"> Luke 18:1-8</w:t>
      </w:r>
    </w:p>
  </w:footnote>
  <w:footnote w:id="22">
    <w:p w14:paraId="239B6D0F" w14:textId="77777777" w:rsidR="00DB4AE2" w:rsidRDefault="00DB4AE2">
      <w:pPr>
        <w:pStyle w:val="FootnoteText"/>
      </w:pPr>
      <w:r>
        <w:rPr>
          <w:rStyle w:val="FootnoteReference"/>
        </w:rPr>
        <w:footnoteRef/>
      </w:r>
      <w:r>
        <w:t xml:space="preserve"> Luke 11:31</w:t>
      </w:r>
    </w:p>
  </w:footnote>
  <w:footnote w:id="23">
    <w:p w14:paraId="25B988CF" w14:textId="2CCAEB07" w:rsidR="00C73781" w:rsidRDefault="00C73781">
      <w:pPr>
        <w:pStyle w:val="FootnoteText"/>
      </w:pPr>
      <w:r>
        <w:rPr>
          <w:rStyle w:val="FootnoteReference"/>
        </w:rPr>
        <w:footnoteRef/>
      </w:r>
      <w:r>
        <w:t xml:space="preserve"> </w:t>
      </w:r>
      <w:r w:rsidR="00C76E44">
        <w:t>L</w:t>
      </w:r>
      <w:r w:rsidR="000033F6">
        <w:t>uke</w:t>
      </w:r>
      <w:r w:rsidR="00FA1395">
        <w:t xml:space="preserve"> 7:11-1</w:t>
      </w:r>
      <w:r w:rsidR="00B94199">
        <w:t>7</w:t>
      </w:r>
    </w:p>
  </w:footnote>
  <w:footnote w:id="24">
    <w:p w14:paraId="2EFBB943" w14:textId="152F8027" w:rsidR="009B630C" w:rsidRDefault="009B630C">
      <w:pPr>
        <w:pStyle w:val="FootnoteText"/>
      </w:pPr>
      <w:r>
        <w:rPr>
          <w:rStyle w:val="FootnoteReference"/>
        </w:rPr>
        <w:footnoteRef/>
      </w:r>
      <w:r>
        <w:t xml:space="preserve"> </w:t>
      </w:r>
      <w:r w:rsidR="00E36128">
        <w:t>J</w:t>
      </w:r>
      <w:r w:rsidR="000033F6">
        <w:t>ohn</w:t>
      </w:r>
      <w:r w:rsidR="00E36128">
        <w:t xml:space="preserve"> </w:t>
      </w:r>
      <w:r w:rsidR="003745B7">
        <w:t>11:</w:t>
      </w:r>
      <w:r w:rsidR="00B75C5C">
        <w:t>1-44</w:t>
      </w:r>
    </w:p>
  </w:footnote>
  <w:footnote w:id="25">
    <w:p w14:paraId="61CF4862" w14:textId="4AB4B90D" w:rsidR="00B20120" w:rsidRDefault="00B20120">
      <w:pPr>
        <w:pStyle w:val="FootnoteText"/>
      </w:pPr>
      <w:r>
        <w:rPr>
          <w:rStyle w:val="FootnoteReference"/>
        </w:rPr>
        <w:footnoteRef/>
      </w:r>
      <w:r>
        <w:t xml:space="preserve"> </w:t>
      </w:r>
      <w:r w:rsidR="000628A1">
        <w:t>Mark 16:</w:t>
      </w:r>
      <w:r w:rsidR="00D70233">
        <w:t>1-8; Matt 28:1-10; Luke 24:1-11; John 20:</w:t>
      </w:r>
      <w:r w:rsidR="000F1E50">
        <w:t>1, 11-18</w:t>
      </w:r>
    </w:p>
  </w:footnote>
  <w:footnote w:id="26">
    <w:p w14:paraId="508BB490" w14:textId="2344B318" w:rsidR="00325496" w:rsidRDefault="00325496">
      <w:pPr>
        <w:pStyle w:val="FootnoteText"/>
      </w:pPr>
      <w:r>
        <w:rPr>
          <w:rStyle w:val="FootnoteReference"/>
        </w:rPr>
        <w:footnoteRef/>
      </w:r>
      <w:r>
        <w:t xml:space="preserve"> </w:t>
      </w:r>
      <w:r w:rsidR="00880859">
        <w:t>Matt 28:7</w:t>
      </w:r>
    </w:p>
  </w:footnote>
  <w:footnote w:id="27">
    <w:p w14:paraId="4399F7A0" w14:textId="7820B15F" w:rsidR="001E16CA" w:rsidRDefault="001E16CA">
      <w:pPr>
        <w:pStyle w:val="FootnoteText"/>
      </w:pPr>
      <w:r>
        <w:rPr>
          <w:rStyle w:val="FootnoteReference"/>
        </w:rPr>
        <w:footnoteRef/>
      </w:r>
      <w:r>
        <w:t xml:space="preserve"> </w:t>
      </w:r>
      <w:r w:rsidR="00880859">
        <w:t>Mark 16:8</w:t>
      </w:r>
    </w:p>
  </w:footnote>
  <w:footnote w:id="28">
    <w:p w14:paraId="1A62EE50" w14:textId="2423CE60" w:rsidR="00573E23" w:rsidRDefault="00573E23">
      <w:pPr>
        <w:pStyle w:val="FootnoteText"/>
      </w:pPr>
      <w:r>
        <w:rPr>
          <w:rStyle w:val="FootnoteReference"/>
        </w:rPr>
        <w:footnoteRef/>
      </w:r>
      <w:r>
        <w:t xml:space="preserve"> </w:t>
      </w:r>
      <w:proofErr w:type="spellStart"/>
      <w:r>
        <w:t>Witherington</w:t>
      </w:r>
      <w:proofErr w:type="spellEnd"/>
      <w:r>
        <w:t>, B. ‘Women’. Anchor Bible Dictionary VI:</w:t>
      </w:r>
      <w:r w:rsidR="003208E3">
        <w:t xml:space="preserve">957 </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02D"/>
    <w:rsid w:val="000033F6"/>
    <w:rsid w:val="000101F7"/>
    <w:rsid w:val="00010A24"/>
    <w:rsid w:val="000405E3"/>
    <w:rsid w:val="000606CF"/>
    <w:rsid w:val="0006179D"/>
    <w:rsid w:val="000628A1"/>
    <w:rsid w:val="000934B0"/>
    <w:rsid w:val="000B4BB3"/>
    <w:rsid w:val="000C0CEB"/>
    <w:rsid w:val="000E69E7"/>
    <w:rsid w:val="000F1E50"/>
    <w:rsid w:val="00136207"/>
    <w:rsid w:val="00137F77"/>
    <w:rsid w:val="001466FC"/>
    <w:rsid w:val="00161FE8"/>
    <w:rsid w:val="0016665A"/>
    <w:rsid w:val="00166EEC"/>
    <w:rsid w:val="0017502D"/>
    <w:rsid w:val="00175EEE"/>
    <w:rsid w:val="00184FF6"/>
    <w:rsid w:val="001B473A"/>
    <w:rsid w:val="001B70A7"/>
    <w:rsid w:val="001D1F13"/>
    <w:rsid w:val="001D3AD0"/>
    <w:rsid w:val="001E16CA"/>
    <w:rsid w:val="001E1EA6"/>
    <w:rsid w:val="00203F1D"/>
    <w:rsid w:val="0020468E"/>
    <w:rsid w:val="002113AD"/>
    <w:rsid w:val="00212451"/>
    <w:rsid w:val="00227F9C"/>
    <w:rsid w:val="0024034F"/>
    <w:rsid w:val="002440C3"/>
    <w:rsid w:val="002453C9"/>
    <w:rsid w:val="00252657"/>
    <w:rsid w:val="00264B18"/>
    <w:rsid w:val="00274038"/>
    <w:rsid w:val="00297D0A"/>
    <w:rsid w:val="002B2A74"/>
    <w:rsid w:val="002C1291"/>
    <w:rsid w:val="002F3B0F"/>
    <w:rsid w:val="003024FC"/>
    <w:rsid w:val="00303722"/>
    <w:rsid w:val="00314299"/>
    <w:rsid w:val="00316FE6"/>
    <w:rsid w:val="003208E3"/>
    <w:rsid w:val="00325496"/>
    <w:rsid w:val="003315C8"/>
    <w:rsid w:val="00332588"/>
    <w:rsid w:val="00333BF2"/>
    <w:rsid w:val="003640AA"/>
    <w:rsid w:val="00372683"/>
    <w:rsid w:val="003745B7"/>
    <w:rsid w:val="00376FC6"/>
    <w:rsid w:val="003E434C"/>
    <w:rsid w:val="003F21B1"/>
    <w:rsid w:val="00414CD3"/>
    <w:rsid w:val="0045199B"/>
    <w:rsid w:val="004653F7"/>
    <w:rsid w:val="004771C9"/>
    <w:rsid w:val="00491F31"/>
    <w:rsid w:val="00493532"/>
    <w:rsid w:val="004A1377"/>
    <w:rsid w:val="004A2FEA"/>
    <w:rsid w:val="004C00C7"/>
    <w:rsid w:val="004C12C9"/>
    <w:rsid w:val="004C1CB1"/>
    <w:rsid w:val="004F408C"/>
    <w:rsid w:val="004F7E4C"/>
    <w:rsid w:val="00502525"/>
    <w:rsid w:val="00515D74"/>
    <w:rsid w:val="00516028"/>
    <w:rsid w:val="00520302"/>
    <w:rsid w:val="00527BCA"/>
    <w:rsid w:val="00533195"/>
    <w:rsid w:val="005377B9"/>
    <w:rsid w:val="00537D90"/>
    <w:rsid w:val="005459F6"/>
    <w:rsid w:val="00546AFD"/>
    <w:rsid w:val="00562CDD"/>
    <w:rsid w:val="00562DDC"/>
    <w:rsid w:val="0056498E"/>
    <w:rsid w:val="00573E23"/>
    <w:rsid w:val="00580BCC"/>
    <w:rsid w:val="00581585"/>
    <w:rsid w:val="005B1EFE"/>
    <w:rsid w:val="005B27ED"/>
    <w:rsid w:val="005B75AD"/>
    <w:rsid w:val="005D6006"/>
    <w:rsid w:val="005E1D3E"/>
    <w:rsid w:val="00613F25"/>
    <w:rsid w:val="006213ED"/>
    <w:rsid w:val="00631AE2"/>
    <w:rsid w:val="00646F43"/>
    <w:rsid w:val="00656925"/>
    <w:rsid w:val="00660542"/>
    <w:rsid w:val="006634F0"/>
    <w:rsid w:val="00674D62"/>
    <w:rsid w:val="006751D3"/>
    <w:rsid w:val="00677C3A"/>
    <w:rsid w:val="00692998"/>
    <w:rsid w:val="0069331C"/>
    <w:rsid w:val="006A3329"/>
    <w:rsid w:val="006B17CB"/>
    <w:rsid w:val="006B3875"/>
    <w:rsid w:val="006C24ED"/>
    <w:rsid w:val="006C734B"/>
    <w:rsid w:val="006D2784"/>
    <w:rsid w:val="006D3A36"/>
    <w:rsid w:val="00724305"/>
    <w:rsid w:val="0075323F"/>
    <w:rsid w:val="00773D31"/>
    <w:rsid w:val="00776249"/>
    <w:rsid w:val="00781B7D"/>
    <w:rsid w:val="007D44AC"/>
    <w:rsid w:val="007F69D3"/>
    <w:rsid w:val="007F7DED"/>
    <w:rsid w:val="00812203"/>
    <w:rsid w:val="008178D2"/>
    <w:rsid w:val="00825F31"/>
    <w:rsid w:val="008263C4"/>
    <w:rsid w:val="00832354"/>
    <w:rsid w:val="0084658D"/>
    <w:rsid w:val="00846602"/>
    <w:rsid w:val="00852560"/>
    <w:rsid w:val="00853174"/>
    <w:rsid w:val="008557BE"/>
    <w:rsid w:val="0086251C"/>
    <w:rsid w:val="00871B4B"/>
    <w:rsid w:val="00880859"/>
    <w:rsid w:val="00883A68"/>
    <w:rsid w:val="008852E1"/>
    <w:rsid w:val="00887D9E"/>
    <w:rsid w:val="008974AC"/>
    <w:rsid w:val="008A372A"/>
    <w:rsid w:val="008B17FE"/>
    <w:rsid w:val="008B292F"/>
    <w:rsid w:val="008D7824"/>
    <w:rsid w:val="008E1D35"/>
    <w:rsid w:val="008F7D78"/>
    <w:rsid w:val="0091086F"/>
    <w:rsid w:val="00940516"/>
    <w:rsid w:val="0094077F"/>
    <w:rsid w:val="00953096"/>
    <w:rsid w:val="0096103F"/>
    <w:rsid w:val="00974FFE"/>
    <w:rsid w:val="009A3F23"/>
    <w:rsid w:val="009A4E69"/>
    <w:rsid w:val="009B031B"/>
    <w:rsid w:val="009B630C"/>
    <w:rsid w:val="009B6394"/>
    <w:rsid w:val="009B7D90"/>
    <w:rsid w:val="009D09C0"/>
    <w:rsid w:val="009E7E0A"/>
    <w:rsid w:val="00A25777"/>
    <w:rsid w:val="00A3786B"/>
    <w:rsid w:val="00A42450"/>
    <w:rsid w:val="00A436FE"/>
    <w:rsid w:val="00A50F4F"/>
    <w:rsid w:val="00A5316F"/>
    <w:rsid w:val="00A90A1E"/>
    <w:rsid w:val="00A90A62"/>
    <w:rsid w:val="00AA506C"/>
    <w:rsid w:val="00AB31CB"/>
    <w:rsid w:val="00AC2050"/>
    <w:rsid w:val="00AC4939"/>
    <w:rsid w:val="00AD4AEE"/>
    <w:rsid w:val="00AF2FA9"/>
    <w:rsid w:val="00AF6C6B"/>
    <w:rsid w:val="00B1016F"/>
    <w:rsid w:val="00B105B8"/>
    <w:rsid w:val="00B20120"/>
    <w:rsid w:val="00B3195D"/>
    <w:rsid w:val="00B3342E"/>
    <w:rsid w:val="00B362B1"/>
    <w:rsid w:val="00B60411"/>
    <w:rsid w:val="00B75C5C"/>
    <w:rsid w:val="00B83C59"/>
    <w:rsid w:val="00B94199"/>
    <w:rsid w:val="00BA413B"/>
    <w:rsid w:val="00BD1720"/>
    <w:rsid w:val="00BD5EA9"/>
    <w:rsid w:val="00BE4833"/>
    <w:rsid w:val="00BE5A79"/>
    <w:rsid w:val="00C008B0"/>
    <w:rsid w:val="00C042E1"/>
    <w:rsid w:val="00C312A7"/>
    <w:rsid w:val="00C44003"/>
    <w:rsid w:val="00C53B6B"/>
    <w:rsid w:val="00C604E9"/>
    <w:rsid w:val="00C629D1"/>
    <w:rsid w:val="00C73781"/>
    <w:rsid w:val="00C76B63"/>
    <w:rsid w:val="00C76E44"/>
    <w:rsid w:val="00C86C03"/>
    <w:rsid w:val="00C90E96"/>
    <w:rsid w:val="00CA3080"/>
    <w:rsid w:val="00CA41C5"/>
    <w:rsid w:val="00CB7325"/>
    <w:rsid w:val="00CB7D46"/>
    <w:rsid w:val="00D27D67"/>
    <w:rsid w:val="00D30126"/>
    <w:rsid w:val="00D329CA"/>
    <w:rsid w:val="00D41145"/>
    <w:rsid w:val="00D42FAE"/>
    <w:rsid w:val="00D55515"/>
    <w:rsid w:val="00D60348"/>
    <w:rsid w:val="00D650F6"/>
    <w:rsid w:val="00D70233"/>
    <w:rsid w:val="00D73EC8"/>
    <w:rsid w:val="00D92B93"/>
    <w:rsid w:val="00DB1E86"/>
    <w:rsid w:val="00DB4AE2"/>
    <w:rsid w:val="00DB5B95"/>
    <w:rsid w:val="00DC1A53"/>
    <w:rsid w:val="00DD26F5"/>
    <w:rsid w:val="00DD7DD6"/>
    <w:rsid w:val="00DF7BB5"/>
    <w:rsid w:val="00E05930"/>
    <w:rsid w:val="00E06B7E"/>
    <w:rsid w:val="00E13329"/>
    <w:rsid w:val="00E17D1F"/>
    <w:rsid w:val="00E34723"/>
    <w:rsid w:val="00E36128"/>
    <w:rsid w:val="00E45448"/>
    <w:rsid w:val="00E63E6E"/>
    <w:rsid w:val="00E66287"/>
    <w:rsid w:val="00E67969"/>
    <w:rsid w:val="00E8403A"/>
    <w:rsid w:val="00E94DA0"/>
    <w:rsid w:val="00EB3CEA"/>
    <w:rsid w:val="00ED6D93"/>
    <w:rsid w:val="00EF105A"/>
    <w:rsid w:val="00EF4CAC"/>
    <w:rsid w:val="00F03A5E"/>
    <w:rsid w:val="00F16BA5"/>
    <w:rsid w:val="00F22BF5"/>
    <w:rsid w:val="00F26C50"/>
    <w:rsid w:val="00F33240"/>
    <w:rsid w:val="00F674E3"/>
    <w:rsid w:val="00F70232"/>
    <w:rsid w:val="00F70C17"/>
    <w:rsid w:val="00F74901"/>
    <w:rsid w:val="00F760C0"/>
    <w:rsid w:val="00F77831"/>
    <w:rsid w:val="00F95892"/>
    <w:rsid w:val="00F9667D"/>
    <w:rsid w:val="00F9799B"/>
    <w:rsid w:val="00FA1395"/>
    <w:rsid w:val="00FC411E"/>
    <w:rsid w:val="00FC4D9C"/>
    <w:rsid w:val="00FD0570"/>
    <w:rsid w:val="00FE3CF2"/>
    <w:rsid w:val="00FE70B9"/>
    <w:rsid w:val="00FF01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6DF411"/>
  <w15:chartTrackingRefBased/>
  <w15:docId w15:val="{33E8E334-BAF4-584D-A730-8AB689BB6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76FC6"/>
    <w:rPr>
      <w:sz w:val="20"/>
      <w:szCs w:val="20"/>
    </w:rPr>
  </w:style>
  <w:style w:type="character" w:customStyle="1" w:styleId="FootnoteTextChar">
    <w:name w:val="Footnote Text Char"/>
    <w:basedOn w:val="DefaultParagraphFont"/>
    <w:link w:val="FootnoteText"/>
    <w:uiPriority w:val="99"/>
    <w:rsid w:val="00376FC6"/>
    <w:rPr>
      <w:sz w:val="20"/>
      <w:szCs w:val="20"/>
    </w:rPr>
  </w:style>
  <w:style w:type="character" w:styleId="FootnoteReference">
    <w:name w:val="footnote reference"/>
    <w:basedOn w:val="DefaultParagraphFont"/>
    <w:uiPriority w:val="99"/>
    <w:semiHidden/>
    <w:unhideWhenUsed/>
    <w:rsid w:val="00376FC6"/>
    <w:rPr>
      <w:vertAlign w:val="superscript"/>
    </w:rPr>
  </w:style>
  <w:style w:type="paragraph" w:styleId="Header">
    <w:name w:val="header"/>
    <w:basedOn w:val="Normal"/>
    <w:link w:val="HeaderChar"/>
    <w:uiPriority w:val="99"/>
    <w:unhideWhenUsed/>
    <w:rsid w:val="00C042E1"/>
    <w:pPr>
      <w:tabs>
        <w:tab w:val="center" w:pos="4513"/>
        <w:tab w:val="right" w:pos="9026"/>
      </w:tabs>
    </w:pPr>
  </w:style>
  <w:style w:type="character" w:customStyle="1" w:styleId="HeaderChar">
    <w:name w:val="Header Char"/>
    <w:basedOn w:val="DefaultParagraphFont"/>
    <w:link w:val="Header"/>
    <w:uiPriority w:val="99"/>
    <w:rsid w:val="00C042E1"/>
  </w:style>
  <w:style w:type="paragraph" w:styleId="Footer">
    <w:name w:val="footer"/>
    <w:basedOn w:val="Normal"/>
    <w:link w:val="FooterChar"/>
    <w:uiPriority w:val="99"/>
    <w:unhideWhenUsed/>
    <w:rsid w:val="00C042E1"/>
    <w:pPr>
      <w:tabs>
        <w:tab w:val="center" w:pos="4513"/>
        <w:tab w:val="right" w:pos="9026"/>
      </w:tabs>
    </w:pPr>
  </w:style>
  <w:style w:type="character" w:customStyle="1" w:styleId="FooterChar">
    <w:name w:val="Footer Char"/>
    <w:basedOn w:val="DefaultParagraphFont"/>
    <w:link w:val="Footer"/>
    <w:uiPriority w:val="99"/>
    <w:rsid w:val="00C042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1186</Words>
  <Characters>5864</Characters>
  <Application>Microsoft Office Word</Application>
  <DocSecurity>0</DocSecurity>
  <Lines>150</Lines>
  <Paragraphs>43</Paragraphs>
  <ScaleCrop>false</ScaleCrop>
  <Company/>
  <LinksUpToDate>false</LinksUpToDate>
  <CharactersWithSpaces>7007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Smith (1801719)</dc:creator>
  <cp:keywords/>
  <dc:description/>
  <cp:lastModifiedBy>Rebecca Smith (1801719)</cp:lastModifiedBy>
  <cp:revision>2</cp:revision>
  <dcterms:created xsi:type="dcterms:W3CDTF">2020-06-13T14:18:00Z</dcterms:created>
  <dcterms:modified xsi:type="dcterms:W3CDTF">2020-06-13T14:18:00Z</dcterms:modified>
</cp:coreProperties>
</file>