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F460" w14:textId="415AE9BE" w:rsidR="00123662" w:rsidRDefault="00416E2A" w:rsidP="00416E2A">
      <w:pPr>
        <w:spacing w:line="240" w:lineRule="auto"/>
        <w:ind w:firstLine="0"/>
        <w:jc w:val="center"/>
      </w:pPr>
      <w:r>
        <w:rPr>
          <w:noProof/>
        </w:rPr>
        <w:drawing>
          <wp:inline distT="0" distB="0" distL="0" distR="0" wp14:anchorId="238981E8" wp14:editId="5007596B">
            <wp:extent cx="3060700" cy="1333500"/>
            <wp:effectExtent l="0" t="0" r="0" b="0"/>
            <wp:docPr id="532516957"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0700" cy="1333500"/>
                    </a:xfrm>
                    <a:prstGeom prst="rect">
                      <a:avLst/>
                    </a:prstGeom>
                    <a:noFill/>
                    <a:ln>
                      <a:noFill/>
                    </a:ln>
                  </pic:spPr>
                </pic:pic>
              </a:graphicData>
            </a:graphic>
          </wp:inline>
        </w:drawing>
      </w:r>
    </w:p>
    <w:p w14:paraId="390C7335" w14:textId="77777777" w:rsidR="00AC0755" w:rsidRDefault="00AC0755" w:rsidP="00BC01F0">
      <w:pPr>
        <w:spacing w:line="240" w:lineRule="auto"/>
        <w:ind w:firstLine="0"/>
      </w:pPr>
    </w:p>
    <w:p w14:paraId="103A4533" w14:textId="77777777" w:rsidR="00BC01F0" w:rsidRPr="00325A42" w:rsidRDefault="00BC01F0" w:rsidP="00BC01F0">
      <w:pPr>
        <w:spacing w:line="240" w:lineRule="auto"/>
        <w:ind w:firstLine="0"/>
      </w:pPr>
    </w:p>
    <w:p w14:paraId="6C58BC26" w14:textId="77777777" w:rsidR="00123662" w:rsidRDefault="00123662" w:rsidP="00391B28">
      <w:pPr>
        <w:spacing w:line="240" w:lineRule="auto"/>
        <w:rPr>
          <w:b/>
        </w:rPr>
      </w:pPr>
      <w:bookmarkStart w:id="0" w:name="_Hlk163053958"/>
    </w:p>
    <w:p w14:paraId="2336DD44" w14:textId="77777777" w:rsidR="007970BE" w:rsidRDefault="007970BE" w:rsidP="00391B28">
      <w:pPr>
        <w:spacing w:line="240" w:lineRule="auto"/>
        <w:rPr>
          <w:b/>
        </w:rPr>
      </w:pPr>
    </w:p>
    <w:p w14:paraId="64DA73F7" w14:textId="77777777" w:rsidR="004802AB" w:rsidRDefault="004802AB" w:rsidP="00391B28">
      <w:pPr>
        <w:spacing w:line="240" w:lineRule="auto"/>
        <w:rPr>
          <w:b/>
        </w:rPr>
      </w:pPr>
      <w:bookmarkStart w:id="1" w:name="_Hlk162882859"/>
    </w:p>
    <w:p w14:paraId="4038B0BE" w14:textId="4F8EC2CC" w:rsidR="00F659E0" w:rsidRPr="00F659E0" w:rsidRDefault="00F659E0" w:rsidP="00F659E0">
      <w:pPr>
        <w:spacing w:line="360" w:lineRule="auto"/>
        <w:ind w:firstLine="0"/>
        <w:jc w:val="center"/>
        <w:rPr>
          <w:rFonts w:asciiTheme="minorBidi" w:hAnsiTheme="minorBidi"/>
          <w:b/>
          <w:szCs w:val="24"/>
        </w:rPr>
      </w:pPr>
      <w:bookmarkStart w:id="2" w:name="_Hlk169107884"/>
      <w:r w:rsidRPr="00F659E0">
        <w:rPr>
          <w:rFonts w:asciiTheme="minorBidi" w:hAnsiTheme="minorBidi"/>
          <w:b/>
          <w:szCs w:val="24"/>
        </w:rPr>
        <w:t>LCMB7023</w:t>
      </w:r>
    </w:p>
    <w:p w14:paraId="59E14376" w14:textId="77777777" w:rsidR="00F659E0" w:rsidRPr="00F659E0" w:rsidRDefault="00F659E0" w:rsidP="00F659E0">
      <w:pPr>
        <w:spacing w:line="360" w:lineRule="auto"/>
        <w:ind w:firstLine="0"/>
        <w:jc w:val="center"/>
        <w:rPr>
          <w:rFonts w:asciiTheme="minorBidi" w:hAnsiTheme="minorBidi"/>
          <w:b/>
          <w:szCs w:val="24"/>
        </w:rPr>
      </w:pPr>
      <w:r w:rsidRPr="00F659E0">
        <w:rPr>
          <w:rFonts w:asciiTheme="minorBidi" w:hAnsiTheme="minorBidi"/>
          <w:b/>
          <w:szCs w:val="24"/>
        </w:rPr>
        <w:t>Assessment Component 2: Group presentation</w:t>
      </w:r>
    </w:p>
    <w:p w14:paraId="5DF07F3B" w14:textId="31E5E8EC" w:rsidR="00587CC0" w:rsidRPr="00596246" w:rsidRDefault="00F659E0" w:rsidP="00F659E0">
      <w:pPr>
        <w:spacing w:line="360" w:lineRule="auto"/>
        <w:ind w:firstLine="0"/>
        <w:jc w:val="center"/>
        <w:rPr>
          <w:rFonts w:cs="Times New Roman"/>
          <w:b/>
          <w:bCs/>
          <w:szCs w:val="24"/>
        </w:rPr>
      </w:pPr>
      <w:r w:rsidRPr="00F659E0">
        <w:rPr>
          <w:rFonts w:asciiTheme="minorBidi" w:hAnsiTheme="minorBidi"/>
          <w:b/>
          <w:szCs w:val="24"/>
        </w:rPr>
        <w:t>Strategic Human Resource Management and Organisational Transformation: A Global Analysis of Rolls-Royce</w:t>
      </w:r>
    </w:p>
    <w:bookmarkEnd w:id="2"/>
    <w:p w14:paraId="7D05623B" w14:textId="062D8179" w:rsidR="005425F6" w:rsidRPr="005425F6" w:rsidRDefault="005425F6" w:rsidP="009C2252">
      <w:pPr>
        <w:spacing w:line="360" w:lineRule="auto"/>
        <w:ind w:firstLine="0"/>
        <w:jc w:val="center"/>
        <w:rPr>
          <w:rFonts w:cs="Times New Roman"/>
          <w:szCs w:val="24"/>
        </w:rPr>
      </w:pPr>
      <w:r w:rsidRPr="005425F6">
        <w:rPr>
          <w:rFonts w:cs="Times New Roman"/>
          <w:szCs w:val="24"/>
        </w:rPr>
        <w:t xml:space="preserve">Name of </w:t>
      </w:r>
      <w:r w:rsidR="00747CC7">
        <w:rPr>
          <w:rFonts w:cs="Times New Roman"/>
          <w:szCs w:val="24"/>
        </w:rPr>
        <w:t>S</w:t>
      </w:r>
      <w:r w:rsidRPr="005425F6">
        <w:rPr>
          <w:rFonts w:cs="Times New Roman"/>
          <w:szCs w:val="24"/>
        </w:rPr>
        <w:t>tudent:</w:t>
      </w:r>
      <w:r w:rsidR="00260A74">
        <w:rPr>
          <w:rFonts w:cs="Times New Roman"/>
          <w:szCs w:val="24"/>
        </w:rPr>
        <w:t xml:space="preserve"> Samuel Kirvej</w:t>
      </w:r>
    </w:p>
    <w:p w14:paraId="5D3CF2A2" w14:textId="5B24713C" w:rsidR="00123662" w:rsidRPr="0092338D" w:rsidRDefault="005425F6" w:rsidP="009C2252">
      <w:pPr>
        <w:spacing w:line="360" w:lineRule="auto"/>
        <w:ind w:firstLine="0"/>
        <w:jc w:val="center"/>
        <w:rPr>
          <w:rFonts w:cs="Times New Roman"/>
          <w:b/>
          <w:szCs w:val="24"/>
        </w:rPr>
      </w:pPr>
      <w:r w:rsidRPr="005425F6">
        <w:rPr>
          <w:rFonts w:cs="Times New Roman"/>
          <w:szCs w:val="24"/>
        </w:rPr>
        <w:t>Student ID:</w:t>
      </w:r>
      <w:r w:rsidR="00260A74">
        <w:rPr>
          <w:rFonts w:cs="Times New Roman"/>
          <w:szCs w:val="24"/>
        </w:rPr>
        <w:t xml:space="preserve"> 2120449</w:t>
      </w:r>
    </w:p>
    <w:p w14:paraId="3B721F47" w14:textId="77777777" w:rsidR="00123662" w:rsidRPr="0092338D" w:rsidRDefault="00123662" w:rsidP="00391B28">
      <w:pPr>
        <w:spacing w:line="240" w:lineRule="auto"/>
        <w:rPr>
          <w:rFonts w:cs="Times New Roman"/>
          <w:b/>
          <w:szCs w:val="24"/>
        </w:rPr>
      </w:pPr>
    </w:p>
    <w:p w14:paraId="2426A955" w14:textId="77777777" w:rsidR="00123662" w:rsidRDefault="00123662" w:rsidP="00391B28">
      <w:pPr>
        <w:spacing w:line="240" w:lineRule="auto"/>
        <w:rPr>
          <w:rFonts w:cs="Times New Roman"/>
          <w:b/>
          <w:szCs w:val="24"/>
        </w:rPr>
      </w:pPr>
    </w:p>
    <w:p w14:paraId="315ED322" w14:textId="77777777" w:rsidR="00DC3070" w:rsidRDefault="00DC3070" w:rsidP="00391B28">
      <w:pPr>
        <w:spacing w:line="240" w:lineRule="auto"/>
        <w:rPr>
          <w:rFonts w:cs="Times New Roman"/>
          <w:b/>
          <w:szCs w:val="24"/>
        </w:rPr>
      </w:pPr>
    </w:p>
    <w:p w14:paraId="2ADD8230" w14:textId="77777777" w:rsidR="00A934DE" w:rsidRPr="0092338D" w:rsidRDefault="00A934DE" w:rsidP="00391B28">
      <w:pPr>
        <w:spacing w:line="240" w:lineRule="auto"/>
        <w:rPr>
          <w:rFonts w:cs="Times New Roman"/>
          <w:b/>
          <w:szCs w:val="24"/>
        </w:rPr>
      </w:pPr>
    </w:p>
    <w:p w14:paraId="7A3AE0BE" w14:textId="77777777" w:rsidR="00123662" w:rsidRPr="0092338D" w:rsidRDefault="00123662" w:rsidP="00391B28">
      <w:pPr>
        <w:spacing w:line="240" w:lineRule="auto"/>
        <w:rPr>
          <w:rFonts w:cs="Times New Roman"/>
          <w:b/>
          <w:szCs w:val="24"/>
        </w:rPr>
      </w:pPr>
    </w:p>
    <w:p w14:paraId="3FCCC213" w14:textId="77777777" w:rsidR="00123662" w:rsidRDefault="00123662" w:rsidP="00391B28">
      <w:pPr>
        <w:spacing w:line="240" w:lineRule="auto"/>
        <w:rPr>
          <w:rFonts w:cs="Times New Roman"/>
          <w:b/>
          <w:szCs w:val="24"/>
        </w:rPr>
      </w:pPr>
    </w:p>
    <w:p w14:paraId="02B0C557" w14:textId="77777777" w:rsidR="006F5ADF" w:rsidRDefault="006F5ADF" w:rsidP="00391B28">
      <w:pPr>
        <w:pStyle w:val="TOCHeading"/>
        <w:spacing w:line="240" w:lineRule="auto"/>
        <w:jc w:val="center"/>
        <w:rPr>
          <w:rFonts w:ascii="Times New Roman" w:eastAsiaTheme="minorHAnsi" w:hAnsi="Times New Roman" w:cstheme="minorBidi"/>
          <w:color w:val="auto"/>
          <w:sz w:val="24"/>
          <w:szCs w:val="22"/>
          <w:lang w:val="en-GB"/>
        </w:rPr>
      </w:pPr>
    </w:p>
    <w:p w14:paraId="3569F8F0" w14:textId="77777777" w:rsidR="00560174" w:rsidRDefault="00560174" w:rsidP="005E77AE">
      <w:pPr>
        <w:ind w:firstLine="0"/>
      </w:pPr>
    </w:p>
    <w:p w14:paraId="7A22D6E8" w14:textId="77777777" w:rsidR="006F5ADF" w:rsidRDefault="006F5ADF" w:rsidP="00BC01F0">
      <w:pPr>
        <w:spacing w:line="240" w:lineRule="auto"/>
        <w:ind w:firstLine="0"/>
      </w:pPr>
    </w:p>
    <w:p w14:paraId="3259AA9C" w14:textId="77777777" w:rsidR="00B8531B" w:rsidRPr="006F5ADF" w:rsidRDefault="00B8531B" w:rsidP="00BC01F0">
      <w:pPr>
        <w:spacing w:line="240" w:lineRule="auto"/>
        <w:ind w:firstLine="0"/>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358DCF0" w14:textId="528F46AA" w:rsidR="00123662" w:rsidRPr="00B8531B" w:rsidRDefault="00123662" w:rsidP="00391B28">
          <w:pPr>
            <w:pStyle w:val="TOCHeading"/>
            <w:spacing w:line="240" w:lineRule="auto"/>
            <w:jc w:val="center"/>
            <w:rPr>
              <w:rFonts w:ascii="Times New Roman" w:hAnsi="Times New Roman" w:cs="Times New Roman"/>
              <w:b/>
              <w:bCs/>
              <w:color w:val="auto"/>
              <w:sz w:val="24"/>
            </w:rPr>
          </w:pPr>
          <w:r w:rsidRPr="00B8531B">
            <w:rPr>
              <w:rFonts w:ascii="Times New Roman" w:hAnsi="Times New Roman" w:cs="Times New Roman"/>
              <w:b/>
              <w:bCs/>
              <w:color w:val="auto"/>
              <w:sz w:val="24"/>
            </w:rPr>
            <w:t>Table of Contents</w:t>
          </w:r>
        </w:p>
        <w:p w14:paraId="302115B4" w14:textId="28BA6D4B" w:rsidR="00B8531B" w:rsidRDefault="00001058"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r w:rsidRPr="0092338D">
            <w:fldChar w:fldCharType="begin"/>
          </w:r>
          <w:r w:rsidR="00123662" w:rsidRPr="0092338D">
            <w:instrText xml:space="preserve"> TOC \o "1-3" \h \z \u </w:instrText>
          </w:r>
          <w:r w:rsidRPr="0092338D">
            <w:fldChar w:fldCharType="separate"/>
          </w:r>
          <w:hyperlink w:anchor="_Toc213373788" w:history="1">
            <w:r w:rsidR="00B8531B" w:rsidRPr="00270D11">
              <w:rPr>
                <w:rStyle w:val="Hyperlink"/>
                <w:noProof/>
              </w:rPr>
              <w:t>1</w:t>
            </w:r>
            <w:r w:rsidR="00B8531B">
              <w:rPr>
                <w:rFonts w:asciiTheme="minorHAnsi" w:eastAsiaTheme="minorEastAsia" w:hAnsiTheme="minorHAnsi"/>
                <w:noProof/>
                <w:kern w:val="2"/>
                <w:szCs w:val="24"/>
                <w:lang w:eastAsia="en-GB"/>
                <w14:ligatures w14:val="standardContextual"/>
              </w:rPr>
              <w:tab/>
            </w:r>
            <w:r w:rsidR="00B8531B" w:rsidRPr="00270D11">
              <w:rPr>
                <w:rStyle w:val="Hyperlink"/>
                <w:noProof/>
              </w:rPr>
              <w:t>Slide 1: Title Slide</w:t>
            </w:r>
            <w:r w:rsidR="00B8531B">
              <w:rPr>
                <w:noProof/>
                <w:webHidden/>
              </w:rPr>
              <w:tab/>
            </w:r>
            <w:r w:rsidR="00B8531B">
              <w:rPr>
                <w:noProof/>
                <w:webHidden/>
              </w:rPr>
              <w:fldChar w:fldCharType="begin"/>
            </w:r>
            <w:r w:rsidR="00B8531B">
              <w:rPr>
                <w:noProof/>
                <w:webHidden/>
              </w:rPr>
              <w:instrText xml:space="preserve"> PAGEREF _Toc213373788 \h </w:instrText>
            </w:r>
            <w:r w:rsidR="00B8531B">
              <w:rPr>
                <w:noProof/>
                <w:webHidden/>
              </w:rPr>
            </w:r>
            <w:r w:rsidR="00B8531B">
              <w:rPr>
                <w:noProof/>
                <w:webHidden/>
              </w:rPr>
              <w:fldChar w:fldCharType="separate"/>
            </w:r>
            <w:r w:rsidR="00B8531B">
              <w:rPr>
                <w:noProof/>
                <w:webHidden/>
              </w:rPr>
              <w:t>4</w:t>
            </w:r>
            <w:r w:rsidR="00B8531B">
              <w:rPr>
                <w:noProof/>
                <w:webHidden/>
              </w:rPr>
              <w:fldChar w:fldCharType="end"/>
            </w:r>
          </w:hyperlink>
        </w:p>
        <w:p w14:paraId="004A5583" w14:textId="74D9BBC2"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89" w:history="1">
            <w:r w:rsidRPr="00270D11">
              <w:rPr>
                <w:rStyle w:val="Hyperlink"/>
                <w:noProof/>
              </w:rPr>
              <w:t>2</w:t>
            </w:r>
            <w:r>
              <w:rPr>
                <w:rFonts w:asciiTheme="minorHAnsi" w:eastAsiaTheme="minorEastAsia" w:hAnsiTheme="minorHAnsi"/>
                <w:noProof/>
                <w:kern w:val="2"/>
                <w:szCs w:val="24"/>
                <w:lang w:eastAsia="en-GB"/>
                <w14:ligatures w14:val="standardContextual"/>
              </w:rPr>
              <w:tab/>
            </w:r>
            <w:r w:rsidRPr="00270D11">
              <w:rPr>
                <w:rStyle w:val="Hyperlink"/>
                <w:noProof/>
              </w:rPr>
              <w:t>Slide 2: Outline of the Slides</w:t>
            </w:r>
            <w:r>
              <w:rPr>
                <w:noProof/>
                <w:webHidden/>
              </w:rPr>
              <w:tab/>
            </w:r>
            <w:r>
              <w:rPr>
                <w:noProof/>
                <w:webHidden/>
              </w:rPr>
              <w:fldChar w:fldCharType="begin"/>
            </w:r>
            <w:r>
              <w:rPr>
                <w:noProof/>
                <w:webHidden/>
              </w:rPr>
              <w:instrText xml:space="preserve"> PAGEREF _Toc213373789 \h </w:instrText>
            </w:r>
            <w:r>
              <w:rPr>
                <w:noProof/>
                <w:webHidden/>
              </w:rPr>
            </w:r>
            <w:r>
              <w:rPr>
                <w:noProof/>
                <w:webHidden/>
              </w:rPr>
              <w:fldChar w:fldCharType="separate"/>
            </w:r>
            <w:r>
              <w:rPr>
                <w:noProof/>
                <w:webHidden/>
              </w:rPr>
              <w:t>4</w:t>
            </w:r>
            <w:r>
              <w:rPr>
                <w:noProof/>
                <w:webHidden/>
              </w:rPr>
              <w:fldChar w:fldCharType="end"/>
            </w:r>
          </w:hyperlink>
        </w:p>
        <w:p w14:paraId="3EBF4221" w14:textId="3960B5EE"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0" w:history="1">
            <w:r w:rsidRPr="00270D11">
              <w:rPr>
                <w:rStyle w:val="Hyperlink"/>
                <w:noProof/>
              </w:rPr>
              <w:t>3</w:t>
            </w:r>
            <w:r>
              <w:rPr>
                <w:rFonts w:asciiTheme="minorHAnsi" w:eastAsiaTheme="minorEastAsia" w:hAnsiTheme="minorHAnsi"/>
                <w:noProof/>
                <w:kern w:val="2"/>
                <w:szCs w:val="24"/>
                <w:lang w:eastAsia="en-GB"/>
                <w14:ligatures w14:val="standardContextual"/>
              </w:rPr>
              <w:tab/>
            </w:r>
            <w:r w:rsidRPr="00270D11">
              <w:rPr>
                <w:rStyle w:val="Hyperlink"/>
                <w:noProof/>
              </w:rPr>
              <w:t>Slide 3: Introduction</w:t>
            </w:r>
            <w:r>
              <w:rPr>
                <w:noProof/>
                <w:webHidden/>
              </w:rPr>
              <w:tab/>
            </w:r>
            <w:r>
              <w:rPr>
                <w:noProof/>
                <w:webHidden/>
              </w:rPr>
              <w:fldChar w:fldCharType="begin"/>
            </w:r>
            <w:r>
              <w:rPr>
                <w:noProof/>
                <w:webHidden/>
              </w:rPr>
              <w:instrText xml:space="preserve"> PAGEREF _Toc213373790 \h </w:instrText>
            </w:r>
            <w:r>
              <w:rPr>
                <w:noProof/>
                <w:webHidden/>
              </w:rPr>
            </w:r>
            <w:r>
              <w:rPr>
                <w:noProof/>
                <w:webHidden/>
              </w:rPr>
              <w:fldChar w:fldCharType="separate"/>
            </w:r>
            <w:r>
              <w:rPr>
                <w:noProof/>
                <w:webHidden/>
              </w:rPr>
              <w:t>5</w:t>
            </w:r>
            <w:r>
              <w:rPr>
                <w:noProof/>
                <w:webHidden/>
              </w:rPr>
              <w:fldChar w:fldCharType="end"/>
            </w:r>
          </w:hyperlink>
        </w:p>
        <w:p w14:paraId="4A58C707" w14:textId="2ACBA492"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1" w:history="1">
            <w:r w:rsidRPr="00270D11">
              <w:rPr>
                <w:rStyle w:val="Hyperlink"/>
                <w:noProof/>
              </w:rPr>
              <w:t>4</w:t>
            </w:r>
            <w:r>
              <w:rPr>
                <w:rFonts w:asciiTheme="minorHAnsi" w:eastAsiaTheme="minorEastAsia" w:hAnsiTheme="minorHAnsi"/>
                <w:noProof/>
                <w:kern w:val="2"/>
                <w:szCs w:val="24"/>
                <w:lang w:eastAsia="en-GB"/>
                <w14:ligatures w14:val="standardContextual"/>
              </w:rPr>
              <w:tab/>
            </w:r>
            <w:r w:rsidRPr="00270D11">
              <w:rPr>
                <w:rStyle w:val="Hyperlink"/>
                <w:noProof/>
              </w:rPr>
              <w:t>Slide 4: Recruitment and Selection of Rolls-Royce in a Global Context</w:t>
            </w:r>
            <w:r>
              <w:rPr>
                <w:noProof/>
                <w:webHidden/>
              </w:rPr>
              <w:tab/>
            </w:r>
            <w:r>
              <w:rPr>
                <w:noProof/>
                <w:webHidden/>
              </w:rPr>
              <w:fldChar w:fldCharType="begin"/>
            </w:r>
            <w:r>
              <w:rPr>
                <w:noProof/>
                <w:webHidden/>
              </w:rPr>
              <w:instrText xml:space="preserve"> PAGEREF _Toc213373791 \h </w:instrText>
            </w:r>
            <w:r>
              <w:rPr>
                <w:noProof/>
                <w:webHidden/>
              </w:rPr>
            </w:r>
            <w:r>
              <w:rPr>
                <w:noProof/>
                <w:webHidden/>
              </w:rPr>
              <w:fldChar w:fldCharType="separate"/>
            </w:r>
            <w:r>
              <w:rPr>
                <w:noProof/>
                <w:webHidden/>
              </w:rPr>
              <w:t>6</w:t>
            </w:r>
            <w:r>
              <w:rPr>
                <w:noProof/>
                <w:webHidden/>
              </w:rPr>
              <w:fldChar w:fldCharType="end"/>
            </w:r>
          </w:hyperlink>
        </w:p>
        <w:p w14:paraId="4AD83401" w14:textId="6B93C897"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2" w:history="1">
            <w:r w:rsidRPr="00270D11">
              <w:rPr>
                <w:rStyle w:val="Hyperlink"/>
                <w:noProof/>
              </w:rPr>
              <w:t>5</w:t>
            </w:r>
            <w:r>
              <w:rPr>
                <w:rFonts w:asciiTheme="minorHAnsi" w:eastAsiaTheme="minorEastAsia" w:hAnsiTheme="minorHAnsi"/>
                <w:noProof/>
                <w:kern w:val="2"/>
                <w:szCs w:val="24"/>
                <w:lang w:eastAsia="en-GB"/>
                <w14:ligatures w14:val="standardContextual"/>
              </w:rPr>
              <w:tab/>
            </w:r>
            <w:r w:rsidRPr="00270D11">
              <w:rPr>
                <w:rStyle w:val="Hyperlink"/>
                <w:noProof/>
              </w:rPr>
              <w:t>Slide 5: Current Policies and Practices</w:t>
            </w:r>
            <w:r>
              <w:rPr>
                <w:noProof/>
                <w:webHidden/>
              </w:rPr>
              <w:tab/>
            </w:r>
            <w:r>
              <w:rPr>
                <w:noProof/>
                <w:webHidden/>
              </w:rPr>
              <w:fldChar w:fldCharType="begin"/>
            </w:r>
            <w:r>
              <w:rPr>
                <w:noProof/>
                <w:webHidden/>
              </w:rPr>
              <w:instrText xml:space="preserve"> PAGEREF _Toc213373792 \h </w:instrText>
            </w:r>
            <w:r>
              <w:rPr>
                <w:noProof/>
                <w:webHidden/>
              </w:rPr>
            </w:r>
            <w:r>
              <w:rPr>
                <w:noProof/>
                <w:webHidden/>
              </w:rPr>
              <w:fldChar w:fldCharType="separate"/>
            </w:r>
            <w:r>
              <w:rPr>
                <w:noProof/>
                <w:webHidden/>
              </w:rPr>
              <w:t>7</w:t>
            </w:r>
            <w:r>
              <w:rPr>
                <w:noProof/>
                <w:webHidden/>
              </w:rPr>
              <w:fldChar w:fldCharType="end"/>
            </w:r>
          </w:hyperlink>
        </w:p>
        <w:p w14:paraId="634FE9BF" w14:textId="08604FC0"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3" w:history="1">
            <w:r w:rsidRPr="00270D11">
              <w:rPr>
                <w:rStyle w:val="Hyperlink"/>
                <w:noProof/>
              </w:rPr>
              <w:t>6</w:t>
            </w:r>
            <w:r>
              <w:rPr>
                <w:rFonts w:asciiTheme="minorHAnsi" w:eastAsiaTheme="minorEastAsia" w:hAnsiTheme="minorHAnsi"/>
                <w:noProof/>
                <w:kern w:val="2"/>
                <w:szCs w:val="24"/>
                <w:lang w:eastAsia="en-GB"/>
                <w14:ligatures w14:val="standardContextual"/>
              </w:rPr>
              <w:tab/>
            </w:r>
            <w:r w:rsidRPr="00270D11">
              <w:rPr>
                <w:rStyle w:val="Hyperlink"/>
                <w:noProof/>
              </w:rPr>
              <w:t>Slide 6: Person–Organisation Fit (P–O Fit) Theory</w:t>
            </w:r>
            <w:r>
              <w:rPr>
                <w:noProof/>
                <w:webHidden/>
              </w:rPr>
              <w:tab/>
            </w:r>
            <w:r>
              <w:rPr>
                <w:noProof/>
                <w:webHidden/>
              </w:rPr>
              <w:fldChar w:fldCharType="begin"/>
            </w:r>
            <w:r>
              <w:rPr>
                <w:noProof/>
                <w:webHidden/>
              </w:rPr>
              <w:instrText xml:space="preserve"> PAGEREF _Toc213373793 \h </w:instrText>
            </w:r>
            <w:r>
              <w:rPr>
                <w:noProof/>
                <w:webHidden/>
              </w:rPr>
            </w:r>
            <w:r>
              <w:rPr>
                <w:noProof/>
                <w:webHidden/>
              </w:rPr>
              <w:fldChar w:fldCharType="separate"/>
            </w:r>
            <w:r>
              <w:rPr>
                <w:noProof/>
                <w:webHidden/>
              </w:rPr>
              <w:t>8</w:t>
            </w:r>
            <w:r>
              <w:rPr>
                <w:noProof/>
                <w:webHidden/>
              </w:rPr>
              <w:fldChar w:fldCharType="end"/>
            </w:r>
          </w:hyperlink>
        </w:p>
        <w:p w14:paraId="0BC726FF" w14:textId="43017CBB"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4" w:history="1">
            <w:r w:rsidRPr="00270D11">
              <w:rPr>
                <w:rStyle w:val="Hyperlink"/>
                <w:noProof/>
              </w:rPr>
              <w:t>7</w:t>
            </w:r>
            <w:r>
              <w:rPr>
                <w:rFonts w:asciiTheme="minorHAnsi" w:eastAsiaTheme="minorEastAsia" w:hAnsiTheme="minorHAnsi"/>
                <w:noProof/>
                <w:kern w:val="2"/>
                <w:szCs w:val="24"/>
                <w:lang w:eastAsia="en-GB"/>
                <w14:ligatures w14:val="standardContextual"/>
              </w:rPr>
              <w:tab/>
            </w:r>
            <w:r w:rsidRPr="00270D11">
              <w:rPr>
                <w:rStyle w:val="Hyperlink"/>
                <w:noProof/>
              </w:rPr>
              <w:t>Slide 7: Key Challenges</w:t>
            </w:r>
            <w:r>
              <w:rPr>
                <w:noProof/>
                <w:webHidden/>
              </w:rPr>
              <w:tab/>
            </w:r>
            <w:r>
              <w:rPr>
                <w:noProof/>
                <w:webHidden/>
              </w:rPr>
              <w:fldChar w:fldCharType="begin"/>
            </w:r>
            <w:r>
              <w:rPr>
                <w:noProof/>
                <w:webHidden/>
              </w:rPr>
              <w:instrText xml:space="preserve"> PAGEREF _Toc213373794 \h </w:instrText>
            </w:r>
            <w:r>
              <w:rPr>
                <w:noProof/>
                <w:webHidden/>
              </w:rPr>
            </w:r>
            <w:r>
              <w:rPr>
                <w:noProof/>
                <w:webHidden/>
              </w:rPr>
              <w:fldChar w:fldCharType="separate"/>
            </w:r>
            <w:r>
              <w:rPr>
                <w:noProof/>
                <w:webHidden/>
              </w:rPr>
              <w:t>9</w:t>
            </w:r>
            <w:r>
              <w:rPr>
                <w:noProof/>
                <w:webHidden/>
              </w:rPr>
              <w:fldChar w:fldCharType="end"/>
            </w:r>
          </w:hyperlink>
        </w:p>
        <w:p w14:paraId="722FB99C" w14:textId="4152ADEE"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5" w:history="1">
            <w:r w:rsidRPr="00270D11">
              <w:rPr>
                <w:rStyle w:val="Hyperlink"/>
                <w:noProof/>
              </w:rPr>
              <w:t>8</w:t>
            </w:r>
            <w:r>
              <w:rPr>
                <w:rFonts w:asciiTheme="minorHAnsi" w:eastAsiaTheme="minorEastAsia" w:hAnsiTheme="minorHAnsi"/>
                <w:noProof/>
                <w:kern w:val="2"/>
                <w:szCs w:val="24"/>
                <w:lang w:eastAsia="en-GB"/>
                <w14:ligatures w14:val="standardContextual"/>
              </w:rPr>
              <w:tab/>
            </w:r>
            <w:r w:rsidRPr="00270D11">
              <w:rPr>
                <w:rStyle w:val="Hyperlink"/>
                <w:noProof/>
              </w:rPr>
              <w:t>Slide 8: Role of Line Managers</w:t>
            </w:r>
            <w:r>
              <w:rPr>
                <w:noProof/>
                <w:webHidden/>
              </w:rPr>
              <w:tab/>
            </w:r>
            <w:r>
              <w:rPr>
                <w:noProof/>
                <w:webHidden/>
              </w:rPr>
              <w:fldChar w:fldCharType="begin"/>
            </w:r>
            <w:r>
              <w:rPr>
                <w:noProof/>
                <w:webHidden/>
              </w:rPr>
              <w:instrText xml:space="preserve"> PAGEREF _Toc213373795 \h </w:instrText>
            </w:r>
            <w:r>
              <w:rPr>
                <w:noProof/>
                <w:webHidden/>
              </w:rPr>
            </w:r>
            <w:r>
              <w:rPr>
                <w:noProof/>
                <w:webHidden/>
              </w:rPr>
              <w:fldChar w:fldCharType="separate"/>
            </w:r>
            <w:r>
              <w:rPr>
                <w:noProof/>
                <w:webHidden/>
              </w:rPr>
              <w:t>10</w:t>
            </w:r>
            <w:r>
              <w:rPr>
                <w:noProof/>
                <w:webHidden/>
              </w:rPr>
              <w:fldChar w:fldCharType="end"/>
            </w:r>
          </w:hyperlink>
        </w:p>
        <w:p w14:paraId="2BF07F9F" w14:textId="18268B4D"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6" w:history="1">
            <w:r w:rsidRPr="00270D11">
              <w:rPr>
                <w:rStyle w:val="Hyperlink"/>
                <w:noProof/>
              </w:rPr>
              <w:t>9</w:t>
            </w:r>
            <w:r>
              <w:rPr>
                <w:rFonts w:asciiTheme="minorHAnsi" w:eastAsiaTheme="minorEastAsia" w:hAnsiTheme="minorHAnsi"/>
                <w:noProof/>
                <w:kern w:val="2"/>
                <w:szCs w:val="24"/>
                <w:lang w:eastAsia="en-GB"/>
                <w14:ligatures w14:val="standardContextual"/>
              </w:rPr>
              <w:tab/>
            </w:r>
            <w:r w:rsidRPr="00270D11">
              <w:rPr>
                <w:rStyle w:val="Hyperlink"/>
                <w:noProof/>
              </w:rPr>
              <w:t>Slide 9: Recommendations</w:t>
            </w:r>
            <w:r>
              <w:rPr>
                <w:noProof/>
                <w:webHidden/>
              </w:rPr>
              <w:tab/>
            </w:r>
            <w:r>
              <w:rPr>
                <w:noProof/>
                <w:webHidden/>
              </w:rPr>
              <w:fldChar w:fldCharType="begin"/>
            </w:r>
            <w:r>
              <w:rPr>
                <w:noProof/>
                <w:webHidden/>
              </w:rPr>
              <w:instrText xml:space="preserve"> PAGEREF _Toc213373796 \h </w:instrText>
            </w:r>
            <w:r>
              <w:rPr>
                <w:noProof/>
                <w:webHidden/>
              </w:rPr>
            </w:r>
            <w:r>
              <w:rPr>
                <w:noProof/>
                <w:webHidden/>
              </w:rPr>
              <w:fldChar w:fldCharType="separate"/>
            </w:r>
            <w:r>
              <w:rPr>
                <w:noProof/>
                <w:webHidden/>
              </w:rPr>
              <w:t>11</w:t>
            </w:r>
            <w:r>
              <w:rPr>
                <w:noProof/>
                <w:webHidden/>
              </w:rPr>
              <w:fldChar w:fldCharType="end"/>
            </w:r>
          </w:hyperlink>
        </w:p>
        <w:p w14:paraId="445CCA9B" w14:textId="2B7A9DD9"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7" w:history="1">
            <w:r w:rsidRPr="00270D11">
              <w:rPr>
                <w:rStyle w:val="Hyperlink"/>
                <w:noProof/>
              </w:rPr>
              <w:t>10</w:t>
            </w:r>
            <w:r>
              <w:rPr>
                <w:rFonts w:asciiTheme="minorHAnsi" w:eastAsiaTheme="minorEastAsia" w:hAnsiTheme="minorHAnsi"/>
                <w:noProof/>
                <w:kern w:val="2"/>
                <w:szCs w:val="24"/>
                <w:lang w:eastAsia="en-GB"/>
                <w14:ligatures w14:val="standardContextual"/>
              </w:rPr>
              <w:tab/>
            </w:r>
            <w:r w:rsidRPr="00270D11">
              <w:rPr>
                <w:rStyle w:val="Hyperlink"/>
                <w:noProof/>
              </w:rPr>
              <w:t>Slide 10: Training and Development for Global Competitiveness</w:t>
            </w:r>
            <w:r>
              <w:rPr>
                <w:noProof/>
                <w:webHidden/>
              </w:rPr>
              <w:tab/>
            </w:r>
            <w:r>
              <w:rPr>
                <w:noProof/>
                <w:webHidden/>
              </w:rPr>
              <w:fldChar w:fldCharType="begin"/>
            </w:r>
            <w:r>
              <w:rPr>
                <w:noProof/>
                <w:webHidden/>
              </w:rPr>
              <w:instrText xml:space="preserve"> PAGEREF _Toc213373797 \h </w:instrText>
            </w:r>
            <w:r>
              <w:rPr>
                <w:noProof/>
                <w:webHidden/>
              </w:rPr>
            </w:r>
            <w:r>
              <w:rPr>
                <w:noProof/>
                <w:webHidden/>
              </w:rPr>
              <w:fldChar w:fldCharType="separate"/>
            </w:r>
            <w:r>
              <w:rPr>
                <w:noProof/>
                <w:webHidden/>
              </w:rPr>
              <w:t>12</w:t>
            </w:r>
            <w:r>
              <w:rPr>
                <w:noProof/>
                <w:webHidden/>
              </w:rPr>
              <w:fldChar w:fldCharType="end"/>
            </w:r>
          </w:hyperlink>
        </w:p>
        <w:p w14:paraId="36D57FF7" w14:textId="00B31AF5"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8" w:history="1">
            <w:r w:rsidRPr="00270D11">
              <w:rPr>
                <w:rStyle w:val="Hyperlink"/>
                <w:noProof/>
              </w:rPr>
              <w:t>11</w:t>
            </w:r>
            <w:r>
              <w:rPr>
                <w:rFonts w:asciiTheme="minorHAnsi" w:eastAsiaTheme="minorEastAsia" w:hAnsiTheme="minorHAnsi"/>
                <w:noProof/>
                <w:kern w:val="2"/>
                <w:szCs w:val="24"/>
                <w:lang w:eastAsia="en-GB"/>
                <w14:ligatures w14:val="standardContextual"/>
              </w:rPr>
              <w:tab/>
            </w:r>
            <w:r w:rsidRPr="00270D11">
              <w:rPr>
                <w:rStyle w:val="Hyperlink"/>
                <w:noProof/>
              </w:rPr>
              <w:t>Slide 11: Current Practices</w:t>
            </w:r>
            <w:r>
              <w:rPr>
                <w:noProof/>
                <w:webHidden/>
              </w:rPr>
              <w:tab/>
            </w:r>
            <w:r>
              <w:rPr>
                <w:noProof/>
                <w:webHidden/>
              </w:rPr>
              <w:fldChar w:fldCharType="begin"/>
            </w:r>
            <w:r>
              <w:rPr>
                <w:noProof/>
                <w:webHidden/>
              </w:rPr>
              <w:instrText xml:space="preserve"> PAGEREF _Toc213373798 \h </w:instrText>
            </w:r>
            <w:r>
              <w:rPr>
                <w:noProof/>
                <w:webHidden/>
              </w:rPr>
            </w:r>
            <w:r>
              <w:rPr>
                <w:noProof/>
                <w:webHidden/>
              </w:rPr>
              <w:fldChar w:fldCharType="separate"/>
            </w:r>
            <w:r>
              <w:rPr>
                <w:noProof/>
                <w:webHidden/>
              </w:rPr>
              <w:t>13</w:t>
            </w:r>
            <w:r>
              <w:rPr>
                <w:noProof/>
                <w:webHidden/>
              </w:rPr>
              <w:fldChar w:fldCharType="end"/>
            </w:r>
          </w:hyperlink>
        </w:p>
        <w:p w14:paraId="379AF089" w14:textId="7D35FCA6"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799" w:history="1">
            <w:r w:rsidRPr="00270D11">
              <w:rPr>
                <w:rStyle w:val="Hyperlink"/>
                <w:noProof/>
              </w:rPr>
              <w:t>12</w:t>
            </w:r>
            <w:r>
              <w:rPr>
                <w:rFonts w:asciiTheme="minorHAnsi" w:eastAsiaTheme="minorEastAsia" w:hAnsiTheme="minorHAnsi"/>
                <w:noProof/>
                <w:kern w:val="2"/>
                <w:szCs w:val="24"/>
                <w:lang w:eastAsia="en-GB"/>
                <w14:ligatures w14:val="standardContextual"/>
              </w:rPr>
              <w:tab/>
            </w:r>
            <w:r w:rsidRPr="00270D11">
              <w:rPr>
                <w:rStyle w:val="Hyperlink"/>
                <w:noProof/>
              </w:rPr>
              <w:t>Slide 12: Kirkpatrick’s Four-Level Training Evaluation Model</w:t>
            </w:r>
            <w:r>
              <w:rPr>
                <w:noProof/>
                <w:webHidden/>
              </w:rPr>
              <w:tab/>
            </w:r>
            <w:r>
              <w:rPr>
                <w:noProof/>
                <w:webHidden/>
              </w:rPr>
              <w:fldChar w:fldCharType="begin"/>
            </w:r>
            <w:r>
              <w:rPr>
                <w:noProof/>
                <w:webHidden/>
              </w:rPr>
              <w:instrText xml:space="preserve"> PAGEREF _Toc213373799 \h </w:instrText>
            </w:r>
            <w:r>
              <w:rPr>
                <w:noProof/>
                <w:webHidden/>
              </w:rPr>
            </w:r>
            <w:r>
              <w:rPr>
                <w:noProof/>
                <w:webHidden/>
              </w:rPr>
              <w:fldChar w:fldCharType="separate"/>
            </w:r>
            <w:r>
              <w:rPr>
                <w:noProof/>
                <w:webHidden/>
              </w:rPr>
              <w:t>14</w:t>
            </w:r>
            <w:r>
              <w:rPr>
                <w:noProof/>
                <w:webHidden/>
              </w:rPr>
              <w:fldChar w:fldCharType="end"/>
            </w:r>
          </w:hyperlink>
        </w:p>
        <w:p w14:paraId="4E0A8E63" w14:textId="448ED49D"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0" w:history="1">
            <w:r w:rsidRPr="00270D11">
              <w:rPr>
                <w:rStyle w:val="Hyperlink"/>
                <w:noProof/>
              </w:rPr>
              <w:t>13</w:t>
            </w:r>
            <w:r>
              <w:rPr>
                <w:rFonts w:asciiTheme="minorHAnsi" w:eastAsiaTheme="minorEastAsia" w:hAnsiTheme="minorHAnsi"/>
                <w:noProof/>
                <w:kern w:val="2"/>
                <w:szCs w:val="24"/>
                <w:lang w:eastAsia="en-GB"/>
                <w14:ligatures w14:val="standardContextual"/>
              </w:rPr>
              <w:tab/>
            </w:r>
            <w:r w:rsidRPr="00270D11">
              <w:rPr>
                <w:rStyle w:val="Hyperlink"/>
                <w:noProof/>
              </w:rPr>
              <w:t>Slide 13: Key Challenges</w:t>
            </w:r>
            <w:r>
              <w:rPr>
                <w:noProof/>
                <w:webHidden/>
              </w:rPr>
              <w:tab/>
            </w:r>
            <w:r>
              <w:rPr>
                <w:noProof/>
                <w:webHidden/>
              </w:rPr>
              <w:fldChar w:fldCharType="begin"/>
            </w:r>
            <w:r>
              <w:rPr>
                <w:noProof/>
                <w:webHidden/>
              </w:rPr>
              <w:instrText xml:space="preserve"> PAGEREF _Toc213373800 \h </w:instrText>
            </w:r>
            <w:r>
              <w:rPr>
                <w:noProof/>
                <w:webHidden/>
              </w:rPr>
            </w:r>
            <w:r>
              <w:rPr>
                <w:noProof/>
                <w:webHidden/>
              </w:rPr>
              <w:fldChar w:fldCharType="separate"/>
            </w:r>
            <w:r>
              <w:rPr>
                <w:noProof/>
                <w:webHidden/>
              </w:rPr>
              <w:t>15</w:t>
            </w:r>
            <w:r>
              <w:rPr>
                <w:noProof/>
                <w:webHidden/>
              </w:rPr>
              <w:fldChar w:fldCharType="end"/>
            </w:r>
          </w:hyperlink>
        </w:p>
        <w:p w14:paraId="060544E9" w14:textId="4F5F21C8"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1" w:history="1">
            <w:r w:rsidRPr="00270D11">
              <w:rPr>
                <w:rStyle w:val="Hyperlink"/>
                <w:noProof/>
              </w:rPr>
              <w:t>14</w:t>
            </w:r>
            <w:r>
              <w:rPr>
                <w:rFonts w:asciiTheme="minorHAnsi" w:eastAsiaTheme="minorEastAsia" w:hAnsiTheme="minorHAnsi"/>
                <w:noProof/>
                <w:kern w:val="2"/>
                <w:szCs w:val="24"/>
                <w:lang w:eastAsia="en-GB"/>
                <w14:ligatures w14:val="standardContextual"/>
              </w:rPr>
              <w:tab/>
            </w:r>
            <w:r w:rsidRPr="00270D11">
              <w:rPr>
                <w:rStyle w:val="Hyperlink"/>
                <w:noProof/>
              </w:rPr>
              <w:t>Slide 14: Role of Line Managers</w:t>
            </w:r>
            <w:r>
              <w:rPr>
                <w:noProof/>
                <w:webHidden/>
              </w:rPr>
              <w:tab/>
            </w:r>
            <w:r>
              <w:rPr>
                <w:noProof/>
                <w:webHidden/>
              </w:rPr>
              <w:fldChar w:fldCharType="begin"/>
            </w:r>
            <w:r>
              <w:rPr>
                <w:noProof/>
                <w:webHidden/>
              </w:rPr>
              <w:instrText xml:space="preserve"> PAGEREF _Toc213373801 \h </w:instrText>
            </w:r>
            <w:r>
              <w:rPr>
                <w:noProof/>
                <w:webHidden/>
              </w:rPr>
            </w:r>
            <w:r>
              <w:rPr>
                <w:noProof/>
                <w:webHidden/>
              </w:rPr>
              <w:fldChar w:fldCharType="separate"/>
            </w:r>
            <w:r>
              <w:rPr>
                <w:noProof/>
                <w:webHidden/>
              </w:rPr>
              <w:t>16</w:t>
            </w:r>
            <w:r>
              <w:rPr>
                <w:noProof/>
                <w:webHidden/>
              </w:rPr>
              <w:fldChar w:fldCharType="end"/>
            </w:r>
          </w:hyperlink>
        </w:p>
        <w:p w14:paraId="13314310" w14:textId="005B3326"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2" w:history="1">
            <w:r w:rsidRPr="00270D11">
              <w:rPr>
                <w:rStyle w:val="Hyperlink"/>
                <w:noProof/>
              </w:rPr>
              <w:t>15</w:t>
            </w:r>
            <w:r>
              <w:rPr>
                <w:rFonts w:asciiTheme="minorHAnsi" w:eastAsiaTheme="minorEastAsia" w:hAnsiTheme="minorHAnsi"/>
                <w:noProof/>
                <w:kern w:val="2"/>
                <w:szCs w:val="24"/>
                <w:lang w:eastAsia="en-GB"/>
                <w14:ligatures w14:val="standardContextual"/>
              </w:rPr>
              <w:tab/>
            </w:r>
            <w:r w:rsidRPr="00270D11">
              <w:rPr>
                <w:rStyle w:val="Hyperlink"/>
                <w:noProof/>
              </w:rPr>
              <w:t>Slide 15: Recommendations</w:t>
            </w:r>
            <w:r>
              <w:rPr>
                <w:noProof/>
                <w:webHidden/>
              </w:rPr>
              <w:tab/>
            </w:r>
            <w:r>
              <w:rPr>
                <w:noProof/>
                <w:webHidden/>
              </w:rPr>
              <w:fldChar w:fldCharType="begin"/>
            </w:r>
            <w:r>
              <w:rPr>
                <w:noProof/>
                <w:webHidden/>
              </w:rPr>
              <w:instrText xml:space="preserve"> PAGEREF _Toc213373802 \h </w:instrText>
            </w:r>
            <w:r>
              <w:rPr>
                <w:noProof/>
                <w:webHidden/>
              </w:rPr>
            </w:r>
            <w:r>
              <w:rPr>
                <w:noProof/>
                <w:webHidden/>
              </w:rPr>
              <w:fldChar w:fldCharType="separate"/>
            </w:r>
            <w:r>
              <w:rPr>
                <w:noProof/>
                <w:webHidden/>
              </w:rPr>
              <w:t>17</w:t>
            </w:r>
            <w:r>
              <w:rPr>
                <w:noProof/>
                <w:webHidden/>
              </w:rPr>
              <w:fldChar w:fldCharType="end"/>
            </w:r>
          </w:hyperlink>
        </w:p>
        <w:p w14:paraId="63E67AED" w14:textId="56792725"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3" w:history="1">
            <w:r w:rsidRPr="00270D11">
              <w:rPr>
                <w:rStyle w:val="Hyperlink"/>
                <w:noProof/>
              </w:rPr>
              <w:t>16</w:t>
            </w:r>
            <w:r>
              <w:rPr>
                <w:rFonts w:asciiTheme="minorHAnsi" w:eastAsiaTheme="minorEastAsia" w:hAnsiTheme="minorHAnsi"/>
                <w:noProof/>
                <w:kern w:val="2"/>
                <w:szCs w:val="24"/>
                <w:lang w:eastAsia="en-GB"/>
                <w14:ligatures w14:val="standardContextual"/>
              </w:rPr>
              <w:tab/>
            </w:r>
            <w:r w:rsidRPr="00270D11">
              <w:rPr>
                <w:rStyle w:val="Hyperlink"/>
                <w:noProof/>
              </w:rPr>
              <w:t>Slide 16: Performance Management and Reward Alignment</w:t>
            </w:r>
            <w:r>
              <w:rPr>
                <w:noProof/>
                <w:webHidden/>
              </w:rPr>
              <w:tab/>
            </w:r>
            <w:r>
              <w:rPr>
                <w:noProof/>
                <w:webHidden/>
              </w:rPr>
              <w:fldChar w:fldCharType="begin"/>
            </w:r>
            <w:r>
              <w:rPr>
                <w:noProof/>
                <w:webHidden/>
              </w:rPr>
              <w:instrText xml:space="preserve"> PAGEREF _Toc213373803 \h </w:instrText>
            </w:r>
            <w:r>
              <w:rPr>
                <w:noProof/>
                <w:webHidden/>
              </w:rPr>
            </w:r>
            <w:r>
              <w:rPr>
                <w:noProof/>
                <w:webHidden/>
              </w:rPr>
              <w:fldChar w:fldCharType="separate"/>
            </w:r>
            <w:r>
              <w:rPr>
                <w:noProof/>
                <w:webHidden/>
              </w:rPr>
              <w:t>18</w:t>
            </w:r>
            <w:r>
              <w:rPr>
                <w:noProof/>
                <w:webHidden/>
              </w:rPr>
              <w:fldChar w:fldCharType="end"/>
            </w:r>
          </w:hyperlink>
        </w:p>
        <w:p w14:paraId="1C06C631" w14:textId="1E976A56"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4" w:history="1">
            <w:r w:rsidRPr="00270D11">
              <w:rPr>
                <w:rStyle w:val="Hyperlink"/>
                <w:noProof/>
              </w:rPr>
              <w:t>17</w:t>
            </w:r>
            <w:r>
              <w:rPr>
                <w:rFonts w:asciiTheme="minorHAnsi" w:eastAsiaTheme="minorEastAsia" w:hAnsiTheme="minorHAnsi"/>
                <w:noProof/>
                <w:kern w:val="2"/>
                <w:szCs w:val="24"/>
                <w:lang w:eastAsia="en-GB"/>
                <w14:ligatures w14:val="standardContextual"/>
              </w:rPr>
              <w:tab/>
            </w:r>
            <w:r w:rsidRPr="00270D11">
              <w:rPr>
                <w:rStyle w:val="Hyperlink"/>
                <w:noProof/>
              </w:rPr>
              <w:t>Slide 17: Current Policies</w:t>
            </w:r>
            <w:r>
              <w:rPr>
                <w:noProof/>
                <w:webHidden/>
              </w:rPr>
              <w:tab/>
            </w:r>
            <w:r>
              <w:rPr>
                <w:noProof/>
                <w:webHidden/>
              </w:rPr>
              <w:fldChar w:fldCharType="begin"/>
            </w:r>
            <w:r>
              <w:rPr>
                <w:noProof/>
                <w:webHidden/>
              </w:rPr>
              <w:instrText xml:space="preserve"> PAGEREF _Toc213373804 \h </w:instrText>
            </w:r>
            <w:r>
              <w:rPr>
                <w:noProof/>
                <w:webHidden/>
              </w:rPr>
            </w:r>
            <w:r>
              <w:rPr>
                <w:noProof/>
                <w:webHidden/>
              </w:rPr>
              <w:fldChar w:fldCharType="separate"/>
            </w:r>
            <w:r>
              <w:rPr>
                <w:noProof/>
                <w:webHidden/>
              </w:rPr>
              <w:t>19</w:t>
            </w:r>
            <w:r>
              <w:rPr>
                <w:noProof/>
                <w:webHidden/>
              </w:rPr>
              <w:fldChar w:fldCharType="end"/>
            </w:r>
          </w:hyperlink>
        </w:p>
        <w:p w14:paraId="4AEE1573" w14:textId="24D07D07"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5" w:history="1">
            <w:r w:rsidRPr="00270D11">
              <w:rPr>
                <w:rStyle w:val="Hyperlink"/>
                <w:noProof/>
              </w:rPr>
              <w:t>18</w:t>
            </w:r>
            <w:r>
              <w:rPr>
                <w:rFonts w:asciiTheme="minorHAnsi" w:eastAsiaTheme="minorEastAsia" w:hAnsiTheme="minorHAnsi"/>
                <w:noProof/>
                <w:kern w:val="2"/>
                <w:szCs w:val="24"/>
                <w:lang w:eastAsia="en-GB"/>
                <w14:ligatures w14:val="standardContextual"/>
              </w:rPr>
              <w:tab/>
            </w:r>
            <w:r w:rsidRPr="00270D11">
              <w:rPr>
                <w:rStyle w:val="Hyperlink"/>
                <w:noProof/>
              </w:rPr>
              <w:t>Slide 18: Vroom’s Expectancy Theory of Motivation</w:t>
            </w:r>
            <w:r>
              <w:rPr>
                <w:noProof/>
                <w:webHidden/>
              </w:rPr>
              <w:tab/>
            </w:r>
            <w:r>
              <w:rPr>
                <w:noProof/>
                <w:webHidden/>
              </w:rPr>
              <w:fldChar w:fldCharType="begin"/>
            </w:r>
            <w:r>
              <w:rPr>
                <w:noProof/>
                <w:webHidden/>
              </w:rPr>
              <w:instrText xml:space="preserve"> PAGEREF _Toc213373805 \h </w:instrText>
            </w:r>
            <w:r>
              <w:rPr>
                <w:noProof/>
                <w:webHidden/>
              </w:rPr>
            </w:r>
            <w:r>
              <w:rPr>
                <w:noProof/>
                <w:webHidden/>
              </w:rPr>
              <w:fldChar w:fldCharType="separate"/>
            </w:r>
            <w:r>
              <w:rPr>
                <w:noProof/>
                <w:webHidden/>
              </w:rPr>
              <w:t>20</w:t>
            </w:r>
            <w:r>
              <w:rPr>
                <w:noProof/>
                <w:webHidden/>
              </w:rPr>
              <w:fldChar w:fldCharType="end"/>
            </w:r>
          </w:hyperlink>
        </w:p>
        <w:p w14:paraId="2AB9B9D7" w14:textId="11E796A6"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6" w:history="1">
            <w:r w:rsidRPr="00270D11">
              <w:rPr>
                <w:rStyle w:val="Hyperlink"/>
                <w:noProof/>
              </w:rPr>
              <w:t>19</w:t>
            </w:r>
            <w:r>
              <w:rPr>
                <w:rFonts w:asciiTheme="minorHAnsi" w:eastAsiaTheme="minorEastAsia" w:hAnsiTheme="minorHAnsi"/>
                <w:noProof/>
                <w:kern w:val="2"/>
                <w:szCs w:val="24"/>
                <w:lang w:eastAsia="en-GB"/>
                <w14:ligatures w14:val="standardContextual"/>
              </w:rPr>
              <w:tab/>
            </w:r>
            <w:r w:rsidRPr="00270D11">
              <w:rPr>
                <w:rStyle w:val="Hyperlink"/>
                <w:noProof/>
              </w:rPr>
              <w:t>Slide 19: Key Challenges</w:t>
            </w:r>
            <w:r>
              <w:rPr>
                <w:noProof/>
                <w:webHidden/>
              </w:rPr>
              <w:tab/>
            </w:r>
            <w:r>
              <w:rPr>
                <w:noProof/>
                <w:webHidden/>
              </w:rPr>
              <w:fldChar w:fldCharType="begin"/>
            </w:r>
            <w:r>
              <w:rPr>
                <w:noProof/>
                <w:webHidden/>
              </w:rPr>
              <w:instrText xml:space="preserve"> PAGEREF _Toc213373806 \h </w:instrText>
            </w:r>
            <w:r>
              <w:rPr>
                <w:noProof/>
                <w:webHidden/>
              </w:rPr>
            </w:r>
            <w:r>
              <w:rPr>
                <w:noProof/>
                <w:webHidden/>
              </w:rPr>
              <w:fldChar w:fldCharType="separate"/>
            </w:r>
            <w:r>
              <w:rPr>
                <w:noProof/>
                <w:webHidden/>
              </w:rPr>
              <w:t>21</w:t>
            </w:r>
            <w:r>
              <w:rPr>
                <w:noProof/>
                <w:webHidden/>
              </w:rPr>
              <w:fldChar w:fldCharType="end"/>
            </w:r>
          </w:hyperlink>
        </w:p>
        <w:p w14:paraId="321B3783" w14:textId="001EA159"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7" w:history="1">
            <w:r w:rsidRPr="00270D11">
              <w:rPr>
                <w:rStyle w:val="Hyperlink"/>
                <w:noProof/>
              </w:rPr>
              <w:t>20</w:t>
            </w:r>
            <w:r>
              <w:rPr>
                <w:rFonts w:asciiTheme="minorHAnsi" w:eastAsiaTheme="minorEastAsia" w:hAnsiTheme="minorHAnsi"/>
                <w:noProof/>
                <w:kern w:val="2"/>
                <w:szCs w:val="24"/>
                <w:lang w:eastAsia="en-GB"/>
                <w14:ligatures w14:val="standardContextual"/>
              </w:rPr>
              <w:tab/>
            </w:r>
            <w:r w:rsidRPr="00270D11">
              <w:rPr>
                <w:rStyle w:val="Hyperlink"/>
                <w:noProof/>
              </w:rPr>
              <w:t>Slide 20: Role of Line Managers</w:t>
            </w:r>
            <w:r>
              <w:rPr>
                <w:noProof/>
                <w:webHidden/>
              </w:rPr>
              <w:tab/>
            </w:r>
            <w:r>
              <w:rPr>
                <w:noProof/>
                <w:webHidden/>
              </w:rPr>
              <w:fldChar w:fldCharType="begin"/>
            </w:r>
            <w:r>
              <w:rPr>
                <w:noProof/>
                <w:webHidden/>
              </w:rPr>
              <w:instrText xml:space="preserve"> PAGEREF _Toc213373807 \h </w:instrText>
            </w:r>
            <w:r>
              <w:rPr>
                <w:noProof/>
                <w:webHidden/>
              </w:rPr>
            </w:r>
            <w:r>
              <w:rPr>
                <w:noProof/>
                <w:webHidden/>
              </w:rPr>
              <w:fldChar w:fldCharType="separate"/>
            </w:r>
            <w:r>
              <w:rPr>
                <w:noProof/>
                <w:webHidden/>
              </w:rPr>
              <w:t>22</w:t>
            </w:r>
            <w:r>
              <w:rPr>
                <w:noProof/>
                <w:webHidden/>
              </w:rPr>
              <w:fldChar w:fldCharType="end"/>
            </w:r>
          </w:hyperlink>
        </w:p>
        <w:p w14:paraId="592D5E3A" w14:textId="234E16FB"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8" w:history="1">
            <w:r w:rsidRPr="00270D11">
              <w:rPr>
                <w:rStyle w:val="Hyperlink"/>
                <w:noProof/>
              </w:rPr>
              <w:t>21</w:t>
            </w:r>
            <w:r>
              <w:rPr>
                <w:rFonts w:asciiTheme="minorHAnsi" w:eastAsiaTheme="minorEastAsia" w:hAnsiTheme="minorHAnsi"/>
                <w:noProof/>
                <w:kern w:val="2"/>
                <w:szCs w:val="24"/>
                <w:lang w:eastAsia="en-GB"/>
                <w14:ligatures w14:val="standardContextual"/>
              </w:rPr>
              <w:tab/>
            </w:r>
            <w:r w:rsidRPr="00270D11">
              <w:rPr>
                <w:rStyle w:val="Hyperlink"/>
                <w:noProof/>
              </w:rPr>
              <w:t>Slide 21: Recommendations</w:t>
            </w:r>
            <w:r>
              <w:rPr>
                <w:noProof/>
                <w:webHidden/>
              </w:rPr>
              <w:tab/>
            </w:r>
            <w:r>
              <w:rPr>
                <w:noProof/>
                <w:webHidden/>
              </w:rPr>
              <w:fldChar w:fldCharType="begin"/>
            </w:r>
            <w:r>
              <w:rPr>
                <w:noProof/>
                <w:webHidden/>
              </w:rPr>
              <w:instrText xml:space="preserve"> PAGEREF _Toc213373808 \h </w:instrText>
            </w:r>
            <w:r>
              <w:rPr>
                <w:noProof/>
                <w:webHidden/>
              </w:rPr>
            </w:r>
            <w:r>
              <w:rPr>
                <w:noProof/>
                <w:webHidden/>
              </w:rPr>
              <w:fldChar w:fldCharType="separate"/>
            </w:r>
            <w:r>
              <w:rPr>
                <w:noProof/>
                <w:webHidden/>
              </w:rPr>
              <w:t>23</w:t>
            </w:r>
            <w:r>
              <w:rPr>
                <w:noProof/>
                <w:webHidden/>
              </w:rPr>
              <w:fldChar w:fldCharType="end"/>
            </w:r>
          </w:hyperlink>
        </w:p>
        <w:p w14:paraId="3C84B568" w14:textId="3F2AA06D"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09" w:history="1">
            <w:r w:rsidRPr="00270D11">
              <w:rPr>
                <w:rStyle w:val="Hyperlink"/>
                <w:noProof/>
              </w:rPr>
              <w:t>22</w:t>
            </w:r>
            <w:r>
              <w:rPr>
                <w:rFonts w:asciiTheme="minorHAnsi" w:eastAsiaTheme="minorEastAsia" w:hAnsiTheme="minorHAnsi"/>
                <w:noProof/>
                <w:kern w:val="2"/>
                <w:szCs w:val="24"/>
                <w:lang w:eastAsia="en-GB"/>
                <w14:ligatures w14:val="standardContextual"/>
              </w:rPr>
              <w:tab/>
            </w:r>
            <w:r w:rsidRPr="00270D11">
              <w:rPr>
                <w:rStyle w:val="Hyperlink"/>
                <w:noProof/>
              </w:rPr>
              <w:t>Slide 22: Diversity, Equity, and Inclusion (DEI) and HR Technology</w:t>
            </w:r>
            <w:r>
              <w:rPr>
                <w:noProof/>
                <w:webHidden/>
              </w:rPr>
              <w:tab/>
            </w:r>
            <w:r>
              <w:rPr>
                <w:noProof/>
                <w:webHidden/>
              </w:rPr>
              <w:fldChar w:fldCharType="begin"/>
            </w:r>
            <w:r>
              <w:rPr>
                <w:noProof/>
                <w:webHidden/>
              </w:rPr>
              <w:instrText xml:space="preserve"> PAGEREF _Toc213373809 \h </w:instrText>
            </w:r>
            <w:r>
              <w:rPr>
                <w:noProof/>
                <w:webHidden/>
              </w:rPr>
            </w:r>
            <w:r>
              <w:rPr>
                <w:noProof/>
                <w:webHidden/>
              </w:rPr>
              <w:fldChar w:fldCharType="separate"/>
            </w:r>
            <w:r>
              <w:rPr>
                <w:noProof/>
                <w:webHidden/>
              </w:rPr>
              <w:t>24</w:t>
            </w:r>
            <w:r>
              <w:rPr>
                <w:noProof/>
                <w:webHidden/>
              </w:rPr>
              <w:fldChar w:fldCharType="end"/>
            </w:r>
          </w:hyperlink>
        </w:p>
        <w:p w14:paraId="4A30248E" w14:textId="397A56AC"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0" w:history="1">
            <w:r w:rsidRPr="00270D11">
              <w:rPr>
                <w:rStyle w:val="Hyperlink"/>
                <w:noProof/>
              </w:rPr>
              <w:t>23</w:t>
            </w:r>
            <w:r>
              <w:rPr>
                <w:rFonts w:asciiTheme="minorHAnsi" w:eastAsiaTheme="minorEastAsia" w:hAnsiTheme="minorHAnsi"/>
                <w:noProof/>
                <w:kern w:val="2"/>
                <w:szCs w:val="24"/>
                <w:lang w:eastAsia="en-GB"/>
                <w14:ligatures w14:val="standardContextual"/>
              </w:rPr>
              <w:tab/>
            </w:r>
            <w:r w:rsidRPr="00270D11">
              <w:rPr>
                <w:rStyle w:val="Hyperlink"/>
                <w:noProof/>
              </w:rPr>
              <w:t>Slide 23: Current Policies</w:t>
            </w:r>
            <w:r>
              <w:rPr>
                <w:noProof/>
                <w:webHidden/>
              </w:rPr>
              <w:tab/>
            </w:r>
            <w:r>
              <w:rPr>
                <w:noProof/>
                <w:webHidden/>
              </w:rPr>
              <w:fldChar w:fldCharType="begin"/>
            </w:r>
            <w:r>
              <w:rPr>
                <w:noProof/>
                <w:webHidden/>
              </w:rPr>
              <w:instrText xml:space="preserve"> PAGEREF _Toc213373810 \h </w:instrText>
            </w:r>
            <w:r>
              <w:rPr>
                <w:noProof/>
                <w:webHidden/>
              </w:rPr>
            </w:r>
            <w:r>
              <w:rPr>
                <w:noProof/>
                <w:webHidden/>
              </w:rPr>
              <w:fldChar w:fldCharType="separate"/>
            </w:r>
            <w:r>
              <w:rPr>
                <w:noProof/>
                <w:webHidden/>
              </w:rPr>
              <w:t>25</w:t>
            </w:r>
            <w:r>
              <w:rPr>
                <w:noProof/>
                <w:webHidden/>
              </w:rPr>
              <w:fldChar w:fldCharType="end"/>
            </w:r>
          </w:hyperlink>
        </w:p>
        <w:p w14:paraId="33F74A42" w14:textId="4ED4BA30"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1" w:history="1">
            <w:r w:rsidRPr="00270D11">
              <w:rPr>
                <w:rStyle w:val="Hyperlink"/>
                <w:noProof/>
              </w:rPr>
              <w:t>24</w:t>
            </w:r>
            <w:r>
              <w:rPr>
                <w:rFonts w:asciiTheme="minorHAnsi" w:eastAsiaTheme="minorEastAsia" w:hAnsiTheme="minorHAnsi"/>
                <w:noProof/>
                <w:kern w:val="2"/>
                <w:szCs w:val="24"/>
                <w:lang w:eastAsia="en-GB"/>
                <w14:ligatures w14:val="standardContextual"/>
              </w:rPr>
              <w:tab/>
            </w:r>
            <w:r w:rsidRPr="00270D11">
              <w:rPr>
                <w:rStyle w:val="Hyperlink"/>
                <w:noProof/>
              </w:rPr>
              <w:t>Slide 24: Lewin’s Three-Stage Change Model</w:t>
            </w:r>
            <w:r>
              <w:rPr>
                <w:noProof/>
                <w:webHidden/>
              </w:rPr>
              <w:tab/>
            </w:r>
            <w:r>
              <w:rPr>
                <w:noProof/>
                <w:webHidden/>
              </w:rPr>
              <w:fldChar w:fldCharType="begin"/>
            </w:r>
            <w:r>
              <w:rPr>
                <w:noProof/>
                <w:webHidden/>
              </w:rPr>
              <w:instrText xml:space="preserve"> PAGEREF _Toc213373811 \h </w:instrText>
            </w:r>
            <w:r>
              <w:rPr>
                <w:noProof/>
                <w:webHidden/>
              </w:rPr>
            </w:r>
            <w:r>
              <w:rPr>
                <w:noProof/>
                <w:webHidden/>
              </w:rPr>
              <w:fldChar w:fldCharType="separate"/>
            </w:r>
            <w:r>
              <w:rPr>
                <w:noProof/>
                <w:webHidden/>
              </w:rPr>
              <w:t>26</w:t>
            </w:r>
            <w:r>
              <w:rPr>
                <w:noProof/>
                <w:webHidden/>
              </w:rPr>
              <w:fldChar w:fldCharType="end"/>
            </w:r>
          </w:hyperlink>
        </w:p>
        <w:p w14:paraId="30E88451" w14:textId="24BDEE6E"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2" w:history="1">
            <w:r w:rsidRPr="00270D11">
              <w:rPr>
                <w:rStyle w:val="Hyperlink"/>
                <w:noProof/>
              </w:rPr>
              <w:t>25</w:t>
            </w:r>
            <w:r>
              <w:rPr>
                <w:rFonts w:asciiTheme="minorHAnsi" w:eastAsiaTheme="minorEastAsia" w:hAnsiTheme="minorHAnsi"/>
                <w:noProof/>
                <w:kern w:val="2"/>
                <w:szCs w:val="24"/>
                <w:lang w:eastAsia="en-GB"/>
                <w14:ligatures w14:val="standardContextual"/>
              </w:rPr>
              <w:tab/>
            </w:r>
            <w:r w:rsidRPr="00270D11">
              <w:rPr>
                <w:rStyle w:val="Hyperlink"/>
                <w:noProof/>
              </w:rPr>
              <w:t>Slide 25: Key Challenges</w:t>
            </w:r>
            <w:r>
              <w:rPr>
                <w:noProof/>
                <w:webHidden/>
              </w:rPr>
              <w:tab/>
            </w:r>
            <w:r>
              <w:rPr>
                <w:noProof/>
                <w:webHidden/>
              </w:rPr>
              <w:fldChar w:fldCharType="begin"/>
            </w:r>
            <w:r>
              <w:rPr>
                <w:noProof/>
                <w:webHidden/>
              </w:rPr>
              <w:instrText xml:space="preserve"> PAGEREF _Toc213373812 \h </w:instrText>
            </w:r>
            <w:r>
              <w:rPr>
                <w:noProof/>
                <w:webHidden/>
              </w:rPr>
            </w:r>
            <w:r>
              <w:rPr>
                <w:noProof/>
                <w:webHidden/>
              </w:rPr>
              <w:fldChar w:fldCharType="separate"/>
            </w:r>
            <w:r>
              <w:rPr>
                <w:noProof/>
                <w:webHidden/>
              </w:rPr>
              <w:t>27</w:t>
            </w:r>
            <w:r>
              <w:rPr>
                <w:noProof/>
                <w:webHidden/>
              </w:rPr>
              <w:fldChar w:fldCharType="end"/>
            </w:r>
          </w:hyperlink>
        </w:p>
        <w:p w14:paraId="6328F60F" w14:textId="715E9F21"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3" w:history="1">
            <w:r w:rsidRPr="00270D11">
              <w:rPr>
                <w:rStyle w:val="Hyperlink"/>
                <w:noProof/>
              </w:rPr>
              <w:t>26</w:t>
            </w:r>
            <w:r>
              <w:rPr>
                <w:rFonts w:asciiTheme="minorHAnsi" w:eastAsiaTheme="minorEastAsia" w:hAnsiTheme="minorHAnsi"/>
                <w:noProof/>
                <w:kern w:val="2"/>
                <w:szCs w:val="24"/>
                <w:lang w:eastAsia="en-GB"/>
                <w14:ligatures w14:val="standardContextual"/>
              </w:rPr>
              <w:tab/>
            </w:r>
            <w:r w:rsidRPr="00270D11">
              <w:rPr>
                <w:rStyle w:val="Hyperlink"/>
                <w:noProof/>
              </w:rPr>
              <w:t>Slide 26: Role of Line Managers</w:t>
            </w:r>
            <w:r>
              <w:rPr>
                <w:noProof/>
                <w:webHidden/>
              </w:rPr>
              <w:tab/>
            </w:r>
            <w:r>
              <w:rPr>
                <w:noProof/>
                <w:webHidden/>
              </w:rPr>
              <w:fldChar w:fldCharType="begin"/>
            </w:r>
            <w:r>
              <w:rPr>
                <w:noProof/>
                <w:webHidden/>
              </w:rPr>
              <w:instrText xml:space="preserve"> PAGEREF _Toc213373813 \h </w:instrText>
            </w:r>
            <w:r>
              <w:rPr>
                <w:noProof/>
                <w:webHidden/>
              </w:rPr>
            </w:r>
            <w:r>
              <w:rPr>
                <w:noProof/>
                <w:webHidden/>
              </w:rPr>
              <w:fldChar w:fldCharType="separate"/>
            </w:r>
            <w:r>
              <w:rPr>
                <w:noProof/>
                <w:webHidden/>
              </w:rPr>
              <w:t>28</w:t>
            </w:r>
            <w:r>
              <w:rPr>
                <w:noProof/>
                <w:webHidden/>
              </w:rPr>
              <w:fldChar w:fldCharType="end"/>
            </w:r>
          </w:hyperlink>
        </w:p>
        <w:p w14:paraId="35748719" w14:textId="15E31C36"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4" w:history="1">
            <w:r w:rsidRPr="00270D11">
              <w:rPr>
                <w:rStyle w:val="Hyperlink"/>
                <w:noProof/>
              </w:rPr>
              <w:t>27</w:t>
            </w:r>
            <w:r>
              <w:rPr>
                <w:rFonts w:asciiTheme="minorHAnsi" w:eastAsiaTheme="minorEastAsia" w:hAnsiTheme="minorHAnsi"/>
                <w:noProof/>
                <w:kern w:val="2"/>
                <w:szCs w:val="24"/>
                <w:lang w:eastAsia="en-GB"/>
                <w14:ligatures w14:val="standardContextual"/>
              </w:rPr>
              <w:tab/>
            </w:r>
            <w:r w:rsidRPr="00270D11">
              <w:rPr>
                <w:rStyle w:val="Hyperlink"/>
                <w:noProof/>
              </w:rPr>
              <w:t>Slide 27: Recommendations</w:t>
            </w:r>
            <w:r>
              <w:rPr>
                <w:noProof/>
                <w:webHidden/>
              </w:rPr>
              <w:tab/>
            </w:r>
            <w:r>
              <w:rPr>
                <w:noProof/>
                <w:webHidden/>
              </w:rPr>
              <w:fldChar w:fldCharType="begin"/>
            </w:r>
            <w:r>
              <w:rPr>
                <w:noProof/>
                <w:webHidden/>
              </w:rPr>
              <w:instrText xml:space="preserve"> PAGEREF _Toc213373814 \h </w:instrText>
            </w:r>
            <w:r>
              <w:rPr>
                <w:noProof/>
                <w:webHidden/>
              </w:rPr>
            </w:r>
            <w:r>
              <w:rPr>
                <w:noProof/>
                <w:webHidden/>
              </w:rPr>
              <w:fldChar w:fldCharType="separate"/>
            </w:r>
            <w:r>
              <w:rPr>
                <w:noProof/>
                <w:webHidden/>
              </w:rPr>
              <w:t>29</w:t>
            </w:r>
            <w:r>
              <w:rPr>
                <w:noProof/>
                <w:webHidden/>
              </w:rPr>
              <w:fldChar w:fldCharType="end"/>
            </w:r>
          </w:hyperlink>
        </w:p>
        <w:p w14:paraId="526FA844" w14:textId="49272996"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5" w:history="1">
            <w:r w:rsidRPr="00270D11">
              <w:rPr>
                <w:rStyle w:val="Hyperlink"/>
                <w:noProof/>
              </w:rPr>
              <w:t>28</w:t>
            </w:r>
            <w:r>
              <w:rPr>
                <w:rFonts w:asciiTheme="minorHAnsi" w:eastAsiaTheme="minorEastAsia" w:hAnsiTheme="minorHAnsi"/>
                <w:noProof/>
                <w:kern w:val="2"/>
                <w:szCs w:val="24"/>
                <w:lang w:eastAsia="en-GB"/>
                <w14:ligatures w14:val="standardContextual"/>
              </w:rPr>
              <w:tab/>
            </w:r>
            <w:r w:rsidRPr="00270D11">
              <w:rPr>
                <w:rStyle w:val="Hyperlink"/>
                <w:noProof/>
              </w:rPr>
              <w:t>Slide 28: Conclusion</w:t>
            </w:r>
            <w:r>
              <w:rPr>
                <w:noProof/>
                <w:webHidden/>
              </w:rPr>
              <w:tab/>
            </w:r>
            <w:r>
              <w:rPr>
                <w:noProof/>
                <w:webHidden/>
              </w:rPr>
              <w:fldChar w:fldCharType="begin"/>
            </w:r>
            <w:r>
              <w:rPr>
                <w:noProof/>
                <w:webHidden/>
              </w:rPr>
              <w:instrText xml:space="preserve"> PAGEREF _Toc213373815 \h </w:instrText>
            </w:r>
            <w:r>
              <w:rPr>
                <w:noProof/>
                <w:webHidden/>
              </w:rPr>
            </w:r>
            <w:r>
              <w:rPr>
                <w:noProof/>
                <w:webHidden/>
              </w:rPr>
              <w:fldChar w:fldCharType="separate"/>
            </w:r>
            <w:r>
              <w:rPr>
                <w:noProof/>
                <w:webHidden/>
              </w:rPr>
              <w:t>30</w:t>
            </w:r>
            <w:r>
              <w:rPr>
                <w:noProof/>
                <w:webHidden/>
              </w:rPr>
              <w:fldChar w:fldCharType="end"/>
            </w:r>
          </w:hyperlink>
        </w:p>
        <w:p w14:paraId="20971EE8" w14:textId="24CD2AAA" w:rsidR="00B8531B" w:rsidRDefault="00B8531B" w:rsidP="00B8531B">
          <w:pPr>
            <w:pStyle w:val="TOC1"/>
            <w:tabs>
              <w:tab w:val="left" w:pos="567"/>
              <w:tab w:val="left" w:pos="1200"/>
              <w:tab w:val="right" w:leader="dot" w:pos="9350"/>
            </w:tabs>
            <w:ind w:firstLine="0"/>
            <w:rPr>
              <w:rFonts w:asciiTheme="minorHAnsi" w:eastAsiaTheme="minorEastAsia" w:hAnsiTheme="minorHAnsi"/>
              <w:noProof/>
              <w:kern w:val="2"/>
              <w:szCs w:val="24"/>
              <w:lang w:eastAsia="en-GB"/>
              <w14:ligatures w14:val="standardContextual"/>
            </w:rPr>
          </w:pPr>
          <w:hyperlink w:anchor="_Toc213373816" w:history="1">
            <w:r w:rsidRPr="00270D11">
              <w:rPr>
                <w:rStyle w:val="Hyperlink"/>
                <w:noProof/>
              </w:rPr>
              <w:t>29</w:t>
            </w:r>
            <w:r>
              <w:rPr>
                <w:rFonts w:asciiTheme="minorHAnsi" w:eastAsiaTheme="minorEastAsia" w:hAnsiTheme="minorHAnsi"/>
                <w:noProof/>
                <w:kern w:val="2"/>
                <w:szCs w:val="24"/>
                <w:lang w:eastAsia="en-GB"/>
                <w14:ligatures w14:val="standardContextual"/>
              </w:rPr>
              <w:tab/>
            </w:r>
            <w:r w:rsidRPr="00270D11">
              <w:rPr>
                <w:rStyle w:val="Hyperlink"/>
                <w:noProof/>
              </w:rPr>
              <w:t>Slide 28: References</w:t>
            </w:r>
            <w:r>
              <w:rPr>
                <w:noProof/>
                <w:webHidden/>
              </w:rPr>
              <w:tab/>
            </w:r>
            <w:r>
              <w:rPr>
                <w:noProof/>
                <w:webHidden/>
              </w:rPr>
              <w:fldChar w:fldCharType="begin"/>
            </w:r>
            <w:r>
              <w:rPr>
                <w:noProof/>
                <w:webHidden/>
              </w:rPr>
              <w:instrText xml:space="preserve"> PAGEREF _Toc213373816 \h </w:instrText>
            </w:r>
            <w:r>
              <w:rPr>
                <w:noProof/>
                <w:webHidden/>
              </w:rPr>
            </w:r>
            <w:r>
              <w:rPr>
                <w:noProof/>
                <w:webHidden/>
              </w:rPr>
              <w:fldChar w:fldCharType="separate"/>
            </w:r>
            <w:r>
              <w:rPr>
                <w:noProof/>
                <w:webHidden/>
              </w:rPr>
              <w:t>31</w:t>
            </w:r>
            <w:r>
              <w:rPr>
                <w:noProof/>
                <w:webHidden/>
              </w:rPr>
              <w:fldChar w:fldCharType="end"/>
            </w:r>
          </w:hyperlink>
        </w:p>
        <w:p w14:paraId="35DCB99D" w14:textId="60897AD4" w:rsidR="00422FAE" w:rsidRPr="00422FAE" w:rsidRDefault="00001058" w:rsidP="00391B28">
          <w:pPr>
            <w:spacing w:line="240" w:lineRule="auto"/>
          </w:pPr>
          <w:r w:rsidRPr="0092338D">
            <w:rPr>
              <w:b/>
              <w:bCs/>
              <w:noProof/>
            </w:rPr>
            <w:fldChar w:fldCharType="end"/>
          </w:r>
        </w:p>
      </w:sdtContent>
    </w:sdt>
    <w:p w14:paraId="6FC97A26" w14:textId="77777777" w:rsidR="00B621A2" w:rsidRDefault="00B621A2" w:rsidP="00391B28">
      <w:pPr>
        <w:pStyle w:val="Heading1"/>
        <w:numPr>
          <w:ilvl w:val="0"/>
          <w:numId w:val="0"/>
        </w:numPr>
        <w:spacing w:line="240" w:lineRule="auto"/>
        <w:ind w:left="432"/>
      </w:pPr>
    </w:p>
    <w:p w14:paraId="1F5FF3E6" w14:textId="77777777" w:rsidR="00B621A2" w:rsidRDefault="00B621A2" w:rsidP="00391B28">
      <w:pPr>
        <w:spacing w:line="240" w:lineRule="auto"/>
      </w:pPr>
    </w:p>
    <w:bookmarkEnd w:id="1"/>
    <w:p w14:paraId="3F1C8E34" w14:textId="77777777" w:rsidR="00B621A2" w:rsidRDefault="00B621A2" w:rsidP="00391B28">
      <w:pPr>
        <w:spacing w:line="240" w:lineRule="auto"/>
      </w:pPr>
    </w:p>
    <w:p w14:paraId="45883DF4" w14:textId="77777777" w:rsidR="00B621A2" w:rsidRDefault="00B621A2" w:rsidP="00391B28">
      <w:pPr>
        <w:spacing w:line="240" w:lineRule="auto"/>
      </w:pPr>
    </w:p>
    <w:p w14:paraId="16BD840C" w14:textId="77777777" w:rsidR="00B621A2" w:rsidRDefault="00B621A2" w:rsidP="00391B28">
      <w:pPr>
        <w:spacing w:line="240" w:lineRule="auto"/>
      </w:pPr>
    </w:p>
    <w:bookmarkEnd w:id="0"/>
    <w:p w14:paraId="4D0B9915" w14:textId="77777777" w:rsidR="0015598A" w:rsidRDefault="0015598A" w:rsidP="00957BD1">
      <w:pPr>
        <w:spacing w:line="240" w:lineRule="auto"/>
        <w:ind w:firstLine="0"/>
      </w:pPr>
    </w:p>
    <w:p w14:paraId="3A1AFFDD" w14:textId="77777777" w:rsidR="005E77AE" w:rsidRDefault="005E77AE" w:rsidP="00957BD1">
      <w:pPr>
        <w:spacing w:line="240" w:lineRule="auto"/>
        <w:ind w:firstLine="0"/>
      </w:pPr>
    </w:p>
    <w:p w14:paraId="1D1DDFE2" w14:textId="77777777" w:rsidR="005E77AE" w:rsidRDefault="005E77AE" w:rsidP="00957BD1">
      <w:pPr>
        <w:spacing w:line="240" w:lineRule="auto"/>
        <w:ind w:firstLine="0"/>
      </w:pPr>
    </w:p>
    <w:p w14:paraId="6FCFC0F0" w14:textId="77777777" w:rsidR="005E77AE" w:rsidRDefault="005E77AE" w:rsidP="00957BD1">
      <w:pPr>
        <w:spacing w:line="240" w:lineRule="auto"/>
        <w:ind w:firstLine="0"/>
      </w:pPr>
    </w:p>
    <w:p w14:paraId="08A4BE4F" w14:textId="193B6AF2" w:rsidR="00957BD1" w:rsidRDefault="00C92F03" w:rsidP="00C92F03">
      <w:pPr>
        <w:pStyle w:val="Heading1"/>
      </w:pPr>
      <w:bookmarkStart w:id="3" w:name="_Toc213373788"/>
      <w:r>
        <w:lastRenderedPageBreak/>
        <w:t xml:space="preserve">Slide 1: </w:t>
      </w:r>
      <w:r w:rsidR="00957BD1">
        <w:t>Title Slide</w:t>
      </w:r>
      <w:bookmarkEnd w:id="3"/>
    </w:p>
    <w:p w14:paraId="250CE576" w14:textId="54967E2D" w:rsidR="002E7CF3" w:rsidRDefault="009F705B" w:rsidP="002E7CF3">
      <w:r w:rsidRPr="009F705B">
        <w:rPr>
          <w:noProof/>
        </w:rPr>
        <w:drawing>
          <wp:inline distT="0" distB="0" distL="0" distR="0" wp14:anchorId="2C735892" wp14:editId="3BFFCD76">
            <wp:extent cx="5943600" cy="3418205"/>
            <wp:effectExtent l="0" t="0" r="0" b="0"/>
            <wp:docPr id="1297711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11692" name=""/>
                    <pic:cNvPicPr/>
                  </pic:nvPicPr>
                  <pic:blipFill>
                    <a:blip r:embed="rId9"/>
                    <a:stretch>
                      <a:fillRect/>
                    </a:stretch>
                  </pic:blipFill>
                  <pic:spPr>
                    <a:xfrm>
                      <a:off x="0" y="0"/>
                      <a:ext cx="5943600" cy="3418205"/>
                    </a:xfrm>
                    <a:prstGeom prst="rect">
                      <a:avLst/>
                    </a:prstGeom>
                  </pic:spPr>
                </pic:pic>
              </a:graphicData>
            </a:graphic>
          </wp:inline>
        </w:drawing>
      </w:r>
    </w:p>
    <w:p w14:paraId="7C73755B" w14:textId="01E764A6" w:rsidR="00C92F03" w:rsidRPr="00C92F03" w:rsidRDefault="009748BB" w:rsidP="00C92F03">
      <w:pPr>
        <w:pStyle w:val="Heading1"/>
      </w:pPr>
      <w:bookmarkStart w:id="4" w:name="_Toc213373789"/>
      <w:r>
        <w:t xml:space="preserve">Slide 2: </w:t>
      </w:r>
      <w:r w:rsidR="00C92F03">
        <w:t>Outline of the Slide</w:t>
      </w:r>
      <w:r w:rsidR="00470221">
        <w:t>s</w:t>
      </w:r>
      <w:bookmarkEnd w:id="4"/>
    </w:p>
    <w:p w14:paraId="05C166CB" w14:textId="1D3BA2DE" w:rsidR="0015598A" w:rsidRDefault="009F705B" w:rsidP="00A52354">
      <w:pPr>
        <w:spacing w:line="240" w:lineRule="auto"/>
        <w:ind w:firstLine="0"/>
      </w:pPr>
      <w:r w:rsidRPr="009F705B">
        <w:rPr>
          <w:noProof/>
        </w:rPr>
        <w:drawing>
          <wp:inline distT="0" distB="0" distL="0" distR="0" wp14:anchorId="13E3D174" wp14:editId="0EB1CBFC">
            <wp:extent cx="5943600" cy="3386455"/>
            <wp:effectExtent l="0" t="0" r="0" b="0"/>
            <wp:docPr id="1444560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60166" name=""/>
                    <pic:cNvPicPr/>
                  </pic:nvPicPr>
                  <pic:blipFill>
                    <a:blip r:embed="rId10"/>
                    <a:stretch>
                      <a:fillRect/>
                    </a:stretch>
                  </pic:blipFill>
                  <pic:spPr>
                    <a:xfrm>
                      <a:off x="0" y="0"/>
                      <a:ext cx="5943600" cy="3386455"/>
                    </a:xfrm>
                    <a:prstGeom prst="rect">
                      <a:avLst/>
                    </a:prstGeom>
                  </pic:spPr>
                </pic:pic>
              </a:graphicData>
            </a:graphic>
          </wp:inline>
        </w:drawing>
      </w:r>
    </w:p>
    <w:p w14:paraId="697376B6" w14:textId="77777777" w:rsidR="00F6207D" w:rsidRDefault="00F6207D" w:rsidP="00CB6065">
      <w:pPr>
        <w:pStyle w:val="Heading1"/>
      </w:pPr>
      <w:bookmarkStart w:id="5" w:name="_Toc213373790"/>
      <w:r w:rsidRPr="00F6207D">
        <w:lastRenderedPageBreak/>
        <w:t>Slide 3: Introduction</w:t>
      </w:r>
      <w:bookmarkEnd w:id="5"/>
    </w:p>
    <w:p w14:paraId="3B78D65F" w14:textId="675E13B4" w:rsidR="009F705B" w:rsidRPr="009F705B" w:rsidRDefault="009F705B" w:rsidP="009F705B">
      <w:r w:rsidRPr="009F705B">
        <w:rPr>
          <w:noProof/>
        </w:rPr>
        <w:drawing>
          <wp:inline distT="0" distB="0" distL="0" distR="0" wp14:anchorId="1F26C146" wp14:editId="49A60292">
            <wp:extent cx="5943600" cy="3415665"/>
            <wp:effectExtent l="0" t="0" r="0" b="0"/>
            <wp:docPr id="1288641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641437" name=""/>
                    <pic:cNvPicPr/>
                  </pic:nvPicPr>
                  <pic:blipFill>
                    <a:blip r:embed="rId11"/>
                    <a:stretch>
                      <a:fillRect/>
                    </a:stretch>
                  </pic:blipFill>
                  <pic:spPr>
                    <a:xfrm>
                      <a:off x="0" y="0"/>
                      <a:ext cx="5943600" cy="3415665"/>
                    </a:xfrm>
                    <a:prstGeom prst="rect">
                      <a:avLst/>
                    </a:prstGeom>
                  </pic:spPr>
                </pic:pic>
              </a:graphicData>
            </a:graphic>
          </wp:inline>
        </w:drawing>
      </w:r>
    </w:p>
    <w:p w14:paraId="2A8E4E17" w14:textId="7E53C400" w:rsidR="00F6207D" w:rsidRPr="00F6207D" w:rsidRDefault="00B61C52" w:rsidP="00AF4391">
      <w:pPr>
        <w:ind w:firstLine="0"/>
      </w:pPr>
      <w:r>
        <w:tab/>
      </w:r>
      <w:r w:rsidR="00057B9D" w:rsidRPr="00057B9D">
        <w:t>This presentation critically evaluates the global human resource strategies used by Rolls Royce and how these strategies are relevant to the performance of organisations. It examines the recruitment, training, performance management, and the aspect of diversity, equity and inclusion dimensions thus incorporating theoretical construct as well as empirical practise.</w:t>
      </w:r>
      <w:r w:rsidR="001060B2" w:rsidRPr="001060B2">
        <w:t xml:space="preserve"> The research paper outlines the role of HR policies in supporting the strategic goals of the company concerning innovation and sustainability, as well as recommendations, based on action, to enhance the efficiency of the </w:t>
      </w:r>
      <w:r w:rsidR="001060B2">
        <w:t>organisation</w:t>
      </w:r>
      <w:r w:rsidR="001060B2" w:rsidRPr="001060B2">
        <w:t xml:space="preserve"> and competence of the employees.</w:t>
      </w:r>
    </w:p>
    <w:p w14:paraId="30569383" w14:textId="77777777" w:rsidR="00F6207D" w:rsidRDefault="00F6207D" w:rsidP="00CB6065">
      <w:pPr>
        <w:pStyle w:val="Heading1"/>
      </w:pPr>
      <w:bookmarkStart w:id="6" w:name="_Toc213373791"/>
      <w:r w:rsidRPr="00F6207D">
        <w:lastRenderedPageBreak/>
        <w:t>Slide 4: Recruitment and Selection of Rolls-Royce in a Global Context</w:t>
      </w:r>
      <w:bookmarkEnd w:id="6"/>
    </w:p>
    <w:p w14:paraId="0275882B" w14:textId="7FAF134E" w:rsidR="009F705B" w:rsidRPr="009F705B" w:rsidRDefault="009F705B" w:rsidP="009F705B">
      <w:r w:rsidRPr="009F705B">
        <w:rPr>
          <w:noProof/>
        </w:rPr>
        <w:drawing>
          <wp:inline distT="0" distB="0" distL="0" distR="0" wp14:anchorId="7A84845A" wp14:editId="4ADEE775">
            <wp:extent cx="5943600" cy="3420745"/>
            <wp:effectExtent l="0" t="0" r="0" b="0"/>
            <wp:docPr id="989814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14678" name=""/>
                    <pic:cNvPicPr/>
                  </pic:nvPicPr>
                  <pic:blipFill>
                    <a:blip r:embed="rId12"/>
                    <a:stretch>
                      <a:fillRect/>
                    </a:stretch>
                  </pic:blipFill>
                  <pic:spPr>
                    <a:xfrm>
                      <a:off x="0" y="0"/>
                      <a:ext cx="5943600" cy="3420745"/>
                    </a:xfrm>
                    <a:prstGeom prst="rect">
                      <a:avLst/>
                    </a:prstGeom>
                  </pic:spPr>
                </pic:pic>
              </a:graphicData>
            </a:graphic>
          </wp:inline>
        </w:drawing>
      </w:r>
    </w:p>
    <w:p w14:paraId="6E6BF331" w14:textId="5C3FEFFE" w:rsidR="00F6207D" w:rsidRPr="00F6207D" w:rsidRDefault="00B61C52" w:rsidP="00AF4391">
      <w:pPr>
        <w:ind w:firstLine="0"/>
      </w:pPr>
      <w:r>
        <w:tab/>
      </w:r>
      <w:r w:rsidR="003139A8" w:rsidRPr="003139A8">
        <w:t xml:space="preserve">Recruitment and selection are vital processes that support the ability of </w:t>
      </w:r>
      <w:r w:rsidR="003139A8">
        <w:t>Rolls-Royce</w:t>
      </w:r>
      <w:r w:rsidR="003139A8" w:rsidRPr="003139A8">
        <w:t xml:space="preserve"> to acquire high-quality engineering and digital talent across the globe (Monteiro, 2022). The international approach of recruiting new </w:t>
      </w:r>
      <w:r w:rsidR="003139A8">
        <w:t>staff</w:t>
      </w:r>
      <w:r w:rsidR="003139A8" w:rsidRPr="003139A8">
        <w:t xml:space="preserve"> enhances the goals of the enterprise, which are to promote innovation, safety, and environmental care (Naqvi et al., 2025). Through active recruitment of talented engineers, graduates, and apprentices globally, </w:t>
      </w:r>
      <w:r w:rsidR="003139A8">
        <w:t>Rolls-Royce</w:t>
      </w:r>
      <w:r w:rsidR="003139A8" w:rsidRPr="003139A8">
        <w:t xml:space="preserve"> is developing a talent pool that recreates its work ethos and reaffirms its </w:t>
      </w:r>
      <w:r w:rsidR="003139A8">
        <w:t>top-placed</w:t>
      </w:r>
      <w:r w:rsidR="003139A8" w:rsidRPr="003139A8">
        <w:t xml:space="preserve"> status in aerospace technology. </w:t>
      </w:r>
    </w:p>
    <w:p w14:paraId="3E5D9BB5" w14:textId="77777777" w:rsidR="00F6207D" w:rsidRDefault="00F6207D" w:rsidP="00CB6065">
      <w:pPr>
        <w:pStyle w:val="Heading1"/>
      </w:pPr>
      <w:bookmarkStart w:id="7" w:name="_Toc213373792"/>
      <w:r w:rsidRPr="00F6207D">
        <w:t>Slide 5: Current Policies and Practices</w:t>
      </w:r>
      <w:bookmarkEnd w:id="7"/>
    </w:p>
    <w:p w14:paraId="2983230C" w14:textId="62036DBE" w:rsidR="009F705B" w:rsidRPr="009F705B" w:rsidRDefault="009F705B" w:rsidP="009F705B">
      <w:r w:rsidRPr="009F705B">
        <w:rPr>
          <w:noProof/>
        </w:rPr>
        <w:drawing>
          <wp:inline distT="0" distB="0" distL="0" distR="0" wp14:anchorId="3895F288" wp14:editId="4EADB335">
            <wp:extent cx="5943600" cy="3411220"/>
            <wp:effectExtent l="0" t="0" r="0" b="0"/>
            <wp:docPr id="1077884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884419" name=""/>
                    <pic:cNvPicPr/>
                  </pic:nvPicPr>
                  <pic:blipFill>
                    <a:blip r:embed="rId13"/>
                    <a:stretch>
                      <a:fillRect/>
                    </a:stretch>
                  </pic:blipFill>
                  <pic:spPr>
                    <a:xfrm>
                      <a:off x="0" y="0"/>
                      <a:ext cx="5943600" cy="3411220"/>
                    </a:xfrm>
                    <a:prstGeom prst="rect">
                      <a:avLst/>
                    </a:prstGeom>
                  </pic:spPr>
                </pic:pic>
              </a:graphicData>
            </a:graphic>
          </wp:inline>
        </w:drawing>
      </w:r>
    </w:p>
    <w:p w14:paraId="0E03D17C" w14:textId="2C4FE431" w:rsidR="00F6207D" w:rsidRPr="00F6207D" w:rsidRDefault="003139A8" w:rsidP="00CB6065">
      <w:r w:rsidRPr="003139A8">
        <w:t xml:space="preserve">The protocols of recruitment of </w:t>
      </w:r>
      <w:r>
        <w:t>Rolls-Royce</w:t>
      </w:r>
      <w:r w:rsidRPr="003139A8">
        <w:t xml:space="preserve"> combine </w:t>
      </w:r>
      <w:r>
        <w:t>formalised</w:t>
      </w:r>
      <w:r w:rsidRPr="003139A8">
        <w:t xml:space="preserve"> programmes and </w:t>
      </w:r>
      <w:r>
        <w:t>computerised</w:t>
      </w:r>
      <w:r w:rsidRPr="003139A8">
        <w:t xml:space="preserve"> applications in ensuring a high level of consistency and equity. The Early Career structure, targeting graduates and apprentices, helps to develop various leadership opportunities (Grimshaw et al., 2022). Digital selection tools and virtual assessment centres support the process of hiring by facilitating and enhancing transparency (Enyejo et al., 2024). All these measures enable the organisation to tap into talent in the global market in an affordable way and at the same time </w:t>
      </w:r>
      <w:r>
        <w:t>ensure</w:t>
      </w:r>
      <w:r w:rsidRPr="003139A8">
        <w:t xml:space="preserve"> that there is uniformity in the recruitment standards within the organisation.</w:t>
      </w:r>
    </w:p>
    <w:p w14:paraId="43883C6B" w14:textId="77777777" w:rsidR="00F6207D" w:rsidRDefault="00F6207D" w:rsidP="00CB6065">
      <w:pPr>
        <w:pStyle w:val="Heading1"/>
      </w:pPr>
      <w:bookmarkStart w:id="8" w:name="_Toc213373793"/>
      <w:r w:rsidRPr="00F6207D">
        <w:t>Slide 6: Person–Organisation Fit (P–O Fit) Theory</w:t>
      </w:r>
      <w:bookmarkEnd w:id="8"/>
    </w:p>
    <w:p w14:paraId="17C75A37" w14:textId="0908CF68" w:rsidR="009F705B" w:rsidRPr="009F705B" w:rsidRDefault="009F705B" w:rsidP="009F705B">
      <w:r w:rsidRPr="009F705B">
        <w:rPr>
          <w:noProof/>
        </w:rPr>
        <w:drawing>
          <wp:inline distT="0" distB="0" distL="0" distR="0" wp14:anchorId="3209918A" wp14:editId="7504F6B4">
            <wp:extent cx="5943600" cy="3400425"/>
            <wp:effectExtent l="0" t="0" r="0" b="0"/>
            <wp:docPr id="109397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70105" name=""/>
                    <pic:cNvPicPr/>
                  </pic:nvPicPr>
                  <pic:blipFill>
                    <a:blip r:embed="rId14"/>
                    <a:stretch>
                      <a:fillRect/>
                    </a:stretch>
                  </pic:blipFill>
                  <pic:spPr>
                    <a:xfrm>
                      <a:off x="0" y="0"/>
                      <a:ext cx="5943600" cy="3400425"/>
                    </a:xfrm>
                    <a:prstGeom prst="rect">
                      <a:avLst/>
                    </a:prstGeom>
                  </pic:spPr>
                </pic:pic>
              </a:graphicData>
            </a:graphic>
          </wp:inline>
        </w:drawing>
      </w:r>
    </w:p>
    <w:p w14:paraId="5597F573" w14:textId="485CC25A" w:rsidR="00F6207D" w:rsidRPr="00F6207D" w:rsidRDefault="00B61C52" w:rsidP="00AF4391">
      <w:pPr>
        <w:ind w:firstLine="0"/>
      </w:pPr>
      <w:r>
        <w:tab/>
      </w:r>
      <w:r w:rsidR="003139A8" w:rsidRPr="003139A8">
        <w:t xml:space="preserve">The recruitment philosophy by Rolls-Royce has </w:t>
      </w:r>
      <w:r w:rsidR="003139A8">
        <w:t xml:space="preserve">a </w:t>
      </w:r>
      <w:r w:rsidR="003139A8" w:rsidRPr="003139A8">
        <w:t xml:space="preserve">theoretical basis in </w:t>
      </w:r>
      <w:r w:rsidR="003139A8">
        <w:t>the Person-organisation</w:t>
      </w:r>
      <w:r w:rsidR="003139A8" w:rsidRPr="003139A8">
        <w:t xml:space="preserve"> fit theory. Value congruence guarantees that the mindset of innovation among candidates and the pioneering culture in the company are congruent with each other. Goal alignment highlights common </w:t>
      </w:r>
      <w:r w:rsidR="003139A8">
        <w:t>practices</w:t>
      </w:r>
      <w:r w:rsidR="003139A8" w:rsidRPr="003139A8">
        <w:t xml:space="preserve"> of sustainability and digital transformation (Enyejo et al., 2024). The behavioural interviews are used to determine personality and cultural fit, but work-environment fit is strengthened through global induction programmes (Kamp, 2023). These dimensions, taken as a whole, enable the effective mechanism of introducing candidates into the Rolls-Royce collaborative and high-technical culture.</w:t>
      </w:r>
    </w:p>
    <w:p w14:paraId="41B030B1" w14:textId="77777777" w:rsidR="00F6207D" w:rsidRDefault="00F6207D" w:rsidP="00CB6065">
      <w:pPr>
        <w:pStyle w:val="Heading1"/>
      </w:pPr>
      <w:bookmarkStart w:id="9" w:name="_Toc213373794"/>
      <w:r w:rsidRPr="00F6207D">
        <w:t>Slide 7: Key Challenges</w:t>
      </w:r>
      <w:bookmarkEnd w:id="9"/>
    </w:p>
    <w:p w14:paraId="7B675C71" w14:textId="40FCBAE6" w:rsidR="009F705B" w:rsidRPr="009F705B" w:rsidRDefault="009F705B" w:rsidP="009F705B">
      <w:r w:rsidRPr="009F705B">
        <w:rPr>
          <w:noProof/>
        </w:rPr>
        <w:drawing>
          <wp:inline distT="0" distB="0" distL="0" distR="0" wp14:anchorId="3A9AD994" wp14:editId="051068C5">
            <wp:extent cx="5943600" cy="3412490"/>
            <wp:effectExtent l="0" t="0" r="0" b="0"/>
            <wp:docPr id="169364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40858" name=""/>
                    <pic:cNvPicPr/>
                  </pic:nvPicPr>
                  <pic:blipFill>
                    <a:blip r:embed="rId15"/>
                    <a:stretch>
                      <a:fillRect/>
                    </a:stretch>
                  </pic:blipFill>
                  <pic:spPr>
                    <a:xfrm>
                      <a:off x="0" y="0"/>
                      <a:ext cx="5943600" cy="3412490"/>
                    </a:xfrm>
                    <a:prstGeom prst="rect">
                      <a:avLst/>
                    </a:prstGeom>
                  </pic:spPr>
                </pic:pic>
              </a:graphicData>
            </a:graphic>
          </wp:inline>
        </w:drawing>
      </w:r>
    </w:p>
    <w:p w14:paraId="0F951C1B" w14:textId="6D4E90E8" w:rsidR="00F6207D" w:rsidRPr="00F6207D" w:rsidRDefault="00B61C52" w:rsidP="00AF4391">
      <w:pPr>
        <w:ind w:firstLine="0"/>
      </w:pPr>
      <w:r>
        <w:tab/>
      </w:r>
      <w:r w:rsidR="003139A8" w:rsidRPr="003139A8">
        <w:t xml:space="preserve">Although the company has the best employer brand reputation, Rolls-Royce faces the salient </w:t>
      </w:r>
      <w:r w:rsidR="003139A8">
        <w:t>problem</w:t>
      </w:r>
      <w:r w:rsidR="003139A8" w:rsidRPr="003139A8">
        <w:t xml:space="preserve"> of recruiting specialised digital and engineering skills. There is still strong competition in the world, widespread skills gaps, and imbalances in population (Gibbs et al., 2025). Moreover, there are </w:t>
      </w:r>
      <w:r w:rsidR="003139A8">
        <w:t>several</w:t>
      </w:r>
      <w:r w:rsidR="003139A8" w:rsidRPr="003139A8">
        <w:t xml:space="preserve"> </w:t>
      </w:r>
      <w:r w:rsidR="003139A8">
        <w:t>diversity</w:t>
      </w:r>
      <w:r w:rsidR="003139A8" w:rsidRPr="003139A8">
        <w:t xml:space="preserve"> gaps, especially the imbalance in </w:t>
      </w:r>
      <w:r w:rsidR="003139A8">
        <w:t>the representation of</w:t>
      </w:r>
      <w:r w:rsidR="003139A8" w:rsidRPr="003139A8">
        <w:t xml:space="preserve"> women and minorities in technical and leadership positions</w:t>
      </w:r>
      <w:r w:rsidR="003139A8">
        <w:t>, which</w:t>
      </w:r>
      <w:r w:rsidR="003139A8" w:rsidRPr="003139A8">
        <w:t xml:space="preserve"> affects inclusivity (McDowall et al., 2023). These challenges highlight the critical need to have new talent recruitment </w:t>
      </w:r>
      <w:r w:rsidR="003139A8">
        <w:t>practices</w:t>
      </w:r>
      <w:r w:rsidR="003139A8" w:rsidRPr="003139A8">
        <w:t xml:space="preserve"> and stronger global workforce </w:t>
      </w:r>
      <w:r w:rsidR="003139A8">
        <w:t>practices</w:t>
      </w:r>
      <w:r w:rsidR="003139A8" w:rsidRPr="003139A8">
        <w:t>.</w:t>
      </w:r>
    </w:p>
    <w:p w14:paraId="6663E0B8" w14:textId="77777777" w:rsidR="00F6207D" w:rsidRDefault="00F6207D" w:rsidP="00CB6065">
      <w:pPr>
        <w:pStyle w:val="Heading1"/>
      </w:pPr>
      <w:bookmarkStart w:id="10" w:name="_Toc213373795"/>
      <w:r w:rsidRPr="00F6207D">
        <w:t>Slide 8: Role of Line Managers</w:t>
      </w:r>
      <w:bookmarkEnd w:id="10"/>
    </w:p>
    <w:p w14:paraId="6B4E62A2" w14:textId="7320DBDB" w:rsidR="009F705B" w:rsidRPr="009F705B" w:rsidRDefault="009F705B" w:rsidP="009F705B">
      <w:r w:rsidRPr="009F705B">
        <w:rPr>
          <w:noProof/>
        </w:rPr>
        <w:drawing>
          <wp:inline distT="0" distB="0" distL="0" distR="0" wp14:anchorId="4E9F49AF" wp14:editId="651A15B7">
            <wp:extent cx="5943600" cy="3377565"/>
            <wp:effectExtent l="0" t="0" r="0" b="0"/>
            <wp:docPr id="201353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3886" name=""/>
                    <pic:cNvPicPr/>
                  </pic:nvPicPr>
                  <pic:blipFill>
                    <a:blip r:embed="rId16"/>
                    <a:stretch>
                      <a:fillRect/>
                    </a:stretch>
                  </pic:blipFill>
                  <pic:spPr>
                    <a:xfrm>
                      <a:off x="0" y="0"/>
                      <a:ext cx="5943600" cy="3377565"/>
                    </a:xfrm>
                    <a:prstGeom prst="rect">
                      <a:avLst/>
                    </a:prstGeom>
                  </pic:spPr>
                </pic:pic>
              </a:graphicData>
            </a:graphic>
          </wp:inline>
        </w:drawing>
      </w:r>
    </w:p>
    <w:p w14:paraId="2A9B2545" w14:textId="1574E027" w:rsidR="00F6207D" w:rsidRPr="00F6207D" w:rsidRDefault="00B61C52" w:rsidP="00AF4391">
      <w:pPr>
        <w:ind w:firstLine="0"/>
      </w:pPr>
      <w:r>
        <w:tab/>
      </w:r>
      <w:r w:rsidR="003139A8" w:rsidRPr="003139A8">
        <w:t xml:space="preserve">The Line managers are critical towards managing the recruitment and onboarding processes. They consider technical appropriateness and cultural adaptation and provide a smooth assimilation (Binzer et al., 2024). However, unfairness and the candidate experience may be undermined </w:t>
      </w:r>
      <w:r w:rsidR="003139A8">
        <w:t>by</w:t>
      </w:r>
      <w:r w:rsidR="003139A8" w:rsidRPr="003139A8">
        <w:t xml:space="preserve"> regional inconsistencies. Strong managerial participation will ensure that new employees obtain guidance and mentorship to adjust and perform well in the multidiverse high-margin teams (Tonini, 2022).</w:t>
      </w:r>
    </w:p>
    <w:p w14:paraId="1CF189EE" w14:textId="77777777" w:rsidR="00F6207D" w:rsidRDefault="00F6207D" w:rsidP="00CB6065">
      <w:pPr>
        <w:pStyle w:val="Heading1"/>
      </w:pPr>
      <w:bookmarkStart w:id="11" w:name="_Toc213373796"/>
      <w:r w:rsidRPr="00F6207D">
        <w:t>Slide 9: Recommendations</w:t>
      </w:r>
      <w:bookmarkEnd w:id="11"/>
    </w:p>
    <w:p w14:paraId="4497FE3E" w14:textId="3DFD2274" w:rsidR="009F705B" w:rsidRPr="009F705B" w:rsidRDefault="009F705B" w:rsidP="009F705B">
      <w:r w:rsidRPr="009F705B">
        <w:rPr>
          <w:noProof/>
        </w:rPr>
        <w:drawing>
          <wp:inline distT="0" distB="0" distL="0" distR="0" wp14:anchorId="331FA1BF" wp14:editId="3EE57602">
            <wp:extent cx="5943600" cy="3386455"/>
            <wp:effectExtent l="0" t="0" r="0" b="0"/>
            <wp:docPr id="19268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041" name=""/>
                    <pic:cNvPicPr/>
                  </pic:nvPicPr>
                  <pic:blipFill>
                    <a:blip r:embed="rId17"/>
                    <a:stretch>
                      <a:fillRect/>
                    </a:stretch>
                  </pic:blipFill>
                  <pic:spPr>
                    <a:xfrm>
                      <a:off x="0" y="0"/>
                      <a:ext cx="5943600" cy="3386455"/>
                    </a:xfrm>
                    <a:prstGeom prst="rect">
                      <a:avLst/>
                    </a:prstGeom>
                  </pic:spPr>
                </pic:pic>
              </a:graphicData>
            </a:graphic>
          </wp:inline>
        </w:drawing>
      </w:r>
    </w:p>
    <w:p w14:paraId="21B37EF9" w14:textId="6C417D04" w:rsidR="00F6207D" w:rsidRPr="00F6207D" w:rsidRDefault="00B61C52" w:rsidP="00AF4391">
      <w:pPr>
        <w:ind w:firstLine="0"/>
      </w:pPr>
      <w:r>
        <w:tab/>
      </w:r>
      <w:r w:rsidR="003139A8">
        <w:t>Rolls-Royce</w:t>
      </w:r>
      <w:r w:rsidR="003139A8" w:rsidRPr="003139A8">
        <w:t xml:space="preserve"> should expand its data-based recruitment model by incorporating predictive analytics and therefore optimise the prediction of candidate assessment and retention. Access to emergent technical talent can be enhanced by augmenting collaborations with universities across the world (Naqvi et al., 2025). Furthermore, the increase in diversity-oriented recruitment aims would be a step toward inclusiveness and reflect the commitment of the company to </w:t>
      </w:r>
      <w:r w:rsidR="003139A8">
        <w:t>diversifying</w:t>
      </w:r>
      <w:r w:rsidR="003139A8" w:rsidRPr="003139A8">
        <w:t xml:space="preserve"> its global workforce.</w:t>
      </w:r>
    </w:p>
    <w:p w14:paraId="7E1AE07C" w14:textId="77777777" w:rsidR="00F6207D" w:rsidRDefault="00F6207D" w:rsidP="00CB6065">
      <w:pPr>
        <w:pStyle w:val="Heading1"/>
      </w:pPr>
      <w:bookmarkStart w:id="12" w:name="_Toc213373797"/>
      <w:r w:rsidRPr="00F6207D">
        <w:t>Slide 10: Training and Development for Global Competitiveness</w:t>
      </w:r>
      <w:bookmarkEnd w:id="12"/>
    </w:p>
    <w:p w14:paraId="35B58D48" w14:textId="01391713" w:rsidR="009F705B" w:rsidRPr="009F705B" w:rsidRDefault="009F705B" w:rsidP="009F705B">
      <w:r w:rsidRPr="009F705B">
        <w:rPr>
          <w:noProof/>
        </w:rPr>
        <w:drawing>
          <wp:inline distT="0" distB="0" distL="0" distR="0" wp14:anchorId="0636DFBD" wp14:editId="68AB59B2">
            <wp:extent cx="5943600" cy="3422650"/>
            <wp:effectExtent l="0" t="0" r="0" b="0"/>
            <wp:docPr id="57650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09380" name=""/>
                    <pic:cNvPicPr/>
                  </pic:nvPicPr>
                  <pic:blipFill>
                    <a:blip r:embed="rId18"/>
                    <a:stretch>
                      <a:fillRect/>
                    </a:stretch>
                  </pic:blipFill>
                  <pic:spPr>
                    <a:xfrm>
                      <a:off x="0" y="0"/>
                      <a:ext cx="5943600" cy="3422650"/>
                    </a:xfrm>
                    <a:prstGeom prst="rect">
                      <a:avLst/>
                    </a:prstGeom>
                  </pic:spPr>
                </pic:pic>
              </a:graphicData>
            </a:graphic>
          </wp:inline>
        </w:drawing>
      </w:r>
    </w:p>
    <w:p w14:paraId="3235F7C7" w14:textId="01324463" w:rsidR="00F6207D" w:rsidRPr="00F6207D" w:rsidRDefault="00B61C52" w:rsidP="00AF4391">
      <w:pPr>
        <w:ind w:firstLine="0"/>
      </w:pPr>
      <w:r>
        <w:tab/>
      </w:r>
      <w:r w:rsidR="003139A8">
        <w:t>Training</w:t>
      </w:r>
      <w:r w:rsidR="003139A8" w:rsidRPr="003139A8">
        <w:t xml:space="preserve"> and development </w:t>
      </w:r>
      <w:r w:rsidR="003139A8">
        <w:t>are</w:t>
      </w:r>
      <w:r w:rsidR="003139A8" w:rsidRPr="003139A8">
        <w:t xml:space="preserve"> the foundation of the competitiveness of </w:t>
      </w:r>
      <w:r w:rsidR="003139A8">
        <w:t>Rolls-Royce</w:t>
      </w:r>
      <w:r w:rsidR="003139A8" w:rsidRPr="003139A8">
        <w:t xml:space="preserve"> as </w:t>
      </w:r>
      <w:r w:rsidR="003139A8">
        <w:t>they</w:t>
      </w:r>
      <w:r w:rsidR="003139A8" w:rsidRPr="003139A8">
        <w:t xml:space="preserve"> </w:t>
      </w:r>
      <w:r w:rsidR="003139A8">
        <w:t>provide</w:t>
      </w:r>
      <w:r w:rsidR="003139A8" w:rsidRPr="003139A8">
        <w:t xml:space="preserve"> the staff with the means to overcome the fast changes in </w:t>
      </w:r>
      <w:r w:rsidR="003139A8">
        <w:t>technology</w:t>
      </w:r>
      <w:r w:rsidR="003139A8" w:rsidRPr="003139A8">
        <w:t xml:space="preserve">. The company is focused on leadership, technical training, and the growth of digital skills. The agility </w:t>
      </w:r>
      <w:r w:rsidR="003139A8">
        <w:t xml:space="preserve">that </w:t>
      </w:r>
      <w:r w:rsidR="003139A8" w:rsidRPr="003139A8">
        <w:t xml:space="preserve">the employees can maintain and assist innovation and sustainability goals effectively is ensured by the perpetual focus on learning. The investment in a global training infrastructure is an indication of an investment in talent and </w:t>
      </w:r>
      <w:r w:rsidR="003139A8">
        <w:t>long-term</w:t>
      </w:r>
      <w:r w:rsidR="003139A8" w:rsidRPr="003139A8">
        <w:t xml:space="preserve"> organisational resilience (Tonini, 2022).</w:t>
      </w:r>
    </w:p>
    <w:p w14:paraId="5B6F664E" w14:textId="77777777" w:rsidR="00F6207D" w:rsidRDefault="00F6207D" w:rsidP="00CB6065">
      <w:pPr>
        <w:pStyle w:val="Heading1"/>
      </w:pPr>
      <w:bookmarkStart w:id="13" w:name="_Toc213373798"/>
      <w:r w:rsidRPr="00F6207D">
        <w:t>Slide 11: Current Practices</w:t>
      </w:r>
      <w:bookmarkEnd w:id="13"/>
    </w:p>
    <w:p w14:paraId="6D0DD07D" w14:textId="2BD1415B" w:rsidR="009F705B" w:rsidRPr="009F705B" w:rsidRDefault="009F705B" w:rsidP="009F705B">
      <w:r w:rsidRPr="009F705B">
        <w:rPr>
          <w:noProof/>
        </w:rPr>
        <w:drawing>
          <wp:inline distT="0" distB="0" distL="0" distR="0" wp14:anchorId="15C514BB" wp14:editId="409DCE8A">
            <wp:extent cx="5943600" cy="3430905"/>
            <wp:effectExtent l="0" t="0" r="0" b="0"/>
            <wp:docPr id="182810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10708" name=""/>
                    <pic:cNvPicPr/>
                  </pic:nvPicPr>
                  <pic:blipFill>
                    <a:blip r:embed="rId19"/>
                    <a:stretch>
                      <a:fillRect/>
                    </a:stretch>
                  </pic:blipFill>
                  <pic:spPr>
                    <a:xfrm>
                      <a:off x="0" y="0"/>
                      <a:ext cx="5943600" cy="3430905"/>
                    </a:xfrm>
                    <a:prstGeom prst="rect">
                      <a:avLst/>
                    </a:prstGeom>
                  </pic:spPr>
                </pic:pic>
              </a:graphicData>
            </a:graphic>
          </wp:inline>
        </w:drawing>
      </w:r>
    </w:p>
    <w:p w14:paraId="751CEE65" w14:textId="3AE9DB9A" w:rsidR="00F6207D" w:rsidRPr="00F6207D" w:rsidRDefault="00B61C52" w:rsidP="00AF4391">
      <w:pPr>
        <w:ind w:firstLine="0"/>
      </w:pPr>
      <w:r>
        <w:tab/>
      </w:r>
      <w:r w:rsidR="00A50478">
        <w:t>Rolls-Royce</w:t>
      </w:r>
      <w:r w:rsidR="003139A8" w:rsidRPr="003139A8">
        <w:t xml:space="preserve"> provides a collection of training programmes, including Leadership Development Centres, apprenticeship programmes, and online academies (Cattani et al., 2024). The programs provide frameworked learning paths that combine technical expertise and managerial expertise. Learning Transformation Programme is the united action of digital studies and operational training, which cultivates creativity and adaptability (Naqvi et al., 2025). Collectively, these programmes ensure the coordination of workforce development and an innovation-based strategy of the company.</w:t>
      </w:r>
    </w:p>
    <w:p w14:paraId="71F28782" w14:textId="77777777" w:rsidR="00F6207D" w:rsidRDefault="00F6207D" w:rsidP="00CB6065">
      <w:pPr>
        <w:pStyle w:val="Heading1"/>
      </w:pPr>
      <w:bookmarkStart w:id="14" w:name="_Toc213373799"/>
      <w:r w:rsidRPr="00F6207D">
        <w:t>Slide 12: Kirkpatrick’s Four-Level Training Evaluation Model</w:t>
      </w:r>
      <w:bookmarkEnd w:id="14"/>
    </w:p>
    <w:p w14:paraId="606C7F5C" w14:textId="13241113" w:rsidR="009F705B" w:rsidRPr="009F705B" w:rsidRDefault="009F705B" w:rsidP="009F705B">
      <w:r w:rsidRPr="009F705B">
        <w:rPr>
          <w:noProof/>
        </w:rPr>
        <w:drawing>
          <wp:inline distT="0" distB="0" distL="0" distR="0" wp14:anchorId="69AFC12B" wp14:editId="606E02C8">
            <wp:extent cx="5943600" cy="3401695"/>
            <wp:effectExtent l="0" t="0" r="0" b="0"/>
            <wp:docPr id="1167407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07121" name=""/>
                    <pic:cNvPicPr/>
                  </pic:nvPicPr>
                  <pic:blipFill>
                    <a:blip r:embed="rId20"/>
                    <a:stretch>
                      <a:fillRect/>
                    </a:stretch>
                  </pic:blipFill>
                  <pic:spPr>
                    <a:xfrm>
                      <a:off x="0" y="0"/>
                      <a:ext cx="5943600" cy="3401695"/>
                    </a:xfrm>
                    <a:prstGeom prst="rect">
                      <a:avLst/>
                    </a:prstGeom>
                  </pic:spPr>
                </pic:pic>
              </a:graphicData>
            </a:graphic>
          </wp:inline>
        </w:drawing>
      </w:r>
    </w:p>
    <w:p w14:paraId="03498F84" w14:textId="7440C84F" w:rsidR="00F6207D" w:rsidRPr="00F6207D" w:rsidRDefault="00B61C52" w:rsidP="00AF4391">
      <w:pPr>
        <w:ind w:firstLine="0"/>
      </w:pPr>
      <w:r>
        <w:tab/>
      </w:r>
      <w:r w:rsidR="003139A8" w:rsidRPr="003139A8">
        <w:t xml:space="preserve">The framework by Kirkpatrick outlines a methodical way of determining the effectiveness of training. The reaction level measures the satisfaction of the participants </w:t>
      </w:r>
      <w:r w:rsidR="003139A8">
        <w:t>with</w:t>
      </w:r>
      <w:r w:rsidR="003139A8" w:rsidRPr="003139A8">
        <w:t xml:space="preserve"> the course content and delivery. Digital simulations and assessments are used to measure the learning outcomes (Reckordt, 2023). Managerial feedback and performance appraisal are used to track behavioural change, and the improvement in productivity and the reduction of project delays are the areas of results (Singh et al., 2024). Accordingly, the model correlates training effect to physical organisational results. </w:t>
      </w:r>
    </w:p>
    <w:p w14:paraId="38137626" w14:textId="77777777" w:rsidR="00F6207D" w:rsidRDefault="00F6207D" w:rsidP="00CB6065">
      <w:pPr>
        <w:pStyle w:val="Heading1"/>
      </w:pPr>
      <w:bookmarkStart w:id="15" w:name="_Toc213373800"/>
      <w:r w:rsidRPr="00F6207D">
        <w:t>Slide 13: Key Challenges</w:t>
      </w:r>
      <w:bookmarkEnd w:id="15"/>
    </w:p>
    <w:p w14:paraId="416E8D67" w14:textId="1F9AEE84" w:rsidR="009F705B" w:rsidRPr="009F705B" w:rsidRDefault="009F705B" w:rsidP="009F705B">
      <w:r w:rsidRPr="009F705B">
        <w:rPr>
          <w:noProof/>
        </w:rPr>
        <w:drawing>
          <wp:inline distT="0" distB="0" distL="0" distR="0" wp14:anchorId="15BCF720" wp14:editId="43B41CCE">
            <wp:extent cx="5943600" cy="3373120"/>
            <wp:effectExtent l="0" t="0" r="0" b="0"/>
            <wp:docPr id="748112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12666" name=""/>
                    <pic:cNvPicPr/>
                  </pic:nvPicPr>
                  <pic:blipFill>
                    <a:blip r:embed="rId21"/>
                    <a:stretch>
                      <a:fillRect/>
                    </a:stretch>
                  </pic:blipFill>
                  <pic:spPr>
                    <a:xfrm>
                      <a:off x="0" y="0"/>
                      <a:ext cx="5943600" cy="3373120"/>
                    </a:xfrm>
                    <a:prstGeom prst="rect">
                      <a:avLst/>
                    </a:prstGeom>
                  </pic:spPr>
                </pic:pic>
              </a:graphicData>
            </a:graphic>
          </wp:inline>
        </w:drawing>
      </w:r>
    </w:p>
    <w:p w14:paraId="77875BF1" w14:textId="37857C07" w:rsidR="00F6207D" w:rsidRPr="00F6207D" w:rsidRDefault="00B61C52" w:rsidP="00AF4391">
      <w:pPr>
        <w:ind w:firstLine="0"/>
      </w:pPr>
      <w:r>
        <w:tab/>
      </w:r>
      <w:r w:rsidR="003139A8" w:rsidRPr="003139A8">
        <w:t>The alignment of coherent training in the international business is still quite a challenge due to the cultural and working differences. Balancing between technical and leadership is another challenge (Tonini, 2022). In addition, it is complex to measure the learning impact on the results of innovation. To counter such issues, standardised learning systems should be used with the support of analytics to effectively measure training ROI (Cattani et al., 2024).</w:t>
      </w:r>
    </w:p>
    <w:p w14:paraId="1EDF1275" w14:textId="77777777" w:rsidR="00F6207D" w:rsidRDefault="00F6207D" w:rsidP="00CB6065">
      <w:pPr>
        <w:pStyle w:val="Heading1"/>
      </w:pPr>
      <w:bookmarkStart w:id="16" w:name="_Toc213373801"/>
      <w:r w:rsidRPr="00F6207D">
        <w:t>Slide 14: Role of Line Managers</w:t>
      </w:r>
      <w:bookmarkEnd w:id="16"/>
    </w:p>
    <w:p w14:paraId="7CDEAD79" w14:textId="79AD98F7" w:rsidR="009F705B" w:rsidRPr="009F705B" w:rsidRDefault="009F705B" w:rsidP="009F705B">
      <w:r w:rsidRPr="009F705B">
        <w:rPr>
          <w:noProof/>
        </w:rPr>
        <w:drawing>
          <wp:inline distT="0" distB="0" distL="0" distR="0" wp14:anchorId="13D24620" wp14:editId="036757EA">
            <wp:extent cx="5943600" cy="3394710"/>
            <wp:effectExtent l="0" t="0" r="0" b="0"/>
            <wp:docPr id="74949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98732" name=""/>
                    <pic:cNvPicPr/>
                  </pic:nvPicPr>
                  <pic:blipFill>
                    <a:blip r:embed="rId22"/>
                    <a:stretch>
                      <a:fillRect/>
                    </a:stretch>
                  </pic:blipFill>
                  <pic:spPr>
                    <a:xfrm>
                      <a:off x="0" y="0"/>
                      <a:ext cx="5943600" cy="3394710"/>
                    </a:xfrm>
                    <a:prstGeom prst="rect">
                      <a:avLst/>
                    </a:prstGeom>
                  </pic:spPr>
                </pic:pic>
              </a:graphicData>
            </a:graphic>
          </wp:inline>
        </w:drawing>
      </w:r>
    </w:p>
    <w:p w14:paraId="19A7F47E" w14:textId="74516593" w:rsidR="00F6207D" w:rsidRPr="00F6207D" w:rsidRDefault="00B61C52" w:rsidP="00AF4391">
      <w:pPr>
        <w:ind w:firstLine="0"/>
      </w:pPr>
      <w:r>
        <w:tab/>
      </w:r>
      <w:r w:rsidR="003139A8" w:rsidRPr="003139A8">
        <w:t>The Line managers help in continuous learning by supporting the development plans and offering mentorship. They strengthen the utilisation of learned skills in daily activities and evaluate behaviour change after training (Cattani et al., 2024). Their participation ensures that training results are reflected in performance improvement and innovation</w:t>
      </w:r>
      <w:r w:rsidR="003139A8">
        <w:t>,</w:t>
      </w:r>
      <w:r w:rsidR="003139A8" w:rsidRPr="003139A8">
        <w:t xml:space="preserve"> hence closing the gap between HR strategy and operational implementation at the international business units.</w:t>
      </w:r>
    </w:p>
    <w:p w14:paraId="5B5B374D" w14:textId="77777777" w:rsidR="00F6207D" w:rsidRDefault="00F6207D" w:rsidP="00CB6065">
      <w:pPr>
        <w:pStyle w:val="Heading1"/>
      </w:pPr>
      <w:bookmarkStart w:id="17" w:name="_Toc213373802"/>
      <w:r w:rsidRPr="00F6207D">
        <w:t>Slide 15: Recommendations</w:t>
      </w:r>
      <w:bookmarkEnd w:id="17"/>
    </w:p>
    <w:p w14:paraId="749676B4" w14:textId="636E1BF7" w:rsidR="009F705B" w:rsidRPr="009F705B" w:rsidRDefault="009F705B" w:rsidP="009F705B">
      <w:r w:rsidRPr="009F705B">
        <w:rPr>
          <w:noProof/>
        </w:rPr>
        <w:drawing>
          <wp:inline distT="0" distB="0" distL="0" distR="0" wp14:anchorId="1233C8E5" wp14:editId="2B9353E5">
            <wp:extent cx="5943600" cy="3387725"/>
            <wp:effectExtent l="0" t="0" r="0" b="0"/>
            <wp:docPr id="455513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13626" name=""/>
                    <pic:cNvPicPr/>
                  </pic:nvPicPr>
                  <pic:blipFill>
                    <a:blip r:embed="rId23"/>
                    <a:stretch>
                      <a:fillRect/>
                    </a:stretch>
                  </pic:blipFill>
                  <pic:spPr>
                    <a:xfrm>
                      <a:off x="0" y="0"/>
                      <a:ext cx="5943600" cy="3387725"/>
                    </a:xfrm>
                    <a:prstGeom prst="rect">
                      <a:avLst/>
                    </a:prstGeom>
                  </pic:spPr>
                </pic:pic>
              </a:graphicData>
            </a:graphic>
          </wp:inline>
        </w:drawing>
      </w:r>
    </w:p>
    <w:p w14:paraId="0580EC5C" w14:textId="7AB0884C" w:rsidR="00F6207D" w:rsidRPr="00F6207D" w:rsidRDefault="00B61C52" w:rsidP="00AF4391">
      <w:pPr>
        <w:ind w:firstLine="0"/>
      </w:pPr>
      <w:r>
        <w:tab/>
      </w:r>
      <w:r w:rsidR="003139A8" w:rsidRPr="003139A8">
        <w:t xml:space="preserve">To improve learning performance, Rolls-Royce could adopt AI-based analytics to create individual learning frameworks and track the development. The Digital Academy 2.0 would align training programmes in all global units and thus promote teamwork and sharing of knowledge. Also, the rotational leadership programmes might further develop the managerial agility and cross-functional skills that are invaluable to innovation in the </w:t>
      </w:r>
      <w:r w:rsidR="003139A8">
        <w:t>global complex</w:t>
      </w:r>
      <w:r w:rsidR="003139A8" w:rsidRPr="003139A8">
        <w:t xml:space="preserve"> operation (Patel et al., 2025).</w:t>
      </w:r>
    </w:p>
    <w:p w14:paraId="3DF829B0" w14:textId="77777777" w:rsidR="00F6207D" w:rsidRDefault="00F6207D" w:rsidP="00CB6065">
      <w:pPr>
        <w:pStyle w:val="Heading1"/>
      </w:pPr>
      <w:bookmarkStart w:id="18" w:name="_Toc213373803"/>
      <w:r w:rsidRPr="00F6207D">
        <w:t>Slide 16: Performance Management and Reward Alignment</w:t>
      </w:r>
      <w:bookmarkEnd w:id="18"/>
    </w:p>
    <w:p w14:paraId="5E8987FF" w14:textId="1953C944" w:rsidR="009F705B" w:rsidRPr="009F705B" w:rsidRDefault="009F705B" w:rsidP="009F705B">
      <w:r w:rsidRPr="009F705B">
        <w:rPr>
          <w:noProof/>
        </w:rPr>
        <w:drawing>
          <wp:inline distT="0" distB="0" distL="0" distR="0" wp14:anchorId="3E5CE37C" wp14:editId="0185BFB5">
            <wp:extent cx="5943600" cy="3412490"/>
            <wp:effectExtent l="0" t="0" r="0" b="0"/>
            <wp:docPr id="1748561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61231" name=""/>
                    <pic:cNvPicPr/>
                  </pic:nvPicPr>
                  <pic:blipFill>
                    <a:blip r:embed="rId24"/>
                    <a:stretch>
                      <a:fillRect/>
                    </a:stretch>
                  </pic:blipFill>
                  <pic:spPr>
                    <a:xfrm>
                      <a:off x="0" y="0"/>
                      <a:ext cx="5943600" cy="3412490"/>
                    </a:xfrm>
                    <a:prstGeom prst="rect">
                      <a:avLst/>
                    </a:prstGeom>
                  </pic:spPr>
                </pic:pic>
              </a:graphicData>
            </a:graphic>
          </wp:inline>
        </w:drawing>
      </w:r>
    </w:p>
    <w:p w14:paraId="751A444E" w14:textId="2EEA20DD" w:rsidR="00F6207D" w:rsidRPr="00F6207D" w:rsidRDefault="003139A8" w:rsidP="003139A8">
      <w:r>
        <w:t>Rolls–Royce</w:t>
      </w:r>
      <w:r w:rsidRPr="003139A8">
        <w:t xml:space="preserve"> performance management is structured in a way that helps to align the efforts of employees with corporate transformation goals (Tonini, 2022). The system is used to encourage accountability, innovation and teamwork through the use of clear performance metrics and reward systems. Within the framework of organisational restructuring aftermath, performance management has become the key tool in maintaining motivation and connecting individual goals with the wider strategic agenda.</w:t>
      </w:r>
    </w:p>
    <w:p w14:paraId="0BBB4FB6" w14:textId="77777777" w:rsidR="00F6207D" w:rsidRDefault="00F6207D" w:rsidP="00CB6065">
      <w:pPr>
        <w:pStyle w:val="Heading1"/>
      </w:pPr>
      <w:bookmarkStart w:id="19" w:name="_Toc213373804"/>
      <w:r w:rsidRPr="00F6207D">
        <w:t>Slide 17: Current Policies</w:t>
      </w:r>
      <w:bookmarkEnd w:id="19"/>
    </w:p>
    <w:p w14:paraId="534F68D5" w14:textId="33D58805" w:rsidR="009F705B" w:rsidRPr="009F705B" w:rsidRDefault="009F705B" w:rsidP="009F705B">
      <w:r w:rsidRPr="009F705B">
        <w:rPr>
          <w:noProof/>
        </w:rPr>
        <w:drawing>
          <wp:inline distT="0" distB="0" distL="0" distR="0" wp14:anchorId="21CFF73E" wp14:editId="627F5C2E">
            <wp:extent cx="5943600" cy="3419475"/>
            <wp:effectExtent l="0" t="0" r="0" b="0"/>
            <wp:docPr id="1668935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35613" name=""/>
                    <pic:cNvPicPr/>
                  </pic:nvPicPr>
                  <pic:blipFill>
                    <a:blip r:embed="rId25"/>
                    <a:stretch>
                      <a:fillRect/>
                    </a:stretch>
                  </pic:blipFill>
                  <pic:spPr>
                    <a:xfrm>
                      <a:off x="0" y="0"/>
                      <a:ext cx="5943600" cy="3419475"/>
                    </a:xfrm>
                    <a:prstGeom prst="rect">
                      <a:avLst/>
                    </a:prstGeom>
                  </pic:spPr>
                </pic:pic>
              </a:graphicData>
            </a:graphic>
          </wp:inline>
        </w:drawing>
      </w:r>
    </w:p>
    <w:p w14:paraId="30A758FC" w14:textId="09CAD4FD" w:rsidR="00F6207D" w:rsidRPr="00F6207D" w:rsidRDefault="00B61C52" w:rsidP="00AF4391">
      <w:pPr>
        <w:ind w:firstLine="0"/>
      </w:pPr>
      <w:r>
        <w:tab/>
      </w:r>
      <w:r w:rsidR="003139A8" w:rsidRPr="003139A8">
        <w:t xml:space="preserve">The organisation employs the use of balanced scorecards in order to connect the goals of the employees with the strategic results. Leadership capability, technical competence, and contribution to innovation are evaluated through annual appraisals, whereas performance in the areas of safety, sustainability, and efficiency is also rewarded through incentive schemes (Tonini, 2022). These systems promote openness and make employees understand how personal outcomes would serve the </w:t>
      </w:r>
      <w:r w:rsidR="003139A8">
        <w:t>long-term</w:t>
      </w:r>
      <w:r w:rsidR="003139A8" w:rsidRPr="003139A8">
        <w:t xml:space="preserve"> goals of the company.</w:t>
      </w:r>
    </w:p>
    <w:p w14:paraId="1F0D9025" w14:textId="77777777" w:rsidR="00F6207D" w:rsidRDefault="00F6207D" w:rsidP="00CB6065">
      <w:pPr>
        <w:pStyle w:val="Heading1"/>
      </w:pPr>
      <w:bookmarkStart w:id="20" w:name="_Toc213373805"/>
      <w:r w:rsidRPr="00F6207D">
        <w:t>Slide 18: Vroom’s Expectancy Theory of Motivation</w:t>
      </w:r>
      <w:bookmarkEnd w:id="20"/>
    </w:p>
    <w:p w14:paraId="6438C92E" w14:textId="3A5C67FB" w:rsidR="009F705B" w:rsidRPr="009F705B" w:rsidRDefault="009F705B" w:rsidP="009F705B">
      <w:r w:rsidRPr="009F705B">
        <w:rPr>
          <w:noProof/>
        </w:rPr>
        <w:drawing>
          <wp:inline distT="0" distB="0" distL="0" distR="0" wp14:anchorId="060DE553" wp14:editId="6784E17F">
            <wp:extent cx="5943600" cy="3401695"/>
            <wp:effectExtent l="0" t="0" r="0" b="0"/>
            <wp:docPr id="1469381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81825" name=""/>
                    <pic:cNvPicPr/>
                  </pic:nvPicPr>
                  <pic:blipFill>
                    <a:blip r:embed="rId26"/>
                    <a:stretch>
                      <a:fillRect/>
                    </a:stretch>
                  </pic:blipFill>
                  <pic:spPr>
                    <a:xfrm>
                      <a:off x="0" y="0"/>
                      <a:ext cx="5943600" cy="3401695"/>
                    </a:xfrm>
                    <a:prstGeom prst="rect">
                      <a:avLst/>
                    </a:prstGeom>
                  </pic:spPr>
                </pic:pic>
              </a:graphicData>
            </a:graphic>
          </wp:inline>
        </w:drawing>
      </w:r>
    </w:p>
    <w:p w14:paraId="476B35D8" w14:textId="69828BF1" w:rsidR="00F6207D" w:rsidRPr="00F6207D" w:rsidRDefault="00B61C52" w:rsidP="00AF4391">
      <w:pPr>
        <w:ind w:firstLine="0"/>
      </w:pPr>
      <w:r>
        <w:tab/>
      </w:r>
      <w:r w:rsidR="003139A8" w:rsidRPr="003139A8">
        <w:t>The expectancy theory developed by Vroom explains the issue of employee motivation in three parts. Expectancy refers to the perception that one will perform after effort</w:t>
      </w:r>
      <w:r w:rsidR="003139A8">
        <w:t>,</w:t>
      </w:r>
      <w:r w:rsidR="003139A8" w:rsidRPr="003139A8">
        <w:t xml:space="preserve"> as evidenced by clear KPIs (Roomes et al., 2022). Instrumentality focuses on trust in the fact that the performance is going to be rewarded through appraisal and bonuses. Valence deals with the perceived worthiness of such rewards, such as career advancement and appreciation (Tonini, 2022). The implementation of this theory will make the reward system of </w:t>
      </w:r>
      <w:r w:rsidR="003139A8">
        <w:t>Rolls-Royce</w:t>
      </w:r>
      <w:r w:rsidR="003139A8" w:rsidRPr="003139A8">
        <w:t xml:space="preserve"> transparent and motivating.</w:t>
      </w:r>
    </w:p>
    <w:p w14:paraId="76FD6A05" w14:textId="77777777" w:rsidR="00F6207D" w:rsidRDefault="00F6207D" w:rsidP="00CB6065">
      <w:pPr>
        <w:pStyle w:val="Heading1"/>
      </w:pPr>
      <w:bookmarkStart w:id="21" w:name="_Toc213373806"/>
      <w:r w:rsidRPr="00F6207D">
        <w:t>Slide 19: Key Challenges</w:t>
      </w:r>
      <w:bookmarkEnd w:id="21"/>
    </w:p>
    <w:p w14:paraId="74D4C981" w14:textId="6FD094DE" w:rsidR="009F705B" w:rsidRPr="009F705B" w:rsidRDefault="009F705B" w:rsidP="009F705B">
      <w:r w:rsidRPr="009F705B">
        <w:rPr>
          <w:noProof/>
        </w:rPr>
        <w:drawing>
          <wp:inline distT="0" distB="0" distL="0" distR="0" wp14:anchorId="2FEBEA0E" wp14:editId="335ED447">
            <wp:extent cx="5943600" cy="3377565"/>
            <wp:effectExtent l="0" t="0" r="0" b="0"/>
            <wp:docPr id="575614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14856" name=""/>
                    <pic:cNvPicPr/>
                  </pic:nvPicPr>
                  <pic:blipFill>
                    <a:blip r:embed="rId27"/>
                    <a:stretch>
                      <a:fillRect/>
                    </a:stretch>
                  </pic:blipFill>
                  <pic:spPr>
                    <a:xfrm>
                      <a:off x="0" y="0"/>
                      <a:ext cx="5943600" cy="3377565"/>
                    </a:xfrm>
                    <a:prstGeom prst="rect">
                      <a:avLst/>
                    </a:prstGeom>
                  </pic:spPr>
                </pic:pic>
              </a:graphicData>
            </a:graphic>
          </wp:inline>
        </w:drawing>
      </w:r>
    </w:p>
    <w:p w14:paraId="0ED73593" w14:textId="1A247B88" w:rsidR="00F6207D" w:rsidRPr="00F6207D" w:rsidRDefault="00B61C52" w:rsidP="00AF4391">
      <w:pPr>
        <w:ind w:firstLine="0"/>
      </w:pPr>
      <w:r>
        <w:tab/>
      </w:r>
      <w:r w:rsidR="003139A8">
        <w:t>Rolls-Royce</w:t>
      </w:r>
      <w:r w:rsidR="003139A8" w:rsidRPr="003139A8">
        <w:t xml:space="preserve"> faces challenges in balancing between innovation-based and financial performance indicators in global units (Rolls-Royce, 2025). Differences in cultural requirements and regional compensation systems promote equity issues. Besides, the consistency of rewards may be impacted by the economic constraints, which, in turn, has an impact on motivation (</w:t>
      </w:r>
      <w:r w:rsidR="00A50478" w:rsidRPr="00A26F6C">
        <w:t>Bıçakcıoğlu</w:t>
      </w:r>
      <w:r w:rsidR="003139A8" w:rsidRPr="003139A8">
        <w:noBreakHyphen/>
        <w:t>Peynirci and Morgan, 2023). The system needs to be continuously refined to ensure credibility and be able to drive high performance in the changing business environment.</w:t>
      </w:r>
    </w:p>
    <w:p w14:paraId="712F0085" w14:textId="77777777" w:rsidR="00F6207D" w:rsidRDefault="00F6207D" w:rsidP="00CB6065">
      <w:pPr>
        <w:pStyle w:val="Heading1"/>
      </w:pPr>
      <w:bookmarkStart w:id="22" w:name="_Toc213373807"/>
      <w:r w:rsidRPr="00F6207D">
        <w:t>Slide 20: Role of Line Managers</w:t>
      </w:r>
      <w:bookmarkEnd w:id="22"/>
    </w:p>
    <w:p w14:paraId="73DD8DE4" w14:textId="25BCBFA5" w:rsidR="009F705B" w:rsidRPr="009F705B" w:rsidRDefault="009F705B" w:rsidP="009F705B">
      <w:r w:rsidRPr="009F705B">
        <w:rPr>
          <w:noProof/>
        </w:rPr>
        <w:drawing>
          <wp:inline distT="0" distB="0" distL="0" distR="0" wp14:anchorId="5510F37C" wp14:editId="31577ADA">
            <wp:extent cx="5943600" cy="3426460"/>
            <wp:effectExtent l="0" t="0" r="0" b="0"/>
            <wp:docPr id="1623926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26239" name=""/>
                    <pic:cNvPicPr/>
                  </pic:nvPicPr>
                  <pic:blipFill>
                    <a:blip r:embed="rId28"/>
                    <a:stretch>
                      <a:fillRect/>
                    </a:stretch>
                  </pic:blipFill>
                  <pic:spPr>
                    <a:xfrm>
                      <a:off x="0" y="0"/>
                      <a:ext cx="5943600" cy="3426460"/>
                    </a:xfrm>
                    <a:prstGeom prst="rect">
                      <a:avLst/>
                    </a:prstGeom>
                  </pic:spPr>
                </pic:pic>
              </a:graphicData>
            </a:graphic>
          </wp:inline>
        </w:drawing>
      </w:r>
    </w:p>
    <w:p w14:paraId="0E9BA145" w14:textId="4E1ACD77" w:rsidR="00F6207D" w:rsidRPr="00630B02" w:rsidRDefault="00B61C52" w:rsidP="00AF4391">
      <w:pPr>
        <w:ind w:firstLine="0"/>
        <w:rPr>
          <w:lang w:val="en-US"/>
        </w:rPr>
      </w:pPr>
      <w:r>
        <w:tab/>
      </w:r>
      <w:r w:rsidR="003139A8" w:rsidRPr="003139A8">
        <w:t xml:space="preserve">Line managers are evaluators and coaches, as they review personal performance and make it consistent with team activity (Gartzou-Katsouyanni et al., 2022). They provide constructive feedback and make appraisals remain impartial. Their contribution is essential in making strategic targets personalised and </w:t>
      </w:r>
      <w:r w:rsidR="003139A8">
        <w:t xml:space="preserve">creating </w:t>
      </w:r>
      <w:r w:rsidR="003139A8" w:rsidRPr="003139A8">
        <w:t>a culture of engagement and constant improvement within teams.</w:t>
      </w:r>
    </w:p>
    <w:p w14:paraId="03869482" w14:textId="77777777" w:rsidR="00F6207D" w:rsidRDefault="00F6207D" w:rsidP="00CB6065">
      <w:pPr>
        <w:pStyle w:val="Heading1"/>
      </w:pPr>
      <w:bookmarkStart w:id="23" w:name="_Toc213373808"/>
      <w:r w:rsidRPr="00F6207D">
        <w:t>Slide 21: Recommendations</w:t>
      </w:r>
      <w:bookmarkEnd w:id="23"/>
    </w:p>
    <w:p w14:paraId="14CB894F" w14:textId="0AD4E7B7" w:rsidR="009F705B" w:rsidRPr="009F705B" w:rsidRDefault="009F705B" w:rsidP="009F705B">
      <w:r w:rsidRPr="009F705B">
        <w:rPr>
          <w:noProof/>
        </w:rPr>
        <w:drawing>
          <wp:inline distT="0" distB="0" distL="0" distR="0" wp14:anchorId="24C9FE5F" wp14:editId="5F27674C">
            <wp:extent cx="5943600" cy="3398520"/>
            <wp:effectExtent l="0" t="0" r="0" b="0"/>
            <wp:docPr id="63034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42773" name=""/>
                    <pic:cNvPicPr/>
                  </pic:nvPicPr>
                  <pic:blipFill>
                    <a:blip r:embed="rId29"/>
                    <a:stretch>
                      <a:fillRect/>
                    </a:stretch>
                  </pic:blipFill>
                  <pic:spPr>
                    <a:xfrm>
                      <a:off x="0" y="0"/>
                      <a:ext cx="5943600" cy="3398520"/>
                    </a:xfrm>
                    <a:prstGeom prst="rect">
                      <a:avLst/>
                    </a:prstGeom>
                  </pic:spPr>
                </pic:pic>
              </a:graphicData>
            </a:graphic>
          </wp:inline>
        </w:drawing>
      </w:r>
    </w:p>
    <w:p w14:paraId="5B436F03" w14:textId="0334F928" w:rsidR="00F6207D" w:rsidRPr="00F6207D" w:rsidRDefault="00B61C52" w:rsidP="00AF4391">
      <w:pPr>
        <w:ind w:firstLine="0"/>
      </w:pPr>
      <w:r>
        <w:tab/>
      </w:r>
      <w:r w:rsidR="003139A8" w:rsidRPr="003139A8">
        <w:t>Performance management can also be improved by introducing agile feedback systems that will improve communication and responsiveness (Enyejo et al., 2024). Digital dashboards can be used to enhance visibility and allow employees to monitor their progress in real-time (Nixon et al., 2022). The policy on rewards should be changed to include innovation, teamwork, and inclusion, thus guaranteeing that it is in tandem with the long-term transformation and sustainability goals of Rolls-Royce.</w:t>
      </w:r>
    </w:p>
    <w:p w14:paraId="4506BB81" w14:textId="77777777" w:rsidR="00F6207D" w:rsidRDefault="00F6207D" w:rsidP="00CB6065">
      <w:pPr>
        <w:pStyle w:val="Heading1"/>
      </w:pPr>
      <w:bookmarkStart w:id="24" w:name="_Toc213373809"/>
      <w:r w:rsidRPr="00F6207D">
        <w:t>Slide 22: Diversity, Equity, and Inclusion (DEI) and HR Technology</w:t>
      </w:r>
      <w:bookmarkEnd w:id="24"/>
    </w:p>
    <w:p w14:paraId="37085AFF" w14:textId="46026085" w:rsidR="009F705B" w:rsidRPr="009F705B" w:rsidRDefault="009F705B" w:rsidP="009F705B">
      <w:r w:rsidRPr="009F705B">
        <w:rPr>
          <w:noProof/>
        </w:rPr>
        <w:drawing>
          <wp:inline distT="0" distB="0" distL="0" distR="0" wp14:anchorId="643D9E30" wp14:editId="5CEB97E8">
            <wp:extent cx="5943600" cy="3390265"/>
            <wp:effectExtent l="0" t="0" r="0" b="0"/>
            <wp:docPr id="1591802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02875" name=""/>
                    <pic:cNvPicPr/>
                  </pic:nvPicPr>
                  <pic:blipFill>
                    <a:blip r:embed="rId30"/>
                    <a:stretch>
                      <a:fillRect/>
                    </a:stretch>
                  </pic:blipFill>
                  <pic:spPr>
                    <a:xfrm>
                      <a:off x="0" y="0"/>
                      <a:ext cx="5943600" cy="3390265"/>
                    </a:xfrm>
                    <a:prstGeom prst="rect">
                      <a:avLst/>
                    </a:prstGeom>
                  </pic:spPr>
                </pic:pic>
              </a:graphicData>
            </a:graphic>
          </wp:inline>
        </w:drawing>
      </w:r>
    </w:p>
    <w:p w14:paraId="710B39CA" w14:textId="2AA01464" w:rsidR="00F6207D" w:rsidRPr="00471184" w:rsidRDefault="00B61C52" w:rsidP="00AF4391">
      <w:pPr>
        <w:ind w:firstLine="0"/>
        <w:rPr>
          <w:lang w:val="en-US"/>
        </w:rPr>
      </w:pPr>
      <w:r>
        <w:tab/>
      </w:r>
      <w:r w:rsidR="003139A8">
        <w:t>Diversity</w:t>
      </w:r>
      <w:r w:rsidR="003139A8" w:rsidRPr="003139A8">
        <w:t xml:space="preserve"> and inclusion are strategic forces of innovation and collaboration in </w:t>
      </w:r>
      <w:r w:rsidR="003139A8">
        <w:t>Rolls-Royce</w:t>
      </w:r>
      <w:r w:rsidR="003139A8" w:rsidRPr="003139A8">
        <w:t xml:space="preserve">. A </w:t>
      </w:r>
      <w:r w:rsidR="003139A8">
        <w:t>heterogeneous</w:t>
      </w:r>
      <w:r w:rsidR="003139A8" w:rsidRPr="003139A8">
        <w:t xml:space="preserve"> workforce also includes innovative thinking that is needed to meet the multifaceted engineering problems (Cattani et al., 2024). Diversity programmes strengthen equality and </w:t>
      </w:r>
      <w:r w:rsidR="003139A8">
        <w:t xml:space="preserve">the </w:t>
      </w:r>
      <w:r w:rsidR="003139A8" w:rsidRPr="003139A8">
        <w:t>image of the organisation. Digital dashboards and analytics, which are part of HR technology, enable the monitoring of the progress being made toward diversity goals and integrate DEI into the day-to-day decision-making process.</w:t>
      </w:r>
    </w:p>
    <w:p w14:paraId="56B4F9E9" w14:textId="77777777" w:rsidR="00F6207D" w:rsidRDefault="00F6207D" w:rsidP="00CB6065">
      <w:pPr>
        <w:pStyle w:val="Heading1"/>
      </w:pPr>
      <w:bookmarkStart w:id="25" w:name="_Toc213373810"/>
      <w:r w:rsidRPr="00F6207D">
        <w:t>Slide 23: Current Policies</w:t>
      </w:r>
      <w:bookmarkEnd w:id="25"/>
    </w:p>
    <w:p w14:paraId="18DC10B9" w14:textId="3D53A36D" w:rsidR="009F705B" w:rsidRPr="009F705B" w:rsidRDefault="009F705B" w:rsidP="009F705B">
      <w:r w:rsidRPr="009F705B">
        <w:rPr>
          <w:noProof/>
        </w:rPr>
        <w:drawing>
          <wp:inline distT="0" distB="0" distL="0" distR="0" wp14:anchorId="4CB15FB1" wp14:editId="40FE8530">
            <wp:extent cx="5943600" cy="3377565"/>
            <wp:effectExtent l="0" t="0" r="0" b="0"/>
            <wp:docPr id="90112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24264" name=""/>
                    <pic:cNvPicPr/>
                  </pic:nvPicPr>
                  <pic:blipFill>
                    <a:blip r:embed="rId31"/>
                    <a:stretch>
                      <a:fillRect/>
                    </a:stretch>
                  </pic:blipFill>
                  <pic:spPr>
                    <a:xfrm>
                      <a:off x="0" y="0"/>
                      <a:ext cx="5943600" cy="3377565"/>
                    </a:xfrm>
                    <a:prstGeom prst="rect">
                      <a:avLst/>
                    </a:prstGeom>
                  </pic:spPr>
                </pic:pic>
              </a:graphicData>
            </a:graphic>
          </wp:inline>
        </w:drawing>
      </w:r>
    </w:p>
    <w:p w14:paraId="339E0AFC" w14:textId="63F75BF5" w:rsidR="00F6207D" w:rsidRPr="00630B02" w:rsidRDefault="00B61C52" w:rsidP="00AF4391">
      <w:pPr>
        <w:ind w:firstLine="0"/>
        <w:rPr>
          <w:lang w:val="en-US"/>
        </w:rPr>
      </w:pPr>
      <w:r>
        <w:tab/>
      </w:r>
      <w:r w:rsidR="003139A8" w:rsidRPr="003139A8">
        <w:t xml:space="preserve">The DEI system used in the company includes the Employee Resource Groups that promote a feeling of belonging and cultural awareness. The ability to work on a hybrid basis improves flexibility and increases the talent pool (Taylor, 2022). The DEI data are incorporated into HR digital systems, especially into Workday, to track the representation and engagement (Cho et al., 2023). Such programmes enhance inclusivity and foster transparency in the management of </w:t>
      </w:r>
      <w:r w:rsidR="003139A8">
        <w:t xml:space="preserve">the </w:t>
      </w:r>
      <w:r w:rsidR="003139A8" w:rsidRPr="003139A8">
        <w:t>workforce across the operations of the organisation worldwide.</w:t>
      </w:r>
    </w:p>
    <w:p w14:paraId="5118423C" w14:textId="77777777" w:rsidR="00F6207D" w:rsidRDefault="00F6207D" w:rsidP="00CB6065">
      <w:pPr>
        <w:pStyle w:val="Heading1"/>
      </w:pPr>
      <w:bookmarkStart w:id="26" w:name="_Toc213373811"/>
      <w:r w:rsidRPr="00F6207D">
        <w:t>Slide 24: Lewin’s Three-Stage Change Model</w:t>
      </w:r>
      <w:bookmarkEnd w:id="26"/>
    </w:p>
    <w:p w14:paraId="5AA175E0" w14:textId="22975DED" w:rsidR="009F705B" w:rsidRPr="009F705B" w:rsidRDefault="009F705B" w:rsidP="009F705B">
      <w:r w:rsidRPr="009F705B">
        <w:rPr>
          <w:noProof/>
        </w:rPr>
        <w:drawing>
          <wp:inline distT="0" distB="0" distL="0" distR="0" wp14:anchorId="23FB1328" wp14:editId="4F92FD1C">
            <wp:extent cx="5943600" cy="3425190"/>
            <wp:effectExtent l="0" t="0" r="0" b="0"/>
            <wp:docPr id="64783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36372" name=""/>
                    <pic:cNvPicPr/>
                  </pic:nvPicPr>
                  <pic:blipFill>
                    <a:blip r:embed="rId32"/>
                    <a:stretch>
                      <a:fillRect/>
                    </a:stretch>
                  </pic:blipFill>
                  <pic:spPr>
                    <a:xfrm>
                      <a:off x="0" y="0"/>
                      <a:ext cx="5943600" cy="3425190"/>
                    </a:xfrm>
                    <a:prstGeom prst="rect">
                      <a:avLst/>
                    </a:prstGeom>
                  </pic:spPr>
                </pic:pic>
              </a:graphicData>
            </a:graphic>
          </wp:inline>
        </w:drawing>
      </w:r>
    </w:p>
    <w:p w14:paraId="7860DB8B" w14:textId="3F26198A" w:rsidR="00F6207D" w:rsidRPr="00F6207D" w:rsidRDefault="00B61C52" w:rsidP="00AF4391">
      <w:pPr>
        <w:ind w:firstLine="0"/>
      </w:pPr>
      <w:r>
        <w:tab/>
      </w:r>
      <w:r w:rsidR="003139A8" w:rsidRPr="003139A8">
        <w:t xml:space="preserve">The model by Lewin explains the successful way in which Rolls-Royce can handle change in culture and technology. </w:t>
      </w:r>
      <w:r w:rsidR="003139A8">
        <w:t>The unfreeze</w:t>
      </w:r>
      <w:r w:rsidR="003139A8" w:rsidRPr="003139A8">
        <w:t xml:space="preserve"> stage builds the consciousness of the necessity to change (Franco et al., 2023). In the change phase, the HR puts in place digital systems and inclusive leadership </w:t>
      </w:r>
      <w:r w:rsidR="003139A8">
        <w:t>practices</w:t>
      </w:r>
      <w:r w:rsidR="003139A8" w:rsidRPr="003139A8">
        <w:t>. These new behaviours are solidified in the refreeze stage</w:t>
      </w:r>
      <w:r w:rsidR="003139A8">
        <w:t>,</w:t>
      </w:r>
      <w:r w:rsidR="003139A8" w:rsidRPr="003139A8">
        <w:t xml:space="preserve"> where recognition is done and new learning continues (Chowdhury, 2025). This is a process that would make innovation and inclusion sustainable.</w:t>
      </w:r>
    </w:p>
    <w:p w14:paraId="36D35191" w14:textId="77777777" w:rsidR="00F6207D" w:rsidRDefault="00F6207D" w:rsidP="00CB6065">
      <w:pPr>
        <w:pStyle w:val="Heading1"/>
      </w:pPr>
      <w:bookmarkStart w:id="27" w:name="_Toc213373812"/>
      <w:r w:rsidRPr="00F6207D">
        <w:t>Slide 25: Key Challenges</w:t>
      </w:r>
      <w:bookmarkEnd w:id="27"/>
    </w:p>
    <w:p w14:paraId="39E209A4" w14:textId="770133E1" w:rsidR="009F705B" w:rsidRPr="009F705B" w:rsidRDefault="009F705B" w:rsidP="009F705B">
      <w:r w:rsidRPr="009F705B">
        <w:rPr>
          <w:noProof/>
        </w:rPr>
        <w:drawing>
          <wp:inline distT="0" distB="0" distL="0" distR="0" wp14:anchorId="04303E45" wp14:editId="43F3C234">
            <wp:extent cx="5943600" cy="3439160"/>
            <wp:effectExtent l="0" t="0" r="0" b="0"/>
            <wp:docPr id="99606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65956" name=""/>
                    <pic:cNvPicPr/>
                  </pic:nvPicPr>
                  <pic:blipFill>
                    <a:blip r:embed="rId33"/>
                    <a:stretch>
                      <a:fillRect/>
                    </a:stretch>
                  </pic:blipFill>
                  <pic:spPr>
                    <a:xfrm>
                      <a:off x="0" y="0"/>
                      <a:ext cx="5943600" cy="3439160"/>
                    </a:xfrm>
                    <a:prstGeom prst="rect">
                      <a:avLst/>
                    </a:prstGeom>
                  </pic:spPr>
                </pic:pic>
              </a:graphicData>
            </a:graphic>
          </wp:inline>
        </w:drawing>
      </w:r>
    </w:p>
    <w:p w14:paraId="472671BE" w14:textId="79F5FFBF" w:rsidR="00F6207D" w:rsidRPr="00F6207D" w:rsidRDefault="00B61C52" w:rsidP="00AF4391">
      <w:pPr>
        <w:ind w:firstLine="0"/>
      </w:pPr>
      <w:r>
        <w:tab/>
      </w:r>
      <w:r w:rsidR="003139A8" w:rsidRPr="003139A8">
        <w:t xml:space="preserve">The company still faces the challenge of the lack of representation of women and minorities in technical areas. Cultural diversity and local laws make it difficult to implement standard DEI </w:t>
      </w:r>
      <w:r w:rsidR="003139A8">
        <w:t>practices</w:t>
      </w:r>
      <w:r w:rsidR="003139A8" w:rsidRPr="003139A8">
        <w:t xml:space="preserve"> on the global level (Ottinetti, 2024). The unwillingness to embrace new HR technologies still exists among </w:t>
      </w:r>
      <w:r w:rsidR="003139A8">
        <w:t>some</w:t>
      </w:r>
      <w:r w:rsidR="003139A8" w:rsidRPr="003139A8">
        <w:t xml:space="preserve"> of the staff. All of these problems require a firm leadership dedication and specific interventions to realise significant improvements.</w:t>
      </w:r>
    </w:p>
    <w:p w14:paraId="28E64DE2" w14:textId="77777777" w:rsidR="00F6207D" w:rsidRDefault="00F6207D" w:rsidP="00CB6065">
      <w:pPr>
        <w:pStyle w:val="Heading1"/>
      </w:pPr>
      <w:bookmarkStart w:id="28" w:name="_Toc213373813"/>
      <w:r w:rsidRPr="00F6207D">
        <w:t>Slide 26: Role of Line Managers</w:t>
      </w:r>
      <w:bookmarkEnd w:id="28"/>
    </w:p>
    <w:p w14:paraId="1121F7A9" w14:textId="78427F17" w:rsidR="009F705B" w:rsidRPr="009F705B" w:rsidRDefault="009F705B" w:rsidP="009F705B">
      <w:r w:rsidRPr="009F705B">
        <w:rPr>
          <w:noProof/>
        </w:rPr>
        <w:drawing>
          <wp:inline distT="0" distB="0" distL="0" distR="0" wp14:anchorId="2A129509" wp14:editId="1927FC06">
            <wp:extent cx="5943600" cy="3405505"/>
            <wp:effectExtent l="0" t="0" r="0" b="0"/>
            <wp:docPr id="2062096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96130" name=""/>
                    <pic:cNvPicPr/>
                  </pic:nvPicPr>
                  <pic:blipFill>
                    <a:blip r:embed="rId34"/>
                    <a:stretch>
                      <a:fillRect/>
                    </a:stretch>
                  </pic:blipFill>
                  <pic:spPr>
                    <a:xfrm>
                      <a:off x="0" y="0"/>
                      <a:ext cx="5943600" cy="3405505"/>
                    </a:xfrm>
                    <a:prstGeom prst="rect">
                      <a:avLst/>
                    </a:prstGeom>
                  </pic:spPr>
                </pic:pic>
              </a:graphicData>
            </a:graphic>
          </wp:inline>
        </w:drawing>
      </w:r>
    </w:p>
    <w:p w14:paraId="20509491" w14:textId="6A4B2484" w:rsidR="00F6207D" w:rsidRPr="00F6207D" w:rsidRDefault="00B61C52" w:rsidP="00AF4391">
      <w:pPr>
        <w:ind w:firstLine="0"/>
      </w:pPr>
      <w:r>
        <w:tab/>
      </w:r>
      <w:r w:rsidR="003139A8" w:rsidRPr="003139A8">
        <w:t xml:space="preserve">It is essential that managers lead progress in the area of inclusion by demonstrating fair leadership behaviours (Enyejo et al., 2024). They guarantee unbiased assessments and advocate </w:t>
      </w:r>
      <w:r w:rsidR="003139A8">
        <w:t xml:space="preserve">for a </w:t>
      </w:r>
      <w:r w:rsidR="003139A8" w:rsidRPr="003139A8">
        <w:t xml:space="preserve">digital revolution in teams. Their advocacy encourages open-minded communication, safety in the psyche, and diversity (Sallai and Hill, 2025). </w:t>
      </w:r>
      <w:r w:rsidR="003139A8">
        <w:t>Well-established</w:t>
      </w:r>
      <w:r w:rsidR="003139A8" w:rsidRPr="003139A8">
        <w:t xml:space="preserve"> managerial leadership promotes organisational values and culture that allow all employees to succeed.</w:t>
      </w:r>
    </w:p>
    <w:p w14:paraId="4E60470E" w14:textId="77777777" w:rsidR="00F6207D" w:rsidRDefault="00F6207D" w:rsidP="00CB6065">
      <w:pPr>
        <w:pStyle w:val="Heading1"/>
      </w:pPr>
      <w:bookmarkStart w:id="29" w:name="_Toc213373814"/>
      <w:r w:rsidRPr="00F6207D">
        <w:t>Slide 27: Recommendations</w:t>
      </w:r>
      <w:bookmarkEnd w:id="29"/>
    </w:p>
    <w:p w14:paraId="3DBBEA03" w14:textId="46979CA0" w:rsidR="009F705B" w:rsidRPr="009F705B" w:rsidRDefault="009F705B" w:rsidP="009F705B">
      <w:r w:rsidRPr="009F705B">
        <w:rPr>
          <w:noProof/>
        </w:rPr>
        <w:drawing>
          <wp:inline distT="0" distB="0" distL="0" distR="0" wp14:anchorId="41608103" wp14:editId="6825795C">
            <wp:extent cx="5943600" cy="3392805"/>
            <wp:effectExtent l="0" t="0" r="0" b="0"/>
            <wp:docPr id="980788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88083" name=""/>
                    <pic:cNvPicPr/>
                  </pic:nvPicPr>
                  <pic:blipFill>
                    <a:blip r:embed="rId35"/>
                    <a:stretch>
                      <a:fillRect/>
                    </a:stretch>
                  </pic:blipFill>
                  <pic:spPr>
                    <a:xfrm>
                      <a:off x="0" y="0"/>
                      <a:ext cx="5943600" cy="3392805"/>
                    </a:xfrm>
                    <a:prstGeom prst="rect">
                      <a:avLst/>
                    </a:prstGeom>
                  </pic:spPr>
                </pic:pic>
              </a:graphicData>
            </a:graphic>
          </wp:inline>
        </w:drawing>
      </w:r>
    </w:p>
    <w:p w14:paraId="0AB5A97E" w14:textId="550D509D" w:rsidR="00F6207D" w:rsidRPr="00F6207D" w:rsidRDefault="00B61C52" w:rsidP="00AF4391">
      <w:pPr>
        <w:ind w:firstLine="0"/>
      </w:pPr>
      <w:r>
        <w:tab/>
      </w:r>
      <w:r w:rsidR="003139A8" w:rsidRPr="003139A8">
        <w:t xml:space="preserve">Increasing mentoring and sponsorship programmes would increase </w:t>
      </w:r>
      <w:r w:rsidR="003139A8">
        <w:t xml:space="preserve">the </w:t>
      </w:r>
      <w:r w:rsidR="003139A8" w:rsidRPr="003139A8">
        <w:t xml:space="preserve">visibility of underrepresented employees. Digital literacy training will enhance </w:t>
      </w:r>
      <w:r w:rsidR="003139A8">
        <w:t xml:space="preserve">the </w:t>
      </w:r>
      <w:r w:rsidR="003139A8" w:rsidRPr="003139A8">
        <w:t>use of HR tools as well as enhance inclusion analytics (Naqvi et al., 2025). Periodic reviews of the DEI data would be useful to trace the progress and gaps related to the accountability and constant improvement of the process of creating an equitable global workforce.</w:t>
      </w:r>
    </w:p>
    <w:p w14:paraId="7633F201" w14:textId="77777777" w:rsidR="00F6207D" w:rsidRDefault="00F6207D" w:rsidP="00CB6065">
      <w:pPr>
        <w:pStyle w:val="Heading1"/>
      </w:pPr>
      <w:bookmarkStart w:id="30" w:name="_Toc213373815"/>
      <w:r w:rsidRPr="00F6207D">
        <w:t>Slide 28: Conclusion</w:t>
      </w:r>
      <w:bookmarkEnd w:id="30"/>
    </w:p>
    <w:p w14:paraId="23B35A98" w14:textId="3EE87B9C" w:rsidR="009F705B" w:rsidRPr="009F705B" w:rsidRDefault="009F705B" w:rsidP="009F705B">
      <w:r w:rsidRPr="009F705B">
        <w:rPr>
          <w:noProof/>
        </w:rPr>
        <w:drawing>
          <wp:inline distT="0" distB="0" distL="0" distR="0" wp14:anchorId="77DADAF9" wp14:editId="330DA36F">
            <wp:extent cx="5943600" cy="3455035"/>
            <wp:effectExtent l="0" t="0" r="0" b="0"/>
            <wp:docPr id="344823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23415" name=""/>
                    <pic:cNvPicPr/>
                  </pic:nvPicPr>
                  <pic:blipFill>
                    <a:blip r:embed="rId36"/>
                    <a:stretch>
                      <a:fillRect/>
                    </a:stretch>
                  </pic:blipFill>
                  <pic:spPr>
                    <a:xfrm>
                      <a:off x="0" y="0"/>
                      <a:ext cx="5943600" cy="3455035"/>
                    </a:xfrm>
                    <a:prstGeom prst="rect">
                      <a:avLst/>
                    </a:prstGeom>
                  </pic:spPr>
                </pic:pic>
              </a:graphicData>
            </a:graphic>
          </wp:inline>
        </w:drawing>
      </w:r>
    </w:p>
    <w:p w14:paraId="118FF8D1" w14:textId="238888B7" w:rsidR="00D938D2" w:rsidRDefault="00B61C52" w:rsidP="00630B02">
      <w:pPr>
        <w:ind w:firstLine="0"/>
      </w:pPr>
      <w:r>
        <w:tab/>
      </w:r>
      <w:r w:rsidR="003139A8" w:rsidRPr="003139A8">
        <w:t xml:space="preserve">To summarise it, </w:t>
      </w:r>
      <w:r w:rsidR="003139A8">
        <w:t>Rolls-Royce</w:t>
      </w:r>
      <w:r w:rsidR="003139A8" w:rsidRPr="003139A8">
        <w:t xml:space="preserve"> has a consistent HRM strategy that incorporates recruitment, training, performance management, and inclusion as components to facilitate strategic change. Recruitment guarantees the availability of talent in the world, training develops future competencies, and performance systems match effort and innovation. INC programs foster diverse teamwork. These </w:t>
      </w:r>
      <w:r w:rsidR="003139A8">
        <w:t>practices</w:t>
      </w:r>
      <w:r w:rsidR="003139A8" w:rsidRPr="003139A8">
        <w:t xml:space="preserve"> collectively form a high-performing </w:t>
      </w:r>
      <w:r w:rsidR="003139A8">
        <w:t>workforce</w:t>
      </w:r>
      <w:r w:rsidR="003139A8" w:rsidRPr="003139A8">
        <w:t xml:space="preserve"> that is sustainable and is propelling the long-term success of Rolls-Royce.</w:t>
      </w:r>
    </w:p>
    <w:p w14:paraId="7C77F222" w14:textId="77777777" w:rsidR="00D938D2" w:rsidRDefault="00D938D2" w:rsidP="00391B28">
      <w:pPr>
        <w:spacing w:line="240" w:lineRule="auto"/>
      </w:pPr>
    </w:p>
    <w:p w14:paraId="55F085B2" w14:textId="77777777" w:rsidR="00D938D2" w:rsidRPr="00E01A6B" w:rsidRDefault="00D938D2" w:rsidP="00391B28">
      <w:pPr>
        <w:spacing w:line="240" w:lineRule="auto"/>
      </w:pPr>
    </w:p>
    <w:p w14:paraId="3BEC6297" w14:textId="77777777" w:rsidR="0021470C" w:rsidRDefault="0021470C">
      <w:pPr>
        <w:spacing w:before="0" w:after="200" w:line="276" w:lineRule="auto"/>
        <w:ind w:firstLine="0"/>
        <w:jc w:val="left"/>
        <w:rPr>
          <w:rStyle w:val="Heading1Char"/>
        </w:rPr>
      </w:pPr>
      <w:bookmarkStart w:id="31" w:name="_Toc110252969"/>
      <w:r>
        <w:rPr>
          <w:rStyle w:val="Heading1Char"/>
          <w:b w:val="0"/>
          <w:i w:val="0"/>
        </w:rPr>
        <w:br w:type="page"/>
      </w:r>
    </w:p>
    <w:p w14:paraId="38D159A0" w14:textId="553F8B8F" w:rsidR="003E2434" w:rsidRDefault="00F62E01" w:rsidP="009F13B3">
      <w:pPr>
        <w:pStyle w:val="Heading1"/>
      </w:pPr>
      <w:bookmarkStart w:id="32" w:name="_Toc213373816"/>
      <w:r w:rsidRPr="002212F4">
        <w:rPr>
          <w:rStyle w:val="Heading1Char"/>
          <w:b/>
          <w:i/>
        </w:rPr>
        <w:t xml:space="preserve">Slide </w:t>
      </w:r>
      <w:r>
        <w:rPr>
          <w:rStyle w:val="Heading1Char"/>
          <w:rFonts w:eastAsiaTheme="minorHAnsi" w:cstheme="minorBidi"/>
          <w:b/>
          <w:i/>
          <w:szCs w:val="22"/>
        </w:rPr>
        <w:t>2</w:t>
      </w:r>
      <w:r w:rsidR="00B8531B">
        <w:rPr>
          <w:rStyle w:val="Heading1Char"/>
          <w:rFonts w:eastAsiaTheme="minorHAnsi" w:cstheme="minorBidi"/>
          <w:b/>
          <w:i/>
          <w:szCs w:val="22"/>
        </w:rPr>
        <w:t>9</w:t>
      </w:r>
      <w:r w:rsidRPr="002212F4">
        <w:rPr>
          <w:rStyle w:val="Heading1Char"/>
          <w:b/>
          <w:i/>
        </w:rPr>
        <w:t xml:space="preserve">: </w:t>
      </w:r>
      <w:r w:rsidR="00123662" w:rsidRPr="00A8737C">
        <w:t>References</w:t>
      </w:r>
      <w:bookmarkEnd w:id="31"/>
      <w:bookmarkEnd w:id="32"/>
    </w:p>
    <w:p w14:paraId="1155C93D" w14:textId="77777777" w:rsidR="00B8531B" w:rsidRDefault="00B8531B" w:rsidP="009F6CAC">
      <w:pPr>
        <w:ind w:left="720" w:hanging="720"/>
      </w:pPr>
      <w:r w:rsidRPr="008E3889">
        <w:t>Academy to Innovate HR (AIHR) (</w:t>
      </w:r>
      <w:r>
        <w:t>2024</w:t>
      </w:r>
      <w:r w:rsidRPr="008E3889">
        <w:t xml:space="preserve">) </w:t>
      </w:r>
      <w:r w:rsidRPr="008E3889">
        <w:rPr>
          <w:i/>
          <w:iCs/>
        </w:rPr>
        <w:t>Learning and Development: A Comprehensive Guide</w:t>
      </w:r>
      <w:r w:rsidRPr="008E3889">
        <w:t xml:space="preserve">. Available at: </w:t>
      </w:r>
      <w:hyperlink r:id="rId37" w:tgtFrame="_new" w:history="1">
        <w:r w:rsidRPr="008E3889">
          <w:rPr>
            <w:rStyle w:val="Hyperlink"/>
          </w:rPr>
          <w:t>https://www.aihr.com/blog/learning-and-development/</w:t>
        </w:r>
      </w:hyperlink>
      <w:r w:rsidRPr="008E3889">
        <w:t xml:space="preserve"> (Accessed: 6 November 2025).</w:t>
      </w:r>
    </w:p>
    <w:p w14:paraId="2315E5DB" w14:textId="77777777" w:rsidR="00B8531B" w:rsidRDefault="00B8531B" w:rsidP="009F6CAC">
      <w:pPr>
        <w:ind w:left="720" w:hanging="720"/>
      </w:pPr>
      <w:r w:rsidRPr="006C3A26">
        <w:t>Academy to Innovate HR (AIHR) (</w:t>
      </w:r>
      <w:r>
        <w:t>2025</w:t>
      </w:r>
      <w:r w:rsidRPr="006C3A26">
        <w:t xml:space="preserve">) </w:t>
      </w:r>
      <w:r w:rsidRPr="006C3A26">
        <w:rPr>
          <w:i/>
          <w:iCs/>
        </w:rPr>
        <w:t>7 Actions HR Can Take to Help Create an Inclusive Environment at Work</w:t>
      </w:r>
      <w:r w:rsidRPr="006C3A26">
        <w:t xml:space="preserve">. Available at: </w:t>
      </w:r>
      <w:hyperlink r:id="rId38" w:tgtFrame="_new" w:history="1">
        <w:r w:rsidRPr="006C3A26">
          <w:rPr>
            <w:rStyle w:val="Hyperlink"/>
          </w:rPr>
          <w:t>https://www.aihr.com/blog/inclusive-environment-at-work/</w:t>
        </w:r>
      </w:hyperlink>
      <w:r w:rsidRPr="006C3A26">
        <w:t xml:space="preserve"> (Accessed: 6 November 2025)</w:t>
      </w:r>
      <w:r>
        <w:t>.</w:t>
      </w:r>
    </w:p>
    <w:p w14:paraId="1A1FBAFB" w14:textId="77777777" w:rsidR="00B8531B" w:rsidRDefault="00B8531B" w:rsidP="009F6CAC">
      <w:pPr>
        <w:ind w:left="720" w:hanging="720"/>
      </w:pPr>
      <w:r w:rsidRPr="00E20509">
        <w:t xml:space="preserve">Acorn.Works (2025) </w:t>
      </w:r>
      <w:r w:rsidRPr="00E20509">
        <w:rPr>
          <w:i/>
          <w:iCs/>
        </w:rPr>
        <w:t>The Value of Leadership Development and How to Create a Successful Leadership Program</w:t>
      </w:r>
      <w:r w:rsidRPr="00E20509">
        <w:t xml:space="preserve">. Available at: </w:t>
      </w:r>
      <w:hyperlink r:id="rId39" w:tgtFrame="_new" w:history="1">
        <w:r w:rsidRPr="00E20509">
          <w:rPr>
            <w:rStyle w:val="Hyperlink"/>
          </w:rPr>
          <w:t>https://acorn.works/blog/leadership-development</w:t>
        </w:r>
      </w:hyperlink>
      <w:r w:rsidRPr="00E20509">
        <w:t xml:space="preserve"> (Accessed: 6 November 2025).</w:t>
      </w:r>
    </w:p>
    <w:p w14:paraId="4E550068" w14:textId="1EC8F1BB" w:rsidR="00B8531B" w:rsidRDefault="00B8531B" w:rsidP="009F6CAC">
      <w:pPr>
        <w:ind w:left="720" w:hanging="720"/>
      </w:pPr>
      <w:r w:rsidRPr="00E36B08">
        <w:t xml:space="preserve">Bhaskar, M.P., Pawar, S. </w:t>
      </w:r>
      <w:r w:rsidR="00E80417">
        <w:t>and</w:t>
      </w:r>
      <w:r w:rsidRPr="00E36B08">
        <w:t xml:space="preserve"> Hole, Y. (2019) </w:t>
      </w:r>
      <w:r w:rsidRPr="00E36B08">
        <w:rPr>
          <w:i/>
          <w:iCs/>
        </w:rPr>
        <w:t>Annual deliveries of Rolls</w:t>
      </w:r>
      <w:r w:rsidRPr="00E36B08">
        <w:rPr>
          <w:i/>
          <w:iCs/>
        </w:rPr>
        <w:noBreakHyphen/>
        <w:t>Royce plc civil engines 1995-2010</w:t>
      </w:r>
      <w:r w:rsidRPr="00E36B08">
        <w:t xml:space="preserve"> [online image]. Available at: </w:t>
      </w:r>
      <w:hyperlink r:id="rId40" w:tgtFrame="_new" w:history="1">
        <w:r w:rsidRPr="00E36B08">
          <w:rPr>
            <w:rStyle w:val="Hyperlink"/>
          </w:rPr>
          <w:t>https://www.researchgate.net/figure/Annual-deliveries-of-Rolls-Royce-civil-engines-1995-2010-Source-Rolls-Royce-Annual_fig3_260115550</w:t>
        </w:r>
      </w:hyperlink>
      <w:r w:rsidRPr="00E36B08">
        <w:t xml:space="preserve"> (Accessed: 6 November 2025).</w:t>
      </w:r>
    </w:p>
    <w:p w14:paraId="2DFD6BBA" w14:textId="77777777" w:rsidR="00B8531B" w:rsidRDefault="00B8531B" w:rsidP="00224FE9">
      <w:pPr>
        <w:ind w:left="720" w:hanging="720"/>
      </w:pPr>
      <w:r w:rsidRPr="00A26F6C">
        <w:t xml:space="preserve">Bıçakcıoğlu-Peynirci, N., </w:t>
      </w:r>
      <w:r>
        <w:t>and</w:t>
      </w:r>
      <w:r w:rsidRPr="00A26F6C">
        <w:t xml:space="preserve"> Morgan, R. E. (2023). International servitization: theoretical roots, research gaps and implications. </w:t>
      </w:r>
      <w:r w:rsidRPr="00A26F6C">
        <w:rPr>
          <w:i/>
          <w:iCs/>
        </w:rPr>
        <w:t>International Marketing Review</w:t>
      </w:r>
      <w:r w:rsidRPr="00A26F6C">
        <w:t>, </w:t>
      </w:r>
      <w:r w:rsidRPr="00A26F6C">
        <w:rPr>
          <w:i/>
          <w:iCs/>
        </w:rPr>
        <w:t>40</w:t>
      </w:r>
      <w:r w:rsidRPr="00A26F6C">
        <w:t>(2), 338-364.</w:t>
      </w:r>
      <w:r>
        <w:t xml:space="preserve"> </w:t>
      </w:r>
      <w:hyperlink r:id="rId41" w:history="1">
        <w:r w:rsidRPr="00E72449">
          <w:rPr>
            <w:rStyle w:val="Hyperlink"/>
          </w:rPr>
          <w:t>https://orca.cardiff.ac.uk/id/eprint/157651/1/IMR%202023%20-%20Final%20preprint%20manuscript%20%281%29.pdf</w:t>
        </w:r>
      </w:hyperlink>
    </w:p>
    <w:p w14:paraId="6E1A7F28" w14:textId="77777777" w:rsidR="00B8531B" w:rsidRDefault="00B8531B" w:rsidP="009F13B3">
      <w:pPr>
        <w:ind w:left="720" w:hanging="720"/>
      </w:pPr>
      <w:r w:rsidRPr="00224FE9">
        <w:t xml:space="preserve">Binzer, B., Elshan, E., Fürstenau, D., </w:t>
      </w:r>
      <w:r>
        <w:t>and</w:t>
      </w:r>
      <w:r w:rsidRPr="00224FE9">
        <w:t xml:space="preserve"> Winkler, T. J. (2024). Establishing a low-code/no-code-enabled citizen development strategy. </w:t>
      </w:r>
      <w:r w:rsidRPr="00224FE9">
        <w:rPr>
          <w:i/>
          <w:iCs/>
        </w:rPr>
        <w:t>MIS Quarterly Executive</w:t>
      </w:r>
      <w:r w:rsidRPr="00224FE9">
        <w:t>, </w:t>
      </w:r>
      <w:r w:rsidRPr="00224FE9">
        <w:rPr>
          <w:i/>
          <w:iCs/>
        </w:rPr>
        <w:t>23</w:t>
      </w:r>
      <w:r w:rsidRPr="00224FE9">
        <w:t>(3), 253-273.</w:t>
      </w:r>
      <w:r>
        <w:t xml:space="preserve"> </w:t>
      </w:r>
      <w:hyperlink r:id="rId42" w:history="1">
        <w:r w:rsidRPr="00E72449">
          <w:rPr>
            <w:rStyle w:val="Hyperlink"/>
          </w:rPr>
          <w:t>https://www.researchgate.net/profile/Bjoern-Binzer/publication/384040958_Establishing_a_Low-CodeNo-Code-Enabled_Citizen_Development_Strategy/links/66e5c98f0463442fa84f4175/Establishing-a-Low-Code-No-Code-Enabled-Citizen-Development-Strategy.pdf</w:t>
        </w:r>
      </w:hyperlink>
    </w:p>
    <w:p w14:paraId="098D1167" w14:textId="5B999E96" w:rsidR="00B8531B" w:rsidRPr="00E36B08" w:rsidRDefault="00B8531B" w:rsidP="009F6CAC">
      <w:pPr>
        <w:ind w:left="720" w:hanging="720"/>
        <w:rPr>
          <w:lang w:val="en-US"/>
        </w:rPr>
      </w:pPr>
      <w:r w:rsidRPr="00E36B08">
        <w:rPr>
          <w:lang w:val="en-US"/>
        </w:rPr>
        <w:t xml:space="preserve">Boland, J., Brown, M. </w:t>
      </w:r>
      <w:r w:rsidR="00E80417">
        <w:t>and</w:t>
      </w:r>
      <w:r w:rsidRPr="00E36B08">
        <w:rPr>
          <w:lang w:val="en-US"/>
        </w:rPr>
        <w:t xml:space="preserve"> Dueñas, A. (2020) </w:t>
      </w:r>
      <w:r w:rsidRPr="00E36B08">
        <w:rPr>
          <w:i/>
          <w:iCs/>
          <w:lang w:val="en-US"/>
        </w:rPr>
        <w:t>“Comparison of the number of publications defined by modern ICT for the years 2001-2023”</w:t>
      </w:r>
      <w:r w:rsidRPr="00E36B08">
        <w:rPr>
          <w:lang w:val="en-US"/>
        </w:rPr>
        <w:t xml:space="preserve"> [online image]. Available at: </w:t>
      </w:r>
      <w:hyperlink r:id="rId43" w:tgtFrame="_new" w:history="1">
        <w:r w:rsidRPr="00E36B08">
          <w:rPr>
            <w:rStyle w:val="Hyperlink"/>
            <w:lang w:val="en-US"/>
          </w:rPr>
          <w:t>https://www.researchgate.net/figure/Comparison-of-the-number-of-publications-defined-by-modern-ICT-for-the-years-2001-2023_fig1_382478029</w:t>
        </w:r>
      </w:hyperlink>
      <w:r w:rsidRPr="00E36B08">
        <w:rPr>
          <w:lang w:val="en-US"/>
        </w:rPr>
        <w:t xml:space="preserve"> (Accessed: 6 November 2025).</w:t>
      </w:r>
    </w:p>
    <w:p w14:paraId="03E1573E" w14:textId="77777777" w:rsidR="00B8531B" w:rsidRDefault="00B8531B" w:rsidP="009F6CAC">
      <w:pPr>
        <w:ind w:left="720" w:hanging="720"/>
      </w:pPr>
      <w:r w:rsidRPr="00A64041">
        <w:t xml:space="preserve">Boland, J., Brown, M., Dueñas, A. and Gibbins, J. (2020) </w:t>
      </w:r>
      <w:r w:rsidRPr="00A64041">
        <w:rPr>
          <w:i/>
          <w:iCs/>
        </w:rPr>
        <w:t>“Kirkpatrick’s four‐level training evaluation model: Reproduced from … (Figure 1)”</w:t>
      </w:r>
      <w:r w:rsidRPr="00A64041">
        <w:t xml:space="preserve"> [online image]. Available at: </w:t>
      </w:r>
      <w:hyperlink r:id="rId44" w:tgtFrame="_new" w:history="1">
        <w:r w:rsidRPr="00A64041">
          <w:rPr>
            <w:rStyle w:val="Hyperlink"/>
          </w:rPr>
          <w:t>https://www.researchgate.net/figure/Kirkpatricks-four-level-training-evaluation-model-Reproduced-from-41-on-September-15_fig1_344232579</w:t>
        </w:r>
      </w:hyperlink>
      <w:r w:rsidRPr="00A64041">
        <w:t xml:space="preserve"> (Accessed: 6 November 2025).</w:t>
      </w:r>
    </w:p>
    <w:p w14:paraId="76DC8930" w14:textId="77777777" w:rsidR="00B8531B" w:rsidRPr="006C3A26" w:rsidRDefault="00B8531B" w:rsidP="009F6CAC">
      <w:pPr>
        <w:ind w:left="720" w:hanging="720"/>
        <w:rPr>
          <w:lang w:val="en-US"/>
        </w:rPr>
      </w:pPr>
      <w:r w:rsidRPr="006C3A26">
        <w:rPr>
          <w:lang w:val="en-US"/>
        </w:rPr>
        <w:t xml:space="preserve">Businessmap (2025) </w:t>
      </w:r>
      <w:r w:rsidRPr="006C3A26">
        <w:rPr>
          <w:i/>
          <w:iCs/>
          <w:lang w:val="en-US"/>
        </w:rPr>
        <w:t>Agile</w:t>
      </w:r>
      <w:r w:rsidRPr="006C3A26">
        <w:rPr>
          <w:lang w:val="en-US"/>
        </w:rPr>
        <w:t xml:space="preserve">. Available at: </w:t>
      </w:r>
      <w:hyperlink r:id="rId45" w:tgtFrame="_new" w:history="1">
        <w:r w:rsidRPr="006C3A26">
          <w:rPr>
            <w:rStyle w:val="Hyperlink"/>
            <w:lang w:val="en-US"/>
          </w:rPr>
          <w:t>https://businessmap.io/agile</w:t>
        </w:r>
      </w:hyperlink>
      <w:r w:rsidRPr="006C3A26">
        <w:rPr>
          <w:lang w:val="en-US"/>
        </w:rPr>
        <w:t xml:space="preserve"> (Accessed: 6 November 2025).</w:t>
      </w:r>
    </w:p>
    <w:p w14:paraId="0587E1F7" w14:textId="77777777" w:rsidR="00B8531B" w:rsidRDefault="00B8531B" w:rsidP="00A26F6C">
      <w:pPr>
        <w:ind w:left="720" w:hanging="720"/>
      </w:pPr>
      <w:r w:rsidRPr="00224FE9">
        <w:t xml:space="preserve">Cattani, G., Mastrogiorgio, M., </w:t>
      </w:r>
      <w:r>
        <w:t>and</w:t>
      </w:r>
      <w:r w:rsidRPr="00224FE9">
        <w:t xml:space="preserve"> Carignani, G. (2024). Resource reallocation across successive systemic innovations: How Rolls‐Royce shaped the evolution of the turbojet, turboprop, and turbofan. </w:t>
      </w:r>
      <w:r w:rsidRPr="00224FE9">
        <w:rPr>
          <w:i/>
          <w:iCs/>
        </w:rPr>
        <w:t>Strategic Management Journal</w:t>
      </w:r>
      <w:r w:rsidRPr="00224FE9">
        <w:t>.</w:t>
      </w:r>
      <w:r>
        <w:t xml:space="preserve"> </w:t>
      </w:r>
      <w:hyperlink r:id="rId46" w:history="1">
        <w:r w:rsidRPr="00E72449">
          <w:rPr>
            <w:rStyle w:val="Hyperlink"/>
          </w:rPr>
          <w:t>https://sms.onlinelibrary.wiley.com/doi/pdf/10.1002/smj.3655</w:t>
        </w:r>
      </w:hyperlink>
    </w:p>
    <w:p w14:paraId="48F46705" w14:textId="77777777" w:rsidR="00B8531B" w:rsidRDefault="00B8531B" w:rsidP="009F6CAC">
      <w:pPr>
        <w:ind w:left="720" w:hanging="720"/>
      </w:pPr>
      <w:r w:rsidRPr="00A64041">
        <w:t xml:space="preserve">Chatman, J.A. (1989) </w:t>
      </w:r>
      <w:r w:rsidRPr="00A64041">
        <w:rPr>
          <w:i/>
          <w:iCs/>
        </w:rPr>
        <w:t>“Model of person–organization fit”</w:t>
      </w:r>
      <w:r w:rsidRPr="00A64041">
        <w:t xml:space="preserve"> [online image]. Available at: </w:t>
      </w:r>
      <w:hyperlink r:id="rId47" w:tgtFrame="_new" w:history="1">
        <w:r w:rsidRPr="00A64041">
          <w:rPr>
            <w:rStyle w:val="Hyperlink"/>
          </w:rPr>
          <w:t>https://www.researchgate.net/figure/Model-of-person-organization-fit-Chatman-1989_fig1_282974170</w:t>
        </w:r>
      </w:hyperlink>
      <w:r w:rsidRPr="00A64041">
        <w:t xml:space="preserve"> (Accessed: 6 November 2025).</w:t>
      </w:r>
    </w:p>
    <w:p w14:paraId="6320FDAF" w14:textId="77777777" w:rsidR="00B8531B" w:rsidRDefault="00B8531B" w:rsidP="00471184">
      <w:pPr>
        <w:ind w:left="720" w:hanging="720"/>
      </w:pPr>
      <w:r w:rsidRPr="00471184">
        <w:t xml:space="preserve">Cho, W., Choi, S., </w:t>
      </w:r>
      <w:r>
        <w:t>and</w:t>
      </w:r>
      <w:r w:rsidRPr="00471184">
        <w:t xml:space="preserve"> Choi, H. (2023). Human resources analytics for public personnel management: Concepts, cases, and caveats. </w:t>
      </w:r>
      <w:r w:rsidRPr="00471184">
        <w:rPr>
          <w:i/>
          <w:iCs/>
        </w:rPr>
        <w:t>Administrative Sciences</w:t>
      </w:r>
      <w:r w:rsidRPr="00471184">
        <w:t>, </w:t>
      </w:r>
      <w:r w:rsidRPr="00471184">
        <w:rPr>
          <w:i/>
          <w:iCs/>
        </w:rPr>
        <w:t>13</w:t>
      </w:r>
      <w:r w:rsidRPr="00471184">
        <w:t>(2), 41.</w:t>
      </w:r>
      <w:r>
        <w:t xml:space="preserve"> </w:t>
      </w:r>
      <w:hyperlink r:id="rId48" w:history="1">
        <w:r w:rsidRPr="00E72449">
          <w:rPr>
            <w:rStyle w:val="Hyperlink"/>
          </w:rPr>
          <w:t>https://www.mdpi.com/2076-3387/13/2/41</w:t>
        </w:r>
      </w:hyperlink>
    </w:p>
    <w:p w14:paraId="03B11EBC" w14:textId="77777777" w:rsidR="00B8531B" w:rsidRDefault="00B8531B" w:rsidP="00471184">
      <w:pPr>
        <w:ind w:left="720" w:hanging="720"/>
      </w:pPr>
      <w:r w:rsidRPr="00471184">
        <w:t>Chowdhury, R. H. (2025). </w:t>
      </w:r>
      <w:r w:rsidRPr="00471184">
        <w:rPr>
          <w:i/>
          <w:iCs/>
        </w:rPr>
        <w:t xml:space="preserve">Digital leadership and </w:t>
      </w:r>
      <w:r>
        <w:rPr>
          <w:i/>
          <w:iCs/>
        </w:rPr>
        <w:t>organisational</w:t>
      </w:r>
      <w:r w:rsidRPr="00471184">
        <w:rPr>
          <w:i/>
          <w:iCs/>
        </w:rPr>
        <w:t xml:space="preserve"> learning: Technologies for business transformation and operational excellence</w:t>
      </w:r>
      <w:r w:rsidRPr="00471184">
        <w:t>. Deep Science Publishing.</w:t>
      </w:r>
      <w:r>
        <w:t xml:space="preserve"> </w:t>
      </w:r>
      <w:hyperlink r:id="rId49" w:history="1">
        <w:r w:rsidRPr="00E72449">
          <w:rPr>
            <w:rStyle w:val="Hyperlink"/>
          </w:rPr>
          <w:t>https://www.researchgate.net/profile/Rakibul-Chowdhury-6/publication/392071228_Digital_Leadership_and_Organizational_Learning_Technologies_for_Business_Transformation_and_Operational_Excellence/links/68340d038a76251f22e8a2b0/Digital-Leadership-and-Organizational-Learning-Technologies-for-Business-Transformation-and-Operational-Excellence.pdf</w:t>
        </w:r>
      </w:hyperlink>
    </w:p>
    <w:p w14:paraId="3CF4C4F3" w14:textId="77777777" w:rsidR="00B8531B" w:rsidRDefault="00B8531B" w:rsidP="00224FE9">
      <w:pPr>
        <w:ind w:left="720" w:hanging="720"/>
      </w:pPr>
      <w:r w:rsidRPr="00A26F6C">
        <w:t xml:space="preserve">Cook, M. C., </w:t>
      </w:r>
      <w:r>
        <w:t>and</w:t>
      </w:r>
      <w:r w:rsidRPr="00A26F6C">
        <w:t xml:space="preserve"> Mo, J. P. (2022). Architectural approach for analysing and managing innovation in complex system design projects. </w:t>
      </w:r>
      <w:r w:rsidRPr="00A26F6C">
        <w:rPr>
          <w:i/>
          <w:iCs/>
        </w:rPr>
        <w:t>Product: Management and Development</w:t>
      </w:r>
      <w:r w:rsidRPr="00A26F6C">
        <w:t>, </w:t>
      </w:r>
      <w:r w:rsidRPr="00A26F6C">
        <w:rPr>
          <w:i/>
          <w:iCs/>
        </w:rPr>
        <w:t>20</w:t>
      </w:r>
      <w:r w:rsidRPr="00A26F6C">
        <w:t>(1), 0-0.</w:t>
      </w:r>
      <w:r>
        <w:t xml:space="preserve"> </w:t>
      </w:r>
      <w:hyperlink r:id="rId50" w:history="1">
        <w:r w:rsidRPr="00E72449">
          <w:rPr>
            <w:rStyle w:val="Hyperlink"/>
          </w:rPr>
          <w:t>https://app.periodikos.com.br/article/10.4322/pmd.2021.014/pdf/pmd-20-1-e20210019.pdf</w:t>
        </w:r>
      </w:hyperlink>
    </w:p>
    <w:p w14:paraId="15347007" w14:textId="70C07179" w:rsidR="00B8531B" w:rsidRDefault="00B8531B" w:rsidP="009F6CAC">
      <w:pPr>
        <w:ind w:left="720" w:hanging="720"/>
      </w:pPr>
      <w:r w:rsidRPr="00844A3C">
        <w:t xml:space="preserve">Cummings, S., Bridgman, T. </w:t>
      </w:r>
      <w:r w:rsidR="00E80417">
        <w:t>and</w:t>
      </w:r>
      <w:r w:rsidRPr="00844A3C">
        <w:t xml:space="preserve"> Brown, K.G. (2015) </w:t>
      </w:r>
      <w:r w:rsidRPr="00844A3C">
        <w:rPr>
          <w:i/>
          <w:iCs/>
        </w:rPr>
        <w:t>“Lewin’s 3-stage model: Unfreeze – This stage prepares individuals for the change”</w:t>
      </w:r>
      <w:r w:rsidRPr="00844A3C">
        <w:t xml:space="preserve"> [online image]. Available at: </w:t>
      </w:r>
      <w:hyperlink r:id="rId51" w:tgtFrame="_new" w:history="1">
        <w:r w:rsidRPr="00844A3C">
          <w:rPr>
            <w:rStyle w:val="Hyperlink"/>
          </w:rPr>
          <w:t>https://www.researchgate.net/figure/Lewins-3-stage-model-Unfreeze-This-stage-prepares-individuals-for-the-change-In_fig3_334736458</w:t>
        </w:r>
      </w:hyperlink>
    </w:p>
    <w:p w14:paraId="17BA768A" w14:textId="7D4D5124" w:rsidR="00B8531B" w:rsidRDefault="00B8531B" w:rsidP="009F6CAC">
      <w:pPr>
        <w:ind w:left="720" w:hanging="720"/>
      </w:pPr>
      <w:r w:rsidRPr="00D24923">
        <w:t xml:space="preserve">El-Hamidi, F. </w:t>
      </w:r>
      <w:r w:rsidR="00E80417">
        <w:t>and</w:t>
      </w:r>
      <w:r w:rsidRPr="00D24923">
        <w:t xml:space="preserve"> Said, M. (2007) ‘Distribution of employment by gender and sector (%)’, </w:t>
      </w:r>
      <w:r w:rsidRPr="00D24923">
        <w:rPr>
          <w:i/>
          <w:iCs/>
        </w:rPr>
        <w:t>Have economic reforms paid off? Gender occupational inequality in the new millennium in Egypt</w:t>
      </w:r>
      <w:r w:rsidRPr="00D24923">
        <w:t xml:space="preserve">. Available at: </w:t>
      </w:r>
      <w:hyperlink r:id="rId52" w:tgtFrame="_new" w:history="1">
        <w:r w:rsidRPr="00D24923">
          <w:rPr>
            <w:rStyle w:val="Hyperlink"/>
          </w:rPr>
          <w:t>https://www.researchgate.net/figure/Distribution-of-Employment-by-Gender-and-Sector_fig2_24111428</w:t>
        </w:r>
      </w:hyperlink>
      <w:r w:rsidRPr="00D24923">
        <w:t xml:space="preserve"> (Accessed: 6 November 2025).</w:t>
      </w:r>
    </w:p>
    <w:p w14:paraId="6762563C" w14:textId="77777777" w:rsidR="00B8531B" w:rsidRDefault="00B8531B" w:rsidP="009F13B3">
      <w:pPr>
        <w:ind w:left="720" w:hanging="720"/>
      </w:pPr>
      <w:r w:rsidRPr="003A6CE0">
        <w:t xml:space="preserve">Enyejo, J. O., Babalola, I. N. O., Owolabi, F. R. A., Adeyemi, A. F., Osam-Nunoo, G., </w:t>
      </w:r>
      <w:r>
        <w:t>and</w:t>
      </w:r>
      <w:r w:rsidRPr="003A6CE0">
        <w:t xml:space="preserve"> Ogwuche, A. O. (2024). Data-driven digital marketing and battery supply chain optimization in the battery powered aircraft industry through case studies of Rolls-Royce’s ACCEL and Airbus's E-Fan X Projects. </w:t>
      </w:r>
      <w:r w:rsidRPr="003A6CE0">
        <w:rPr>
          <w:i/>
          <w:iCs/>
        </w:rPr>
        <w:t>International Journal of Scholarly Research and Reviews</w:t>
      </w:r>
      <w:r w:rsidRPr="003A6CE0">
        <w:t>, </w:t>
      </w:r>
      <w:r w:rsidRPr="003A6CE0">
        <w:rPr>
          <w:i/>
          <w:iCs/>
        </w:rPr>
        <w:t>5</w:t>
      </w:r>
      <w:r w:rsidRPr="003A6CE0">
        <w:t>(02), 001-020.</w:t>
      </w:r>
      <w:r>
        <w:t xml:space="preserve"> </w:t>
      </w:r>
      <w:hyperlink r:id="rId53" w:history="1">
        <w:r w:rsidRPr="00E72449">
          <w:rPr>
            <w:rStyle w:val="Hyperlink"/>
          </w:rPr>
          <w:t>https://www.researchgate.net/profile/George-Osam-Nunoo/publication/385381784_Data-driven_digital_marketing_and_battery_supply_chain_optimization_in_the_battery-powered_aircraft_industry_through_case_studies_of_Rolls-Royce's_ACCEL_and_Airbus's_E-Fan_X_Projects/links/6745343a868c966b93304209/Data-driven-digital-marketing-and-battery-supply-chain-optimization-in-the-battery-powered-aircraft-industry-through-case-studies-of-Rolls-Royces-ACCEL-and-Airbuss-E-Fan-X-Projects.pdf</w:t>
        </w:r>
      </w:hyperlink>
    </w:p>
    <w:p w14:paraId="42932E4A" w14:textId="77777777" w:rsidR="00B8531B" w:rsidRDefault="00B8531B" w:rsidP="009F6CAC">
      <w:pPr>
        <w:ind w:left="720" w:hanging="720"/>
      </w:pPr>
      <w:r w:rsidRPr="00E20509">
        <w:t xml:space="preserve">FasterCapital (2025) </w:t>
      </w:r>
      <w:r w:rsidRPr="00E20509">
        <w:rPr>
          <w:i/>
          <w:iCs/>
        </w:rPr>
        <w:t>The Importance of Accountability in the Workplace</w:t>
      </w:r>
      <w:r w:rsidRPr="00E20509">
        <w:t xml:space="preserve">. Available at: </w:t>
      </w:r>
      <w:hyperlink r:id="rId54" w:tgtFrame="_new" w:history="1">
        <w:r w:rsidRPr="00E20509">
          <w:rPr>
            <w:rStyle w:val="Hyperlink"/>
          </w:rPr>
          <w:t>https://fastercapital.com/topics/the-importance-of-accountability-in-the-workplace.html/1</w:t>
        </w:r>
      </w:hyperlink>
      <w:r w:rsidRPr="00E20509">
        <w:t xml:space="preserve"> (Accessed: 6 November 2025).</w:t>
      </w:r>
    </w:p>
    <w:p w14:paraId="23639557" w14:textId="77777777" w:rsidR="00B8531B" w:rsidRDefault="00B8531B" w:rsidP="009F6CAC">
      <w:pPr>
        <w:ind w:left="720" w:hanging="720"/>
      </w:pPr>
      <w:r w:rsidRPr="00A64041">
        <w:t>Fechter, J. (</w:t>
      </w:r>
      <w:r>
        <w:t>2024</w:t>
      </w:r>
      <w:r w:rsidRPr="00A64041">
        <w:t xml:space="preserve">) </w:t>
      </w:r>
      <w:r w:rsidRPr="00A64041">
        <w:rPr>
          <w:i/>
          <w:iCs/>
        </w:rPr>
        <w:t>Inclusion vs Diversity: What’s the Difference?</w:t>
      </w:r>
      <w:r w:rsidRPr="00A64041">
        <w:t xml:space="preserve"> [online]. HR University. Available at: </w:t>
      </w:r>
      <w:hyperlink r:id="rId55" w:tgtFrame="_new" w:history="1">
        <w:r w:rsidRPr="00A64041">
          <w:rPr>
            <w:rStyle w:val="Hyperlink"/>
          </w:rPr>
          <w:t>https://hr.university/dei/inclusion-vs-diversity/</w:t>
        </w:r>
      </w:hyperlink>
      <w:r w:rsidRPr="00A64041">
        <w:t xml:space="preserve"> (Accessed: 6 November 2025).</w:t>
      </w:r>
    </w:p>
    <w:p w14:paraId="3E64F6E2" w14:textId="77777777" w:rsidR="00B8531B" w:rsidRDefault="00B8531B" w:rsidP="00224FE9">
      <w:pPr>
        <w:ind w:left="720" w:hanging="720"/>
      </w:pPr>
      <w:r w:rsidRPr="00A26F6C">
        <w:t xml:space="preserve">Franco, M., Minatogawa, V., </w:t>
      </w:r>
      <w:r>
        <w:t>and</w:t>
      </w:r>
      <w:r w:rsidRPr="00A26F6C">
        <w:t xml:space="preserve"> Quadros, R. (2023). How Transformative Business Model Renewal Leads to Sustained Exploratory Business Model Innovation in Incumbents: Insights from a System Dynamics Analysis of Case Studies. </w:t>
      </w:r>
      <w:r w:rsidRPr="00A26F6C">
        <w:rPr>
          <w:i/>
          <w:iCs/>
        </w:rPr>
        <w:t>Systems</w:t>
      </w:r>
      <w:r w:rsidRPr="00A26F6C">
        <w:t>, </w:t>
      </w:r>
      <w:r w:rsidRPr="00A26F6C">
        <w:rPr>
          <w:i/>
          <w:iCs/>
        </w:rPr>
        <w:t>11</w:t>
      </w:r>
      <w:r w:rsidRPr="00A26F6C">
        <w:t>(2), 60.</w:t>
      </w:r>
      <w:r>
        <w:t xml:space="preserve"> </w:t>
      </w:r>
      <w:hyperlink r:id="rId56" w:history="1">
        <w:r w:rsidRPr="00E72449">
          <w:rPr>
            <w:rStyle w:val="Hyperlink"/>
          </w:rPr>
          <w:t>https://www.mdpi.com/2079-8954/11/2/60</w:t>
        </w:r>
      </w:hyperlink>
    </w:p>
    <w:p w14:paraId="4260127E" w14:textId="77777777" w:rsidR="00B8531B" w:rsidRDefault="00B8531B" w:rsidP="00A26F6C">
      <w:pPr>
        <w:ind w:left="720" w:hanging="720"/>
      </w:pPr>
      <w:r w:rsidRPr="00A26F6C">
        <w:t xml:space="preserve">Gartzou-Katsouyanni, K., Kiefel, M., </w:t>
      </w:r>
      <w:r>
        <w:t>and</w:t>
      </w:r>
      <w:r w:rsidRPr="00A26F6C">
        <w:t xml:space="preserve"> Olivas Osuna, J. J. (2022). Voting for your pocketbook, but against your pocketbook? A study of Brexit at the local level. </w:t>
      </w:r>
      <w:r w:rsidRPr="00A26F6C">
        <w:rPr>
          <w:i/>
          <w:iCs/>
        </w:rPr>
        <w:t xml:space="preserve">Politics </w:t>
      </w:r>
      <w:r>
        <w:rPr>
          <w:i/>
          <w:iCs/>
        </w:rPr>
        <w:t>and</w:t>
      </w:r>
      <w:r w:rsidRPr="00A26F6C">
        <w:rPr>
          <w:i/>
          <w:iCs/>
        </w:rPr>
        <w:t xml:space="preserve"> Society</w:t>
      </w:r>
      <w:r w:rsidRPr="00A26F6C">
        <w:t>, </w:t>
      </w:r>
      <w:r w:rsidRPr="00A26F6C">
        <w:rPr>
          <w:i/>
          <w:iCs/>
        </w:rPr>
        <w:t>50</w:t>
      </w:r>
      <w:r w:rsidRPr="00A26F6C">
        <w:t>(1), 3-43.</w:t>
      </w:r>
      <w:r>
        <w:t xml:space="preserve"> </w:t>
      </w:r>
      <w:hyperlink r:id="rId57" w:history="1">
        <w:r w:rsidRPr="00E72449">
          <w:rPr>
            <w:rStyle w:val="Hyperlink"/>
          </w:rPr>
          <w:t>https://journals.sagepub.com/doi/pdf/10.1177/0032329221992198</w:t>
        </w:r>
      </w:hyperlink>
    </w:p>
    <w:p w14:paraId="7AB2562B" w14:textId="77777777" w:rsidR="00B8531B" w:rsidRDefault="00B8531B" w:rsidP="009F6CAC">
      <w:pPr>
        <w:ind w:left="720" w:hanging="720"/>
        <w:rPr>
          <w:lang w:val="en-US"/>
        </w:rPr>
      </w:pPr>
      <w:r w:rsidRPr="00BB2E82">
        <w:rPr>
          <w:lang w:val="en-US"/>
        </w:rPr>
        <w:t xml:space="preserve">Gedikli, C. (2020) </w:t>
      </w:r>
      <w:r w:rsidRPr="00BB2E82">
        <w:rPr>
          <w:i/>
          <w:iCs/>
          <w:lang w:val="en-US"/>
        </w:rPr>
        <w:t>“Overall occupational gender segregation (OS) and the vertical dimension (VS) by age”</w:t>
      </w:r>
      <w:r w:rsidRPr="00BB2E82">
        <w:rPr>
          <w:lang w:val="en-US"/>
        </w:rPr>
        <w:t xml:space="preserve"> [online image]. Journal of Family and Economic Issues, 41(1). Available at: </w:t>
      </w:r>
      <w:hyperlink r:id="rId58" w:tgtFrame="_new" w:history="1">
        <w:r w:rsidRPr="00BB2E82">
          <w:rPr>
            <w:rStyle w:val="Hyperlink"/>
            <w:lang w:val="en-US"/>
          </w:rPr>
          <w:t>https://www.researchgate.net/figure/Overall-occupational-gender-segregation-OS-and-the-vertical-dimension-VS-by-age_fig2_337871776</w:t>
        </w:r>
      </w:hyperlink>
      <w:r w:rsidRPr="00BB2E82">
        <w:rPr>
          <w:lang w:val="en-US"/>
        </w:rPr>
        <w:t xml:space="preserve"> (Accessed: 6 November 2025).</w:t>
      </w:r>
    </w:p>
    <w:p w14:paraId="26A0AD21" w14:textId="77777777" w:rsidR="00B8531B" w:rsidRDefault="00B8531B" w:rsidP="009F13B3">
      <w:pPr>
        <w:ind w:left="720" w:hanging="720"/>
      </w:pPr>
      <w:r w:rsidRPr="00224FE9">
        <w:t xml:space="preserve">Gibbs, E., Mackenzie, E., McKinlay, A., McNulty, D., Phillips, J., </w:t>
      </w:r>
      <w:r>
        <w:t>and</w:t>
      </w:r>
      <w:r w:rsidRPr="00224FE9">
        <w:t xml:space="preserve"> Procter, S. (2025). Rolls-Royce engineers and deindustrialization in Scotland from the 1950s to the 2020s. </w:t>
      </w:r>
      <w:r w:rsidRPr="00224FE9">
        <w:rPr>
          <w:i/>
          <w:iCs/>
        </w:rPr>
        <w:t>Modern British History</w:t>
      </w:r>
      <w:r w:rsidRPr="00224FE9">
        <w:t>, </w:t>
      </w:r>
      <w:r w:rsidRPr="00224FE9">
        <w:rPr>
          <w:i/>
          <w:iCs/>
        </w:rPr>
        <w:t>36</w:t>
      </w:r>
      <w:r w:rsidRPr="00224FE9">
        <w:t>(2), hwaf002.</w:t>
      </w:r>
      <w:r>
        <w:t xml:space="preserve"> </w:t>
      </w:r>
      <w:hyperlink r:id="rId59" w:history="1">
        <w:r w:rsidRPr="00E72449">
          <w:rPr>
            <w:rStyle w:val="Hyperlink"/>
          </w:rPr>
          <w:t>https://academic.oup.com/tcbh/article-pdf/36/2/hwaf002/62858501/hwaf002.pdf</w:t>
        </w:r>
      </w:hyperlink>
    </w:p>
    <w:p w14:paraId="7D1E880D" w14:textId="77777777" w:rsidR="00B8531B" w:rsidRDefault="00B8531B" w:rsidP="009F13B3">
      <w:pPr>
        <w:ind w:left="720" w:hanging="720"/>
      </w:pPr>
      <w:r w:rsidRPr="00664ED9">
        <w:t xml:space="preserve">Grimshaw, S. D., Clark, C. J., Taylor, J. V., </w:t>
      </w:r>
      <w:r>
        <w:t>and</w:t>
      </w:r>
      <w:r w:rsidRPr="00664ED9">
        <w:t xml:space="preserve"> Spataro, R. (2022). Student research projects with industrial impact. </w:t>
      </w:r>
      <w:r w:rsidRPr="00664ED9">
        <w:rPr>
          <w:i/>
          <w:iCs/>
        </w:rPr>
        <w:t>Journal of Engineering for Gas Turbines and Power</w:t>
      </w:r>
      <w:r w:rsidRPr="00664ED9">
        <w:t>, </w:t>
      </w:r>
      <w:r w:rsidRPr="00664ED9">
        <w:rPr>
          <w:i/>
          <w:iCs/>
        </w:rPr>
        <w:t>144</w:t>
      </w:r>
      <w:r w:rsidRPr="00664ED9">
        <w:t>(6), 061008.</w:t>
      </w:r>
      <w:r>
        <w:t xml:space="preserve"> </w:t>
      </w:r>
      <w:hyperlink r:id="rId60" w:history="1">
        <w:r w:rsidRPr="00E72449">
          <w:rPr>
            <w:rStyle w:val="Hyperlink"/>
          </w:rPr>
          <w:t>https://www.repository.cam.ac.uk/bitstreams/e6ab60a5-08e0-426f-b684-47c2686ec1ac/download</w:t>
        </w:r>
      </w:hyperlink>
    </w:p>
    <w:p w14:paraId="17565C5A" w14:textId="77777777" w:rsidR="00B8531B" w:rsidRDefault="00B8531B" w:rsidP="009F6CAC">
      <w:pPr>
        <w:ind w:left="720" w:hanging="720"/>
      </w:pPr>
      <w:r w:rsidRPr="008E3889">
        <w:t xml:space="preserve">HR Cloud (2025) </w:t>
      </w:r>
      <w:r w:rsidRPr="008E3889">
        <w:rPr>
          <w:i/>
          <w:iCs/>
        </w:rPr>
        <w:t>10 Latest HR Management Trends in 2025 That Are Shaping the Future of Work</w:t>
      </w:r>
      <w:r w:rsidRPr="008E3889">
        <w:t xml:space="preserve">. Available at: </w:t>
      </w:r>
      <w:hyperlink r:id="rId61" w:tgtFrame="_new" w:history="1">
        <w:r w:rsidRPr="008E3889">
          <w:rPr>
            <w:rStyle w:val="Hyperlink"/>
          </w:rPr>
          <w:t>https://www.hrcloud.com/blog/10-latest-hr-management-trends-for-the-year</w:t>
        </w:r>
      </w:hyperlink>
      <w:r w:rsidRPr="008E3889">
        <w:t xml:space="preserve"> (Accessed: 6 November 2025). </w:t>
      </w:r>
    </w:p>
    <w:p w14:paraId="6721A576" w14:textId="77777777" w:rsidR="00B8531B" w:rsidRDefault="00B8531B" w:rsidP="009F13B3">
      <w:pPr>
        <w:ind w:left="720" w:hanging="720"/>
      </w:pPr>
      <w:r w:rsidRPr="003A6CE0">
        <w:t>Kamp, A. (2023). </w:t>
      </w:r>
      <w:r w:rsidRPr="003A6CE0">
        <w:rPr>
          <w:i/>
          <w:iCs/>
        </w:rPr>
        <w:t>Engineering Education in the Rapidly Changing World: Rethinking the Vision for Higher Engineering Education|</w:t>
      </w:r>
      <w:r w:rsidRPr="003A6CE0">
        <w:t>. TU Delft OPEN Publishing.</w:t>
      </w:r>
      <w:r>
        <w:t xml:space="preserve"> </w:t>
      </w:r>
      <w:hyperlink r:id="rId62" w:history="1">
        <w:r w:rsidRPr="00E72449">
          <w:rPr>
            <w:rStyle w:val="Hyperlink"/>
          </w:rPr>
          <w:t>https://repository.tudelft.nl/file/File_2d3a14d8-ff2f-4011-b6ae-f5188f824e6b</w:t>
        </w:r>
      </w:hyperlink>
    </w:p>
    <w:p w14:paraId="10D5859F" w14:textId="77777777" w:rsidR="00B8531B" w:rsidRDefault="00B8531B" w:rsidP="00224FE9">
      <w:pPr>
        <w:ind w:left="720" w:hanging="720"/>
      </w:pPr>
      <w:r w:rsidRPr="00224FE9">
        <w:t xml:space="preserve">King, K. A., </w:t>
      </w:r>
      <w:r>
        <w:t>and</w:t>
      </w:r>
      <w:r w:rsidRPr="00224FE9">
        <w:t xml:space="preserve"> Cnop, A. (2025). Transformation in the automotive sector: the management challenges of AI and the digital revolution.</w:t>
      </w:r>
      <w:r>
        <w:t xml:space="preserve"> </w:t>
      </w:r>
      <w:hyperlink r:id="rId63" w:history="1">
        <w:r w:rsidRPr="00E72449">
          <w:rPr>
            <w:rStyle w:val="Hyperlink"/>
          </w:rPr>
          <w:t>https://eprints.lse.ac.uk/128775/1/0d5be932-2b53-4929-879e-e40103d33542.pdf</w:t>
        </w:r>
      </w:hyperlink>
    </w:p>
    <w:p w14:paraId="6A73F1DC" w14:textId="0DD36D89" w:rsidR="00B8531B" w:rsidRDefault="00B8531B" w:rsidP="009F6CAC">
      <w:pPr>
        <w:ind w:left="720" w:hanging="720"/>
      </w:pPr>
      <w:r w:rsidRPr="009B5E7E">
        <w:t xml:space="preserve">Kulikova, T.A., Poddubnaya, N.A., Bagdasaryan, L.Sh. </w:t>
      </w:r>
      <w:r w:rsidR="00E80417">
        <w:t>and</w:t>
      </w:r>
      <w:r w:rsidRPr="009B5E7E">
        <w:t xml:space="preserve"> Ardeev, A.H. (2020) ‘The Dynamic of a Future Teacher’s Digital Literacy</w:t>
      </w:r>
      <w:r w:rsidRPr="009B5E7E">
        <w:t> </w:t>
      </w:r>
      <w:r w:rsidRPr="009B5E7E">
        <w:t xml:space="preserve">[Figure 1]’, </w:t>
      </w:r>
      <w:r w:rsidRPr="009B5E7E">
        <w:rPr>
          <w:i/>
          <w:iCs/>
        </w:rPr>
        <w:t>The technique for future teachers’ digital literacy development</w:t>
      </w:r>
      <w:r w:rsidRPr="009B5E7E">
        <w:t xml:space="preserve">. Available at: </w:t>
      </w:r>
      <w:hyperlink r:id="rId64" w:tgtFrame="_new" w:history="1">
        <w:r w:rsidRPr="009B5E7E">
          <w:rPr>
            <w:rStyle w:val="Hyperlink"/>
          </w:rPr>
          <w:t>https://www.researchgate.net/figure/The-Dynamic-of-a-Future-Teachers-Digital-Literacy_fig1_349045218</w:t>
        </w:r>
      </w:hyperlink>
      <w:r w:rsidRPr="009B5E7E">
        <w:t xml:space="preserve"> (Accessed: 6 November 2025).</w:t>
      </w:r>
    </w:p>
    <w:p w14:paraId="7D128199" w14:textId="2A3368C2" w:rsidR="00B8531B" w:rsidRPr="00E20509" w:rsidRDefault="00B8531B" w:rsidP="009F6CAC">
      <w:pPr>
        <w:ind w:left="720" w:hanging="720"/>
        <w:rPr>
          <w:lang w:val="en-US"/>
        </w:rPr>
      </w:pPr>
      <w:r w:rsidRPr="00E20509">
        <w:rPr>
          <w:lang w:val="en-US"/>
        </w:rPr>
        <w:t xml:space="preserve">Laguna-Sánchez, P., Segovia-Pérez, M., de la Fuente-Cabrero, C. </w:t>
      </w:r>
      <w:r w:rsidR="00E80417">
        <w:t>and</w:t>
      </w:r>
      <w:r w:rsidRPr="00E20509">
        <w:rPr>
          <w:lang w:val="en-US"/>
        </w:rPr>
        <w:t xml:space="preserve"> Vargas-Pérez, A.M. (2021) ‘A Collaborative Model for Leadership Education in High-Potential University Women Students’, </w:t>
      </w:r>
      <w:r w:rsidRPr="00E20509">
        <w:rPr>
          <w:i/>
          <w:iCs/>
          <w:lang w:val="en-US"/>
        </w:rPr>
        <w:t>Journal of Open Innovation: Technology, Market, and Complexity</w:t>
      </w:r>
      <w:r w:rsidRPr="00E20509">
        <w:rPr>
          <w:lang w:val="en-US"/>
        </w:rPr>
        <w:t xml:space="preserve">, 7(2), p.138. Available at: </w:t>
      </w:r>
      <w:hyperlink r:id="rId65" w:history="1">
        <w:r w:rsidRPr="00E20509">
          <w:rPr>
            <w:rStyle w:val="Hyperlink"/>
            <w:lang w:val="en-US"/>
          </w:rPr>
          <w:t>https://doi.org/10.3390/joitmc7020138</w:t>
        </w:r>
      </w:hyperlink>
      <w:r>
        <w:rPr>
          <w:lang w:val="en-US"/>
        </w:rPr>
        <w:t xml:space="preserve"> </w:t>
      </w:r>
      <w:r w:rsidRPr="00E20509">
        <w:rPr>
          <w:lang w:val="en-US"/>
        </w:rPr>
        <w:t xml:space="preserve"> (Accessed: 6 November 2025).</w:t>
      </w:r>
    </w:p>
    <w:p w14:paraId="4A02D460" w14:textId="5F6F5C63" w:rsidR="00B8531B" w:rsidRDefault="00B8531B" w:rsidP="009F6CAC">
      <w:pPr>
        <w:ind w:left="720" w:hanging="720"/>
      </w:pPr>
      <w:r w:rsidRPr="00AB5A23">
        <w:t xml:space="preserve">Lazonick, W. </w:t>
      </w:r>
      <w:r w:rsidR="00E80417">
        <w:t>and</w:t>
      </w:r>
      <w:r w:rsidRPr="00AB5A23">
        <w:t xml:space="preserve"> Prencipe, A. (2005) </w:t>
      </w:r>
      <w:r w:rsidRPr="00AB5A23">
        <w:rPr>
          <w:i/>
          <w:iCs/>
        </w:rPr>
        <w:t>‘Shows the relation between Rolls</w:t>
      </w:r>
      <w:r w:rsidRPr="00AB5A23">
        <w:rPr>
          <w:i/>
          <w:iCs/>
        </w:rPr>
        <w:noBreakHyphen/>
        <w:t>Royce plc’s internal sources of funds and its most important uses of funds, not including acquisitions’</w:t>
      </w:r>
      <w:r w:rsidRPr="00AB5A23">
        <w:t xml:space="preserve"> [online image]. Available at: </w:t>
      </w:r>
      <w:hyperlink r:id="rId66" w:tgtFrame="_new" w:history="1">
        <w:r w:rsidRPr="00AB5A23">
          <w:rPr>
            <w:rStyle w:val="Hyperlink"/>
          </w:rPr>
          <w:t>https://www.researchgate.net/figure/shows-the-relation-between-Rolls-Royces-internal-sources-of-funds-and-its-most-important_fig1_5212528</w:t>
        </w:r>
      </w:hyperlink>
      <w:r w:rsidRPr="00AB5A23">
        <w:t xml:space="preserve"> (Accessed: 6 November 2025).</w:t>
      </w:r>
    </w:p>
    <w:p w14:paraId="699A4236" w14:textId="77777777" w:rsidR="00B8531B" w:rsidRDefault="00B8531B" w:rsidP="009F13B3">
      <w:pPr>
        <w:ind w:left="720" w:hanging="720"/>
      </w:pPr>
      <w:r w:rsidRPr="00224FE9">
        <w:t xml:space="preserve">McDowall, A., Doyle, N., </w:t>
      </w:r>
      <w:r>
        <w:t>and</w:t>
      </w:r>
      <w:r w:rsidRPr="00224FE9">
        <w:t xml:space="preserve"> Kiseleva, M. (2023). Neurodiversity at work: demand, supply and a gap analysis.</w:t>
      </w:r>
      <w:r>
        <w:t xml:space="preserve"> </w:t>
      </w:r>
      <w:hyperlink r:id="rId67" w:history="1">
        <w:r w:rsidRPr="00E72449">
          <w:rPr>
            <w:rStyle w:val="Hyperlink"/>
          </w:rPr>
          <w:t>https://orca.cardiff.ac.uk/id/eprint/164435/1/50834c.pdf</w:t>
        </w:r>
      </w:hyperlink>
    </w:p>
    <w:p w14:paraId="5DEAFB90" w14:textId="77777777" w:rsidR="00B8531B" w:rsidRDefault="00B8531B" w:rsidP="009F13B3">
      <w:pPr>
        <w:ind w:left="720" w:hanging="720"/>
      </w:pPr>
      <w:r w:rsidRPr="009F13B3">
        <w:t xml:space="preserve">Monteiro, L. F. (2022) </w:t>
      </w:r>
      <w:r w:rsidRPr="009F13B3">
        <w:rPr>
          <w:i/>
          <w:iCs/>
        </w:rPr>
        <w:t>The Global Talent Competitiveness Index 2022: The tectonics of talent: Is the world drifting towards increased talent inequalities?</w:t>
      </w:r>
      <w:r w:rsidRPr="009F13B3">
        <w:t xml:space="preserve"> INSEAD / Portulans Institute. Available at: </w:t>
      </w:r>
      <w:hyperlink r:id="rId68" w:tgtFrame="_new" w:history="1">
        <w:r w:rsidRPr="009F13B3">
          <w:rPr>
            <w:rStyle w:val="Hyperlink"/>
          </w:rPr>
          <w:t>https://www.insead.edu/sites/default/files/assets/dept/fr/gtci/GTCI-2022-report.pdf</w:t>
        </w:r>
      </w:hyperlink>
      <w:r w:rsidRPr="009F13B3">
        <w:t xml:space="preserve"> (Accessed: 6 November 2025)</w:t>
      </w:r>
    </w:p>
    <w:p w14:paraId="1AC1BD60" w14:textId="77777777" w:rsidR="00B8531B" w:rsidRDefault="00B8531B" w:rsidP="009F13B3">
      <w:pPr>
        <w:ind w:left="720" w:hanging="720"/>
      </w:pPr>
      <w:r w:rsidRPr="00664ED9">
        <w:t xml:space="preserve">Naqvi, S. R., Sareen, P., Sharma, T., </w:t>
      </w:r>
      <w:r>
        <w:t>and</w:t>
      </w:r>
      <w:r w:rsidRPr="00664ED9">
        <w:t xml:space="preserve"> Naqvi, A. (2025). Humane Approach of e-learning Utilization: Case Study of Rolls-Royce. </w:t>
      </w:r>
      <w:r w:rsidRPr="00664ED9">
        <w:rPr>
          <w:i/>
          <w:iCs/>
        </w:rPr>
        <w:t>Emerging Economies Cases Journal</w:t>
      </w:r>
      <w:r w:rsidRPr="00664ED9">
        <w:t>, </w:t>
      </w:r>
      <w:r w:rsidRPr="00664ED9">
        <w:rPr>
          <w:i/>
          <w:iCs/>
        </w:rPr>
        <w:t>7</w:t>
      </w:r>
      <w:r w:rsidRPr="00664ED9">
        <w:t>(1), 14-18.</w:t>
      </w:r>
      <w:r>
        <w:t xml:space="preserve"> </w:t>
      </w:r>
      <w:hyperlink r:id="rId69" w:history="1">
        <w:r w:rsidRPr="00E72449">
          <w:rPr>
            <w:rStyle w:val="Hyperlink"/>
          </w:rPr>
          <w:t>https://journals.sagepub.com/doi/pdf/10.1177/25166042241249529</w:t>
        </w:r>
      </w:hyperlink>
    </w:p>
    <w:p w14:paraId="158ABB3C" w14:textId="77777777" w:rsidR="00B8531B" w:rsidRDefault="00B8531B" w:rsidP="00471184">
      <w:pPr>
        <w:ind w:left="720" w:hanging="720"/>
      </w:pPr>
      <w:r w:rsidRPr="00471184">
        <w:t xml:space="preserve">Nixon, J., Clewley, R., </w:t>
      </w:r>
      <w:r>
        <w:t>and</w:t>
      </w:r>
      <w:r w:rsidRPr="00471184">
        <w:t xml:space="preserve"> Rukasha, T. (2022, July). Automation transparency and the design of intelligent aircraft engine interfaces. In </w:t>
      </w:r>
      <w:r>
        <w:t xml:space="preserve">the </w:t>
      </w:r>
      <w:r w:rsidRPr="00471184">
        <w:rPr>
          <w:i/>
          <w:iCs/>
        </w:rPr>
        <w:t>35th International BCS Human-Computer Interaction Conference</w:t>
      </w:r>
      <w:r w:rsidRPr="00471184">
        <w:t xml:space="preserve"> (pp. 1-5). BCS Learning </w:t>
      </w:r>
      <w:r>
        <w:t>and</w:t>
      </w:r>
      <w:r w:rsidRPr="00471184">
        <w:t xml:space="preserve"> Development.</w:t>
      </w:r>
      <w:r>
        <w:t xml:space="preserve"> </w:t>
      </w:r>
      <w:hyperlink r:id="rId70" w:history="1">
        <w:r w:rsidRPr="00E72449">
          <w:rPr>
            <w:rStyle w:val="Hyperlink"/>
          </w:rPr>
          <w:t>https://www.scienceopen.com/document_file/0e7af1ff-bc29-4b80-8efd-a6ee3b44ec17/ScienceOpen/001_Nixon_HCI2022.pdf</w:t>
        </w:r>
      </w:hyperlink>
    </w:p>
    <w:p w14:paraId="063D987C" w14:textId="77777777" w:rsidR="00B8531B" w:rsidRDefault="00B8531B" w:rsidP="009F6CAC">
      <w:pPr>
        <w:ind w:left="720" w:hanging="720"/>
      </w:pPr>
      <w:r w:rsidRPr="00F75E05">
        <w:t xml:space="preserve">Noor, Z., Nayaz, N., Solanki, V., Sharma, A. (2020) </w:t>
      </w:r>
      <w:r w:rsidRPr="00F75E05">
        <w:rPr>
          <w:i/>
          <w:iCs/>
        </w:rPr>
        <w:t>“Rewards and recognition program help you as an employee”</w:t>
      </w:r>
      <w:r w:rsidRPr="00F75E05">
        <w:t xml:space="preserve"> [online image]. Available at: </w:t>
      </w:r>
      <w:hyperlink r:id="rId71" w:tgtFrame="_new" w:history="1">
        <w:r w:rsidRPr="00F75E05">
          <w:rPr>
            <w:rStyle w:val="Hyperlink"/>
          </w:rPr>
          <w:t>https://www.researchgate.net/figure/Rewards-and-recognition-program-help-you-as-an-employee_fig4_343459504</w:t>
        </w:r>
      </w:hyperlink>
      <w:r w:rsidRPr="00F75E05">
        <w:t xml:space="preserve"> (Accessed: 6 November 2025).</w:t>
      </w:r>
    </w:p>
    <w:p w14:paraId="040F7C8E" w14:textId="77777777" w:rsidR="00B8531B" w:rsidRDefault="00B8531B" w:rsidP="009F13B3">
      <w:pPr>
        <w:ind w:left="720" w:hanging="720"/>
      </w:pPr>
      <w:r w:rsidRPr="003A6CE0">
        <w:t>Ottinetti, D. (2024). The importance of cross-cultural management skills in companies applied to service and sales.</w:t>
      </w:r>
      <w:r>
        <w:t xml:space="preserve"> </w:t>
      </w:r>
      <w:hyperlink r:id="rId72" w:history="1">
        <w:r w:rsidRPr="00E72449">
          <w:rPr>
            <w:rStyle w:val="Hyperlink"/>
          </w:rPr>
          <w:t>https://riunet.upv.es/bitstream/handle/10251/210188/Ottinetti%20-%20The%20Importance%20of%20cross-cultural%20Management%20Skills%20in%20Companies%20Applied%20to%20Service%20an....pdf?sequence=1</w:t>
        </w:r>
      </w:hyperlink>
    </w:p>
    <w:p w14:paraId="612A0D34" w14:textId="77777777" w:rsidR="00B8531B" w:rsidRDefault="00B8531B" w:rsidP="00471184">
      <w:pPr>
        <w:ind w:left="720" w:hanging="720"/>
      </w:pPr>
      <w:r w:rsidRPr="00471184">
        <w:t xml:space="preserve">Parker, J., </w:t>
      </w:r>
      <w:r>
        <w:t>and</w:t>
      </w:r>
      <w:r w:rsidRPr="00471184">
        <w:t xml:space="preserve"> Parker Review Committee. (2022). Improving the ethnic diversity of UK boards.</w:t>
      </w:r>
      <w:r>
        <w:t xml:space="preserve"> </w:t>
      </w:r>
      <w:hyperlink r:id="rId73" w:history="1">
        <w:r w:rsidRPr="00E72449">
          <w:rPr>
            <w:rStyle w:val="Hyperlink"/>
          </w:rPr>
          <w:t>https://www.nedaglobal.com/assets/files/New_site_PDFs/2022%20ey-what-the-parker-review-tells-us-about-boardroom-diversity.pdf</w:t>
        </w:r>
      </w:hyperlink>
    </w:p>
    <w:p w14:paraId="254977E2" w14:textId="77777777" w:rsidR="00B8531B" w:rsidRDefault="00B8531B" w:rsidP="00A26F6C">
      <w:pPr>
        <w:ind w:left="720" w:hanging="720"/>
      </w:pPr>
      <w:r w:rsidRPr="00A26F6C">
        <w:t xml:space="preserve">Patel, J. N., Hartman, N. W., Deck, A., </w:t>
      </w:r>
      <w:r>
        <w:t>and</w:t>
      </w:r>
      <w:r w:rsidRPr="00A26F6C">
        <w:t xml:space="preserve"> Moore, R. A. (2025, June). Engagement in Practice: Bridging the Gap between Industry, Universities, and K-12 Outreach. In </w:t>
      </w:r>
      <w:r w:rsidRPr="00A26F6C">
        <w:rPr>
          <w:i/>
          <w:iCs/>
        </w:rPr>
        <w:t xml:space="preserve">2025 ASEE Annual Conference </w:t>
      </w:r>
      <w:r>
        <w:rPr>
          <w:i/>
          <w:iCs/>
        </w:rPr>
        <w:t>and</w:t>
      </w:r>
      <w:r w:rsidRPr="00A26F6C">
        <w:rPr>
          <w:i/>
          <w:iCs/>
        </w:rPr>
        <w:t xml:space="preserve"> Exposition</w:t>
      </w:r>
      <w:r w:rsidRPr="00A26F6C">
        <w:t>.</w:t>
      </w:r>
      <w:r>
        <w:t xml:space="preserve"> </w:t>
      </w:r>
      <w:hyperlink r:id="rId74" w:history="1">
        <w:r w:rsidRPr="00E72449">
          <w:rPr>
            <w:rStyle w:val="Hyperlink"/>
          </w:rPr>
          <w:t>https://peer.asee.org/56351.pdf</w:t>
        </w:r>
      </w:hyperlink>
    </w:p>
    <w:p w14:paraId="0E88D379" w14:textId="77777777" w:rsidR="00B8531B" w:rsidRDefault="00B8531B" w:rsidP="009F6CAC">
      <w:pPr>
        <w:ind w:left="720" w:hanging="720"/>
      </w:pPr>
      <w:r w:rsidRPr="00E20509">
        <w:t xml:space="preserve">Pavlakou, E., Katsarou, M., Misiou, M., Papavasilopoulos, V. (2025) ‘AI-enhanced Training Methods: Effectiveness Metrics [Figure 1]’, </w:t>
      </w:r>
      <w:r w:rsidRPr="00E20509">
        <w:rPr>
          <w:i/>
          <w:iCs/>
        </w:rPr>
        <w:t>The Impact of Artificial Intelligence on Learning and Development – Case Studies in Companies of Different Sectors</w:t>
      </w:r>
      <w:r w:rsidRPr="00E20509">
        <w:t xml:space="preserve">. Available at: </w:t>
      </w:r>
      <w:hyperlink r:id="rId75" w:tgtFrame="_new" w:history="1">
        <w:r w:rsidRPr="00E20509">
          <w:rPr>
            <w:rStyle w:val="Hyperlink"/>
          </w:rPr>
          <w:t>https://www.researchgate.net/figure/AI-enhanced-Training-Methods-Effectiveness-Metrics_fig1_393894843?_tp=eyJjb250ZXh0Ijp7ImZpcnN0UGFnZSI6InB1YmxpY2F0aW9uIiwicGFnZSI6InB1YmxpY2F0aW9uIn19</w:t>
        </w:r>
      </w:hyperlink>
      <w:r w:rsidRPr="00E20509">
        <w:t xml:space="preserve"> (Accessed: 6 November 2025).</w:t>
      </w:r>
    </w:p>
    <w:p w14:paraId="32258F8A" w14:textId="77777777" w:rsidR="00B8531B" w:rsidRPr="009F13B3" w:rsidRDefault="00B8531B" w:rsidP="009F6CAC">
      <w:pPr>
        <w:ind w:left="720" w:hanging="720"/>
      </w:pPr>
      <w:r w:rsidRPr="001D4788">
        <w:t>Qualtrics (</w:t>
      </w:r>
      <w:r>
        <w:t>2025</w:t>
      </w:r>
      <w:r w:rsidRPr="001D4788">
        <w:t xml:space="preserve">) </w:t>
      </w:r>
      <w:r w:rsidRPr="001D4788">
        <w:rPr>
          <w:i/>
          <w:iCs/>
        </w:rPr>
        <w:t>Inclusive leadership and why it matters</w:t>
      </w:r>
      <w:r w:rsidRPr="001D4788">
        <w:t xml:space="preserve">. Available at: </w:t>
      </w:r>
      <w:hyperlink r:id="rId76" w:tgtFrame="_new" w:history="1">
        <w:r w:rsidRPr="001D4788">
          <w:rPr>
            <w:rStyle w:val="Hyperlink"/>
          </w:rPr>
          <w:t>https://www.qualtrics.com/en-au/experience-management/employee/inclusive-leadership/</w:t>
        </w:r>
      </w:hyperlink>
      <w:r w:rsidRPr="001D4788">
        <w:t xml:space="preserve"> (Accessed: 6 November 2025).</w:t>
      </w:r>
    </w:p>
    <w:p w14:paraId="66007F04" w14:textId="77777777" w:rsidR="00B8531B" w:rsidRDefault="00B8531B" w:rsidP="009F6CAC">
      <w:pPr>
        <w:ind w:left="720" w:hanging="720"/>
      </w:pPr>
      <w:r w:rsidRPr="00A64041">
        <w:t xml:space="preserve">Rahmat, H. (2023) </w:t>
      </w:r>
      <w:r w:rsidRPr="00A64041">
        <w:rPr>
          <w:i/>
          <w:iCs/>
        </w:rPr>
        <w:t>“Rooms: Motivation Theory (source: Vroom 1964)”</w:t>
      </w:r>
      <w:r w:rsidRPr="00A64041">
        <w:t xml:space="preserve"> [online image]. Available at: </w:t>
      </w:r>
      <w:hyperlink r:id="rId77" w:tgtFrame="_new" w:history="1">
        <w:r w:rsidRPr="00A64041">
          <w:rPr>
            <w:rStyle w:val="Hyperlink"/>
          </w:rPr>
          <w:t>https://www.researchgate.net/figure/rooms-Motivation-Theory-source-Vroom-1964_fig1_355383317</w:t>
        </w:r>
      </w:hyperlink>
      <w:r w:rsidRPr="00A64041">
        <w:t xml:space="preserve"> (Accessed: 6 November 2025).</w:t>
      </w:r>
    </w:p>
    <w:p w14:paraId="3C15AD25" w14:textId="77777777" w:rsidR="00B8531B" w:rsidRDefault="00B8531B" w:rsidP="00224FE9">
      <w:pPr>
        <w:ind w:left="720" w:hanging="720"/>
      </w:pPr>
      <w:r w:rsidRPr="00A26F6C">
        <w:t>Reckordt, T. (2023). The creation of a framework for assessing innovation capability maturity of supply chains. Analysing the status quo and developing an improvement strategy for the Scottish aerospace industry during the Covid-19 pandemic.</w:t>
      </w:r>
      <w:r>
        <w:t xml:space="preserve"> </w:t>
      </w:r>
      <w:hyperlink r:id="rId78" w:history="1">
        <w:r w:rsidRPr="00E72449">
          <w:rPr>
            <w:rStyle w:val="Hyperlink"/>
          </w:rPr>
          <w:t>http://stax.strath.ac.uk/downloads/q524jp559</w:t>
        </w:r>
      </w:hyperlink>
    </w:p>
    <w:p w14:paraId="26A0457A" w14:textId="77777777" w:rsidR="00B8531B" w:rsidRDefault="00B8531B" w:rsidP="009F13B3">
      <w:pPr>
        <w:ind w:left="720" w:hanging="720"/>
      </w:pPr>
      <w:r w:rsidRPr="00664ED9">
        <w:t>Rolls</w:t>
      </w:r>
      <w:r w:rsidRPr="00664ED9">
        <w:noBreakHyphen/>
        <w:t>Royce (</w:t>
      </w:r>
      <w:r>
        <w:t>2025</w:t>
      </w:r>
      <w:r w:rsidRPr="00664ED9">
        <w:t xml:space="preserve">) </w:t>
      </w:r>
      <w:r w:rsidRPr="00664ED9">
        <w:rPr>
          <w:i/>
          <w:iCs/>
        </w:rPr>
        <w:t>Homepage</w:t>
      </w:r>
      <w:r w:rsidRPr="00664ED9">
        <w:t xml:space="preserve"> [online]. Available at: </w:t>
      </w:r>
      <w:hyperlink r:id="rId79" w:tgtFrame="_new" w:history="1">
        <w:r w:rsidRPr="00664ED9">
          <w:rPr>
            <w:rStyle w:val="Hyperlink"/>
          </w:rPr>
          <w:t>https://www.rolls-roycemotorcars.com/en_GB/home.html</w:t>
        </w:r>
      </w:hyperlink>
      <w:r w:rsidRPr="00664ED9">
        <w:t xml:space="preserve"> (Accessed: 6 November 2025).</w:t>
      </w:r>
    </w:p>
    <w:p w14:paraId="6D961569" w14:textId="77777777" w:rsidR="00B8531B" w:rsidRDefault="00B8531B" w:rsidP="00224FE9">
      <w:pPr>
        <w:ind w:left="720" w:hanging="720"/>
      </w:pPr>
      <w:r w:rsidRPr="00A26F6C">
        <w:t xml:space="preserve">Roomes, D., Abraham, L., Russell, R., Beck, C., Halsby, K., Wood, R., ... </w:t>
      </w:r>
      <w:r>
        <w:t>and</w:t>
      </w:r>
      <w:r w:rsidRPr="00A26F6C">
        <w:t xml:space="preserve"> Burton, K. (2022). Quantifying the employer burden of persistent musculoskeletal pain at a large employer in the United Kingdom: a non-interventional, retrospective study of Rolls-Royce employee data. </w:t>
      </w:r>
      <w:r w:rsidRPr="00A26F6C">
        <w:rPr>
          <w:i/>
          <w:iCs/>
        </w:rPr>
        <w:t>Journal of occupational and environmental medicine</w:t>
      </w:r>
      <w:r w:rsidRPr="00A26F6C">
        <w:t>, </w:t>
      </w:r>
      <w:r w:rsidRPr="00A26F6C">
        <w:rPr>
          <w:i/>
          <w:iCs/>
        </w:rPr>
        <w:t>64</w:t>
      </w:r>
      <w:r w:rsidRPr="00A26F6C">
        <w:t>(3), e145-e154.</w:t>
      </w:r>
      <w:r>
        <w:t xml:space="preserve"> </w:t>
      </w:r>
      <w:hyperlink r:id="rId80" w:history="1">
        <w:r w:rsidRPr="00E72449">
          <w:rPr>
            <w:rStyle w:val="Hyperlink"/>
          </w:rPr>
          <w:t>https://journals.lww.com/joem/_layouts/15/oaks.journals/downloadpdf.aspx?an=00043764-202203000-00020</w:t>
        </w:r>
      </w:hyperlink>
    </w:p>
    <w:p w14:paraId="31C050E9" w14:textId="77777777" w:rsidR="00B8531B" w:rsidRDefault="00B8531B" w:rsidP="00471184">
      <w:pPr>
        <w:ind w:left="720" w:hanging="720"/>
      </w:pPr>
      <w:r w:rsidRPr="00471184">
        <w:t xml:space="preserve">Sallai, D., </w:t>
      </w:r>
      <w:r>
        <w:t>and</w:t>
      </w:r>
      <w:r w:rsidRPr="00471184">
        <w:t xml:space="preserve"> Hill, I. (2025). auticon: promoting a neurodiverse workforce.</w:t>
      </w:r>
      <w:r>
        <w:t xml:space="preserve"> </w:t>
      </w:r>
      <w:hyperlink r:id="rId81" w:history="1">
        <w:r w:rsidRPr="00E72449">
          <w:rPr>
            <w:rStyle w:val="Hyperlink"/>
          </w:rPr>
          <w:t>https://eprints.lse.ac.uk/128776/3/673b25ba-afa1-4d61-b744-05e9d77343af.pdf</w:t>
        </w:r>
      </w:hyperlink>
    </w:p>
    <w:p w14:paraId="39ECC68C" w14:textId="77777777" w:rsidR="00B8531B" w:rsidRDefault="00B8531B" w:rsidP="00224FE9">
      <w:pPr>
        <w:ind w:left="720" w:hanging="720"/>
      </w:pPr>
      <w:r w:rsidRPr="00A26F6C">
        <w:t xml:space="preserve">Singh, R., Singh, C. D., Singh, T., </w:t>
      </w:r>
      <w:r>
        <w:t>and</w:t>
      </w:r>
      <w:r w:rsidRPr="00A26F6C">
        <w:t xml:space="preserve"> Singh, J. (2024, January). Impact of core functional competencies on Indian manufacturing industry: Case study. In </w:t>
      </w:r>
      <w:r w:rsidRPr="00A26F6C">
        <w:rPr>
          <w:i/>
          <w:iCs/>
        </w:rPr>
        <w:t>AIP Conference Proceedings</w:t>
      </w:r>
      <w:r w:rsidRPr="00A26F6C">
        <w:t> (Vol. 2962, No. 1, p. 020062). AIP Publishing LLC.</w:t>
      </w:r>
      <w:r>
        <w:t xml:space="preserve"> </w:t>
      </w:r>
      <w:hyperlink r:id="rId82" w:history="1">
        <w:r w:rsidRPr="00E72449">
          <w:rPr>
            <w:rStyle w:val="Hyperlink"/>
          </w:rPr>
          <w:t>https://pubs.aip.org/aip/acp/article-pdf/doi/10.1063/5.0192273/19303799/020062_1_5.0192273.pdf</w:t>
        </w:r>
      </w:hyperlink>
    </w:p>
    <w:p w14:paraId="4B89C2C6" w14:textId="77777777" w:rsidR="00B8531B" w:rsidRDefault="00B8531B" w:rsidP="00471184">
      <w:pPr>
        <w:ind w:left="720" w:hanging="720"/>
      </w:pPr>
      <w:r w:rsidRPr="00471184">
        <w:t>Taylor, P. (2022). Redistribution of working time: achieving a better work-life balance.</w:t>
      </w:r>
      <w:r>
        <w:t xml:space="preserve"> </w:t>
      </w:r>
      <w:hyperlink r:id="rId83" w:history="1">
        <w:r w:rsidRPr="00E72449">
          <w:rPr>
            <w:rStyle w:val="Hyperlink"/>
          </w:rPr>
          <w:t>https://strathprints.strath.ac.uk/82214/1/Taylor_IER_2022_Redistribution_of_working_time_achieving_a_better_work_life_balance.pdf</w:t>
        </w:r>
      </w:hyperlink>
    </w:p>
    <w:p w14:paraId="7F01FE91" w14:textId="77777777" w:rsidR="00B8531B" w:rsidRDefault="00B8531B" w:rsidP="009F6CAC">
      <w:pPr>
        <w:ind w:left="720" w:hanging="720"/>
      </w:pPr>
      <w:r w:rsidRPr="009C3646">
        <w:t xml:space="preserve">Time Champ (2023) </w:t>
      </w:r>
      <w:r w:rsidRPr="009C3646">
        <w:rPr>
          <w:i/>
          <w:iCs/>
        </w:rPr>
        <w:t>Best Strategies to Maintain Employee Motivation</w:t>
      </w:r>
      <w:r w:rsidRPr="009C3646">
        <w:t xml:space="preserve">. Available at: </w:t>
      </w:r>
      <w:hyperlink r:id="rId84" w:tgtFrame="_new" w:history="1">
        <w:r w:rsidRPr="009C3646">
          <w:rPr>
            <w:rStyle w:val="Hyperlink"/>
          </w:rPr>
          <w:t>https://www.timechamp.io/blogs/strategies-to-maintain-employee-motivation/</w:t>
        </w:r>
      </w:hyperlink>
      <w:r w:rsidRPr="009C3646">
        <w:t xml:space="preserve"> (Accessed: 6 November 2025).</w:t>
      </w:r>
    </w:p>
    <w:p w14:paraId="0A8FFC50" w14:textId="77777777" w:rsidR="00B8531B" w:rsidRDefault="00B8531B" w:rsidP="009F6CAC">
      <w:pPr>
        <w:ind w:left="720" w:hanging="720"/>
      </w:pPr>
      <w:r w:rsidRPr="00224FE9">
        <w:t>Tonini, F. (2022). A critical analysis of Rolls-Royce Holdings plc’s Shareholder Wealth creation in the five-year period from 2017 to 2021.</w:t>
      </w:r>
      <w:r>
        <w:t xml:space="preserve"> </w:t>
      </w:r>
      <w:hyperlink r:id="rId85" w:history="1">
        <w:r w:rsidRPr="00E72449">
          <w:rPr>
            <w:rStyle w:val="Hyperlink"/>
          </w:rPr>
          <w:t>https://unitesi.unive.it/bitstream/20.500.14247/15619/1/866744-1267698.pdf</w:t>
        </w:r>
      </w:hyperlink>
    </w:p>
    <w:p w14:paraId="50CF3173" w14:textId="77777777" w:rsidR="00B8531B" w:rsidRDefault="00B8531B" w:rsidP="009F6CAC">
      <w:pPr>
        <w:ind w:left="720" w:hanging="720"/>
      </w:pPr>
      <w:r w:rsidRPr="00BE38F0">
        <w:t xml:space="preserve">van Vulpen, E. (2025) </w:t>
      </w:r>
      <w:r w:rsidRPr="00BE38F0">
        <w:rPr>
          <w:i/>
          <w:iCs/>
        </w:rPr>
        <w:t>Strategic Human Resource Management 101: Your Essential Guide</w:t>
      </w:r>
      <w:r w:rsidRPr="00BE38F0">
        <w:t xml:space="preserve"> [online]. AIHR – Academy to Innovate HR, 2 years ago. Available at: </w:t>
      </w:r>
      <w:hyperlink r:id="rId86" w:tgtFrame="_new" w:history="1">
        <w:r w:rsidRPr="00BE38F0">
          <w:rPr>
            <w:rStyle w:val="Hyperlink"/>
          </w:rPr>
          <w:t>https://www.aihr.com/blog/human-resource-strategy/</w:t>
        </w:r>
      </w:hyperlink>
      <w:r w:rsidRPr="00BE38F0">
        <w:t xml:space="preserve"> (Accessed: 6 November 2025).</w:t>
      </w:r>
    </w:p>
    <w:p w14:paraId="37A8DEF2" w14:textId="77777777" w:rsidR="00B8531B" w:rsidRDefault="00B8531B" w:rsidP="009F6CAC">
      <w:pPr>
        <w:ind w:left="720" w:hanging="720"/>
      </w:pPr>
      <w:r w:rsidRPr="009C3646">
        <w:t xml:space="preserve">Vantage Circle (2025) </w:t>
      </w:r>
      <w:r w:rsidRPr="009C3646">
        <w:rPr>
          <w:i/>
          <w:iCs/>
        </w:rPr>
        <w:t>Everything You Need to Know About Safety Reward Programs for Employees</w:t>
      </w:r>
      <w:r w:rsidRPr="009C3646">
        <w:t xml:space="preserve">. Available at: </w:t>
      </w:r>
      <w:hyperlink r:id="rId87" w:tgtFrame="_new" w:history="1">
        <w:r w:rsidRPr="009C3646">
          <w:rPr>
            <w:rStyle w:val="Hyperlink"/>
          </w:rPr>
          <w:t>https://www.vantagecircle.com/en/blog/safety-reward-programs-for-employees/</w:t>
        </w:r>
      </w:hyperlink>
      <w:r w:rsidRPr="009C3646">
        <w:t xml:space="preserve"> (Accessed: 6 November 2025).</w:t>
      </w:r>
    </w:p>
    <w:p w14:paraId="647DBF68" w14:textId="77777777" w:rsidR="00B8531B" w:rsidRDefault="00B8531B" w:rsidP="009F6CAC">
      <w:pPr>
        <w:ind w:left="720" w:hanging="720"/>
      </w:pPr>
      <w:r w:rsidRPr="001D7665">
        <w:t>Verduyn, M. (</w:t>
      </w:r>
      <w:r>
        <w:t>2024</w:t>
      </w:r>
      <w:r w:rsidRPr="001D7665">
        <w:t xml:space="preserve">) </w:t>
      </w:r>
      <w:r w:rsidRPr="001D7665">
        <w:rPr>
          <w:i/>
          <w:iCs/>
        </w:rPr>
        <w:t>HR Transformation: A 2025 Comprehensive Guide</w:t>
      </w:r>
      <w:r w:rsidRPr="001D7665">
        <w:t xml:space="preserve"> [online]. AIHR. Available at: </w:t>
      </w:r>
      <w:hyperlink r:id="rId88" w:tgtFrame="_new" w:history="1">
        <w:r w:rsidRPr="001D7665">
          <w:rPr>
            <w:rStyle w:val="Hyperlink"/>
          </w:rPr>
          <w:t>https://www.aihr.com/blog/hr-transformation/</w:t>
        </w:r>
      </w:hyperlink>
      <w:r w:rsidRPr="001D7665">
        <w:t xml:space="preserve"> (Accessed: 6 November 2025).</w:t>
      </w:r>
    </w:p>
    <w:p w14:paraId="4724DC49" w14:textId="34B0DCC4" w:rsidR="00B8531B" w:rsidRDefault="00B8531B" w:rsidP="009F6CAC">
      <w:pPr>
        <w:ind w:left="720" w:hanging="720"/>
      </w:pPr>
      <w:r w:rsidRPr="00574B06">
        <w:t xml:space="preserve">Zamiri, M. </w:t>
      </w:r>
      <w:r w:rsidR="00E80417">
        <w:t>and</w:t>
      </w:r>
      <w:r w:rsidRPr="00574B06">
        <w:t xml:space="preserve"> Esmaeili, A. (2024) ‘Methods and Technologies for Supporting Knowledge Sharing within Learning Communities: A Systematic Literature Review’, </w:t>
      </w:r>
      <w:r w:rsidRPr="00574B06">
        <w:rPr>
          <w:i/>
          <w:iCs/>
        </w:rPr>
        <w:t>Administrative Sciences</w:t>
      </w:r>
      <w:r w:rsidRPr="00574B06">
        <w:t xml:space="preserve">, 14(1), p.17. doi:10.3390/admsci14010017. Available at: </w:t>
      </w:r>
      <w:hyperlink r:id="rId89" w:tgtFrame="_new" w:history="1">
        <w:r w:rsidRPr="00574B06">
          <w:rPr>
            <w:rStyle w:val="Hyperlink"/>
          </w:rPr>
          <w:t>https://www.mdpi.com/2076-3387/14/1/17</w:t>
        </w:r>
      </w:hyperlink>
      <w:r w:rsidRPr="00574B06">
        <w:t xml:space="preserve"> (Accessed: 6 November 2025). </w:t>
      </w:r>
    </w:p>
    <w:sectPr w:rsidR="00B8531B" w:rsidSect="009A0357">
      <w:headerReference w:type="default" r:id="rId9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4BE46" w14:textId="77777777" w:rsidR="00EF7A28" w:rsidRDefault="00EF7A28" w:rsidP="00123662">
      <w:pPr>
        <w:spacing w:before="0" w:after="0" w:line="240" w:lineRule="auto"/>
      </w:pPr>
      <w:r>
        <w:separator/>
      </w:r>
    </w:p>
  </w:endnote>
  <w:endnote w:type="continuationSeparator" w:id="0">
    <w:p w14:paraId="7AA7D5CD" w14:textId="77777777" w:rsidR="00EF7A28" w:rsidRDefault="00EF7A28"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6F73A" w14:textId="77777777" w:rsidR="00EF7A28" w:rsidRDefault="00EF7A28" w:rsidP="00123662">
      <w:pPr>
        <w:spacing w:before="0" w:after="0" w:line="240" w:lineRule="auto"/>
      </w:pPr>
      <w:r>
        <w:separator/>
      </w:r>
    </w:p>
  </w:footnote>
  <w:footnote w:type="continuationSeparator" w:id="0">
    <w:p w14:paraId="31B36390" w14:textId="77777777" w:rsidR="00EF7A28" w:rsidRDefault="00EF7A28"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EndPr/>
    <w:sdtContent>
      <w:p w14:paraId="4B4D8552" w14:textId="1707103C" w:rsidR="00EE5682" w:rsidRDefault="007970BE" w:rsidP="002A0377">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8F767A">
          <w:rPr>
            <w:noProof/>
          </w:rPr>
          <w:t>2</w:t>
        </w:r>
        <w:r w:rsidR="00EE5682">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13425298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662"/>
    <w:rsid w:val="00000483"/>
    <w:rsid w:val="00001058"/>
    <w:rsid w:val="00001535"/>
    <w:rsid w:val="000047DF"/>
    <w:rsid w:val="000050DA"/>
    <w:rsid w:val="00006E8A"/>
    <w:rsid w:val="00012346"/>
    <w:rsid w:val="0001244C"/>
    <w:rsid w:val="00012907"/>
    <w:rsid w:val="00014216"/>
    <w:rsid w:val="00015D6F"/>
    <w:rsid w:val="00016C17"/>
    <w:rsid w:val="00017C4A"/>
    <w:rsid w:val="00020B88"/>
    <w:rsid w:val="00021B86"/>
    <w:rsid w:val="00021DB7"/>
    <w:rsid w:val="00023AF4"/>
    <w:rsid w:val="00023EDD"/>
    <w:rsid w:val="000249B8"/>
    <w:rsid w:val="000275BF"/>
    <w:rsid w:val="0003027D"/>
    <w:rsid w:val="00030311"/>
    <w:rsid w:val="00031E15"/>
    <w:rsid w:val="00032D32"/>
    <w:rsid w:val="00033A96"/>
    <w:rsid w:val="0003537D"/>
    <w:rsid w:val="00036B94"/>
    <w:rsid w:val="00037448"/>
    <w:rsid w:val="00037AFF"/>
    <w:rsid w:val="0004000C"/>
    <w:rsid w:val="000410D7"/>
    <w:rsid w:val="00044F36"/>
    <w:rsid w:val="00045901"/>
    <w:rsid w:val="000479D2"/>
    <w:rsid w:val="000509B7"/>
    <w:rsid w:val="00050EDC"/>
    <w:rsid w:val="00050F7F"/>
    <w:rsid w:val="000517FA"/>
    <w:rsid w:val="00051F83"/>
    <w:rsid w:val="00057525"/>
    <w:rsid w:val="00057B9D"/>
    <w:rsid w:val="00057D0E"/>
    <w:rsid w:val="000634D6"/>
    <w:rsid w:val="000644AE"/>
    <w:rsid w:val="000660C8"/>
    <w:rsid w:val="0006659B"/>
    <w:rsid w:val="00071E3E"/>
    <w:rsid w:val="000730A3"/>
    <w:rsid w:val="00073E46"/>
    <w:rsid w:val="00074025"/>
    <w:rsid w:val="000806AC"/>
    <w:rsid w:val="00081E37"/>
    <w:rsid w:val="00082E67"/>
    <w:rsid w:val="0008326A"/>
    <w:rsid w:val="0008591F"/>
    <w:rsid w:val="000866BE"/>
    <w:rsid w:val="000871F0"/>
    <w:rsid w:val="0008737B"/>
    <w:rsid w:val="00087B75"/>
    <w:rsid w:val="00090C58"/>
    <w:rsid w:val="000914CA"/>
    <w:rsid w:val="0009324B"/>
    <w:rsid w:val="00095146"/>
    <w:rsid w:val="00096D28"/>
    <w:rsid w:val="000A14B2"/>
    <w:rsid w:val="000A26C5"/>
    <w:rsid w:val="000A69A2"/>
    <w:rsid w:val="000A6EA3"/>
    <w:rsid w:val="000A77D9"/>
    <w:rsid w:val="000B4497"/>
    <w:rsid w:val="000B4DFB"/>
    <w:rsid w:val="000B4F15"/>
    <w:rsid w:val="000B7CC3"/>
    <w:rsid w:val="000B7EEE"/>
    <w:rsid w:val="000C18BB"/>
    <w:rsid w:val="000C1DE3"/>
    <w:rsid w:val="000C223E"/>
    <w:rsid w:val="000C423C"/>
    <w:rsid w:val="000C4DB3"/>
    <w:rsid w:val="000C541C"/>
    <w:rsid w:val="000D241F"/>
    <w:rsid w:val="000D2DA6"/>
    <w:rsid w:val="000D534B"/>
    <w:rsid w:val="000D565B"/>
    <w:rsid w:val="000D70B6"/>
    <w:rsid w:val="000E1D64"/>
    <w:rsid w:val="000E2509"/>
    <w:rsid w:val="000E2A3D"/>
    <w:rsid w:val="000E49B3"/>
    <w:rsid w:val="000E7E03"/>
    <w:rsid w:val="000F0334"/>
    <w:rsid w:val="000F05C1"/>
    <w:rsid w:val="000F3096"/>
    <w:rsid w:val="000F3877"/>
    <w:rsid w:val="000F5FD2"/>
    <w:rsid w:val="000F7C2C"/>
    <w:rsid w:val="00100A35"/>
    <w:rsid w:val="00101221"/>
    <w:rsid w:val="00102D03"/>
    <w:rsid w:val="00103005"/>
    <w:rsid w:val="00103BD7"/>
    <w:rsid w:val="0010416F"/>
    <w:rsid w:val="001060B2"/>
    <w:rsid w:val="0011471F"/>
    <w:rsid w:val="001216B9"/>
    <w:rsid w:val="00123061"/>
    <w:rsid w:val="00123662"/>
    <w:rsid w:val="00124FC9"/>
    <w:rsid w:val="00127E76"/>
    <w:rsid w:val="001307E4"/>
    <w:rsid w:val="001307EF"/>
    <w:rsid w:val="00132476"/>
    <w:rsid w:val="001333F1"/>
    <w:rsid w:val="001337A2"/>
    <w:rsid w:val="00133E32"/>
    <w:rsid w:val="001340A1"/>
    <w:rsid w:val="00134E44"/>
    <w:rsid w:val="00137239"/>
    <w:rsid w:val="00137DB5"/>
    <w:rsid w:val="00140618"/>
    <w:rsid w:val="00142B6F"/>
    <w:rsid w:val="00144978"/>
    <w:rsid w:val="001463F4"/>
    <w:rsid w:val="0015316B"/>
    <w:rsid w:val="0015598A"/>
    <w:rsid w:val="00155C2E"/>
    <w:rsid w:val="001563BE"/>
    <w:rsid w:val="00160B90"/>
    <w:rsid w:val="00163B8F"/>
    <w:rsid w:val="00164383"/>
    <w:rsid w:val="0016443A"/>
    <w:rsid w:val="00166A7E"/>
    <w:rsid w:val="001728AE"/>
    <w:rsid w:val="00172B14"/>
    <w:rsid w:val="00174B81"/>
    <w:rsid w:val="0017782B"/>
    <w:rsid w:val="00180506"/>
    <w:rsid w:val="001844A8"/>
    <w:rsid w:val="00191FA0"/>
    <w:rsid w:val="001936D9"/>
    <w:rsid w:val="0019381C"/>
    <w:rsid w:val="00193FBF"/>
    <w:rsid w:val="00194889"/>
    <w:rsid w:val="001958B8"/>
    <w:rsid w:val="001967AE"/>
    <w:rsid w:val="00197A70"/>
    <w:rsid w:val="001A1A59"/>
    <w:rsid w:val="001A6473"/>
    <w:rsid w:val="001A6F58"/>
    <w:rsid w:val="001A7F15"/>
    <w:rsid w:val="001B0396"/>
    <w:rsid w:val="001B323F"/>
    <w:rsid w:val="001B38EB"/>
    <w:rsid w:val="001B39B3"/>
    <w:rsid w:val="001B40B3"/>
    <w:rsid w:val="001B6C86"/>
    <w:rsid w:val="001B723B"/>
    <w:rsid w:val="001B7306"/>
    <w:rsid w:val="001C2035"/>
    <w:rsid w:val="001C2AF0"/>
    <w:rsid w:val="001C2EBD"/>
    <w:rsid w:val="001C3DBD"/>
    <w:rsid w:val="001C3DCC"/>
    <w:rsid w:val="001C500B"/>
    <w:rsid w:val="001C5421"/>
    <w:rsid w:val="001C5868"/>
    <w:rsid w:val="001D1681"/>
    <w:rsid w:val="001D18DF"/>
    <w:rsid w:val="001D1CC1"/>
    <w:rsid w:val="001D3B2C"/>
    <w:rsid w:val="001D4CE6"/>
    <w:rsid w:val="001D5A2F"/>
    <w:rsid w:val="001D5DEE"/>
    <w:rsid w:val="001D65D3"/>
    <w:rsid w:val="001E24C6"/>
    <w:rsid w:val="001E2692"/>
    <w:rsid w:val="001E3508"/>
    <w:rsid w:val="001F0FEE"/>
    <w:rsid w:val="001F156A"/>
    <w:rsid w:val="001F2CF5"/>
    <w:rsid w:val="001F3392"/>
    <w:rsid w:val="001F3942"/>
    <w:rsid w:val="001F39ED"/>
    <w:rsid w:val="001F6DC5"/>
    <w:rsid w:val="002018DD"/>
    <w:rsid w:val="00201E02"/>
    <w:rsid w:val="002020BD"/>
    <w:rsid w:val="002057AE"/>
    <w:rsid w:val="002071BA"/>
    <w:rsid w:val="0020721A"/>
    <w:rsid w:val="00210236"/>
    <w:rsid w:val="002102FD"/>
    <w:rsid w:val="0021075D"/>
    <w:rsid w:val="00211072"/>
    <w:rsid w:val="002113AC"/>
    <w:rsid w:val="00212AFC"/>
    <w:rsid w:val="0021470C"/>
    <w:rsid w:val="002212F4"/>
    <w:rsid w:val="00224FE9"/>
    <w:rsid w:val="00225D72"/>
    <w:rsid w:val="0022729A"/>
    <w:rsid w:val="00230B20"/>
    <w:rsid w:val="00230CAC"/>
    <w:rsid w:val="00230DBF"/>
    <w:rsid w:val="0023149C"/>
    <w:rsid w:val="00231627"/>
    <w:rsid w:val="00233E01"/>
    <w:rsid w:val="00235C8C"/>
    <w:rsid w:val="0023688B"/>
    <w:rsid w:val="00236FF3"/>
    <w:rsid w:val="00237E3E"/>
    <w:rsid w:val="00241773"/>
    <w:rsid w:val="002430E2"/>
    <w:rsid w:val="002439E7"/>
    <w:rsid w:val="00245E64"/>
    <w:rsid w:val="0024774E"/>
    <w:rsid w:val="00254EC0"/>
    <w:rsid w:val="00260952"/>
    <w:rsid w:val="00260A74"/>
    <w:rsid w:val="00260F7B"/>
    <w:rsid w:val="0026180A"/>
    <w:rsid w:val="00262FFF"/>
    <w:rsid w:val="002653AB"/>
    <w:rsid w:val="00265594"/>
    <w:rsid w:val="00265FA5"/>
    <w:rsid w:val="00266088"/>
    <w:rsid w:val="002717CA"/>
    <w:rsid w:val="00273DE1"/>
    <w:rsid w:val="002748D1"/>
    <w:rsid w:val="002767BD"/>
    <w:rsid w:val="00276A82"/>
    <w:rsid w:val="0028129F"/>
    <w:rsid w:val="00281D56"/>
    <w:rsid w:val="002859AE"/>
    <w:rsid w:val="00286A59"/>
    <w:rsid w:val="00290798"/>
    <w:rsid w:val="002919CC"/>
    <w:rsid w:val="00295D19"/>
    <w:rsid w:val="00296572"/>
    <w:rsid w:val="002A0377"/>
    <w:rsid w:val="002A0FDD"/>
    <w:rsid w:val="002A2181"/>
    <w:rsid w:val="002A29DC"/>
    <w:rsid w:val="002A3B5A"/>
    <w:rsid w:val="002A6790"/>
    <w:rsid w:val="002A775E"/>
    <w:rsid w:val="002B0679"/>
    <w:rsid w:val="002B10AD"/>
    <w:rsid w:val="002B4DB4"/>
    <w:rsid w:val="002B65C3"/>
    <w:rsid w:val="002C0716"/>
    <w:rsid w:val="002C1967"/>
    <w:rsid w:val="002C2013"/>
    <w:rsid w:val="002C3AB7"/>
    <w:rsid w:val="002C66A3"/>
    <w:rsid w:val="002C7090"/>
    <w:rsid w:val="002C7416"/>
    <w:rsid w:val="002D4A4D"/>
    <w:rsid w:val="002D4E59"/>
    <w:rsid w:val="002D5277"/>
    <w:rsid w:val="002D6221"/>
    <w:rsid w:val="002E001C"/>
    <w:rsid w:val="002E4D1D"/>
    <w:rsid w:val="002E5F1C"/>
    <w:rsid w:val="002E733C"/>
    <w:rsid w:val="002E7CF3"/>
    <w:rsid w:val="002F050E"/>
    <w:rsid w:val="002F0BB1"/>
    <w:rsid w:val="002F3999"/>
    <w:rsid w:val="002F5F9B"/>
    <w:rsid w:val="002F7A0A"/>
    <w:rsid w:val="00300E12"/>
    <w:rsid w:val="00300EF9"/>
    <w:rsid w:val="00301732"/>
    <w:rsid w:val="0030343E"/>
    <w:rsid w:val="00303CF5"/>
    <w:rsid w:val="00304595"/>
    <w:rsid w:val="00304DFB"/>
    <w:rsid w:val="0030615E"/>
    <w:rsid w:val="003100C9"/>
    <w:rsid w:val="00312810"/>
    <w:rsid w:val="003130DF"/>
    <w:rsid w:val="003139A8"/>
    <w:rsid w:val="00315D55"/>
    <w:rsid w:val="00316271"/>
    <w:rsid w:val="003164A3"/>
    <w:rsid w:val="00316E4F"/>
    <w:rsid w:val="00320742"/>
    <w:rsid w:val="00320F57"/>
    <w:rsid w:val="003216D9"/>
    <w:rsid w:val="0032225E"/>
    <w:rsid w:val="00322E39"/>
    <w:rsid w:val="00323098"/>
    <w:rsid w:val="003234A8"/>
    <w:rsid w:val="003240C6"/>
    <w:rsid w:val="00324894"/>
    <w:rsid w:val="00325A42"/>
    <w:rsid w:val="00330919"/>
    <w:rsid w:val="003313E9"/>
    <w:rsid w:val="0033170D"/>
    <w:rsid w:val="003323D4"/>
    <w:rsid w:val="003325F5"/>
    <w:rsid w:val="00334DAE"/>
    <w:rsid w:val="00335046"/>
    <w:rsid w:val="00336839"/>
    <w:rsid w:val="00340026"/>
    <w:rsid w:val="00344026"/>
    <w:rsid w:val="00344631"/>
    <w:rsid w:val="0034528E"/>
    <w:rsid w:val="00345B78"/>
    <w:rsid w:val="0034690F"/>
    <w:rsid w:val="00347805"/>
    <w:rsid w:val="00347AFA"/>
    <w:rsid w:val="00351AE6"/>
    <w:rsid w:val="0035341C"/>
    <w:rsid w:val="0035375D"/>
    <w:rsid w:val="00355A24"/>
    <w:rsid w:val="00355EB9"/>
    <w:rsid w:val="003569CE"/>
    <w:rsid w:val="003604C2"/>
    <w:rsid w:val="00361650"/>
    <w:rsid w:val="00364AF6"/>
    <w:rsid w:val="00365BA6"/>
    <w:rsid w:val="00365BCC"/>
    <w:rsid w:val="00366D5F"/>
    <w:rsid w:val="00370764"/>
    <w:rsid w:val="003766AD"/>
    <w:rsid w:val="0037757A"/>
    <w:rsid w:val="00381BBA"/>
    <w:rsid w:val="00382EF6"/>
    <w:rsid w:val="00383091"/>
    <w:rsid w:val="00384233"/>
    <w:rsid w:val="003873BE"/>
    <w:rsid w:val="00390232"/>
    <w:rsid w:val="00391B28"/>
    <w:rsid w:val="00391E69"/>
    <w:rsid w:val="00392273"/>
    <w:rsid w:val="00394282"/>
    <w:rsid w:val="00395398"/>
    <w:rsid w:val="003A3F99"/>
    <w:rsid w:val="003A4DEF"/>
    <w:rsid w:val="003A4E60"/>
    <w:rsid w:val="003A6CE0"/>
    <w:rsid w:val="003A7409"/>
    <w:rsid w:val="003A74C3"/>
    <w:rsid w:val="003B4DAF"/>
    <w:rsid w:val="003B589E"/>
    <w:rsid w:val="003B76DE"/>
    <w:rsid w:val="003B7FA9"/>
    <w:rsid w:val="003C064B"/>
    <w:rsid w:val="003C2F7E"/>
    <w:rsid w:val="003C34E1"/>
    <w:rsid w:val="003C405F"/>
    <w:rsid w:val="003C53F9"/>
    <w:rsid w:val="003C5F63"/>
    <w:rsid w:val="003C6F68"/>
    <w:rsid w:val="003D42C1"/>
    <w:rsid w:val="003D61A2"/>
    <w:rsid w:val="003D79FE"/>
    <w:rsid w:val="003E1A9A"/>
    <w:rsid w:val="003E1D89"/>
    <w:rsid w:val="003E20F3"/>
    <w:rsid w:val="003E2434"/>
    <w:rsid w:val="003E3381"/>
    <w:rsid w:val="003E3541"/>
    <w:rsid w:val="003E4CF6"/>
    <w:rsid w:val="003E59D3"/>
    <w:rsid w:val="003F0CDC"/>
    <w:rsid w:val="003F2B98"/>
    <w:rsid w:val="003F3AD3"/>
    <w:rsid w:val="003F4024"/>
    <w:rsid w:val="003F62C9"/>
    <w:rsid w:val="003F655D"/>
    <w:rsid w:val="003F66C0"/>
    <w:rsid w:val="003F6C6E"/>
    <w:rsid w:val="003F6E29"/>
    <w:rsid w:val="004009A8"/>
    <w:rsid w:val="00402C49"/>
    <w:rsid w:val="004051F3"/>
    <w:rsid w:val="00405BDE"/>
    <w:rsid w:val="00405CE3"/>
    <w:rsid w:val="00406F4D"/>
    <w:rsid w:val="00407885"/>
    <w:rsid w:val="00413130"/>
    <w:rsid w:val="004154CF"/>
    <w:rsid w:val="00416E2A"/>
    <w:rsid w:val="00417B92"/>
    <w:rsid w:val="004204CA"/>
    <w:rsid w:val="004223F0"/>
    <w:rsid w:val="00422FAE"/>
    <w:rsid w:val="00423214"/>
    <w:rsid w:val="00423C62"/>
    <w:rsid w:val="00424573"/>
    <w:rsid w:val="00424E93"/>
    <w:rsid w:val="00425590"/>
    <w:rsid w:val="0043000F"/>
    <w:rsid w:val="00430046"/>
    <w:rsid w:val="00430B61"/>
    <w:rsid w:val="00432D18"/>
    <w:rsid w:val="00432ED7"/>
    <w:rsid w:val="00433315"/>
    <w:rsid w:val="0043331D"/>
    <w:rsid w:val="004374AE"/>
    <w:rsid w:val="004375E6"/>
    <w:rsid w:val="0044003A"/>
    <w:rsid w:val="0044095D"/>
    <w:rsid w:val="00440ED0"/>
    <w:rsid w:val="0044128C"/>
    <w:rsid w:val="00442C07"/>
    <w:rsid w:val="004543DF"/>
    <w:rsid w:val="00454E26"/>
    <w:rsid w:val="004557CF"/>
    <w:rsid w:val="004573C0"/>
    <w:rsid w:val="0045794C"/>
    <w:rsid w:val="0046363B"/>
    <w:rsid w:val="00463B1D"/>
    <w:rsid w:val="00463DF1"/>
    <w:rsid w:val="00465BD8"/>
    <w:rsid w:val="00466920"/>
    <w:rsid w:val="00467759"/>
    <w:rsid w:val="00470221"/>
    <w:rsid w:val="00471184"/>
    <w:rsid w:val="0047271D"/>
    <w:rsid w:val="004728B6"/>
    <w:rsid w:val="00474E8C"/>
    <w:rsid w:val="0047531A"/>
    <w:rsid w:val="00476729"/>
    <w:rsid w:val="00476C93"/>
    <w:rsid w:val="004771EA"/>
    <w:rsid w:val="004802AB"/>
    <w:rsid w:val="0048234D"/>
    <w:rsid w:val="00482A1B"/>
    <w:rsid w:val="00482D2C"/>
    <w:rsid w:val="00483298"/>
    <w:rsid w:val="00483EDE"/>
    <w:rsid w:val="004867E0"/>
    <w:rsid w:val="00487C3E"/>
    <w:rsid w:val="004918D8"/>
    <w:rsid w:val="00491985"/>
    <w:rsid w:val="004928D6"/>
    <w:rsid w:val="0049344F"/>
    <w:rsid w:val="00494050"/>
    <w:rsid w:val="00494BFA"/>
    <w:rsid w:val="0049666A"/>
    <w:rsid w:val="004977EB"/>
    <w:rsid w:val="004B0070"/>
    <w:rsid w:val="004B2F71"/>
    <w:rsid w:val="004B369B"/>
    <w:rsid w:val="004B3E71"/>
    <w:rsid w:val="004B5124"/>
    <w:rsid w:val="004B60A1"/>
    <w:rsid w:val="004B67B6"/>
    <w:rsid w:val="004B7259"/>
    <w:rsid w:val="004C062C"/>
    <w:rsid w:val="004C0D5F"/>
    <w:rsid w:val="004C0FDE"/>
    <w:rsid w:val="004C1C25"/>
    <w:rsid w:val="004C29D7"/>
    <w:rsid w:val="004C36E8"/>
    <w:rsid w:val="004C399C"/>
    <w:rsid w:val="004C5825"/>
    <w:rsid w:val="004C71F4"/>
    <w:rsid w:val="004C760D"/>
    <w:rsid w:val="004C786C"/>
    <w:rsid w:val="004D16A1"/>
    <w:rsid w:val="004D23B3"/>
    <w:rsid w:val="004D322B"/>
    <w:rsid w:val="004D3808"/>
    <w:rsid w:val="004D66BA"/>
    <w:rsid w:val="004D7480"/>
    <w:rsid w:val="004E42B0"/>
    <w:rsid w:val="004E4836"/>
    <w:rsid w:val="004E51B9"/>
    <w:rsid w:val="004E7D04"/>
    <w:rsid w:val="004F04D6"/>
    <w:rsid w:val="004F23E0"/>
    <w:rsid w:val="004F3E6F"/>
    <w:rsid w:val="004F74EA"/>
    <w:rsid w:val="0050311D"/>
    <w:rsid w:val="0050397B"/>
    <w:rsid w:val="00503D35"/>
    <w:rsid w:val="005047DA"/>
    <w:rsid w:val="005054F0"/>
    <w:rsid w:val="00505FC5"/>
    <w:rsid w:val="005065C2"/>
    <w:rsid w:val="005067CF"/>
    <w:rsid w:val="00510A5C"/>
    <w:rsid w:val="00511E40"/>
    <w:rsid w:val="00513172"/>
    <w:rsid w:val="00514C6A"/>
    <w:rsid w:val="00516023"/>
    <w:rsid w:val="00517413"/>
    <w:rsid w:val="0051761F"/>
    <w:rsid w:val="00520C73"/>
    <w:rsid w:val="00521FA6"/>
    <w:rsid w:val="00522B18"/>
    <w:rsid w:val="005241E8"/>
    <w:rsid w:val="005303CA"/>
    <w:rsid w:val="005308E7"/>
    <w:rsid w:val="005318E0"/>
    <w:rsid w:val="00532896"/>
    <w:rsid w:val="0053487D"/>
    <w:rsid w:val="00535C92"/>
    <w:rsid w:val="00536502"/>
    <w:rsid w:val="0053650F"/>
    <w:rsid w:val="0053749D"/>
    <w:rsid w:val="00542583"/>
    <w:rsid w:val="005425F6"/>
    <w:rsid w:val="00543B68"/>
    <w:rsid w:val="00546A07"/>
    <w:rsid w:val="0055302A"/>
    <w:rsid w:val="00553BA4"/>
    <w:rsid w:val="00556520"/>
    <w:rsid w:val="005577CA"/>
    <w:rsid w:val="00557BAE"/>
    <w:rsid w:val="00560174"/>
    <w:rsid w:val="005634AB"/>
    <w:rsid w:val="00565E89"/>
    <w:rsid w:val="00565F34"/>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87CC0"/>
    <w:rsid w:val="0059039B"/>
    <w:rsid w:val="00595AE7"/>
    <w:rsid w:val="00596246"/>
    <w:rsid w:val="00596DA8"/>
    <w:rsid w:val="005A0E84"/>
    <w:rsid w:val="005A24EE"/>
    <w:rsid w:val="005A4394"/>
    <w:rsid w:val="005A43D3"/>
    <w:rsid w:val="005A4625"/>
    <w:rsid w:val="005A50C7"/>
    <w:rsid w:val="005A6618"/>
    <w:rsid w:val="005B0CBB"/>
    <w:rsid w:val="005B2188"/>
    <w:rsid w:val="005B2D01"/>
    <w:rsid w:val="005B36BD"/>
    <w:rsid w:val="005B5AE2"/>
    <w:rsid w:val="005B751F"/>
    <w:rsid w:val="005B7E10"/>
    <w:rsid w:val="005C11D1"/>
    <w:rsid w:val="005C2BAD"/>
    <w:rsid w:val="005D037A"/>
    <w:rsid w:val="005D3349"/>
    <w:rsid w:val="005D7735"/>
    <w:rsid w:val="005E0398"/>
    <w:rsid w:val="005E135A"/>
    <w:rsid w:val="005E15BA"/>
    <w:rsid w:val="005E2FC8"/>
    <w:rsid w:val="005E304B"/>
    <w:rsid w:val="005E5A76"/>
    <w:rsid w:val="005E77AE"/>
    <w:rsid w:val="005F1142"/>
    <w:rsid w:val="005F1620"/>
    <w:rsid w:val="005F56FB"/>
    <w:rsid w:val="005F7B29"/>
    <w:rsid w:val="00601C6B"/>
    <w:rsid w:val="006021FA"/>
    <w:rsid w:val="006023A9"/>
    <w:rsid w:val="00602524"/>
    <w:rsid w:val="00602641"/>
    <w:rsid w:val="00603348"/>
    <w:rsid w:val="00603C56"/>
    <w:rsid w:val="006051BB"/>
    <w:rsid w:val="00605E3C"/>
    <w:rsid w:val="00607F1E"/>
    <w:rsid w:val="00611A09"/>
    <w:rsid w:val="0061485F"/>
    <w:rsid w:val="00615AFB"/>
    <w:rsid w:val="0062048D"/>
    <w:rsid w:val="006219A0"/>
    <w:rsid w:val="00624F73"/>
    <w:rsid w:val="006253AD"/>
    <w:rsid w:val="0062540F"/>
    <w:rsid w:val="00625FF3"/>
    <w:rsid w:val="00630AFD"/>
    <w:rsid w:val="00630B02"/>
    <w:rsid w:val="00631A89"/>
    <w:rsid w:val="00632C7F"/>
    <w:rsid w:val="00636F54"/>
    <w:rsid w:val="00641667"/>
    <w:rsid w:val="006424B4"/>
    <w:rsid w:val="00643F9A"/>
    <w:rsid w:val="006447C8"/>
    <w:rsid w:val="0065058F"/>
    <w:rsid w:val="00650A6C"/>
    <w:rsid w:val="006513A7"/>
    <w:rsid w:val="0065264F"/>
    <w:rsid w:val="006534B1"/>
    <w:rsid w:val="00657EB0"/>
    <w:rsid w:val="00660D55"/>
    <w:rsid w:val="006612E6"/>
    <w:rsid w:val="006621A7"/>
    <w:rsid w:val="00662271"/>
    <w:rsid w:val="00663431"/>
    <w:rsid w:val="00663433"/>
    <w:rsid w:val="00664ED9"/>
    <w:rsid w:val="006657EF"/>
    <w:rsid w:val="00666195"/>
    <w:rsid w:val="00666B14"/>
    <w:rsid w:val="00666EAE"/>
    <w:rsid w:val="006678E5"/>
    <w:rsid w:val="00670618"/>
    <w:rsid w:val="00671577"/>
    <w:rsid w:val="00673125"/>
    <w:rsid w:val="00675917"/>
    <w:rsid w:val="00675D1C"/>
    <w:rsid w:val="006769A5"/>
    <w:rsid w:val="006808BC"/>
    <w:rsid w:val="00681EB4"/>
    <w:rsid w:val="0068359B"/>
    <w:rsid w:val="00684C05"/>
    <w:rsid w:val="00685176"/>
    <w:rsid w:val="00685694"/>
    <w:rsid w:val="00690216"/>
    <w:rsid w:val="00691784"/>
    <w:rsid w:val="0069482B"/>
    <w:rsid w:val="006951A3"/>
    <w:rsid w:val="00695D86"/>
    <w:rsid w:val="006968CE"/>
    <w:rsid w:val="006A18F3"/>
    <w:rsid w:val="006A3E13"/>
    <w:rsid w:val="006A5A44"/>
    <w:rsid w:val="006A68F0"/>
    <w:rsid w:val="006A7DD5"/>
    <w:rsid w:val="006B02D7"/>
    <w:rsid w:val="006B0B50"/>
    <w:rsid w:val="006B4E18"/>
    <w:rsid w:val="006B4E80"/>
    <w:rsid w:val="006B54E6"/>
    <w:rsid w:val="006C0179"/>
    <w:rsid w:val="006C5AFD"/>
    <w:rsid w:val="006C5B46"/>
    <w:rsid w:val="006C70C4"/>
    <w:rsid w:val="006D2575"/>
    <w:rsid w:val="006D3001"/>
    <w:rsid w:val="006D3A10"/>
    <w:rsid w:val="006D3B94"/>
    <w:rsid w:val="006D4411"/>
    <w:rsid w:val="006D4856"/>
    <w:rsid w:val="006D4E76"/>
    <w:rsid w:val="006D5AF7"/>
    <w:rsid w:val="006D6712"/>
    <w:rsid w:val="006E06FE"/>
    <w:rsid w:val="006E0769"/>
    <w:rsid w:val="006E10C5"/>
    <w:rsid w:val="006E35F4"/>
    <w:rsid w:val="006E4F20"/>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4C3C"/>
    <w:rsid w:val="007078EA"/>
    <w:rsid w:val="00710B65"/>
    <w:rsid w:val="00710DA3"/>
    <w:rsid w:val="00711F1D"/>
    <w:rsid w:val="00712CCD"/>
    <w:rsid w:val="0071314A"/>
    <w:rsid w:val="0071390A"/>
    <w:rsid w:val="00714C35"/>
    <w:rsid w:val="0071670F"/>
    <w:rsid w:val="00716975"/>
    <w:rsid w:val="00717D84"/>
    <w:rsid w:val="007201DF"/>
    <w:rsid w:val="007208D5"/>
    <w:rsid w:val="00721057"/>
    <w:rsid w:val="007256C1"/>
    <w:rsid w:val="00727C87"/>
    <w:rsid w:val="00731F65"/>
    <w:rsid w:val="007334D6"/>
    <w:rsid w:val="00734F95"/>
    <w:rsid w:val="00735123"/>
    <w:rsid w:val="007376E3"/>
    <w:rsid w:val="00737C17"/>
    <w:rsid w:val="00737C29"/>
    <w:rsid w:val="007406A0"/>
    <w:rsid w:val="00746532"/>
    <w:rsid w:val="00747CC7"/>
    <w:rsid w:val="00752BB8"/>
    <w:rsid w:val="00753CFD"/>
    <w:rsid w:val="0076226A"/>
    <w:rsid w:val="00764058"/>
    <w:rsid w:val="00765217"/>
    <w:rsid w:val="00766C02"/>
    <w:rsid w:val="0076730A"/>
    <w:rsid w:val="00767839"/>
    <w:rsid w:val="00771245"/>
    <w:rsid w:val="00773D19"/>
    <w:rsid w:val="00774C48"/>
    <w:rsid w:val="00780533"/>
    <w:rsid w:val="00782736"/>
    <w:rsid w:val="00782DBF"/>
    <w:rsid w:val="00783DF0"/>
    <w:rsid w:val="00786200"/>
    <w:rsid w:val="007873C7"/>
    <w:rsid w:val="007876DF"/>
    <w:rsid w:val="0079115A"/>
    <w:rsid w:val="007942E9"/>
    <w:rsid w:val="007970BE"/>
    <w:rsid w:val="0079715D"/>
    <w:rsid w:val="007977F4"/>
    <w:rsid w:val="00797A4F"/>
    <w:rsid w:val="007A33C8"/>
    <w:rsid w:val="007A3458"/>
    <w:rsid w:val="007A474D"/>
    <w:rsid w:val="007A583C"/>
    <w:rsid w:val="007B22EC"/>
    <w:rsid w:val="007B4E49"/>
    <w:rsid w:val="007B5549"/>
    <w:rsid w:val="007B6D4E"/>
    <w:rsid w:val="007B73DA"/>
    <w:rsid w:val="007B77FD"/>
    <w:rsid w:val="007C0160"/>
    <w:rsid w:val="007C06C7"/>
    <w:rsid w:val="007C1E9F"/>
    <w:rsid w:val="007C1F7E"/>
    <w:rsid w:val="007C3AB6"/>
    <w:rsid w:val="007C435F"/>
    <w:rsid w:val="007C4D53"/>
    <w:rsid w:val="007C5326"/>
    <w:rsid w:val="007C7E99"/>
    <w:rsid w:val="007D3526"/>
    <w:rsid w:val="007D65EE"/>
    <w:rsid w:val="007E033F"/>
    <w:rsid w:val="007E3F6B"/>
    <w:rsid w:val="007E4981"/>
    <w:rsid w:val="007E7D88"/>
    <w:rsid w:val="007F03AB"/>
    <w:rsid w:val="007F0873"/>
    <w:rsid w:val="007F1929"/>
    <w:rsid w:val="007F3459"/>
    <w:rsid w:val="007F6436"/>
    <w:rsid w:val="007F65F7"/>
    <w:rsid w:val="007F68C7"/>
    <w:rsid w:val="007F6BB6"/>
    <w:rsid w:val="007F6C9C"/>
    <w:rsid w:val="007F746F"/>
    <w:rsid w:val="00800B58"/>
    <w:rsid w:val="00801C05"/>
    <w:rsid w:val="00801E79"/>
    <w:rsid w:val="008020EB"/>
    <w:rsid w:val="0080223F"/>
    <w:rsid w:val="0080433E"/>
    <w:rsid w:val="008052F3"/>
    <w:rsid w:val="0080551D"/>
    <w:rsid w:val="00806B76"/>
    <w:rsid w:val="00807B25"/>
    <w:rsid w:val="00810390"/>
    <w:rsid w:val="00810E4E"/>
    <w:rsid w:val="0081187C"/>
    <w:rsid w:val="00812286"/>
    <w:rsid w:val="008146AC"/>
    <w:rsid w:val="0081591D"/>
    <w:rsid w:val="00815BE1"/>
    <w:rsid w:val="008173DA"/>
    <w:rsid w:val="00817F8C"/>
    <w:rsid w:val="00823019"/>
    <w:rsid w:val="00823551"/>
    <w:rsid w:val="00823A10"/>
    <w:rsid w:val="00823F66"/>
    <w:rsid w:val="00824D0F"/>
    <w:rsid w:val="008273B9"/>
    <w:rsid w:val="00831216"/>
    <w:rsid w:val="0083151F"/>
    <w:rsid w:val="008325E6"/>
    <w:rsid w:val="008358C6"/>
    <w:rsid w:val="008445FD"/>
    <w:rsid w:val="00845B53"/>
    <w:rsid w:val="00846721"/>
    <w:rsid w:val="008467A1"/>
    <w:rsid w:val="00846FF2"/>
    <w:rsid w:val="00847E03"/>
    <w:rsid w:val="00850608"/>
    <w:rsid w:val="00851BCA"/>
    <w:rsid w:val="00852F72"/>
    <w:rsid w:val="00853F66"/>
    <w:rsid w:val="00854222"/>
    <w:rsid w:val="00854328"/>
    <w:rsid w:val="008544FB"/>
    <w:rsid w:val="008557D8"/>
    <w:rsid w:val="00857356"/>
    <w:rsid w:val="00861650"/>
    <w:rsid w:val="00861B2D"/>
    <w:rsid w:val="00862A9B"/>
    <w:rsid w:val="00862FE0"/>
    <w:rsid w:val="00863EB9"/>
    <w:rsid w:val="0086542D"/>
    <w:rsid w:val="00865F50"/>
    <w:rsid w:val="00867604"/>
    <w:rsid w:val="00867BB8"/>
    <w:rsid w:val="0087110B"/>
    <w:rsid w:val="008724C2"/>
    <w:rsid w:val="0087577A"/>
    <w:rsid w:val="0087600E"/>
    <w:rsid w:val="008768C7"/>
    <w:rsid w:val="008822E1"/>
    <w:rsid w:val="00883254"/>
    <w:rsid w:val="0088534A"/>
    <w:rsid w:val="008854BB"/>
    <w:rsid w:val="00886F22"/>
    <w:rsid w:val="00887378"/>
    <w:rsid w:val="0089058C"/>
    <w:rsid w:val="00891922"/>
    <w:rsid w:val="00892491"/>
    <w:rsid w:val="0089250D"/>
    <w:rsid w:val="0089277E"/>
    <w:rsid w:val="00894DEE"/>
    <w:rsid w:val="00895D2E"/>
    <w:rsid w:val="00896B45"/>
    <w:rsid w:val="008974CD"/>
    <w:rsid w:val="008A0092"/>
    <w:rsid w:val="008A0971"/>
    <w:rsid w:val="008A1B7F"/>
    <w:rsid w:val="008A20FF"/>
    <w:rsid w:val="008A3C52"/>
    <w:rsid w:val="008A3EF9"/>
    <w:rsid w:val="008A55B8"/>
    <w:rsid w:val="008A73BB"/>
    <w:rsid w:val="008A7642"/>
    <w:rsid w:val="008B2789"/>
    <w:rsid w:val="008B4025"/>
    <w:rsid w:val="008B49C9"/>
    <w:rsid w:val="008B6611"/>
    <w:rsid w:val="008B7980"/>
    <w:rsid w:val="008C320B"/>
    <w:rsid w:val="008C414C"/>
    <w:rsid w:val="008C424C"/>
    <w:rsid w:val="008C46DF"/>
    <w:rsid w:val="008C4B81"/>
    <w:rsid w:val="008C5AC8"/>
    <w:rsid w:val="008C6624"/>
    <w:rsid w:val="008C695E"/>
    <w:rsid w:val="008C6D0D"/>
    <w:rsid w:val="008C711A"/>
    <w:rsid w:val="008D11D6"/>
    <w:rsid w:val="008D12D8"/>
    <w:rsid w:val="008D19DE"/>
    <w:rsid w:val="008D3404"/>
    <w:rsid w:val="008D4384"/>
    <w:rsid w:val="008D5BE9"/>
    <w:rsid w:val="008D74CC"/>
    <w:rsid w:val="008D7CA1"/>
    <w:rsid w:val="008D7EC0"/>
    <w:rsid w:val="008E0B8F"/>
    <w:rsid w:val="008E1344"/>
    <w:rsid w:val="008E52D5"/>
    <w:rsid w:val="008F033F"/>
    <w:rsid w:val="008F0CDF"/>
    <w:rsid w:val="008F46A9"/>
    <w:rsid w:val="008F5A12"/>
    <w:rsid w:val="008F728A"/>
    <w:rsid w:val="008F767A"/>
    <w:rsid w:val="00900A24"/>
    <w:rsid w:val="009031D7"/>
    <w:rsid w:val="00904B85"/>
    <w:rsid w:val="00904D75"/>
    <w:rsid w:val="0090638E"/>
    <w:rsid w:val="00906CEF"/>
    <w:rsid w:val="009110A4"/>
    <w:rsid w:val="0091189F"/>
    <w:rsid w:val="00911DF9"/>
    <w:rsid w:val="00912723"/>
    <w:rsid w:val="00913BA9"/>
    <w:rsid w:val="00914CCF"/>
    <w:rsid w:val="00916D35"/>
    <w:rsid w:val="00917ABB"/>
    <w:rsid w:val="0092111A"/>
    <w:rsid w:val="00921570"/>
    <w:rsid w:val="0092190E"/>
    <w:rsid w:val="00921FA7"/>
    <w:rsid w:val="0092365B"/>
    <w:rsid w:val="00927350"/>
    <w:rsid w:val="00927404"/>
    <w:rsid w:val="0093139D"/>
    <w:rsid w:val="009336ED"/>
    <w:rsid w:val="0093585B"/>
    <w:rsid w:val="0094002B"/>
    <w:rsid w:val="00940138"/>
    <w:rsid w:val="00940AC7"/>
    <w:rsid w:val="00941C0B"/>
    <w:rsid w:val="00942DDC"/>
    <w:rsid w:val="009439D4"/>
    <w:rsid w:val="00944D94"/>
    <w:rsid w:val="009467DD"/>
    <w:rsid w:val="00946FFB"/>
    <w:rsid w:val="00950002"/>
    <w:rsid w:val="00951741"/>
    <w:rsid w:val="0095429E"/>
    <w:rsid w:val="00956C6A"/>
    <w:rsid w:val="00957BD1"/>
    <w:rsid w:val="00961D97"/>
    <w:rsid w:val="0096428D"/>
    <w:rsid w:val="00965492"/>
    <w:rsid w:val="00965E02"/>
    <w:rsid w:val="00967898"/>
    <w:rsid w:val="00970F11"/>
    <w:rsid w:val="00971F7B"/>
    <w:rsid w:val="00973757"/>
    <w:rsid w:val="00973BCF"/>
    <w:rsid w:val="009748BB"/>
    <w:rsid w:val="0097651C"/>
    <w:rsid w:val="00980373"/>
    <w:rsid w:val="00981F48"/>
    <w:rsid w:val="009821A8"/>
    <w:rsid w:val="00982310"/>
    <w:rsid w:val="00985B55"/>
    <w:rsid w:val="00987B8A"/>
    <w:rsid w:val="00991C0C"/>
    <w:rsid w:val="00992C05"/>
    <w:rsid w:val="00995D31"/>
    <w:rsid w:val="009A0357"/>
    <w:rsid w:val="009A107E"/>
    <w:rsid w:val="009A20D2"/>
    <w:rsid w:val="009A3366"/>
    <w:rsid w:val="009A413E"/>
    <w:rsid w:val="009A47B8"/>
    <w:rsid w:val="009A4F06"/>
    <w:rsid w:val="009A5141"/>
    <w:rsid w:val="009A5EBE"/>
    <w:rsid w:val="009A6392"/>
    <w:rsid w:val="009B3E18"/>
    <w:rsid w:val="009B5A8A"/>
    <w:rsid w:val="009B7555"/>
    <w:rsid w:val="009B75D2"/>
    <w:rsid w:val="009C030E"/>
    <w:rsid w:val="009C2252"/>
    <w:rsid w:val="009C2D1C"/>
    <w:rsid w:val="009C2E76"/>
    <w:rsid w:val="009C6870"/>
    <w:rsid w:val="009C6980"/>
    <w:rsid w:val="009C6F37"/>
    <w:rsid w:val="009C7F4C"/>
    <w:rsid w:val="009D1DE7"/>
    <w:rsid w:val="009D3C1A"/>
    <w:rsid w:val="009D4459"/>
    <w:rsid w:val="009D53DE"/>
    <w:rsid w:val="009D58EC"/>
    <w:rsid w:val="009D707D"/>
    <w:rsid w:val="009E0360"/>
    <w:rsid w:val="009E0600"/>
    <w:rsid w:val="009E1700"/>
    <w:rsid w:val="009E2946"/>
    <w:rsid w:val="009E2A6B"/>
    <w:rsid w:val="009E48BB"/>
    <w:rsid w:val="009E5039"/>
    <w:rsid w:val="009E577C"/>
    <w:rsid w:val="009E7F24"/>
    <w:rsid w:val="009F13B3"/>
    <w:rsid w:val="009F1731"/>
    <w:rsid w:val="009F3831"/>
    <w:rsid w:val="009F3996"/>
    <w:rsid w:val="009F3F1F"/>
    <w:rsid w:val="009F6CAC"/>
    <w:rsid w:val="009F6D9F"/>
    <w:rsid w:val="009F705B"/>
    <w:rsid w:val="009F720B"/>
    <w:rsid w:val="00A002F6"/>
    <w:rsid w:val="00A0241B"/>
    <w:rsid w:val="00A02D54"/>
    <w:rsid w:val="00A0318D"/>
    <w:rsid w:val="00A03355"/>
    <w:rsid w:val="00A03A3B"/>
    <w:rsid w:val="00A03BD7"/>
    <w:rsid w:val="00A03D68"/>
    <w:rsid w:val="00A04EC4"/>
    <w:rsid w:val="00A04F6C"/>
    <w:rsid w:val="00A05385"/>
    <w:rsid w:val="00A07259"/>
    <w:rsid w:val="00A0779E"/>
    <w:rsid w:val="00A10266"/>
    <w:rsid w:val="00A131D1"/>
    <w:rsid w:val="00A13438"/>
    <w:rsid w:val="00A145C1"/>
    <w:rsid w:val="00A16801"/>
    <w:rsid w:val="00A17491"/>
    <w:rsid w:val="00A178F8"/>
    <w:rsid w:val="00A20822"/>
    <w:rsid w:val="00A21294"/>
    <w:rsid w:val="00A2593B"/>
    <w:rsid w:val="00A26F6C"/>
    <w:rsid w:val="00A31247"/>
    <w:rsid w:val="00A401C9"/>
    <w:rsid w:val="00A404C8"/>
    <w:rsid w:val="00A40773"/>
    <w:rsid w:val="00A46CEA"/>
    <w:rsid w:val="00A47B1B"/>
    <w:rsid w:val="00A47B49"/>
    <w:rsid w:val="00A500D2"/>
    <w:rsid w:val="00A50478"/>
    <w:rsid w:val="00A52354"/>
    <w:rsid w:val="00A53475"/>
    <w:rsid w:val="00A534EF"/>
    <w:rsid w:val="00A54415"/>
    <w:rsid w:val="00A55093"/>
    <w:rsid w:val="00A570F8"/>
    <w:rsid w:val="00A57FD7"/>
    <w:rsid w:val="00A60302"/>
    <w:rsid w:val="00A62133"/>
    <w:rsid w:val="00A6267A"/>
    <w:rsid w:val="00A63E5B"/>
    <w:rsid w:val="00A7012A"/>
    <w:rsid w:val="00A70579"/>
    <w:rsid w:val="00A7134B"/>
    <w:rsid w:val="00A7315B"/>
    <w:rsid w:val="00A73698"/>
    <w:rsid w:val="00A756D7"/>
    <w:rsid w:val="00A762F5"/>
    <w:rsid w:val="00A77001"/>
    <w:rsid w:val="00A81A36"/>
    <w:rsid w:val="00A81B31"/>
    <w:rsid w:val="00A836FA"/>
    <w:rsid w:val="00A83A9B"/>
    <w:rsid w:val="00A83B44"/>
    <w:rsid w:val="00A869CF"/>
    <w:rsid w:val="00A87878"/>
    <w:rsid w:val="00A90520"/>
    <w:rsid w:val="00A92524"/>
    <w:rsid w:val="00A92EC0"/>
    <w:rsid w:val="00A934DE"/>
    <w:rsid w:val="00A97A11"/>
    <w:rsid w:val="00AA1774"/>
    <w:rsid w:val="00AA1D08"/>
    <w:rsid w:val="00AA7336"/>
    <w:rsid w:val="00AB0FCD"/>
    <w:rsid w:val="00AB1244"/>
    <w:rsid w:val="00AB476E"/>
    <w:rsid w:val="00AB624D"/>
    <w:rsid w:val="00AC0755"/>
    <w:rsid w:val="00AC2395"/>
    <w:rsid w:val="00AC3717"/>
    <w:rsid w:val="00AC7856"/>
    <w:rsid w:val="00AD0D7E"/>
    <w:rsid w:val="00AD0DB3"/>
    <w:rsid w:val="00AD2C27"/>
    <w:rsid w:val="00AD4D4E"/>
    <w:rsid w:val="00AE24D9"/>
    <w:rsid w:val="00AE6383"/>
    <w:rsid w:val="00AE65CB"/>
    <w:rsid w:val="00AE6B22"/>
    <w:rsid w:val="00AE775A"/>
    <w:rsid w:val="00AF0AA3"/>
    <w:rsid w:val="00AF17FA"/>
    <w:rsid w:val="00AF1E0A"/>
    <w:rsid w:val="00AF2971"/>
    <w:rsid w:val="00AF347F"/>
    <w:rsid w:val="00AF3D2D"/>
    <w:rsid w:val="00AF4391"/>
    <w:rsid w:val="00AF5522"/>
    <w:rsid w:val="00AF6C3F"/>
    <w:rsid w:val="00AF6F00"/>
    <w:rsid w:val="00AF6F76"/>
    <w:rsid w:val="00AF7A31"/>
    <w:rsid w:val="00AF7CC6"/>
    <w:rsid w:val="00B031E5"/>
    <w:rsid w:val="00B04C34"/>
    <w:rsid w:val="00B068A3"/>
    <w:rsid w:val="00B124F7"/>
    <w:rsid w:val="00B137CE"/>
    <w:rsid w:val="00B160FA"/>
    <w:rsid w:val="00B16185"/>
    <w:rsid w:val="00B16927"/>
    <w:rsid w:val="00B20593"/>
    <w:rsid w:val="00B21D3A"/>
    <w:rsid w:val="00B22B0C"/>
    <w:rsid w:val="00B23477"/>
    <w:rsid w:val="00B23972"/>
    <w:rsid w:val="00B23CC4"/>
    <w:rsid w:val="00B24563"/>
    <w:rsid w:val="00B248A9"/>
    <w:rsid w:val="00B25096"/>
    <w:rsid w:val="00B257D8"/>
    <w:rsid w:val="00B25FE8"/>
    <w:rsid w:val="00B26813"/>
    <w:rsid w:val="00B26E48"/>
    <w:rsid w:val="00B27595"/>
    <w:rsid w:val="00B305EE"/>
    <w:rsid w:val="00B30DC9"/>
    <w:rsid w:val="00B324F4"/>
    <w:rsid w:val="00B3398D"/>
    <w:rsid w:val="00B33C96"/>
    <w:rsid w:val="00B348C4"/>
    <w:rsid w:val="00B366AF"/>
    <w:rsid w:val="00B368B7"/>
    <w:rsid w:val="00B36A3A"/>
    <w:rsid w:val="00B36FE8"/>
    <w:rsid w:val="00B37D0E"/>
    <w:rsid w:val="00B4234E"/>
    <w:rsid w:val="00B426B1"/>
    <w:rsid w:val="00B42FB2"/>
    <w:rsid w:val="00B45D35"/>
    <w:rsid w:val="00B47186"/>
    <w:rsid w:val="00B51693"/>
    <w:rsid w:val="00B54FEE"/>
    <w:rsid w:val="00B5506B"/>
    <w:rsid w:val="00B552B7"/>
    <w:rsid w:val="00B55747"/>
    <w:rsid w:val="00B55C43"/>
    <w:rsid w:val="00B5602F"/>
    <w:rsid w:val="00B561F9"/>
    <w:rsid w:val="00B60FDB"/>
    <w:rsid w:val="00B61C52"/>
    <w:rsid w:val="00B621A2"/>
    <w:rsid w:val="00B6338F"/>
    <w:rsid w:val="00B64B99"/>
    <w:rsid w:val="00B653FE"/>
    <w:rsid w:val="00B660BD"/>
    <w:rsid w:val="00B675EA"/>
    <w:rsid w:val="00B72553"/>
    <w:rsid w:val="00B72E49"/>
    <w:rsid w:val="00B7659D"/>
    <w:rsid w:val="00B77A13"/>
    <w:rsid w:val="00B80909"/>
    <w:rsid w:val="00B80F99"/>
    <w:rsid w:val="00B81917"/>
    <w:rsid w:val="00B827A0"/>
    <w:rsid w:val="00B82B7B"/>
    <w:rsid w:val="00B82DBE"/>
    <w:rsid w:val="00B8531B"/>
    <w:rsid w:val="00B85495"/>
    <w:rsid w:val="00B866BF"/>
    <w:rsid w:val="00B90051"/>
    <w:rsid w:val="00B92D58"/>
    <w:rsid w:val="00B93436"/>
    <w:rsid w:val="00B93C43"/>
    <w:rsid w:val="00B9621C"/>
    <w:rsid w:val="00B96A24"/>
    <w:rsid w:val="00B96D55"/>
    <w:rsid w:val="00B97AAB"/>
    <w:rsid w:val="00BA20DA"/>
    <w:rsid w:val="00BA21D5"/>
    <w:rsid w:val="00BA3376"/>
    <w:rsid w:val="00BA4909"/>
    <w:rsid w:val="00BA502D"/>
    <w:rsid w:val="00BA5512"/>
    <w:rsid w:val="00BA7088"/>
    <w:rsid w:val="00BB1383"/>
    <w:rsid w:val="00BB2920"/>
    <w:rsid w:val="00BB4FC3"/>
    <w:rsid w:val="00BB5070"/>
    <w:rsid w:val="00BB5E14"/>
    <w:rsid w:val="00BB796F"/>
    <w:rsid w:val="00BC01F0"/>
    <w:rsid w:val="00BC25E4"/>
    <w:rsid w:val="00BC2952"/>
    <w:rsid w:val="00BC32AF"/>
    <w:rsid w:val="00BC4929"/>
    <w:rsid w:val="00BC5678"/>
    <w:rsid w:val="00BD0DED"/>
    <w:rsid w:val="00BD1212"/>
    <w:rsid w:val="00BD402F"/>
    <w:rsid w:val="00BD67DF"/>
    <w:rsid w:val="00BD7DDA"/>
    <w:rsid w:val="00BE3102"/>
    <w:rsid w:val="00BE3759"/>
    <w:rsid w:val="00BE4B15"/>
    <w:rsid w:val="00BE62CC"/>
    <w:rsid w:val="00BE7A96"/>
    <w:rsid w:val="00BF291E"/>
    <w:rsid w:val="00BF2C11"/>
    <w:rsid w:val="00BF5CC1"/>
    <w:rsid w:val="00BF619B"/>
    <w:rsid w:val="00BF65E3"/>
    <w:rsid w:val="00BF68C3"/>
    <w:rsid w:val="00BF694F"/>
    <w:rsid w:val="00BF6A0C"/>
    <w:rsid w:val="00C0009A"/>
    <w:rsid w:val="00C01DAA"/>
    <w:rsid w:val="00C02418"/>
    <w:rsid w:val="00C040BF"/>
    <w:rsid w:val="00C04E1B"/>
    <w:rsid w:val="00C06A73"/>
    <w:rsid w:val="00C101AF"/>
    <w:rsid w:val="00C1354A"/>
    <w:rsid w:val="00C143E0"/>
    <w:rsid w:val="00C16719"/>
    <w:rsid w:val="00C17315"/>
    <w:rsid w:val="00C1795D"/>
    <w:rsid w:val="00C20091"/>
    <w:rsid w:val="00C2093E"/>
    <w:rsid w:val="00C21456"/>
    <w:rsid w:val="00C21D79"/>
    <w:rsid w:val="00C2276E"/>
    <w:rsid w:val="00C244BB"/>
    <w:rsid w:val="00C24901"/>
    <w:rsid w:val="00C26946"/>
    <w:rsid w:val="00C279C5"/>
    <w:rsid w:val="00C30C9C"/>
    <w:rsid w:val="00C32D62"/>
    <w:rsid w:val="00C337F0"/>
    <w:rsid w:val="00C341D2"/>
    <w:rsid w:val="00C366B0"/>
    <w:rsid w:val="00C37693"/>
    <w:rsid w:val="00C413A4"/>
    <w:rsid w:val="00C41CA2"/>
    <w:rsid w:val="00C43143"/>
    <w:rsid w:val="00C44C8E"/>
    <w:rsid w:val="00C4568A"/>
    <w:rsid w:val="00C47011"/>
    <w:rsid w:val="00C4716D"/>
    <w:rsid w:val="00C509BB"/>
    <w:rsid w:val="00C516D8"/>
    <w:rsid w:val="00C51E56"/>
    <w:rsid w:val="00C5288A"/>
    <w:rsid w:val="00C530DF"/>
    <w:rsid w:val="00C550E3"/>
    <w:rsid w:val="00C552AB"/>
    <w:rsid w:val="00C56346"/>
    <w:rsid w:val="00C60A6C"/>
    <w:rsid w:val="00C61753"/>
    <w:rsid w:val="00C627AE"/>
    <w:rsid w:val="00C6420E"/>
    <w:rsid w:val="00C64E53"/>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1B"/>
    <w:rsid w:val="00C8253C"/>
    <w:rsid w:val="00C84FE9"/>
    <w:rsid w:val="00C85512"/>
    <w:rsid w:val="00C91A75"/>
    <w:rsid w:val="00C92F03"/>
    <w:rsid w:val="00C95481"/>
    <w:rsid w:val="00C96C63"/>
    <w:rsid w:val="00C97F62"/>
    <w:rsid w:val="00CA03C7"/>
    <w:rsid w:val="00CA14F9"/>
    <w:rsid w:val="00CA1C31"/>
    <w:rsid w:val="00CA3401"/>
    <w:rsid w:val="00CB0242"/>
    <w:rsid w:val="00CB199B"/>
    <w:rsid w:val="00CB4207"/>
    <w:rsid w:val="00CB5EBF"/>
    <w:rsid w:val="00CB6065"/>
    <w:rsid w:val="00CB7C93"/>
    <w:rsid w:val="00CC01AC"/>
    <w:rsid w:val="00CC03BB"/>
    <w:rsid w:val="00CC20B4"/>
    <w:rsid w:val="00CC2193"/>
    <w:rsid w:val="00CC28EA"/>
    <w:rsid w:val="00CC36D7"/>
    <w:rsid w:val="00CC437D"/>
    <w:rsid w:val="00CC55F0"/>
    <w:rsid w:val="00CC7BD0"/>
    <w:rsid w:val="00CC7D33"/>
    <w:rsid w:val="00CD0DD1"/>
    <w:rsid w:val="00CD2CE8"/>
    <w:rsid w:val="00CD4E02"/>
    <w:rsid w:val="00CD4ED9"/>
    <w:rsid w:val="00CE077F"/>
    <w:rsid w:val="00CE1CB8"/>
    <w:rsid w:val="00CE2E13"/>
    <w:rsid w:val="00CE2FB7"/>
    <w:rsid w:val="00CF1A29"/>
    <w:rsid w:val="00CF2B97"/>
    <w:rsid w:val="00CF4B4B"/>
    <w:rsid w:val="00CF5578"/>
    <w:rsid w:val="00D019AC"/>
    <w:rsid w:val="00D0341D"/>
    <w:rsid w:val="00D03BA9"/>
    <w:rsid w:val="00D05FF7"/>
    <w:rsid w:val="00D06538"/>
    <w:rsid w:val="00D065C6"/>
    <w:rsid w:val="00D078FC"/>
    <w:rsid w:val="00D07B36"/>
    <w:rsid w:val="00D12785"/>
    <w:rsid w:val="00D127D5"/>
    <w:rsid w:val="00D1284E"/>
    <w:rsid w:val="00D133B8"/>
    <w:rsid w:val="00D145A9"/>
    <w:rsid w:val="00D14D22"/>
    <w:rsid w:val="00D17C92"/>
    <w:rsid w:val="00D200A6"/>
    <w:rsid w:val="00D21C22"/>
    <w:rsid w:val="00D21C7B"/>
    <w:rsid w:val="00D248CB"/>
    <w:rsid w:val="00D249CE"/>
    <w:rsid w:val="00D269EC"/>
    <w:rsid w:val="00D30633"/>
    <w:rsid w:val="00D3510A"/>
    <w:rsid w:val="00D35FAD"/>
    <w:rsid w:val="00D37170"/>
    <w:rsid w:val="00D425C4"/>
    <w:rsid w:val="00D4464F"/>
    <w:rsid w:val="00D5578B"/>
    <w:rsid w:val="00D6109C"/>
    <w:rsid w:val="00D61A97"/>
    <w:rsid w:val="00D62DCF"/>
    <w:rsid w:val="00D650CD"/>
    <w:rsid w:val="00D7208B"/>
    <w:rsid w:val="00D72107"/>
    <w:rsid w:val="00D73EF3"/>
    <w:rsid w:val="00D7425C"/>
    <w:rsid w:val="00D74F33"/>
    <w:rsid w:val="00D8003C"/>
    <w:rsid w:val="00D84D00"/>
    <w:rsid w:val="00D91EB4"/>
    <w:rsid w:val="00D91FE3"/>
    <w:rsid w:val="00D92190"/>
    <w:rsid w:val="00D938D2"/>
    <w:rsid w:val="00D93C2C"/>
    <w:rsid w:val="00D95BBC"/>
    <w:rsid w:val="00DA072F"/>
    <w:rsid w:val="00DA1ACC"/>
    <w:rsid w:val="00DA5BE0"/>
    <w:rsid w:val="00DA617C"/>
    <w:rsid w:val="00DA6979"/>
    <w:rsid w:val="00DA7D17"/>
    <w:rsid w:val="00DB2330"/>
    <w:rsid w:val="00DB5CE4"/>
    <w:rsid w:val="00DB64FF"/>
    <w:rsid w:val="00DB745B"/>
    <w:rsid w:val="00DB7B3F"/>
    <w:rsid w:val="00DC276D"/>
    <w:rsid w:val="00DC3070"/>
    <w:rsid w:val="00DC3315"/>
    <w:rsid w:val="00DC57F5"/>
    <w:rsid w:val="00DD1298"/>
    <w:rsid w:val="00DD39C3"/>
    <w:rsid w:val="00DD3C54"/>
    <w:rsid w:val="00DD65A0"/>
    <w:rsid w:val="00DE1AD0"/>
    <w:rsid w:val="00DE2507"/>
    <w:rsid w:val="00DE3A53"/>
    <w:rsid w:val="00DE3BB7"/>
    <w:rsid w:val="00DE5A17"/>
    <w:rsid w:val="00DE5E57"/>
    <w:rsid w:val="00DE6933"/>
    <w:rsid w:val="00DE6EBC"/>
    <w:rsid w:val="00DE77FB"/>
    <w:rsid w:val="00DF0A85"/>
    <w:rsid w:val="00DF1099"/>
    <w:rsid w:val="00DF2A1C"/>
    <w:rsid w:val="00DF3A0D"/>
    <w:rsid w:val="00DF43CD"/>
    <w:rsid w:val="00DF44BE"/>
    <w:rsid w:val="00E018C7"/>
    <w:rsid w:val="00E01A6B"/>
    <w:rsid w:val="00E02C34"/>
    <w:rsid w:val="00E03258"/>
    <w:rsid w:val="00E10687"/>
    <w:rsid w:val="00E10A23"/>
    <w:rsid w:val="00E12DBA"/>
    <w:rsid w:val="00E12F33"/>
    <w:rsid w:val="00E13A6F"/>
    <w:rsid w:val="00E15458"/>
    <w:rsid w:val="00E16D21"/>
    <w:rsid w:val="00E173C3"/>
    <w:rsid w:val="00E17FA1"/>
    <w:rsid w:val="00E2433B"/>
    <w:rsid w:val="00E24A2D"/>
    <w:rsid w:val="00E3122A"/>
    <w:rsid w:val="00E31D82"/>
    <w:rsid w:val="00E3475E"/>
    <w:rsid w:val="00E40B43"/>
    <w:rsid w:val="00E445BA"/>
    <w:rsid w:val="00E47640"/>
    <w:rsid w:val="00E51AB4"/>
    <w:rsid w:val="00E52705"/>
    <w:rsid w:val="00E529AA"/>
    <w:rsid w:val="00E52E1E"/>
    <w:rsid w:val="00E53263"/>
    <w:rsid w:val="00E54189"/>
    <w:rsid w:val="00E5434A"/>
    <w:rsid w:val="00E568B9"/>
    <w:rsid w:val="00E56EEC"/>
    <w:rsid w:val="00E56F5C"/>
    <w:rsid w:val="00E5768E"/>
    <w:rsid w:val="00E57B24"/>
    <w:rsid w:val="00E57C03"/>
    <w:rsid w:val="00E610EF"/>
    <w:rsid w:val="00E6152C"/>
    <w:rsid w:val="00E64D35"/>
    <w:rsid w:val="00E668D7"/>
    <w:rsid w:val="00E67660"/>
    <w:rsid w:val="00E67BF7"/>
    <w:rsid w:val="00E707A2"/>
    <w:rsid w:val="00E71D5B"/>
    <w:rsid w:val="00E71D6C"/>
    <w:rsid w:val="00E73247"/>
    <w:rsid w:val="00E74C68"/>
    <w:rsid w:val="00E74D85"/>
    <w:rsid w:val="00E77836"/>
    <w:rsid w:val="00E77BC4"/>
    <w:rsid w:val="00E80417"/>
    <w:rsid w:val="00E81622"/>
    <w:rsid w:val="00E85113"/>
    <w:rsid w:val="00E87AB5"/>
    <w:rsid w:val="00E91034"/>
    <w:rsid w:val="00E912F2"/>
    <w:rsid w:val="00E921F2"/>
    <w:rsid w:val="00E943C5"/>
    <w:rsid w:val="00E952E7"/>
    <w:rsid w:val="00E95D46"/>
    <w:rsid w:val="00E96667"/>
    <w:rsid w:val="00EA07CD"/>
    <w:rsid w:val="00EA104D"/>
    <w:rsid w:val="00EA48A6"/>
    <w:rsid w:val="00EA7ED9"/>
    <w:rsid w:val="00EB1951"/>
    <w:rsid w:val="00EB4DD8"/>
    <w:rsid w:val="00EB6099"/>
    <w:rsid w:val="00EB6178"/>
    <w:rsid w:val="00EB62ED"/>
    <w:rsid w:val="00EC021B"/>
    <w:rsid w:val="00EC2308"/>
    <w:rsid w:val="00EC2538"/>
    <w:rsid w:val="00EC4054"/>
    <w:rsid w:val="00EC40F4"/>
    <w:rsid w:val="00EC5C4B"/>
    <w:rsid w:val="00EC5E16"/>
    <w:rsid w:val="00EC66EB"/>
    <w:rsid w:val="00EC707E"/>
    <w:rsid w:val="00ED0A7B"/>
    <w:rsid w:val="00ED0EEB"/>
    <w:rsid w:val="00ED1113"/>
    <w:rsid w:val="00ED1F66"/>
    <w:rsid w:val="00ED229E"/>
    <w:rsid w:val="00ED25E6"/>
    <w:rsid w:val="00ED35FD"/>
    <w:rsid w:val="00ED377F"/>
    <w:rsid w:val="00ED483E"/>
    <w:rsid w:val="00ED5216"/>
    <w:rsid w:val="00ED62E3"/>
    <w:rsid w:val="00ED6535"/>
    <w:rsid w:val="00ED6A86"/>
    <w:rsid w:val="00EE0613"/>
    <w:rsid w:val="00EE4583"/>
    <w:rsid w:val="00EE5682"/>
    <w:rsid w:val="00EE65AA"/>
    <w:rsid w:val="00EE7474"/>
    <w:rsid w:val="00EE75D3"/>
    <w:rsid w:val="00EE7BBC"/>
    <w:rsid w:val="00EF0684"/>
    <w:rsid w:val="00EF1570"/>
    <w:rsid w:val="00EF28E2"/>
    <w:rsid w:val="00EF2BB5"/>
    <w:rsid w:val="00EF3269"/>
    <w:rsid w:val="00EF4064"/>
    <w:rsid w:val="00EF49C9"/>
    <w:rsid w:val="00EF5D50"/>
    <w:rsid w:val="00EF758A"/>
    <w:rsid w:val="00EF7A28"/>
    <w:rsid w:val="00F014B5"/>
    <w:rsid w:val="00F05B1D"/>
    <w:rsid w:val="00F06028"/>
    <w:rsid w:val="00F06D1C"/>
    <w:rsid w:val="00F1207E"/>
    <w:rsid w:val="00F1316E"/>
    <w:rsid w:val="00F139F0"/>
    <w:rsid w:val="00F14335"/>
    <w:rsid w:val="00F1529A"/>
    <w:rsid w:val="00F1558F"/>
    <w:rsid w:val="00F15BA9"/>
    <w:rsid w:val="00F15D45"/>
    <w:rsid w:val="00F16450"/>
    <w:rsid w:val="00F16A26"/>
    <w:rsid w:val="00F2118F"/>
    <w:rsid w:val="00F217C5"/>
    <w:rsid w:val="00F22D79"/>
    <w:rsid w:val="00F2316E"/>
    <w:rsid w:val="00F269BA"/>
    <w:rsid w:val="00F33BB9"/>
    <w:rsid w:val="00F34156"/>
    <w:rsid w:val="00F345DF"/>
    <w:rsid w:val="00F35B4F"/>
    <w:rsid w:val="00F37B98"/>
    <w:rsid w:val="00F40AA5"/>
    <w:rsid w:val="00F413CF"/>
    <w:rsid w:val="00F41529"/>
    <w:rsid w:val="00F43B4A"/>
    <w:rsid w:val="00F450F6"/>
    <w:rsid w:val="00F479E0"/>
    <w:rsid w:val="00F51710"/>
    <w:rsid w:val="00F52714"/>
    <w:rsid w:val="00F539AD"/>
    <w:rsid w:val="00F55351"/>
    <w:rsid w:val="00F56202"/>
    <w:rsid w:val="00F5742E"/>
    <w:rsid w:val="00F57A3B"/>
    <w:rsid w:val="00F6198C"/>
    <w:rsid w:val="00F61A21"/>
    <w:rsid w:val="00F61A39"/>
    <w:rsid w:val="00F61B9A"/>
    <w:rsid w:val="00F6207D"/>
    <w:rsid w:val="00F62E01"/>
    <w:rsid w:val="00F652DA"/>
    <w:rsid w:val="00F659E0"/>
    <w:rsid w:val="00F67066"/>
    <w:rsid w:val="00F67B3B"/>
    <w:rsid w:val="00F7577E"/>
    <w:rsid w:val="00F761E9"/>
    <w:rsid w:val="00F765FA"/>
    <w:rsid w:val="00F770DF"/>
    <w:rsid w:val="00F80254"/>
    <w:rsid w:val="00F80EE9"/>
    <w:rsid w:val="00F836AF"/>
    <w:rsid w:val="00F8383D"/>
    <w:rsid w:val="00F848B5"/>
    <w:rsid w:val="00F84D50"/>
    <w:rsid w:val="00F8795E"/>
    <w:rsid w:val="00F90459"/>
    <w:rsid w:val="00F94DAC"/>
    <w:rsid w:val="00FA0017"/>
    <w:rsid w:val="00FA0BB6"/>
    <w:rsid w:val="00FA0DA2"/>
    <w:rsid w:val="00FA0E72"/>
    <w:rsid w:val="00FA18ED"/>
    <w:rsid w:val="00FA24C9"/>
    <w:rsid w:val="00FA4324"/>
    <w:rsid w:val="00FA6625"/>
    <w:rsid w:val="00FA6DD2"/>
    <w:rsid w:val="00FA78F4"/>
    <w:rsid w:val="00FA7987"/>
    <w:rsid w:val="00FB15ED"/>
    <w:rsid w:val="00FB3562"/>
    <w:rsid w:val="00FB4A48"/>
    <w:rsid w:val="00FB6B03"/>
    <w:rsid w:val="00FC0082"/>
    <w:rsid w:val="00FC2B01"/>
    <w:rsid w:val="00FC3353"/>
    <w:rsid w:val="00FC4510"/>
    <w:rsid w:val="00FC4679"/>
    <w:rsid w:val="00FC6504"/>
    <w:rsid w:val="00FD0C61"/>
    <w:rsid w:val="00FD729B"/>
    <w:rsid w:val="00FE03E3"/>
    <w:rsid w:val="00FE0AEA"/>
    <w:rsid w:val="00FE1B6C"/>
    <w:rsid w:val="00FE4AEB"/>
    <w:rsid w:val="00FE4BBD"/>
    <w:rsid w:val="00FE6911"/>
    <w:rsid w:val="00FF25C0"/>
    <w:rsid w:val="00FF2A1D"/>
    <w:rsid w:val="00FF5749"/>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E3E"/>
    <w:pPr>
      <w:spacing w:before="160" w:after="160" w:line="480" w:lineRule="auto"/>
      <w:ind w:firstLine="680"/>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766C02"/>
    <w:pPr>
      <w:keepNext/>
      <w:keepLines/>
      <w:numPr>
        <w:ilvl w:val="1"/>
        <w:numId w:val="1"/>
      </w:numPr>
      <w:ind w:left="578" w:hanging="578"/>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766C0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u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u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character" w:styleId="UnresolvedMention">
    <w:name w:val="Unresolved Mention"/>
    <w:basedOn w:val="DefaultParagraphFont"/>
    <w:uiPriority w:val="99"/>
    <w:semiHidden/>
    <w:unhideWhenUsed/>
    <w:rsid w:val="00913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researchgate.net/profile/Bjoern-Binzer/publication/384040958_Establishing_a_Low-CodeNo-Code-Enabled_Citizen_Development_Strategy/links/66e5c98f0463442fa84f4175/Establishing-a-Low-Code-No-Code-Enabled-Citizen-Development-Strategy.pdf" TargetMode="External"/><Relationship Id="rId47" Type="http://schemas.openxmlformats.org/officeDocument/2006/relationships/hyperlink" Target="https://www.researchgate.net/figure/Model-of-person-organization-fit-Chatman-1989_fig1_282974170?utm_source=chatgpt.com" TargetMode="External"/><Relationship Id="rId63" Type="http://schemas.openxmlformats.org/officeDocument/2006/relationships/hyperlink" Target="https://eprints.lse.ac.uk/128775/1/0d5be932-2b53-4929-879e-e40103d33542.pdf" TargetMode="External"/><Relationship Id="rId68" Type="http://schemas.openxmlformats.org/officeDocument/2006/relationships/hyperlink" Target="https://www.insead.edu/sites/default/files/assets/dept/fr/gtci/GTCI-2022-report.pdf?utm_source=chatgpt.com" TargetMode="External"/><Relationship Id="rId84" Type="http://schemas.openxmlformats.org/officeDocument/2006/relationships/hyperlink" Target="https://www.timechamp.io/blogs/strategies-to-maintain-employee-motivation/?utm_source=chatgpt.com" TargetMode="External"/><Relationship Id="rId89" Type="http://schemas.openxmlformats.org/officeDocument/2006/relationships/hyperlink" Target="https://www.mdpi.com/2076-3387/14/1/17?utm_source=chatgpt.com"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hyperlink" Target="https://www.aihr.com/blog/learning-and-development/?utm_source=chatgpt.com" TargetMode="External"/><Relationship Id="rId53" Type="http://schemas.openxmlformats.org/officeDocument/2006/relationships/hyperlink" Target="https://www.researchgate.net/profile/George-Osam-Nunoo/publication/385381784_Data-driven_digital_marketing_and_battery_supply_chain_optimization_in_the_battery-powered_aircraft_industry_through_case_studies_of_Rolls-Royce's_ACCEL_and_Airbus's_E-Fan_X_Projects/links/6745343a868c966b93304209/Data-driven-digital-marketing-and-battery-supply-chain-optimization-in-the-battery-powered-aircraft-industry-through-case-studies-of-Rolls-Royces-ACCEL-and-Airbuss-E-Fan-X-Projects.pdf" TargetMode="External"/><Relationship Id="rId58" Type="http://schemas.openxmlformats.org/officeDocument/2006/relationships/hyperlink" Target="https://www.researchgate.net/figure/Overall-occupational-gender-segregation-OS-and-the-vertical-dimension-VS-by-age_fig2_337871776" TargetMode="External"/><Relationship Id="rId74" Type="http://schemas.openxmlformats.org/officeDocument/2006/relationships/hyperlink" Target="https://peer.asee.org/56351.pdf" TargetMode="External"/><Relationship Id="rId79" Type="http://schemas.openxmlformats.org/officeDocument/2006/relationships/hyperlink" Target="https://www.rolls-roycemotorcars.com/en_GB/home.html" TargetMode="External"/><Relationship Id="rId5" Type="http://schemas.openxmlformats.org/officeDocument/2006/relationships/webSettings" Target="webSettings.xml"/><Relationship Id="rId90" Type="http://schemas.openxmlformats.org/officeDocument/2006/relationships/header" Target="header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researchgate.net/figure/Comparison-of-the-number-of-publications-defined-by-modern-ICT-for-the-years-2001-2023_fig1_382478029" TargetMode="External"/><Relationship Id="rId48" Type="http://schemas.openxmlformats.org/officeDocument/2006/relationships/hyperlink" Target="https://www.mdpi.com/2076-3387/13/2/41" TargetMode="External"/><Relationship Id="rId56" Type="http://schemas.openxmlformats.org/officeDocument/2006/relationships/hyperlink" Target="https://www.mdpi.com/2079-8954/11/2/60" TargetMode="External"/><Relationship Id="rId64" Type="http://schemas.openxmlformats.org/officeDocument/2006/relationships/hyperlink" Target="https://www.researchgate.net/figure/The-Dynamic-of-a-Future-Teachers-Digital-Literacy_fig1_349045218?utm_source=chatgpt.com" TargetMode="External"/><Relationship Id="rId69" Type="http://schemas.openxmlformats.org/officeDocument/2006/relationships/hyperlink" Target="https://journals.sagepub.com/doi/pdf/10.1177/25166042241249529" TargetMode="External"/><Relationship Id="rId77" Type="http://schemas.openxmlformats.org/officeDocument/2006/relationships/hyperlink" Target="https://www.researchgate.net/figure/rooms-Motivation-Theory-source-Vroom-1964_fig1_355383317?utm_source=chatgpt.com" TargetMode="External"/><Relationship Id="rId8" Type="http://schemas.openxmlformats.org/officeDocument/2006/relationships/image" Target="media/image1.jpeg"/><Relationship Id="rId51" Type="http://schemas.openxmlformats.org/officeDocument/2006/relationships/hyperlink" Target="https://www.researchgate.net/figure/Lewins-3-stage-model-Unfreeze-This-stage-prepares-individuals-for-the-change-In_fig3_334736458?utm_source=chatgpt.com" TargetMode="External"/><Relationship Id="rId72" Type="http://schemas.openxmlformats.org/officeDocument/2006/relationships/hyperlink" Target="https://riunet.upv.es/bitstream/handle/10251/210188/Ottinetti%20-%20The%20Importance%20of%20cross-cultural%20Management%20Skills%20in%20Companies%20Applied%20to%20Service%20an....pdf?sequence=1" TargetMode="External"/><Relationship Id="rId80" Type="http://schemas.openxmlformats.org/officeDocument/2006/relationships/hyperlink" Target="https://journals.lww.com/joem/_layouts/15/oaks.journals/downloadpdf.aspx?an=00043764-202203000-00020" TargetMode="External"/><Relationship Id="rId85" Type="http://schemas.openxmlformats.org/officeDocument/2006/relationships/hyperlink" Target="https://unitesi.unive.it/bitstream/20.500.14247/15619/1/866744-1267698.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aihr.com/blog/inclusive-environment-at-work/?utm_source=chatgpt.com" TargetMode="External"/><Relationship Id="rId46" Type="http://schemas.openxmlformats.org/officeDocument/2006/relationships/hyperlink" Target="https://sms.onlinelibrary.wiley.com/doi/pdf/10.1002/smj.3655" TargetMode="External"/><Relationship Id="rId59" Type="http://schemas.openxmlformats.org/officeDocument/2006/relationships/hyperlink" Target="https://academic.oup.com/tcbh/article-pdf/36/2/hwaf002/62858501/hwaf002.pdf" TargetMode="External"/><Relationship Id="rId67" Type="http://schemas.openxmlformats.org/officeDocument/2006/relationships/hyperlink" Target="https://orca.cardiff.ac.uk/id/eprint/164435/1/50834c.pdf" TargetMode="External"/><Relationship Id="rId20" Type="http://schemas.openxmlformats.org/officeDocument/2006/relationships/image" Target="media/image13.png"/><Relationship Id="rId41" Type="http://schemas.openxmlformats.org/officeDocument/2006/relationships/hyperlink" Target="https://orca.cardiff.ac.uk/id/eprint/157651/1/IMR%202023%20-%20Final%20preprint%20manuscript%20%281%29.pdf" TargetMode="External"/><Relationship Id="rId54" Type="http://schemas.openxmlformats.org/officeDocument/2006/relationships/hyperlink" Target="https://fastercapital.com/topics/the-importance-of-accountability-in-the-workplace.html/1?utm_source=chatgpt.com" TargetMode="External"/><Relationship Id="rId62" Type="http://schemas.openxmlformats.org/officeDocument/2006/relationships/hyperlink" Target="https://repository.tudelft.nl/file/File_2d3a14d8-ff2f-4011-b6ae-f5188f824e6b" TargetMode="External"/><Relationship Id="rId70" Type="http://schemas.openxmlformats.org/officeDocument/2006/relationships/hyperlink" Target="https://www.scienceopen.com/document_file/0e7af1ff-bc29-4b80-8efd-a6ee3b44ec17/ScienceOpen/001_Nixon_HCI2022.pdf" TargetMode="External"/><Relationship Id="rId75" Type="http://schemas.openxmlformats.org/officeDocument/2006/relationships/hyperlink" Target="https://www.researchgate.net/figure/AI-enhanced-Training-Methods-Effectiveness-Metrics_fig1_393894843?_tp=eyJjb250ZXh0Ijp7ImZpcnN0UGFnZSI6InB1YmxpY2F0aW9uIiwicGFnZSI6InB1YmxpY2F0aW9uIn19" TargetMode="External"/><Relationship Id="rId83" Type="http://schemas.openxmlformats.org/officeDocument/2006/relationships/hyperlink" Target="https://strathprints.strath.ac.uk/82214/1/Taylor_IER_2022_Redistribution_of_working_time_achieving_a_better_work_life_balance.pdf" TargetMode="External"/><Relationship Id="rId88" Type="http://schemas.openxmlformats.org/officeDocument/2006/relationships/hyperlink" Target="https://www.aihr.com/blog/hr-transformation/?utm_source=chatgpt.com"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researchgate.net/profile/Rakibul-Chowdhury-6/publication/392071228_Digital_Leadership_and_Organizational_Learning_Technologies_for_Business_Transformation_and_Operational_Excellence/links/68340d038a76251f22e8a2b0/Digital-Leadership-and-Organizational-Learning-Technologies-for-Business-Transformation-and-Operational-Excellence.pdf" TargetMode="External"/><Relationship Id="rId57" Type="http://schemas.openxmlformats.org/officeDocument/2006/relationships/hyperlink" Target="https://journals.sagepub.com/doi/pdf/10.1177/0032329221992198"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www.researchgate.net/figure/Kirkpatricks-four-level-training-evaluation-model-Reproduced-from-41-on-September-15_fig1_344232579?utm_source=chatgpt.com" TargetMode="External"/><Relationship Id="rId52" Type="http://schemas.openxmlformats.org/officeDocument/2006/relationships/hyperlink" Target="https://www.researchgate.net/figure/Distribution-of-Employment-by-Gender-and-Sector_fig2_24111428?utm_source=chatgpt.com" TargetMode="External"/><Relationship Id="rId60" Type="http://schemas.openxmlformats.org/officeDocument/2006/relationships/hyperlink" Target="https://www.repository.cam.ac.uk/bitstreams/e6ab60a5-08e0-426f-b684-47c2686ec1ac/download" TargetMode="External"/><Relationship Id="rId65" Type="http://schemas.openxmlformats.org/officeDocument/2006/relationships/hyperlink" Target="https://doi.org/10.3390/joitmc7020138" TargetMode="External"/><Relationship Id="rId73" Type="http://schemas.openxmlformats.org/officeDocument/2006/relationships/hyperlink" Target="https://www.nedaglobal.com/assets/files/New_site_PDFs/2022%20ey-what-the-parker-review-tells-us-about-boardroom-diversity.pdf" TargetMode="External"/><Relationship Id="rId78" Type="http://schemas.openxmlformats.org/officeDocument/2006/relationships/hyperlink" Target="http://stax.strath.ac.uk/downloads/q524jp559" TargetMode="External"/><Relationship Id="rId81" Type="http://schemas.openxmlformats.org/officeDocument/2006/relationships/hyperlink" Target="https://eprints.lse.ac.uk/128776/3/673b25ba-afa1-4d61-b744-05e9d77343af.pdf" TargetMode="External"/><Relationship Id="rId86" Type="http://schemas.openxmlformats.org/officeDocument/2006/relationships/hyperlink" Target="https://www.aihr.com/blog/human-resource-strategy/?utm_source=chatgpt.co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acorn.works/blog/leadership-development?utm_source=chatgpt.com" TargetMode="External"/><Relationship Id="rId34" Type="http://schemas.openxmlformats.org/officeDocument/2006/relationships/image" Target="media/image27.png"/><Relationship Id="rId50" Type="http://schemas.openxmlformats.org/officeDocument/2006/relationships/hyperlink" Target="https://app.periodikos.com.br/article/10.4322/pmd.2021.014/pdf/pmd-20-1-e20210019.pdf" TargetMode="External"/><Relationship Id="rId55" Type="http://schemas.openxmlformats.org/officeDocument/2006/relationships/hyperlink" Target="https://hr.university/dei/inclusion-vs-diversity/?utm_source=chatgpt.com" TargetMode="External"/><Relationship Id="rId76" Type="http://schemas.openxmlformats.org/officeDocument/2006/relationships/hyperlink" Target="https://www.qualtrics.com/en-au/experience-management/employee/inclusive-leadership/" TargetMode="External"/><Relationship Id="rId7" Type="http://schemas.openxmlformats.org/officeDocument/2006/relationships/endnotes" Target="endnotes.xml"/><Relationship Id="rId71" Type="http://schemas.openxmlformats.org/officeDocument/2006/relationships/hyperlink" Target="https://www.researchgate.net/figure/Rewards-and-recognition-program-help-you-as-an-employee_fig4_343459504"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www.researchgate.net/figure/Annual-deliveries-of-Rolls-Royce-civil-engines-1995-2010-Source-Rolls-Royce-Annual_fig3_260115550" TargetMode="External"/><Relationship Id="rId45" Type="http://schemas.openxmlformats.org/officeDocument/2006/relationships/hyperlink" Target="https://businessmap.io/agile" TargetMode="External"/><Relationship Id="rId66" Type="http://schemas.openxmlformats.org/officeDocument/2006/relationships/hyperlink" Target="https://www.researchgate.net/figure/shows-the-relation-between-Rolls-Royces-internal-sources-of-funds-and-its-most-important_fig1_5212528?utm_source=chatgpt.com" TargetMode="External"/><Relationship Id="rId87" Type="http://schemas.openxmlformats.org/officeDocument/2006/relationships/hyperlink" Target="https://www.vantagecircle.com/en/blog/safety-reward-programs-for-employees/?utm_source=chatgpt.com" TargetMode="External"/><Relationship Id="rId61" Type="http://schemas.openxmlformats.org/officeDocument/2006/relationships/hyperlink" Target="https://www.hrcloud.com/blog/10-latest-hr-management-trends-for-the-year?utm_source=chatgpt.com" TargetMode="External"/><Relationship Id="rId82" Type="http://schemas.openxmlformats.org/officeDocument/2006/relationships/hyperlink" Target="https://pubs.aip.org/aip/acp/article-pdf/doi/10.1063/5.0192273/19303799/020062_1_5.0192273.pdf" TargetMode="External"/><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3720</Words>
  <Characters>35885</Characters>
  <Application>Microsoft Office Word</Application>
  <DocSecurity>0</DocSecurity>
  <Lines>299</Lines>
  <Paragraphs>79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Samuel Kirvej (2120449)</cp:lastModifiedBy>
  <cp:revision>2</cp:revision>
  <dcterms:created xsi:type="dcterms:W3CDTF">2025-11-30T08:29:00Z</dcterms:created>
  <dcterms:modified xsi:type="dcterms:W3CDTF">2025-11-30T08:29:00Z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