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DBE60" w14:textId="0ED25956" w:rsidR="0014376B" w:rsidRDefault="00566D77">
      <w:pPr>
        <w:spacing w:after="80"/>
        <w:jc w:val="center"/>
        <w:rPr>
          <w:b/>
          <w:bCs/>
          <w:sz w:val="30"/>
          <w:szCs w:val="30"/>
        </w:rPr>
      </w:pPr>
      <w:r>
        <w:rPr>
          <w:b/>
          <w:bCs/>
          <w:sz w:val="30"/>
          <w:szCs w:val="30"/>
        </w:rPr>
        <w:t xml:space="preserve">  </w:t>
      </w:r>
    </w:p>
    <w:p w14:paraId="0FCD544F" w14:textId="77777777" w:rsidR="00AF3D76" w:rsidRDefault="00AF3D76" w:rsidP="00AF3D76">
      <w:pPr>
        <w:spacing w:after="80"/>
        <w:rPr>
          <w:b/>
          <w:bCs/>
          <w:sz w:val="30"/>
          <w:szCs w:val="30"/>
        </w:rPr>
      </w:pPr>
    </w:p>
    <w:p w14:paraId="4549C846" w14:textId="77777777" w:rsidR="00AF3D76" w:rsidRDefault="00AF3D76">
      <w:pPr>
        <w:spacing w:after="80"/>
        <w:jc w:val="center"/>
        <w:rPr>
          <w:b/>
          <w:bCs/>
          <w:sz w:val="30"/>
          <w:szCs w:val="30"/>
        </w:rPr>
      </w:pPr>
    </w:p>
    <w:p w14:paraId="47469D01" w14:textId="77777777" w:rsidR="00AF3D76" w:rsidRPr="00F4799C" w:rsidRDefault="00AF3D76" w:rsidP="00AF3D76">
      <w:pPr>
        <w:jc w:val="center"/>
        <w:rPr>
          <w:rFonts w:asciiTheme="minorBidi" w:hAnsiTheme="minorBidi"/>
        </w:rPr>
      </w:pPr>
      <w:r>
        <w:rPr>
          <w:rFonts w:asciiTheme="minorBidi" w:hAnsiTheme="minorBidi"/>
          <w:noProof/>
        </w:rPr>
        <w:drawing>
          <wp:inline distT="0" distB="0" distL="0" distR="0" wp14:anchorId="7B02139D" wp14:editId="76A5E5FA">
            <wp:extent cx="3886200" cy="1554480"/>
            <wp:effectExtent l="0" t="0" r="0" b="762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86200" cy="1554480"/>
                    </a:xfrm>
                    <a:prstGeom prst="rect">
                      <a:avLst/>
                    </a:prstGeom>
                    <a:noFill/>
                  </pic:spPr>
                </pic:pic>
              </a:graphicData>
            </a:graphic>
          </wp:inline>
        </w:drawing>
      </w:r>
    </w:p>
    <w:p w14:paraId="02AFB91F" w14:textId="77777777" w:rsidR="00AF3D76" w:rsidRDefault="00AF3D76">
      <w:pPr>
        <w:spacing w:after="80"/>
        <w:jc w:val="center"/>
        <w:rPr>
          <w:b/>
          <w:bCs/>
          <w:sz w:val="30"/>
          <w:szCs w:val="30"/>
        </w:rPr>
      </w:pPr>
    </w:p>
    <w:p w14:paraId="5F503D26" w14:textId="77777777" w:rsidR="00AF3D76" w:rsidRDefault="00AF3D76">
      <w:pPr>
        <w:spacing w:after="80"/>
        <w:jc w:val="center"/>
        <w:rPr>
          <w:b/>
          <w:bCs/>
          <w:sz w:val="30"/>
          <w:szCs w:val="30"/>
        </w:rPr>
      </w:pPr>
    </w:p>
    <w:p w14:paraId="0AE46528" w14:textId="77777777" w:rsidR="00AF3D76" w:rsidRPr="00F4799C" w:rsidRDefault="00AF3D76" w:rsidP="00AF3D76">
      <w:pPr>
        <w:jc w:val="center"/>
        <w:rPr>
          <w:rFonts w:asciiTheme="minorBidi" w:hAnsiTheme="minorBidi"/>
        </w:rPr>
      </w:pPr>
    </w:p>
    <w:p w14:paraId="77096ADF" w14:textId="5955B219"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Student Name: Himanshi</w:t>
      </w:r>
    </w:p>
    <w:p w14:paraId="3F55E7D2" w14:textId="77777777" w:rsidR="00AF3D76" w:rsidRPr="00F4799C" w:rsidRDefault="00AF3D76" w:rsidP="00AF3D76">
      <w:pPr>
        <w:jc w:val="center"/>
        <w:rPr>
          <w:rFonts w:asciiTheme="minorBidi" w:hAnsiTheme="minorBidi"/>
          <w:b/>
          <w:bCs/>
          <w:sz w:val="28"/>
          <w:szCs w:val="28"/>
        </w:rPr>
      </w:pPr>
    </w:p>
    <w:p w14:paraId="5DAB320A" w14:textId="4068A960"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Student ID: 2526316</w:t>
      </w:r>
    </w:p>
    <w:p w14:paraId="0BAB7FCE" w14:textId="77777777" w:rsidR="00AF3D76" w:rsidRPr="00F4799C" w:rsidRDefault="00AF3D76" w:rsidP="00AF3D76">
      <w:pPr>
        <w:jc w:val="center"/>
        <w:rPr>
          <w:rFonts w:asciiTheme="minorBidi" w:hAnsiTheme="minorBidi"/>
          <w:sz w:val="28"/>
          <w:szCs w:val="28"/>
        </w:rPr>
      </w:pPr>
    </w:p>
    <w:p w14:paraId="4D52B0F7" w14:textId="77777777" w:rsidR="00AF3D76" w:rsidRPr="00F4799C" w:rsidRDefault="00AF3D76" w:rsidP="00AF3D76">
      <w:pPr>
        <w:jc w:val="center"/>
        <w:rPr>
          <w:rFonts w:asciiTheme="minorBidi" w:hAnsiTheme="minorBidi"/>
          <w:sz w:val="28"/>
          <w:szCs w:val="28"/>
        </w:rPr>
      </w:pPr>
    </w:p>
    <w:p w14:paraId="785BD73B" w14:textId="77777777"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Module Name: Marketing Management</w:t>
      </w:r>
    </w:p>
    <w:p w14:paraId="765CFB06" w14:textId="77777777" w:rsidR="00AF3D76" w:rsidRPr="00F4799C" w:rsidRDefault="00AF3D76" w:rsidP="00AF3D76">
      <w:pPr>
        <w:jc w:val="center"/>
        <w:rPr>
          <w:rFonts w:asciiTheme="minorBidi" w:hAnsiTheme="minorBidi"/>
          <w:b/>
          <w:bCs/>
          <w:sz w:val="28"/>
          <w:szCs w:val="28"/>
        </w:rPr>
      </w:pPr>
    </w:p>
    <w:p w14:paraId="68171A7A" w14:textId="77777777"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Module Code: LCMB7024</w:t>
      </w:r>
    </w:p>
    <w:p w14:paraId="595F998E" w14:textId="77777777" w:rsidR="00AF3D76" w:rsidRPr="00F4799C" w:rsidRDefault="00AF3D76" w:rsidP="00AF3D76">
      <w:pPr>
        <w:jc w:val="center"/>
        <w:rPr>
          <w:rFonts w:asciiTheme="minorBidi" w:hAnsiTheme="minorBidi"/>
          <w:b/>
          <w:bCs/>
          <w:sz w:val="28"/>
          <w:szCs w:val="28"/>
        </w:rPr>
      </w:pPr>
    </w:p>
    <w:p w14:paraId="4392B141" w14:textId="77777777" w:rsidR="00AF3D76" w:rsidRPr="00F4799C" w:rsidRDefault="00AF3D76" w:rsidP="00AF3D76">
      <w:pPr>
        <w:jc w:val="center"/>
        <w:rPr>
          <w:rFonts w:asciiTheme="minorBidi" w:hAnsiTheme="minorBidi"/>
          <w:b/>
          <w:bCs/>
          <w:sz w:val="28"/>
          <w:szCs w:val="28"/>
        </w:rPr>
      </w:pPr>
    </w:p>
    <w:p w14:paraId="6DA6EE31" w14:textId="77777777" w:rsidR="00AF3D76" w:rsidRPr="00F4799C" w:rsidRDefault="00AF3D76" w:rsidP="00AF3D76">
      <w:pPr>
        <w:jc w:val="center"/>
        <w:rPr>
          <w:rFonts w:asciiTheme="minorBidi" w:hAnsiTheme="minorBidi"/>
          <w:b/>
          <w:bCs/>
          <w:sz w:val="28"/>
          <w:szCs w:val="28"/>
        </w:rPr>
      </w:pPr>
    </w:p>
    <w:p w14:paraId="380CB700" w14:textId="77777777" w:rsidR="00AF3D76" w:rsidRPr="00F4799C" w:rsidRDefault="00AF3D76" w:rsidP="00AF3D76">
      <w:pPr>
        <w:jc w:val="center"/>
        <w:rPr>
          <w:rFonts w:asciiTheme="minorBidi" w:hAnsiTheme="minorBidi"/>
          <w:b/>
          <w:bCs/>
          <w:sz w:val="28"/>
          <w:szCs w:val="28"/>
        </w:rPr>
      </w:pPr>
    </w:p>
    <w:p w14:paraId="5AD555BD" w14:textId="1E3DFF2F"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Lecturer’s Name: Haoran Liu</w:t>
      </w:r>
    </w:p>
    <w:p w14:paraId="45470C3A" w14:textId="77777777" w:rsidR="00AF3D76" w:rsidRPr="00F4799C" w:rsidRDefault="00AF3D76" w:rsidP="00AF3D76">
      <w:pPr>
        <w:jc w:val="center"/>
        <w:rPr>
          <w:rFonts w:asciiTheme="minorBidi" w:hAnsiTheme="minorBidi"/>
          <w:b/>
          <w:bCs/>
          <w:sz w:val="28"/>
          <w:szCs w:val="28"/>
        </w:rPr>
      </w:pPr>
    </w:p>
    <w:p w14:paraId="51ACDB5F" w14:textId="17567AFC" w:rsidR="00AF3D76" w:rsidRPr="00F4799C" w:rsidRDefault="000D4BFA" w:rsidP="00AF3D76">
      <w:pPr>
        <w:jc w:val="center"/>
        <w:rPr>
          <w:rFonts w:asciiTheme="minorBidi" w:hAnsiTheme="minorBidi"/>
          <w:b/>
          <w:bCs/>
          <w:sz w:val="28"/>
          <w:szCs w:val="28"/>
        </w:rPr>
      </w:pPr>
      <w:r>
        <w:rPr>
          <w:rFonts w:asciiTheme="minorBidi" w:hAnsiTheme="minorBidi"/>
          <w:b/>
          <w:bCs/>
          <w:sz w:val="28"/>
          <w:szCs w:val="28"/>
        </w:rPr>
        <w:t xml:space="preserve">  </w:t>
      </w:r>
    </w:p>
    <w:p w14:paraId="6F689E3B" w14:textId="77777777" w:rsidR="00AF3D76" w:rsidRPr="00F4799C" w:rsidRDefault="00AF3D76" w:rsidP="00AF3D76">
      <w:pPr>
        <w:rPr>
          <w:rFonts w:asciiTheme="minorBidi" w:hAnsiTheme="minorBidi"/>
          <w:b/>
          <w:bCs/>
          <w:sz w:val="28"/>
          <w:szCs w:val="28"/>
        </w:rPr>
      </w:pPr>
    </w:p>
    <w:p w14:paraId="1B8B2BA8" w14:textId="5D805224"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Work Count: 2</w:t>
      </w:r>
      <w:r w:rsidR="00153280">
        <w:rPr>
          <w:rFonts w:asciiTheme="minorBidi" w:hAnsiTheme="minorBidi"/>
          <w:b/>
          <w:bCs/>
          <w:sz w:val="28"/>
          <w:szCs w:val="28"/>
        </w:rPr>
        <w:t>672</w:t>
      </w:r>
    </w:p>
    <w:p w14:paraId="45168700" w14:textId="77777777" w:rsidR="00AF3D76" w:rsidRPr="00F4799C" w:rsidRDefault="00AF3D76" w:rsidP="00AF3D76">
      <w:pPr>
        <w:jc w:val="center"/>
        <w:rPr>
          <w:rFonts w:asciiTheme="minorBidi" w:hAnsiTheme="minorBidi"/>
          <w:b/>
          <w:bCs/>
          <w:sz w:val="28"/>
          <w:szCs w:val="28"/>
        </w:rPr>
      </w:pPr>
    </w:p>
    <w:p w14:paraId="0C45E2F8" w14:textId="77777777" w:rsidR="00AF3D76" w:rsidRPr="00F4799C" w:rsidRDefault="00AF3D76" w:rsidP="00AF3D76">
      <w:pPr>
        <w:jc w:val="center"/>
        <w:rPr>
          <w:rFonts w:asciiTheme="minorBidi" w:hAnsiTheme="minorBidi"/>
          <w:b/>
          <w:bCs/>
          <w:sz w:val="28"/>
          <w:szCs w:val="28"/>
        </w:rPr>
      </w:pPr>
    </w:p>
    <w:p w14:paraId="70210102" w14:textId="77777777" w:rsidR="00AF3D76" w:rsidRPr="00F4799C" w:rsidRDefault="00AF3D76" w:rsidP="00AF3D76">
      <w:pPr>
        <w:jc w:val="center"/>
        <w:rPr>
          <w:rFonts w:asciiTheme="minorBidi" w:hAnsiTheme="minorBidi"/>
          <w:b/>
          <w:bCs/>
          <w:sz w:val="28"/>
          <w:szCs w:val="28"/>
        </w:rPr>
      </w:pPr>
    </w:p>
    <w:p w14:paraId="3D309D6B" w14:textId="77777777" w:rsidR="00AF3D76" w:rsidRPr="00F4799C" w:rsidRDefault="00AF3D76" w:rsidP="00AF3D76">
      <w:pPr>
        <w:jc w:val="center"/>
        <w:rPr>
          <w:rFonts w:asciiTheme="minorBidi" w:hAnsiTheme="minorBidi"/>
          <w:b/>
          <w:bCs/>
          <w:sz w:val="28"/>
          <w:szCs w:val="28"/>
        </w:rPr>
      </w:pPr>
    </w:p>
    <w:p w14:paraId="0D13D6BC" w14:textId="77777777" w:rsidR="00AF3D76" w:rsidRPr="00F4799C" w:rsidRDefault="00AF3D76" w:rsidP="00AF3D76">
      <w:pPr>
        <w:jc w:val="center"/>
        <w:rPr>
          <w:rFonts w:asciiTheme="minorBidi" w:hAnsiTheme="minorBidi"/>
          <w:b/>
          <w:bCs/>
          <w:sz w:val="28"/>
          <w:szCs w:val="28"/>
        </w:rPr>
      </w:pPr>
    </w:p>
    <w:p w14:paraId="4D219B00" w14:textId="77777777" w:rsidR="00AF3D76" w:rsidRPr="00F4799C" w:rsidRDefault="00AF3D76" w:rsidP="00AF3D76">
      <w:pPr>
        <w:jc w:val="center"/>
        <w:rPr>
          <w:rFonts w:asciiTheme="minorBidi" w:hAnsiTheme="minorBidi"/>
          <w:b/>
          <w:bCs/>
          <w:sz w:val="28"/>
          <w:szCs w:val="28"/>
        </w:rPr>
      </w:pPr>
      <w:r>
        <w:rPr>
          <w:rFonts w:asciiTheme="minorBidi" w:hAnsiTheme="minorBidi"/>
          <w:b/>
          <w:bCs/>
          <w:sz w:val="28"/>
          <w:szCs w:val="28"/>
        </w:rPr>
        <w:t>Term 1</w:t>
      </w:r>
    </w:p>
    <w:p w14:paraId="47A10EB5" w14:textId="77777777" w:rsidR="00AF3D76" w:rsidRDefault="00AF3D76">
      <w:pPr>
        <w:spacing w:after="80"/>
        <w:jc w:val="center"/>
        <w:rPr>
          <w:b/>
          <w:bCs/>
          <w:sz w:val="30"/>
          <w:szCs w:val="30"/>
        </w:rPr>
      </w:pPr>
    </w:p>
    <w:p w14:paraId="7FC4DC3D" w14:textId="77777777" w:rsidR="00AF3D76" w:rsidRDefault="00AF3D76">
      <w:pPr>
        <w:spacing w:after="80"/>
        <w:jc w:val="center"/>
        <w:rPr>
          <w:b/>
          <w:bCs/>
          <w:sz w:val="30"/>
          <w:szCs w:val="30"/>
        </w:rPr>
      </w:pPr>
    </w:p>
    <w:p w14:paraId="076C3242" w14:textId="33A12CD0" w:rsidR="00AF3D76" w:rsidRDefault="006C0E09">
      <w:pPr>
        <w:spacing w:after="80"/>
        <w:jc w:val="center"/>
        <w:rPr>
          <w:b/>
          <w:bCs/>
          <w:sz w:val="30"/>
          <w:szCs w:val="30"/>
        </w:rPr>
      </w:pPr>
      <w:r>
        <w:rPr>
          <w:b/>
          <w:bCs/>
          <w:sz w:val="30"/>
          <w:szCs w:val="30"/>
        </w:rPr>
        <w:t xml:space="preserve"> </w:t>
      </w:r>
    </w:p>
    <w:p w14:paraId="053C4C42" w14:textId="77777777" w:rsidR="00AF3D76" w:rsidRDefault="00AF3D76" w:rsidP="00AF3D76">
      <w:pPr>
        <w:spacing w:after="80"/>
        <w:rPr>
          <w:b/>
          <w:bCs/>
          <w:sz w:val="30"/>
          <w:szCs w:val="30"/>
        </w:rPr>
      </w:pPr>
    </w:p>
    <w:p w14:paraId="6BDC8BC5" w14:textId="2B3401F8" w:rsidR="00AF3D76" w:rsidRDefault="00AF3D76" w:rsidP="00AF3D76">
      <w:pPr>
        <w:spacing w:after="80"/>
      </w:pPr>
      <w:r>
        <w:rPr>
          <w:b/>
          <w:bCs/>
          <w:sz w:val="30"/>
          <w:szCs w:val="30"/>
        </w:rPr>
        <w:t>Marketing Environment Analysis and Strategic Growth: The Case of Tata Steel</w:t>
      </w:r>
    </w:p>
    <w:p w14:paraId="06EAF1D1" w14:textId="77777777" w:rsidR="00AF3D76" w:rsidRDefault="00AF3D76" w:rsidP="00AF3D76">
      <w:pPr>
        <w:spacing w:after="400"/>
        <w:jc w:val="center"/>
        <w:rPr>
          <w:i/>
          <w:iCs/>
          <w:sz w:val="22"/>
          <w:szCs w:val="22"/>
        </w:rPr>
      </w:pPr>
      <w:r>
        <w:rPr>
          <w:i/>
          <w:iCs/>
          <w:sz w:val="22"/>
          <w:szCs w:val="22"/>
        </w:rPr>
        <w:t>MBA Business Analytics — Marketing Management Assignment</w:t>
      </w:r>
    </w:p>
    <w:sdt>
      <w:sdtPr>
        <w:rPr>
          <w:rFonts w:ascii="Calibri" w:eastAsia="Calibri" w:hAnsi="Calibri" w:cs="Calibri"/>
          <w:color w:val="auto"/>
          <w:sz w:val="23"/>
          <w:szCs w:val="23"/>
          <w:lang w:eastAsia="ko-KR"/>
        </w:rPr>
        <w:id w:val="130218115"/>
        <w:docPartObj>
          <w:docPartGallery w:val="Table of Contents"/>
          <w:docPartUnique/>
        </w:docPartObj>
      </w:sdtPr>
      <w:sdtEndPr>
        <w:rPr>
          <w:b/>
          <w:bCs/>
          <w:noProof/>
        </w:rPr>
      </w:sdtEndPr>
      <w:sdtContent>
        <w:p w14:paraId="7E4B8C1B" w14:textId="77777777" w:rsidR="00AF3D76" w:rsidRDefault="00AF3D76" w:rsidP="00AF3D76">
          <w:pPr>
            <w:pStyle w:val="TOCHeading"/>
          </w:pPr>
          <w:r>
            <w:t>Contents</w:t>
          </w:r>
        </w:p>
        <w:p w14:paraId="4D07CD35" w14:textId="4B16B64C" w:rsidR="00D333C7" w:rsidRDefault="00AF3D76">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235646295" w:history="1">
            <w:r w:rsidR="00D333C7" w:rsidRPr="00E136D4">
              <w:rPr>
                <w:rStyle w:val="Hyperlink"/>
                <w:noProof/>
              </w:rPr>
              <w:t>Task 1: Marketing Environment Analysis</w:t>
            </w:r>
            <w:r w:rsidR="00D333C7">
              <w:rPr>
                <w:noProof/>
                <w:webHidden/>
              </w:rPr>
              <w:tab/>
            </w:r>
            <w:r w:rsidR="00D333C7">
              <w:rPr>
                <w:noProof/>
                <w:webHidden/>
              </w:rPr>
              <w:fldChar w:fldCharType="begin"/>
            </w:r>
            <w:r w:rsidR="00D333C7">
              <w:rPr>
                <w:noProof/>
                <w:webHidden/>
              </w:rPr>
              <w:instrText xml:space="preserve"> PAGEREF _Toc235646295 \h </w:instrText>
            </w:r>
            <w:r w:rsidR="00D333C7">
              <w:rPr>
                <w:noProof/>
                <w:webHidden/>
              </w:rPr>
            </w:r>
            <w:r w:rsidR="00D333C7">
              <w:rPr>
                <w:noProof/>
                <w:webHidden/>
              </w:rPr>
              <w:fldChar w:fldCharType="separate"/>
            </w:r>
            <w:r w:rsidR="00D333C7">
              <w:rPr>
                <w:noProof/>
                <w:webHidden/>
              </w:rPr>
              <w:t>3</w:t>
            </w:r>
            <w:r w:rsidR="00D333C7">
              <w:rPr>
                <w:noProof/>
                <w:webHidden/>
              </w:rPr>
              <w:fldChar w:fldCharType="end"/>
            </w:r>
          </w:hyperlink>
        </w:p>
        <w:p w14:paraId="3F583FE6" w14:textId="0E9D62EB"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296" w:history="1">
            <w:r w:rsidRPr="00E136D4">
              <w:rPr>
                <w:rStyle w:val="Hyperlink"/>
                <w:noProof/>
              </w:rPr>
              <w:t>Introduction</w:t>
            </w:r>
            <w:r>
              <w:rPr>
                <w:noProof/>
                <w:webHidden/>
              </w:rPr>
              <w:tab/>
            </w:r>
            <w:r>
              <w:rPr>
                <w:noProof/>
                <w:webHidden/>
              </w:rPr>
              <w:fldChar w:fldCharType="begin"/>
            </w:r>
            <w:r>
              <w:rPr>
                <w:noProof/>
                <w:webHidden/>
              </w:rPr>
              <w:instrText xml:space="preserve"> PAGEREF _Toc235646296 \h </w:instrText>
            </w:r>
            <w:r>
              <w:rPr>
                <w:noProof/>
                <w:webHidden/>
              </w:rPr>
            </w:r>
            <w:r>
              <w:rPr>
                <w:noProof/>
                <w:webHidden/>
              </w:rPr>
              <w:fldChar w:fldCharType="separate"/>
            </w:r>
            <w:r>
              <w:rPr>
                <w:noProof/>
                <w:webHidden/>
              </w:rPr>
              <w:t>3</w:t>
            </w:r>
            <w:r>
              <w:rPr>
                <w:noProof/>
                <w:webHidden/>
              </w:rPr>
              <w:fldChar w:fldCharType="end"/>
            </w:r>
          </w:hyperlink>
        </w:p>
        <w:p w14:paraId="379825A2" w14:textId="634E32B5"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297" w:history="1">
            <w:r w:rsidRPr="00E136D4">
              <w:rPr>
                <w:rStyle w:val="Hyperlink"/>
                <w:noProof/>
              </w:rPr>
              <w:t>The Natural Environment Actor</w:t>
            </w:r>
            <w:r>
              <w:rPr>
                <w:noProof/>
                <w:webHidden/>
              </w:rPr>
              <w:tab/>
            </w:r>
            <w:r>
              <w:rPr>
                <w:noProof/>
                <w:webHidden/>
              </w:rPr>
              <w:fldChar w:fldCharType="begin"/>
            </w:r>
            <w:r>
              <w:rPr>
                <w:noProof/>
                <w:webHidden/>
              </w:rPr>
              <w:instrText xml:space="preserve"> PAGEREF _Toc235646297 \h </w:instrText>
            </w:r>
            <w:r>
              <w:rPr>
                <w:noProof/>
                <w:webHidden/>
              </w:rPr>
            </w:r>
            <w:r>
              <w:rPr>
                <w:noProof/>
                <w:webHidden/>
              </w:rPr>
              <w:fldChar w:fldCharType="separate"/>
            </w:r>
            <w:r>
              <w:rPr>
                <w:noProof/>
                <w:webHidden/>
              </w:rPr>
              <w:t>3</w:t>
            </w:r>
            <w:r>
              <w:rPr>
                <w:noProof/>
                <w:webHidden/>
              </w:rPr>
              <w:fldChar w:fldCharType="end"/>
            </w:r>
          </w:hyperlink>
        </w:p>
        <w:p w14:paraId="62E891D7" w14:textId="6A360125"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298" w:history="1">
            <w:r w:rsidRPr="00E136D4">
              <w:rPr>
                <w:rStyle w:val="Hyperlink"/>
                <w:noProof/>
              </w:rPr>
              <w:t>The Political/Legal (Regulatory) Actor</w:t>
            </w:r>
            <w:r>
              <w:rPr>
                <w:noProof/>
                <w:webHidden/>
              </w:rPr>
              <w:tab/>
            </w:r>
            <w:r>
              <w:rPr>
                <w:noProof/>
                <w:webHidden/>
              </w:rPr>
              <w:fldChar w:fldCharType="begin"/>
            </w:r>
            <w:r>
              <w:rPr>
                <w:noProof/>
                <w:webHidden/>
              </w:rPr>
              <w:instrText xml:space="preserve"> PAGEREF _Toc235646298 \h </w:instrText>
            </w:r>
            <w:r>
              <w:rPr>
                <w:noProof/>
                <w:webHidden/>
              </w:rPr>
            </w:r>
            <w:r>
              <w:rPr>
                <w:noProof/>
                <w:webHidden/>
              </w:rPr>
              <w:fldChar w:fldCharType="separate"/>
            </w:r>
            <w:r>
              <w:rPr>
                <w:noProof/>
                <w:webHidden/>
              </w:rPr>
              <w:t>4</w:t>
            </w:r>
            <w:r>
              <w:rPr>
                <w:noProof/>
                <w:webHidden/>
              </w:rPr>
              <w:fldChar w:fldCharType="end"/>
            </w:r>
          </w:hyperlink>
        </w:p>
        <w:p w14:paraId="0F2FC4B8" w14:textId="322C64AF"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299" w:history="1">
            <w:r w:rsidRPr="00E136D4">
              <w:rPr>
                <w:rStyle w:val="Hyperlink"/>
                <w:noProof/>
              </w:rPr>
              <w:t>Interaction Between the Two Actors and Marketing Implications</w:t>
            </w:r>
            <w:r>
              <w:rPr>
                <w:noProof/>
                <w:webHidden/>
              </w:rPr>
              <w:tab/>
            </w:r>
            <w:r>
              <w:rPr>
                <w:noProof/>
                <w:webHidden/>
              </w:rPr>
              <w:fldChar w:fldCharType="begin"/>
            </w:r>
            <w:r>
              <w:rPr>
                <w:noProof/>
                <w:webHidden/>
              </w:rPr>
              <w:instrText xml:space="preserve"> PAGEREF _Toc235646299 \h </w:instrText>
            </w:r>
            <w:r>
              <w:rPr>
                <w:noProof/>
                <w:webHidden/>
              </w:rPr>
            </w:r>
            <w:r>
              <w:rPr>
                <w:noProof/>
                <w:webHidden/>
              </w:rPr>
              <w:fldChar w:fldCharType="separate"/>
            </w:r>
            <w:r>
              <w:rPr>
                <w:noProof/>
                <w:webHidden/>
              </w:rPr>
              <w:t>5</w:t>
            </w:r>
            <w:r>
              <w:rPr>
                <w:noProof/>
                <w:webHidden/>
              </w:rPr>
              <w:fldChar w:fldCharType="end"/>
            </w:r>
          </w:hyperlink>
        </w:p>
        <w:p w14:paraId="369A71A1" w14:textId="0CC65410" w:rsidR="00D333C7" w:rsidRDefault="00D333C7">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0" w:history="1">
            <w:r w:rsidRPr="00E136D4">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_Toc235646300 \h </w:instrText>
            </w:r>
            <w:r>
              <w:rPr>
                <w:noProof/>
                <w:webHidden/>
              </w:rPr>
            </w:r>
            <w:r>
              <w:rPr>
                <w:noProof/>
                <w:webHidden/>
              </w:rPr>
              <w:fldChar w:fldCharType="separate"/>
            </w:r>
            <w:r>
              <w:rPr>
                <w:noProof/>
                <w:webHidden/>
              </w:rPr>
              <w:t>5</w:t>
            </w:r>
            <w:r>
              <w:rPr>
                <w:noProof/>
                <w:webHidden/>
              </w:rPr>
              <w:fldChar w:fldCharType="end"/>
            </w:r>
          </w:hyperlink>
        </w:p>
        <w:p w14:paraId="5E05FC76" w14:textId="4B96021C"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1" w:history="1">
            <w:r w:rsidRPr="00E136D4">
              <w:rPr>
                <w:rStyle w:val="Hyperlink"/>
                <w:noProof/>
              </w:rPr>
              <w:t>Introduction</w:t>
            </w:r>
            <w:r>
              <w:rPr>
                <w:noProof/>
                <w:webHidden/>
              </w:rPr>
              <w:tab/>
            </w:r>
            <w:r>
              <w:rPr>
                <w:noProof/>
                <w:webHidden/>
              </w:rPr>
              <w:fldChar w:fldCharType="begin"/>
            </w:r>
            <w:r>
              <w:rPr>
                <w:noProof/>
                <w:webHidden/>
              </w:rPr>
              <w:instrText xml:space="preserve"> PAGEREF _Toc235646301 \h </w:instrText>
            </w:r>
            <w:r>
              <w:rPr>
                <w:noProof/>
                <w:webHidden/>
              </w:rPr>
            </w:r>
            <w:r>
              <w:rPr>
                <w:noProof/>
                <w:webHidden/>
              </w:rPr>
              <w:fldChar w:fldCharType="separate"/>
            </w:r>
            <w:r>
              <w:rPr>
                <w:noProof/>
                <w:webHidden/>
              </w:rPr>
              <w:t>5</w:t>
            </w:r>
            <w:r>
              <w:rPr>
                <w:noProof/>
                <w:webHidden/>
              </w:rPr>
              <w:fldChar w:fldCharType="end"/>
            </w:r>
          </w:hyperlink>
        </w:p>
        <w:p w14:paraId="26B325F1" w14:textId="0CC70418"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2" w:history="1">
            <w:r w:rsidRPr="00E136D4">
              <w:rPr>
                <w:rStyle w:val="Hyperlink"/>
                <w:noProof/>
              </w:rPr>
              <w:t>Assessing the Four Ansoff Options</w:t>
            </w:r>
            <w:r>
              <w:rPr>
                <w:noProof/>
                <w:webHidden/>
              </w:rPr>
              <w:tab/>
            </w:r>
            <w:r>
              <w:rPr>
                <w:noProof/>
                <w:webHidden/>
              </w:rPr>
              <w:fldChar w:fldCharType="begin"/>
            </w:r>
            <w:r>
              <w:rPr>
                <w:noProof/>
                <w:webHidden/>
              </w:rPr>
              <w:instrText xml:space="preserve"> PAGEREF _Toc235646302 \h </w:instrText>
            </w:r>
            <w:r>
              <w:rPr>
                <w:noProof/>
                <w:webHidden/>
              </w:rPr>
            </w:r>
            <w:r>
              <w:rPr>
                <w:noProof/>
                <w:webHidden/>
              </w:rPr>
              <w:fldChar w:fldCharType="separate"/>
            </w:r>
            <w:r>
              <w:rPr>
                <w:noProof/>
                <w:webHidden/>
              </w:rPr>
              <w:t>5</w:t>
            </w:r>
            <w:r>
              <w:rPr>
                <w:noProof/>
                <w:webHidden/>
              </w:rPr>
              <w:fldChar w:fldCharType="end"/>
            </w:r>
          </w:hyperlink>
        </w:p>
        <w:p w14:paraId="41C357AE" w14:textId="4FB1767D"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3" w:history="1">
            <w:r w:rsidRPr="00E136D4">
              <w:rPr>
                <w:rStyle w:val="Hyperlink"/>
                <w:noProof/>
              </w:rPr>
              <w:t>Primary Recommendation: Product Development</w:t>
            </w:r>
            <w:r>
              <w:rPr>
                <w:noProof/>
                <w:webHidden/>
              </w:rPr>
              <w:tab/>
            </w:r>
            <w:r>
              <w:rPr>
                <w:noProof/>
                <w:webHidden/>
              </w:rPr>
              <w:fldChar w:fldCharType="begin"/>
            </w:r>
            <w:r>
              <w:rPr>
                <w:noProof/>
                <w:webHidden/>
              </w:rPr>
              <w:instrText xml:space="preserve"> PAGEREF _Toc235646303 \h </w:instrText>
            </w:r>
            <w:r>
              <w:rPr>
                <w:noProof/>
                <w:webHidden/>
              </w:rPr>
            </w:r>
            <w:r>
              <w:rPr>
                <w:noProof/>
                <w:webHidden/>
              </w:rPr>
              <w:fldChar w:fldCharType="separate"/>
            </w:r>
            <w:r>
              <w:rPr>
                <w:noProof/>
                <w:webHidden/>
              </w:rPr>
              <w:t>6</w:t>
            </w:r>
            <w:r>
              <w:rPr>
                <w:noProof/>
                <w:webHidden/>
              </w:rPr>
              <w:fldChar w:fldCharType="end"/>
            </w:r>
          </w:hyperlink>
        </w:p>
        <w:p w14:paraId="7E0792D6" w14:textId="45BF7452"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4" w:history="1">
            <w:r w:rsidRPr="00E136D4">
              <w:rPr>
                <w:rStyle w:val="Hyperlink"/>
                <w:noProof/>
              </w:rPr>
              <w:t>Secondary Strategy: Market Development</w:t>
            </w:r>
            <w:r>
              <w:rPr>
                <w:noProof/>
                <w:webHidden/>
              </w:rPr>
              <w:tab/>
            </w:r>
            <w:r>
              <w:rPr>
                <w:noProof/>
                <w:webHidden/>
              </w:rPr>
              <w:fldChar w:fldCharType="begin"/>
            </w:r>
            <w:r>
              <w:rPr>
                <w:noProof/>
                <w:webHidden/>
              </w:rPr>
              <w:instrText xml:space="preserve"> PAGEREF _Toc235646304 \h </w:instrText>
            </w:r>
            <w:r>
              <w:rPr>
                <w:noProof/>
                <w:webHidden/>
              </w:rPr>
            </w:r>
            <w:r>
              <w:rPr>
                <w:noProof/>
                <w:webHidden/>
              </w:rPr>
              <w:fldChar w:fldCharType="separate"/>
            </w:r>
            <w:r>
              <w:rPr>
                <w:noProof/>
                <w:webHidden/>
              </w:rPr>
              <w:t>7</w:t>
            </w:r>
            <w:r>
              <w:rPr>
                <w:noProof/>
                <w:webHidden/>
              </w:rPr>
              <w:fldChar w:fldCharType="end"/>
            </w:r>
          </w:hyperlink>
        </w:p>
        <w:p w14:paraId="039919C7" w14:textId="545DD4F5"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5" w:history="1">
            <w:r w:rsidRPr="00E136D4">
              <w:rPr>
                <w:rStyle w:val="Hyperlink"/>
                <w:noProof/>
              </w:rPr>
              <w:t>Selective Diversification: Circular and Carbon Services</w:t>
            </w:r>
            <w:r>
              <w:rPr>
                <w:noProof/>
                <w:webHidden/>
              </w:rPr>
              <w:tab/>
            </w:r>
            <w:r>
              <w:rPr>
                <w:noProof/>
                <w:webHidden/>
              </w:rPr>
              <w:fldChar w:fldCharType="begin"/>
            </w:r>
            <w:r>
              <w:rPr>
                <w:noProof/>
                <w:webHidden/>
              </w:rPr>
              <w:instrText xml:space="preserve"> PAGEREF _Toc235646305 \h </w:instrText>
            </w:r>
            <w:r>
              <w:rPr>
                <w:noProof/>
                <w:webHidden/>
              </w:rPr>
            </w:r>
            <w:r>
              <w:rPr>
                <w:noProof/>
                <w:webHidden/>
              </w:rPr>
              <w:fldChar w:fldCharType="separate"/>
            </w:r>
            <w:r>
              <w:rPr>
                <w:noProof/>
                <w:webHidden/>
              </w:rPr>
              <w:t>7</w:t>
            </w:r>
            <w:r>
              <w:rPr>
                <w:noProof/>
                <w:webHidden/>
              </w:rPr>
              <w:fldChar w:fldCharType="end"/>
            </w:r>
          </w:hyperlink>
        </w:p>
        <w:p w14:paraId="237E887D" w14:textId="0553C471"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6" w:history="1">
            <w:r w:rsidRPr="00E136D4">
              <w:rPr>
                <w:rStyle w:val="Hyperlink"/>
                <w:noProof/>
              </w:rPr>
              <w:t>Building Competitive Advantage</w:t>
            </w:r>
            <w:r>
              <w:rPr>
                <w:noProof/>
                <w:webHidden/>
              </w:rPr>
              <w:tab/>
            </w:r>
            <w:r>
              <w:rPr>
                <w:noProof/>
                <w:webHidden/>
              </w:rPr>
              <w:fldChar w:fldCharType="begin"/>
            </w:r>
            <w:r>
              <w:rPr>
                <w:noProof/>
                <w:webHidden/>
              </w:rPr>
              <w:instrText xml:space="preserve"> PAGEREF _Toc235646306 \h </w:instrText>
            </w:r>
            <w:r>
              <w:rPr>
                <w:noProof/>
                <w:webHidden/>
              </w:rPr>
            </w:r>
            <w:r>
              <w:rPr>
                <w:noProof/>
                <w:webHidden/>
              </w:rPr>
              <w:fldChar w:fldCharType="separate"/>
            </w:r>
            <w:r>
              <w:rPr>
                <w:noProof/>
                <w:webHidden/>
              </w:rPr>
              <w:t>7</w:t>
            </w:r>
            <w:r>
              <w:rPr>
                <w:noProof/>
                <w:webHidden/>
              </w:rPr>
              <w:fldChar w:fldCharType="end"/>
            </w:r>
          </w:hyperlink>
        </w:p>
        <w:p w14:paraId="4846E8CB" w14:textId="1AAC6A46"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7" w:history="1">
            <w:r w:rsidRPr="00E136D4">
              <w:rPr>
                <w:rStyle w:val="Hyperlink"/>
                <w:noProof/>
              </w:rPr>
              <w:t>Implementation Considerations</w:t>
            </w:r>
            <w:r>
              <w:rPr>
                <w:noProof/>
                <w:webHidden/>
              </w:rPr>
              <w:tab/>
            </w:r>
            <w:r>
              <w:rPr>
                <w:noProof/>
                <w:webHidden/>
              </w:rPr>
              <w:fldChar w:fldCharType="begin"/>
            </w:r>
            <w:r>
              <w:rPr>
                <w:noProof/>
                <w:webHidden/>
              </w:rPr>
              <w:instrText xml:space="preserve"> PAGEREF _Toc235646307 \h </w:instrText>
            </w:r>
            <w:r>
              <w:rPr>
                <w:noProof/>
                <w:webHidden/>
              </w:rPr>
            </w:r>
            <w:r>
              <w:rPr>
                <w:noProof/>
                <w:webHidden/>
              </w:rPr>
              <w:fldChar w:fldCharType="separate"/>
            </w:r>
            <w:r>
              <w:rPr>
                <w:noProof/>
                <w:webHidden/>
              </w:rPr>
              <w:t>8</w:t>
            </w:r>
            <w:r>
              <w:rPr>
                <w:noProof/>
                <w:webHidden/>
              </w:rPr>
              <w:fldChar w:fldCharType="end"/>
            </w:r>
          </w:hyperlink>
        </w:p>
        <w:p w14:paraId="635D953A" w14:textId="36883281" w:rsidR="00D333C7" w:rsidRDefault="00D333C7">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8" w:history="1">
            <w:r w:rsidRPr="00E136D4">
              <w:rPr>
                <w:rStyle w:val="Hyperlink"/>
                <w:noProof/>
              </w:rPr>
              <w:t>Reflection on the Use of Generative AI</w:t>
            </w:r>
            <w:r>
              <w:rPr>
                <w:noProof/>
                <w:webHidden/>
              </w:rPr>
              <w:tab/>
            </w:r>
            <w:r>
              <w:rPr>
                <w:noProof/>
                <w:webHidden/>
              </w:rPr>
              <w:fldChar w:fldCharType="begin"/>
            </w:r>
            <w:r>
              <w:rPr>
                <w:noProof/>
                <w:webHidden/>
              </w:rPr>
              <w:instrText xml:space="preserve"> PAGEREF _Toc235646308 \h </w:instrText>
            </w:r>
            <w:r>
              <w:rPr>
                <w:noProof/>
                <w:webHidden/>
              </w:rPr>
            </w:r>
            <w:r>
              <w:rPr>
                <w:noProof/>
                <w:webHidden/>
              </w:rPr>
              <w:fldChar w:fldCharType="separate"/>
            </w:r>
            <w:r>
              <w:rPr>
                <w:noProof/>
                <w:webHidden/>
              </w:rPr>
              <w:t>8</w:t>
            </w:r>
            <w:r>
              <w:rPr>
                <w:noProof/>
                <w:webHidden/>
              </w:rPr>
              <w:fldChar w:fldCharType="end"/>
            </w:r>
          </w:hyperlink>
        </w:p>
        <w:p w14:paraId="1832B7FA" w14:textId="67778F38"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09" w:history="1">
            <w:r w:rsidRPr="00E136D4">
              <w:rPr>
                <w:rStyle w:val="Hyperlink"/>
                <w:noProof/>
              </w:rPr>
              <w:t>Research support</w:t>
            </w:r>
            <w:r>
              <w:rPr>
                <w:noProof/>
                <w:webHidden/>
              </w:rPr>
              <w:tab/>
            </w:r>
            <w:r>
              <w:rPr>
                <w:noProof/>
                <w:webHidden/>
              </w:rPr>
              <w:fldChar w:fldCharType="begin"/>
            </w:r>
            <w:r>
              <w:rPr>
                <w:noProof/>
                <w:webHidden/>
              </w:rPr>
              <w:instrText xml:space="preserve"> PAGEREF _Toc235646309 \h </w:instrText>
            </w:r>
            <w:r>
              <w:rPr>
                <w:noProof/>
                <w:webHidden/>
              </w:rPr>
            </w:r>
            <w:r>
              <w:rPr>
                <w:noProof/>
                <w:webHidden/>
              </w:rPr>
              <w:fldChar w:fldCharType="separate"/>
            </w:r>
            <w:r>
              <w:rPr>
                <w:noProof/>
                <w:webHidden/>
              </w:rPr>
              <w:t>8</w:t>
            </w:r>
            <w:r>
              <w:rPr>
                <w:noProof/>
                <w:webHidden/>
              </w:rPr>
              <w:fldChar w:fldCharType="end"/>
            </w:r>
          </w:hyperlink>
        </w:p>
        <w:p w14:paraId="6CC8A67E" w14:textId="4BF0240E"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10" w:history="1">
            <w:r w:rsidRPr="00E136D4">
              <w:rPr>
                <w:rStyle w:val="Hyperlink"/>
                <w:noProof/>
              </w:rPr>
              <w:t>Grammar and syntax checking</w:t>
            </w:r>
            <w:r>
              <w:rPr>
                <w:noProof/>
                <w:webHidden/>
              </w:rPr>
              <w:tab/>
            </w:r>
            <w:r>
              <w:rPr>
                <w:noProof/>
                <w:webHidden/>
              </w:rPr>
              <w:fldChar w:fldCharType="begin"/>
            </w:r>
            <w:r>
              <w:rPr>
                <w:noProof/>
                <w:webHidden/>
              </w:rPr>
              <w:instrText xml:space="preserve"> PAGEREF _Toc235646310 \h </w:instrText>
            </w:r>
            <w:r>
              <w:rPr>
                <w:noProof/>
                <w:webHidden/>
              </w:rPr>
            </w:r>
            <w:r>
              <w:rPr>
                <w:noProof/>
                <w:webHidden/>
              </w:rPr>
              <w:fldChar w:fldCharType="separate"/>
            </w:r>
            <w:r>
              <w:rPr>
                <w:noProof/>
                <w:webHidden/>
              </w:rPr>
              <w:t>9</w:t>
            </w:r>
            <w:r>
              <w:rPr>
                <w:noProof/>
                <w:webHidden/>
              </w:rPr>
              <w:fldChar w:fldCharType="end"/>
            </w:r>
          </w:hyperlink>
        </w:p>
        <w:p w14:paraId="68A82436" w14:textId="6F31722E" w:rsidR="00D333C7" w:rsidRDefault="00D333C7">
          <w:pPr>
            <w:pStyle w:val="TOC2"/>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11" w:history="1">
            <w:r w:rsidRPr="00E136D4">
              <w:rPr>
                <w:rStyle w:val="Hyperlink"/>
                <w:noProof/>
              </w:rPr>
              <w:t>Reflection on limitations</w:t>
            </w:r>
            <w:r>
              <w:rPr>
                <w:noProof/>
                <w:webHidden/>
              </w:rPr>
              <w:tab/>
            </w:r>
            <w:r>
              <w:rPr>
                <w:noProof/>
                <w:webHidden/>
              </w:rPr>
              <w:fldChar w:fldCharType="begin"/>
            </w:r>
            <w:r>
              <w:rPr>
                <w:noProof/>
                <w:webHidden/>
              </w:rPr>
              <w:instrText xml:space="preserve"> PAGEREF _Toc235646311 \h </w:instrText>
            </w:r>
            <w:r>
              <w:rPr>
                <w:noProof/>
                <w:webHidden/>
              </w:rPr>
            </w:r>
            <w:r>
              <w:rPr>
                <w:noProof/>
                <w:webHidden/>
              </w:rPr>
              <w:fldChar w:fldCharType="separate"/>
            </w:r>
            <w:r>
              <w:rPr>
                <w:noProof/>
                <w:webHidden/>
              </w:rPr>
              <w:t>9</w:t>
            </w:r>
            <w:r>
              <w:rPr>
                <w:noProof/>
                <w:webHidden/>
              </w:rPr>
              <w:fldChar w:fldCharType="end"/>
            </w:r>
          </w:hyperlink>
        </w:p>
        <w:p w14:paraId="15820FF3" w14:textId="3EAC21E1" w:rsidR="00D333C7" w:rsidRDefault="00D333C7">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12" w:history="1">
            <w:r w:rsidRPr="00E136D4">
              <w:rPr>
                <w:rStyle w:val="Hyperlink"/>
                <w:noProof/>
              </w:rPr>
              <w:t>Conclusion</w:t>
            </w:r>
            <w:r>
              <w:rPr>
                <w:noProof/>
                <w:webHidden/>
              </w:rPr>
              <w:tab/>
            </w:r>
            <w:r>
              <w:rPr>
                <w:noProof/>
                <w:webHidden/>
              </w:rPr>
              <w:fldChar w:fldCharType="begin"/>
            </w:r>
            <w:r>
              <w:rPr>
                <w:noProof/>
                <w:webHidden/>
              </w:rPr>
              <w:instrText xml:space="preserve"> PAGEREF _Toc235646312 \h </w:instrText>
            </w:r>
            <w:r>
              <w:rPr>
                <w:noProof/>
                <w:webHidden/>
              </w:rPr>
            </w:r>
            <w:r>
              <w:rPr>
                <w:noProof/>
                <w:webHidden/>
              </w:rPr>
              <w:fldChar w:fldCharType="separate"/>
            </w:r>
            <w:r>
              <w:rPr>
                <w:noProof/>
                <w:webHidden/>
              </w:rPr>
              <w:t>10</w:t>
            </w:r>
            <w:r>
              <w:rPr>
                <w:noProof/>
                <w:webHidden/>
              </w:rPr>
              <w:fldChar w:fldCharType="end"/>
            </w:r>
          </w:hyperlink>
        </w:p>
        <w:p w14:paraId="39AA9912" w14:textId="4EFC5F95" w:rsidR="00D333C7" w:rsidRDefault="00D333C7">
          <w:pPr>
            <w:pStyle w:val="TOC1"/>
            <w:tabs>
              <w:tab w:val="right" w:leader="dot" w:pos="9016"/>
            </w:tabs>
            <w:rPr>
              <w:rFonts w:asciiTheme="minorHAnsi" w:eastAsiaTheme="minorEastAsia" w:hAnsiTheme="minorHAnsi" w:cstheme="minorBidi"/>
              <w:noProof/>
              <w:kern w:val="2"/>
              <w:sz w:val="24"/>
              <w:szCs w:val="24"/>
              <w:lang w:val="en-IN" w:eastAsia="en-IN"/>
              <w14:ligatures w14:val="standardContextual"/>
            </w:rPr>
          </w:pPr>
          <w:hyperlink w:anchor="_Toc235646313" w:history="1">
            <w:r w:rsidRPr="00E136D4">
              <w:rPr>
                <w:rStyle w:val="Hyperlink"/>
                <w:noProof/>
              </w:rPr>
              <w:t>References</w:t>
            </w:r>
            <w:r>
              <w:rPr>
                <w:noProof/>
                <w:webHidden/>
              </w:rPr>
              <w:tab/>
            </w:r>
            <w:r>
              <w:rPr>
                <w:noProof/>
                <w:webHidden/>
              </w:rPr>
              <w:fldChar w:fldCharType="begin"/>
            </w:r>
            <w:r>
              <w:rPr>
                <w:noProof/>
                <w:webHidden/>
              </w:rPr>
              <w:instrText xml:space="preserve"> PAGEREF _Toc235646313 \h </w:instrText>
            </w:r>
            <w:r>
              <w:rPr>
                <w:noProof/>
                <w:webHidden/>
              </w:rPr>
            </w:r>
            <w:r>
              <w:rPr>
                <w:noProof/>
                <w:webHidden/>
              </w:rPr>
              <w:fldChar w:fldCharType="separate"/>
            </w:r>
            <w:r>
              <w:rPr>
                <w:noProof/>
                <w:webHidden/>
              </w:rPr>
              <w:t>10</w:t>
            </w:r>
            <w:r>
              <w:rPr>
                <w:noProof/>
                <w:webHidden/>
              </w:rPr>
              <w:fldChar w:fldCharType="end"/>
            </w:r>
          </w:hyperlink>
        </w:p>
        <w:p w14:paraId="65362FD1" w14:textId="60BF1F6E" w:rsidR="00AF3D76" w:rsidRDefault="00AF3D76" w:rsidP="00AF3D76">
          <w:r>
            <w:rPr>
              <w:b/>
              <w:bCs/>
              <w:noProof/>
            </w:rPr>
            <w:fldChar w:fldCharType="end"/>
          </w:r>
        </w:p>
      </w:sdtContent>
    </w:sdt>
    <w:p w14:paraId="6AD545BB" w14:textId="77777777" w:rsidR="00AF3D76" w:rsidRDefault="00AF3D76" w:rsidP="00AF3D76">
      <w:pPr>
        <w:spacing w:after="400"/>
        <w:jc w:val="center"/>
        <w:rPr>
          <w:i/>
          <w:iCs/>
          <w:sz w:val="22"/>
          <w:szCs w:val="22"/>
        </w:rPr>
      </w:pPr>
    </w:p>
    <w:p w14:paraId="12E10ADA" w14:textId="77777777" w:rsidR="00AF3D76" w:rsidRDefault="00AF3D76" w:rsidP="00AF3D76">
      <w:pPr>
        <w:spacing w:after="400"/>
        <w:jc w:val="center"/>
        <w:rPr>
          <w:i/>
          <w:iCs/>
          <w:sz w:val="22"/>
          <w:szCs w:val="22"/>
        </w:rPr>
      </w:pPr>
    </w:p>
    <w:p w14:paraId="5E6A00AB" w14:textId="77777777" w:rsidR="00AF3D76" w:rsidRDefault="00AF3D76" w:rsidP="00AF3D76">
      <w:pPr>
        <w:spacing w:after="400"/>
        <w:jc w:val="center"/>
        <w:rPr>
          <w:i/>
          <w:iCs/>
          <w:sz w:val="22"/>
          <w:szCs w:val="22"/>
        </w:rPr>
      </w:pPr>
    </w:p>
    <w:p w14:paraId="23A89829" w14:textId="77777777" w:rsidR="00AF3D76" w:rsidRDefault="00AF3D76" w:rsidP="00AF3D76">
      <w:pPr>
        <w:spacing w:after="400"/>
        <w:jc w:val="center"/>
        <w:rPr>
          <w:i/>
          <w:iCs/>
          <w:sz w:val="22"/>
          <w:szCs w:val="22"/>
        </w:rPr>
      </w:pPr>
    </w:p>
    <w:p w14:paraId="15E20FEC" w14:textId="77777777" w:rsidR="00AF3D76" w:rsidRDefault="00AF3D76" w:rsidP="00AF3D76">
      <w:pPr>
        <w:spacing w:after="400"/>
        <w:jc w:val="center"/>
        <w:rPr>
          <w:i/>
          <w:iCs/>
          <w:sz w:val="22"/>
          <w:szCs w:val="22"/>
        </w:rPr>
      </w:pPr>
    </w:p>
    <w:p w14:paraId="1C899EF6" w14:textId="77777777" w:rsidR="00AF3D76" w:rsidRDefault="00AF3D76" w:rsidP="00AF3D76">
      <w:pPr>
        <w:spacing w:after="400"/>
      </w:pPr>
    </w:p>
    <w:p w14:paraId="66A40F1E" w14:textId="77777777" w:rsidR="00AF3D76" w:rsidRDefault="00AF3D76" w:rsidP="00AF3D76">
      <w:pPr>
        <w:pStyle w:val="Heading1"/>
        <w:spacing w:before="280" w:after="160"/>
      </w:pPr>
      <w:bookmarkStart w:id="0" w:name="_Toc235646295"/>
      <w:r>
        <w:lastRenderedPageBreak/>
        <w:t>Task 1: Marketing Environment Analysis</w:t>
      </w:r>
      <w:bookmarkEnd w:id="0"/>
    </w:p>
    <w:p w14:paraId="3EE4E43D" w14:textId="77777777" w:rsidR="00AF3D76" w:rsidRDefault="00AF3D76" w:rsidP="00AF3D76">
      <w:pPr>
        <w:pStyle w:val="Heading2"/>
        <w:spacing w:before="220" w:after="120"/>
      </w:pPr>
      <w:bookmarkStart w:id="1" w:name="_Toc235646296"/>
      <w:r>
        <w:t>Introduction</w:t>
      </w:r>
      <w:bookmarkEnd w:id="1"/>
    </w:p>
    <w:p w14:paraId="6E14D90A" w14:textId="77777777" w:rsidR="00AF3D76" w:rsidRDefault="00AF3D76" w:rsidP="00AF3D76">
      <w:pPr>
        <w:spacing w:after="160" w:line="360" w:lineRule="auto"/>
        <w:jc w:val="both"/>
      </w:pPr>
      <w:r>
        <w:t>Tata Steel is one of the world's largest integrated steel producers, with operations spanning India, the United Kingdom and the Netherlands. As a metals and mining business, it sits within a sector responsible for a substantial share of global corporate greenhouse gas (GHG) emissions, and it is under sustained pressure from stakeholders, regulators and society to transition towards lower-carbon products and cleaner production technologies (Kotler et al., 2024, pp. 115–117). This analysis critically examines two external marketing environment actors shaping that transition: the Natural Environment, which is the primary focus, and the Political/Legal environment, which interacts closely with it through carbon regulation. Together, these actors are reshaping how Tata Steel designs, produces and markets its products.</w:t>
      </w:r>
    </w:p>
    <w:p w14:paraId="30D74F84" w14:textId="77777777" w:rsidR="00AF3D76" w:rsidRDefault="00AF3D76" w:rsidP="00AF3D76">
      <w:pPr>
        <w:pStyle w:val="Heading2"/>
        <w:spacing w:before="220" w:after="120"/>
      </w:pPr>
      <w:bookmarkStart w:id="2" w:name="_Toc235646297"/>
      <w:r>
        <w:t>The Natural Environment Actor</w:t>
      </w:r>
      <w:bookmarkEnd w:id="2"/>
    </w:p>
    <w:p w14:paraId="4F125098" w14:textId="77777777" w:rsidR="00AF3D76" w:rsidRDefault="00AF3D76" w:rsidP="00AF3D76">
      <w:pPr>
        <w:spacing w:after="160" w:line="360" w:lineRule="auto"/>
        <w:jc w:val="both"/>
      </w:pPr>
      <w:r>
        <w:t>The natural environment actor refers to physical resources, ecological constraints and climate-related risks that influence how a company operates and markets itself (Kotler et al., 2024, pp. 115–117). For Tata Steel, this actor is central, because primary steelmaking via the blast furnace–basic oxygen furnace (BF-BOF) route is highly carbon- and resource-intensive, depending on iron ore, coking coal and large volumes of energy and water.</w:t>
      </w:r>
    </w:p>
    <w:p w14:paraId="0CAAC8AA" w14:textId="77777777" w:rsidR="00AF3D76" w:rsidRDefault="00AF3D76" w:rsidP="00AF3D76">
      <w:pPr>
        <w:spacing w:after="160" w:line="360" w:lineRule="auto"/>
        <w:jc w:val="both"/>
      </w:pPr>
      <w:r>
        <w:t>Tata Steel has made measurable progress in reducing emission intensity, cutting its India operations' CO2 intensity by around 20 percent between FY2005 and FY2022 despite absorbing higher-emitting acquisitions such as Bhushan Steel and Usha Martin (Tata Steel Annual Report, 2023–24). However, independent analysis from the Carbon Tracker Initiative highlights a tension between this progress and the company's continued expansion of coal-based blast furnace capacity in India, which is projected to grow domestic capacity by more than half by the mid-2030s, raising questions about the credibility of its 2045 net-zero pathway (Carbon Tracker Initiative, 2025). This illustrates how the natural environment actor generates both a genuine operational constraint (resource and emissions limits) and a reputational risk if action fails to match ambition.</w:t>
      </w:r>
    </w:p>
    <w:p w14:paraId="0EE0D563" w14:textId="77777777" w:rsidR="00AF3D76" w:rsidRDefault="00AF3D76" w:rsidP="00AF3D76">
      <w:pPr>
        <w:spacing w:after="160" w:line="360" w:lineRule="auto"/>
        <w:jc w:val="both"/>
      </w:pPr>
      <w:r>
        <w:t xml:space="preserve">Resource scarcity and circularity are also reshaping Tata Steel's marketing environment. Because steel is infinitely recyclable, the company has entered the formal scrap-recycling business in India, commissioning its first steel-shredding unit and increasing scrap utilization in steelmaking (Tata Steel, 2026a), while its Netherlands and UK operations pursue Direct Reduced Iron (DRI) and </w:t>
      </w:r>
      <w:r>
        <w:lastRenderedPageBreak/>
        <w:t>Electric Arc Furnace (EAF) routes that rely far more heavily on recycled and green-energy inputs. On the technology side, Tata Steel is piloting deep decarbonization solutions such as the Hasara melting process, hydrogen-based ironmaking, carbon capture and utilization (CCU), and the newly announced Easy Melt project at Jamshedpur, which is expected to cut blast-furnace CO2 emissions by more than half (Tata Steel, 2026b). It has also signed a 379 MW renewable power purchase agreement with Tata Power (Tata Steel, 2026a).</w:t>
      </w:r>
    </w:p>
    <w:p w14:paraId="6266F035" w14:textId="77777777" w:rsidR="00AF3D76" w:rsidRDefault="00AF3D76" w:rsidP="00AF3D76">
      <w:pPr>
        <w:spacing w:after="160" w:line="360" w:lineRule="auto"/>
        <w:jc w:val="both"/>
      </w:pPr>
      <w:r>
        <w:t xml:space="preserve">Crucially, the natural environment actor operates through the value chain as well as through operations. Automotive, packaging, construction and white goods customers face their own Scope 3 emissions targets, creating rising demand for verified low-carbon steel (Tata Steel Nederland, n.d.). This customer-side pressure is itself an expression of the natural environment actor working through the marketplace, and it directly motivates Tata Steel's marketing response, discussed further in Task </w:t>
      </w:r>
    </w:p>
    <w:p w14:paraId="221A18C4" w14:textId="77777777" w:rsidR="00AF3D76" w:rsidRDefault="00AF3D76" w:rsidP="00AF3D76">
      <w:pPr>
        <w:pStyle w:val="Heading2"/>
        <w:spacing w:before="220" w:after="120"/>
      </w:pPr>
      <w:bookmarkStart w:id="3" w:name="_Toc235646298"/>
      <w:r>
        <w:t>The Political/Legal (Regulatory) Actor</w:t>
      </w:r>
      <w:bookmarkEnd w:id="3"/>
    </w:p>
    <w:p w14:paraId="5E34E62D" w14:textId="77777777" w:rsidR="00AF3D76" w:rsidRDefault="00AF3D76" w:rsidP="00AF3D76">
      <w:pPr>
        <w:spacing w:after="160" w:line="360" w:lineRule="auto"/>
        <w:jc w:val="both"/>
      </w:pPr>
      <w:r>
        <w:t>The second actor, political and legal forces, interacts closely with the natural environment because governments increasingly translate environmental risk into binding regulation and pricing. The clearest example is the European Union's Carbon Border Adjustment Mechanism (CBAM), which became fully operational on 1 January 2026 and requires importers of steel into the EU to purchase certificates reflecting the embedded carbon emissions of their products, priced in line with the EU Emissions Trading System (ETS) (Carbon Chain, 2026; Fast markets, 2026).</w:t>
      </w:r>
    </w:p>
    <w:p w14:paraId="2E6F376C" w14:textId="77777777" w:rsidR="00AF3D76" w:rsidRDefault="00AF3D76" w:rsidP="00AF3D76">
      <w:pPr>
        <w:spacing w:after="160" w:line="360" w:lineRule="auto"/>
        <w:jc w:val="both"/>
      </w:pPr>
      <w:r>
        <w:t>Tata Steel's leadership has described CBAM as an "equalization tax" that works in the company's favor, because its substantial EU-based production in the UK and Netherlands means it is not directly exposed to the certificate costs faced by import-reliant rivals, such as Indian competitors exporting into the EU (Whales book, 2026). Indian steel exports to the EU fell by around a third in 2025 as European buyers sought lower-carbon suppliers, illustrating how sharply regulation can redirect trade flows (Outlook Business, 2026). At the same time, the UK government has committed a support package worth some £2.5 billion to Tata Steel UK and British Steel, underpinning the conversion of the Port Talbot site to EAF-based production and an expected reduction in direct site emissions of roughly 90 percent (The Jharkhand Story, 2026). The UK is also expected to introduce its own carbon border mechanism from 2027 (Export.org.uk, 2023).</w:t>
      </w:r>
    </w:p>
    <w:p w14:paraId="7BADF35C" w14:textId="77777777" w:rsidR="00AF3D76" w:rsidRDefault="00AF3D76" w:rsidP="00AF3D76">
      <w:pPr>
        <w:spacing w:after="160" w:line="360" w:lineRule="auto"/>
        <w:jc w:val="both"/>
      </w:pPr>
      <w:r>
        <w:lastRenderedPageBreak/>
        <w:t>This regulatory environment is not uniform. Tata Steel must navigate materially different frameworks across India, the UK and the Netherlands, alongside a rising EU carbon price (from roughly €70–75 per ton in 2025 towards a projected €130 per ton by 2030) and emerging proposals for EU "low-carbon labels" that could add further compliance complexity (Fast markets, 2026). This regulatory fragmentation increases the cost and difficulty of presenting one consistent global sustainability message, even as it accelerates investment in the very technologies discussed above.</w:t>
      </w:r>
    </w:p>
    <w:p w14:paraId="5B5E1B6A" w14:textId="77777777" w:rsidR="00AF3D76" w:rsidRDefault="00AF3D76" w:rsidP="00AF3D76">
      <w:pPr>
        <w:pStyle w:val="Heading2"/>
        <w:spacing w:before="220" w:after="120"/>
      </w:pPr>
      <w:bookmarkStart w:id="4" w:name="_Toc235646299"/>
      <w:r>
        <w:t>Interaction Between the Two Actors and Marketing Implications</w:t>
      </w:r>
      <w:bookmarkEnd w:id="4"/>
    </w:p>
    <w:p w14:paraId="444E8940" w14:textId="77777777" w:rsidR="00AF3D76" w:rsidRDefault="00AF3D76" w:rsidP="00AF3D76">
      <w:pPr>
        <w:spacing w:after="160" w:line="360" w:lineRule="auto"/>
        <w:jc w:val="both"/>
      </w:pPr>
      <w:r>
        <w:t>The natural environment and political/legal actors reinforce one another: physical climate risk and resource constraints create underlying pressure, while carbon regulation converts that pressure into direct financial incentives and penalties. For Tata Steel's marketing strategy, this dual pressure demands transparent, third party-verified emissions reporting, aligned with the GHG Protocol and validated by bodies such as DNV, to support credible low-carbon product claims (Tata Steel Nederland, n.d.). It also creates a genuine strategic opportunity: because Tata Steel's European assets are relatively carbon-efficient and geographically positioned to benefit from CBAM, it can market verified low-carbon steel at a premium to customers who are themselves under regulatory and natural-environment pressure to decarbonize their supply chains.</w:t>
      </w:r>
    </w:p>
    <w:p w14:paraId="13F42AA1" w14:textId="77777777" w:rsidR="00AF3D76" w:rsidRDefault="00AF3D76" w:rsidP="00AF3D76">
      <w:pPr>
        <w:spacing w:after="160" w:line="360" w:lineRule="auto"/>
        <w:jc w:val="both"/>
      </w:pPr>
      <w:r>
        <w:t>However, the gap identified by analysts between Tata Steel's 2045 net-zero commitment and its ongoing blast-furnace capacity growth in India represents a genuine greenwashing risk that any marketing strategy must manage carefully (Carbon Tracker Initiative, 2025), by being specific about which products, sites and timeframes carry verified low-carbon credentials.</w:t>
      </w:r>
    </w:p>
    <w:p w14:paraId="191415D1" w14:textId="77777777" w:rsidR="00AF3D76" w:rsidRDefault="00AF3D76" w:rsidP="00AF3D76">
      <w:pPr>
        <w:pStyle w:val="Heading1"/>
        <w:spacing w:before="280" w:after="160"/>
      </w:pPr>
      <w:bookmarkStart w:id="5" w:name="_Toc235646300"/>
      <w:r>
        <w:t>Task 2: Strategic Growth and Competitive Positioning</w:t>
      </w:r>
      <w:bookmarkEnd w:id="5"/>
    </w:p>
    <w:p w14:paraId="3295B6A9" w14:textId="77777777" w:rsidR="00AF3D76" w:rsidRDefault="00AF3D76" w:rsidP="00AF3D76">
      <w:pPr>
        <w:pStyle w:val="Heading2"/>
        <w:spacing w:before="220" w:after="120"/>
      </w:pPr>
      <w:bookmarkStart w:id="6" w:name="_Toc235646301"/>
      <w:r>
        <w:t>Introduction</w:t>
      </w:r>
      <w:bookmarkEnd w:id="6"/>
    </w:p>
    <w:p w14:paraId="348D5307" w14:textId="77777777" w:rsidR="00AF3D76" w:rsidRDefault="00AF3D76" w:rsidP="00AF3D76">
      <w:pPr>
        <w:spacing w:after="160" w:line="360" w:lineRule="auto"/>
        <w:jc w:val="both"/>
      </w:pPr>
      <w:r>
        <w:t>Building on the environmental analysis above, this section uses the Ansoff Matrix to recommend a strategic growth approach for Tata Steel as it transitions to a lower-carbon business model and considers how the company can build competitive advantage while doing so. The Ansoff Matrix assesses growth options along two dimensions, products and markets, generating four strategies: market penetration, market development, product development and diversification.</w:t>
      </w:r>
    </w:p>
    <w:p w14:paraId="2CB70105" w14:textId="77777777" w:rsidR="00AF3D76" w:rsidRDefault="00AF3D76" w:rsidP="00AF3D76">
      <w:pPr>
        <w:pStyle w:val="Heading2"/>
        <w:spacing w:before="220" w:after="120"/>
      </w:pPr>
      <w:bookmarkStart w:id="7" w:name="_Toc235646302"/>
      <w:r>
        <w:t>Assessing the Four Ansoff Options</w:t>
      </w:r>
      <w:bookmarkEnd w:id="7"/>
    </w:p>
    <w:p w14:paraId="03AEEF9E" w14:textId="77777777" w:rsidR="00AF3D76" w:rsidRDefault="00AF3D76" w:rsidP="00AF3D76">
      <w:pPr>
        <w:spacing w:after="160" w:line="360" w:lineRule="auto"/>
        <w:jc w:val="both"/>
      </w:pPr>
      <w:r>
        <w:rPr>
          <w:b/>
          <w:bCs/>
        </w:rPr>
        <w:lastRenderedPageBreak/>
        <w:t xml:space="preserve">Market penetration </w:t>
      </w:r>
      <w:r>
        <w:t>(existing products, existing markets) would mean selling more conventional steel into markets Tata Steel already serves. Given saturated demand in mature European markets and the environmental and regulatory pressures already outlined, this offers limited growth potential and does little to address the decarbonization imperative, though it can still support near-term cash flow from established product lines while lower-carbon capacity is built out.</w:t>
      </w:r>
    </w:p>
    <w:p w14:paraId="692B28DC" w14:textId="77777777" w:rsidR="00AF3D76" w:rsidRDefault="00AF3D76" w:rsidP="00AF3D76">
      <w:pPr>
        <w:spacing w:after="160" w:line="360" w:lineRule="auto"/>
        <w:jc w:val="both"/>
      </w:pPr>
      <w:r>
        <w:rPr>
          <w:b/>
          <w:bCs/>
        </w:rPr>
        <w:t xml:space="preserve">Market development </w:t>
      </w:r>
      <w:r>
        <w:t>(existing products, new markets) involves taking Tata Steel's current low-carbon offering into new customer segments or geographies, for example public-sector and infrastructure procurement that increasingly favors low-emission steel, or fast-growing applications such as offshore wind and electric-vehicle components.</w:t>
      </w:r>
    </w:p>
    <w:p w14:paraId="37CB5D0F" w14:textId="77777777" w:rsidR="00AF3D76" w:rsidRDefault="00AF3D76" w:rsidP="00AF3D76">
      <w:pPr>
        <w:spacing w:after="160" w:line="360" w:lineRule="auto"/>
        <w:jc w:val="both"/>
      </w:pPr>
      <w:r>
        <w:rPr>
          <w:b/>
          <w:bCs/>
        </w:rPr>
        <w:t xml:space="preserve">Product development </w:t>
      </w:r>
      <w:r>
        <w:t>(new products, existing markets) means introducing new lower-carbon steel products to customers Tata Steel already serves. This is recommended as the primary strategy, discussed in detail below.</w:t>
      </w:r>
    </w:p>
    <w:p w14:paraId="0FBDD9D3" w14:textId="77777777" w:rsidR="00AF3D76" w:rsidRDefault="00AF3D76" w:rsidP="00AF3D76">
      <w:pPr>
        <w:spacing w:after="160" w:line="360" w:lineRule="auto"/>
        <w:jc w:val="both"/>
      </w:pPr>
      <w:r>
        <w:rPr>
          <w:b/>
          <w:bCs/>
        </w:rPr>
        <w:t xml:space="preserve">Diversification </w:t>
      </w:r>
      <w:r>
        <w:t>(new products, new markets) would involve entirely new business lines, such as carbon credit trading or expanded scrap-recycling services. This carries the highest risk and is recommended only as a selective, longer-term complement.</w:t>
      </w:r>
    </w:p>
    <w:p w14:paraId="015A312C" w14:textId="77777777" w:rsidR="00AF3D76" w:rsidRDefault="00AF3D76" w:rsidP="00AF3D76">
      <w:pPr>
        <w:pStyle w:val="Heading2"/>
        <w:spacing w:before="220" w:after="120"/>
      </w:pPr>
      <w:bookmarkStart w:id="8" w:name="_Toc235646303"/>
      <w:r>
        <w:t>Primary Recommendation: Product Development</w:t>
      </w:r>
      <w:bookmarkEnd w:id="8"/>
    </w:p>
    <w:p w14:paraId="7C1D1D54" w14:textId="77777777" w:rsidR="00AF3D76" w:rsidRDefault="00AF3D76" w:rsidP="00AF3D76">
      <w:pPr>
        <w:spacing w:after="160" w:line="360" w:lineRule="auto"/>
        <w:jc w:val="both"/>
      </w:pPr>
      <w:r>
        <w:t>Tata Steel should priorities product development, scaling its Zeremis and Optemis ranges of independently verified lower-carbon steel. Zeremis Carbon Lite is a mass-balanced product offering up to a 100 percent reduction in allocated CO2 intensity relative to the European average, verified by DNV; Zeremis Recycled provides a minimum 30 percent recycled content; and Zeremis Delivered extends the low-carbon proposition into inbound logistics (Tata Steel Nederland, n.d.). Positioning these as premium, evidence-backed product tiers allows Tata Steel to sell to its existing automotive, construction, packaging and white-goods customers, who are already seeking to reduce their own Scope 3 emissions, without the cost and risk of entering unfamiliar markets.</w:t>
      </w:r>
    </w:p>
    <w:p w14:paraId="03FB1023" w14:textId="77777777" w:rsidR="00AF3D76" w:rsidRDefault="00AF3D76" w:rsidP="00AF3D76">
      <w:pPr>
        <w:spacing w:after="160" w:line="360" w:lineRule="auto"/>
        <w:jc w:val="both"/>
      </w:pPr>
      <w:r>
        <w:t xml:space="preserve">This strategy is well matched to Tata Steel's constraints. The Carbon Tracker Initiative's analysis shows the company faces very large capital requirements (in the order of US$30 billion globally) and significant carbon lock-in risk from its existing asset base (Carbon Tracker Initiative, 2025), meaning a lower-risk, existing-market growth path is more achievable in the near term than a simultaneous push into new geographies or entirely new business models. Continued investment </w:t>
      </w:r>
      <w:r>
        <w:lastRenderedPageBreak/>
        <w:t>in the underlying technology roadmap, phased blast-furnace conversion via Easy Melt, the Hasara process, and eventual hydrogen-based DRI-EAF production, supports a credible, incremental rollout of new product tiers rather than requiring an abrupt one-off transformation (Tata Steel, 2026b).</w:t>
      </w:r>
    </w:p>
    <w:p w14:paraId="51A6CE07" w14:textId="77777777" w:rsidR="00AF3D76" w:rsidRDefault="00AF3D76" w:rsidP="00AF3D76">
      <w:pPr>
        <w:pStyle w:val="Heading2"/>
        <w:spacing w:before="220" w:after="120"/>
      </w:pPr>
      <w:bookmarkStart w:id="9" w:name="_Toc235646304"/>
      <w:r>
        <w:t>Secondary Strategy: Market Development</w:t>
      </w:r>
      <w:bookmarkEnd w:id="9"/>
    </w:p>
    <w:p w14:paraId="073ACF0B" w14:textId="77777777" w:rsidR="00AF3D76" w:rsidRDefault="00AF3D76" w:rsidP="00AF3D76">
      <w:pPr>
        <w:spacing w:after="160" w:line="360" w:lineRule="auto"/>
        <w:jc w:val="both"/>
      </w:pPr>
      <w:r>
        <w:t>As a complement, Tata Steel should extend its verified low-carbon steel into new customer segments within markets it already serves, and into adjacent geographies now facing similar regulatory pressure. The UK's planned carbon border mechanism from 2027, alongside government funding partnerships already supporting the Port Talbot transformation (Export.org.uk, 2023; The Jharkhand Story, 2026), provide a platform for entering higher-value, project-based markets such as offshore wind structures and electric-vehicle battery casings (building on existing product lines such as HILUMIN) (Tata Steel UK, n.d.). Public infrastructure procurement, which several governments are beginning to weigh towards low-emission materials, represents a further new-customer opportunity for an existing product (Outlook Business, 2026).</w:t>
      </w:r>
    </w:p>
    <w:p w14:paraId="76258D11" w14:textId="77777777" w:rsidR="00AF3D76" w:rsidRDefault="00AF3D76" w:rsidP="00AF3D76">
      <w:pPr>
        <w:pStyle w:val="Heading2"/>
        <w:spacing w:before="220" w:after="120"/>
      </w:pPr>
      <w:bookmarkStart w:id="10" w:name="_Toc235646305"/>
      <w:r>
        <w:t>Selective Diversification: Circular and Carbon Services</w:t>
      </w:r>
      <w:bookmarkEnd w:id="10"/>
    </w:p>
    <w:p w14:paraId="19A1CE99" w14:textId="77777777" w:rsidR="00AF3D76" w:rsidRDefault="00AF3D76" w:rsidP="00AF3D76">
      <w:pPr>
        <w:spacing w:after="160" w:line="360" w:lineRule="auto"/>
        <w:jc w:val="both"/>
      </w:pPr>
      <w:r>
        <w:t>Over the longer term, Tata Steel could cautiously diversify into circular-economy and carbon-related services that leverage assets built for compliance purposes, for example expanding its formal scrap-processing and shredding business and enabling customers to purchase or resell Carbon Lite emissions declarations as a distinct commercial offering (Tata Steel Nederland, n.d.). Because this moves furthest from Tata Steel's core competence, it should be pursued incrementally and only where it clearly reinforces the credibility of the core steel business, rather than being treated as a primary growth driver.</w:t>
      </w:r>
    </w:p>
    <w:p w14:paraId="6F7F7C26" w14:textId="77777777" w:rsidR="00AF3D76" w:rsidRDefault="00AF3D76" w:rsidP="00AF3D76">
      <w:pPr>
        <w:pStyle w:val="Heading2"/>
        <w:spacing w:before="220" w:after="120"/>
      </w:pPr>
      <w:bookmarkStart w:id="11" w:name="_Toc235646306"/>
      <w:r>
        <w:t>Building Competitive Advantage</w:t>
      </w:r>
      <w:bookmarkEnd w:id="11"/>
    </w:p>
    <w:p w14:paraId="08CAC355" w14:textId="77777777" w:rsidR="00AF3D76" w:rsidRDefault="00AF3D76" w:rsidP="00AF3D76">
      <w:pPr>
        <w:spacing w:after="160" w:line="360" w:lineRule="auto"/>
        <w:jc w:val="both"/>
      </w:pPr>
      <w:r>
        <w:t>Tata Steel can pursue a blended competitive position that varies by geography. In the EU and UK, CBAM and the associated carbon pricing structurally favor producers with local, relatively carbon-efficient production, giving Tata Steel a cost-related advantage over import-dependent competitors exposed to certificate costs. Globally, its early, independently verified green-steel brand gives it a differentiation advantage that is difficult for less-transparent, coal-dependent competitors to replicate quickly (Industry Branding, 2024), since it rests on years of documented emissions-reduction data and third-party assurance rather than on marketing claims alone.</w:t>
      </w:r>
    </w:p>
    <w:p w14:paraId="65B43B5D" w14:textId="77777777" w:rsidR="00AF3D76" w:rsidRDefault="00AF3D76" w:rsidP="00AF3D76">
      <w:pPr>
        <w:spacing w:after="160" w:line="360" w:lineRule="auto"/>
        <w:jc w:val="both"/>
      </w:pPr>
      <w:r>
        <w:lastRenderedPageBreak/>
        <w:t>Sustaining this advantage will depend on closing the gap, highlighted by external analysts, between Tata Steel's 2045 net-zero ambition and its continued expansion of coal-based capacity in India (Carbon Tracker Initiative, 2025). A growth strategy anchored in transparently verified, incrementally expanding product tiers is more defensible than broad sustainability claims, and is more likely to withstand scrutiny from regulators, investors and increasingly carbon-literate customers.</w:t>
      </w:r>
    </w:p>
    <w:p w14:paraId="4E56546C" w14:textId="77777777" w:rsidR="00AF3D76" w:rsidRDefault="00AF3D76" w:rsidP="00AF3D76">
      <w:pPr>
        <w:pStyle w:val="Heading2"/>
        <w:spacing w:before="220" w:after="120"/>
      </w:pPr>
      <w:bookmarkStart w:id="12" w:name="_Toc235646307"/>
      <w:r>
        <w:t>Implementation Considerations</w:t>
      </w:r>
      <w:bookmarkEnd w:id="12"/>
    </w:p>
    <w:p w14:paraId="60F193D1" w14:textId="77777777" w:rsidR="00AF3D76" w:rsidRDefault="00AF3D76" w:rsidP="00AF3D76">
      <w:pPr>
        <w:spacing w:after="160" w:line="360" w:lineRule="auto"/>
        <w:jc w:val="both"/>
      </w:pPr>
      <w:r>
        <w:t>Product development should be prioritized first because it uses infrastructure and certification processes Tata Steel has already built and can generate premium revenue relatively quickly to help fund the more capital-intensive elements of the technology roadmap, such as Easy Melt and hydrogen-based DRI. Market development should follow once product credibility is established, allowing Tata Steel to enter new customer segments with a proven, independently verified offering rather than an unproven one. Diversification into circular and carbon-service revenue streams should be treated as a longer-horizon option, tested at small scale before any significant capital commitment, given the higher execution risk associated with moving into less familiar commercial territory.</w:t>
      </w:r>
    </w:p>
    <w:p w14:paraId="2EC097F0" w14:textId="77777777" w:rsidR="00AF3D76" w:rsidRDefault="00AF3D76" w:rsidP="00AF3D76">
      <w:pPr>
        <w:spacing w:after="160" w:line="360" w:lineRule="auto"/>
        <w:jc w:val="both"/>
      </w:pPr>
      <w:r>
        <w:t>Risk management is also central to this strategy. Tata Steel's reliance on government support in the UK, and on the continued political durability of mechanisms such as CBAM, means that policy reversal or delay represents a material risk to the assumed competitive advantage in Europe. A prudent approach is to ensure that low-carbon product lines remain commercially viable on their own merits, through genuine cost and quality advantages, rather than depending solely on regulatory protection that could change with shifts in government or trade policy.</w:t>
      </w:r>
    </w:p>
    <w:p w14:paraId="2D9191F4" w14:textId="77777777" w:rsidR="00AF3D76" w:rsidRDefault="00AF3D76" w:rsidP="00AF3D76">
      <w:pPr>
        <w:pStyle w:val="Heading1"/>
      </w:pPr>
      <w:bookmarkStart w:id="13" w:name="_Toc235646308"/>
      <w:r>
        <w:t>Reflection on the Use of Generative AI</w:t>
      </w:r>
      <w:bookmarkEnd w:id="13"/>
    </w:p>
    <w:p w14:paraId="44990738" w14:textId="77777777" w:rsidR="00AF3D76" w:rsidRDefault="00AF3D76" w:rsidP="00AF3D76">
      <w:pPr>
        <w:spacing w:after="160" w:line="360" w:lineRule="auto"/>
      </w:pPr>
      <w:r>
        <w:t>For this assignment, requiring a critical analysis of two external marketing environment actors with a strong focus on the Natural Environment and a secondary relevant actor influencing Tata Steel's transition toward lower-carbon products, I used Generative AI (Claude) strictly within the permitted boundaries: to support my research process, and to check my own writing for grammatical and syntactical accuracy. AI was not used to generate the analysis or arguments themselves.</w:t>
      </w:r>
    </w:p>
    <w:p w14:paraId="3DB6D76B" w14:textId="77777777" w:rsidR="00AF3D76" w:rsidRDefault="00AF3D76" w:rsidP="00AF3D76">
      <w:pPr>
        <w:pStyle w:val="Heading2"/>
      </w:pPr>
      <w:bookmarkStart w:id="14" w:name="_Toc235646309"/>
      <w:r>
        <w:t>Research support</w:t>
      </w:r>
      <w:bookmarkEnd w:id="14"/>
    </w:p>
    <w:p w14:paraId="2A73092D" w14:textId="77777777" w:rsidR="00AF3D76" w:rsidRDefault="00AF3D76" w:rsidP="00AF3D76">
      <w:pPr>
        <w:spacing w:after="160" w:line="360" w:lineRule="auto"/>
      </w:pPr>
      <w:r>
        <w:t xml:space="preserve">The Natural Environment actor required me to understand Tata Steel's exposure to decarbonization pressures within the mining and steel industry — including its reliance on </w:t>
      </w:r>
      <w:r>
        <w:lastRenderedPageBreak/>
        <w:t>carbon-intensive blast furnace production, its transition toward electric arc furnace and hydrogen-based steelmaking, and the environmental impact of raw material extraction. Given the volume of technical and industry material available, I used Claude to summaries and compare several sources on Tata Steel's decarbonization roadmap, helping me distinguish between sources offering genuinely new detail (e.g. specific plant transitions or emissions targets) versus those repeating similar industry commentary. This allowed me to focus my own reading on the most substantive material rather than spending time on overlapping.</w:t>
      </w:r>
    </w:p>
    <w:p w14:paraId="1A33CD01" w14:textId="77777777" w:rsidR="00AF3D76" w:rsidRDefault="00AF3D76" w:rsidP="00AF3D76">
      <w:pPr>
        <w:spacing w:after="160" w:line="360" w:lineRule="auto"/>
      </w:pPr>
      <w:r>
        <w:t>I used a similar approach for the secondary actor, asking Claude to help identify and compare sources discussing the relevant external pressures shaping that actor's influence on Tata Steel's low-carbon strategy. In both cases, I treated AI-generated summaries as a filtering tool rather than a source of fact: I located and read the original reports and articles myself and verified key figures (such as emissions reduction targets or investment commitments) against primary sources before using them in my analysis. This was important given the technical and sometimes commercially framed nature of steel industry reporting, where claims can vary significantly between company communications and independent analysis.</w:t>
      </w:r>
    </w:p>
    <w:p w14:paraId="504C680B" w14:textId="77777777" w:rsidR="00AF3D76" w:rsidRPr="00E51B9F" w:rsidRDefault="00AF3D76" w:rsidP="00AF3D76">
      <w:pPr>
        <w:pStyle w:val="Heading2"/>
      </w:pPr>
      <w:bookmarkStart w:id="15" w:name="_Toc235646310"/>
      <w:r>
        <w:t>Grammar and syntax checking</w:t>
      </w:r>
      <w:bookmarkEnd w:id="15"/>
    </w:p>
    <w:p w14:paraId="1E404F2E" w14:textId="77777777" w:rsidR="00AF3D76" w:rsidRDefault="00AF3D76" w:rsidP="00AF3D76">
      <w:pPr>
        <w:spacing w:after="160" w:line="360" w:lineRule="auto"/>
      </w:pPr>
      <w:r>
        <w:t>Once my analysis was drafted, I used Claude to review my writing for grammatical and syntactical accuracy, and to suggest rephrasing where my sentences were unclear or did not meet the standard expected of critical academic analysis. Several of my early paragraphs conflated multiple points about environmental pressures and strategic response into single overloaded sentences; the suggested restructuring helped me separate these ideas more clearly while preserving my original argument and critical stance. I reviewed each suggestion individually rather than accepting them wholesale, to ensure the analytical voice and conclusions remained mine.</w:t>
      </w:r>
    </w:p>
    <w:p w14:paraId="242A61BE" w14:textId="77777777" w:rsidR="00AF3D76" w:rsidRDefault="00AF3D76" w:rsidP="00AF3D76">
      <w:pPr>
        <w:pStyle w:val="Heading2"/>
      </w:pPr>
      <w:bookmarkStart w:id="16" w:name="_Toc235646311"/>
      <w:r>
        <w:t>Reflection on limitations</w:t>
      </w:r>
      <w:bookmarkEnd w:id="16"/>
    </w:p>
    <w:p w14:paraId="08F47B30" w14:textId="77777777" w:rsidR="00AF3D76" w:rsidRDefault="00AF3D76" w:rsidP="00AF3D76">
      <w:pPr>
        <w:spacing w:after="160" w:line="360" w:lineRule="auto"/>
      </w:pPr>
      <w:r>
        <w:t>This process reinforced that AI is most valuable as research and editing aid rather than a substitute for critical thinking. Comparing sources via AI helped me work more efficiently, but the actual evaluation deciding which pressures were most significant to Tata Steel's transition, and how the Natural Environment actor interacted with the secondary actor I selected  required my own judgement and could not be delegated. There were also moments where I rejected a suggested rephrasing because it softened the critical tone the assignment required.</w:t>
      </w:r>
    </w:p>
    <w:p w14:paraId="262686A7" w14:textId="77777777" w:rsidR="00AF3D76" w:rsidRDefault="00AF3D76" w:rsidP="00AF3D76">
      <w:pPr>
        <w:spacing w:after="160" w:line="360" w:lineRule="auto"/>
        <w:jc w:val="both"/>
      </w:pPr>
      <w:r>
        <w:lastRenderedPageBreak/>
        <w:t>Overall, using Generative AI within these defined limits supported a more efficient research process while keeping the critical analysis, structure, and conclusions entirely my own.</w:t>
      </w:r>
    </w:p>
    <w:p w14:paraId="2F088092" w14:textId="77777777" w:rsidR="00AF3D76" w:rsidRDefault="00AF3D76" w:rsidP="00AF3D76">
      <w:pPr>
        <w:pStyle w:val="Heading1"/>
      </w:pPr>
      <w:bookmarkStart w:id="17" w:name="_Toc235646312"/>
      <w:r>
        <w:t>Conclusion</w:t>
      </w:r>
      <w:bookmarkEnd w:id="17"/>
    </w:p>
    <w:p w14:paraId="74393AF3" w14:textId="77777777" w:rsidR="00AF3D76" w:rsidRDefault="00AF3D76" w:rsidP="00AF3D76">
      <w:pPr>
        <w:pStyle w:val="Heading1"/>
      </w:pPr>
    </w:p>
    <w:p w14:paraId="52977B48" w14:textId="77777777" w:rsidR="00AF3D76" w:rsidRDefault="00AF3D76" w:rsidP="00AF3D76">
      <w:pPr>
        <w:spacing w:after="160" w:line="360" w:lineRule="auto"/>
        <w:jc w:val="both"/>
      </w:pPr>
      <w:r>
        <w:t>Tata Steel’s shift towards a lower-carbon business model illustrates that sustainability has evolved from a mere compliance requirement to a significant competitive advantage. By aligning their eco-friendly product offerings, with the specific demands of their automotive and construction clients, Tata Steel not only safeguards its market position but also aims for improved profit margins. This approach enables clients to achieve their emissions targets while also protecting Tata Steel from stricter carbon regulations, such as the European CBAM.</w:t>
      </w:r>
    </w:p>
    <w:p w14:paraId="18614E81" w14:textId="77777777" w:rsidR="00AF3D76" w:rsidRDefault="00AF3D76" w:rsidP="00AF3D76">
      <w:pPr>
        <w:spacing w:after="160" w:line="360" w:lineRule="auto"/>
        <w:jc w:val="both"/>
      </w:pPr>
      <w:r>
        <w:t>To maintain its competitive advantage and mitigate the risks of greenwashing, it’s crucial for the company to be fully transparent about its emissions data. This is particularly important as it navigates the differences between its sustainable operations in Europe and its growing traditional coal plants in India. If Tata Steel can effectively leverage the profits from its early green steel lines to finance long-term technological advancements, it will solidify its reputation as a resilient leader in an increasingly cleaner global economy.</w:t>
      </w:r>
    </w:p>
    <w:p w14:paraId="680D5A11" w14:textId="77777777" w:rsidR="00AF3D76" w:rsidRDefault="00AF3D76" w:rsidP="00AF3D76">
      <w:pPr>
        <w:pStyle w:val="Heading1"/>
        <w:spacing w:before="280" w:after="160"/>
      </w:pPr>
      <w:bookmarkStart w:id="18" w:name="_Toc235646313"/>
      <w:r>
        <w:t>References</w:t>
      </w:r>
      <w:bookmarkEnd w:id="18"/>
    </w:p>
    <w:p w14:paraId="634528A6" w14:textId="77777777" w:rsidR="00AF3D76" w:rsidRDefault="00AF3D76" w:rsidP="00AF3D76">
      <w:pPr>
        <w:spacing w:after="140" w:line="300" w:lineRule="auto"/>
        <w:ind w:left="480" w:hanging="480"/>
      </w:pPr>
      <w:r>
        <w:rPr>
          <w:sz w:val="22"/>
          <w:szCs w:val="22"/>
        </w:rPr>
        <w:t>Carbon Tracker Initiative (2025) Measuring Transition: Tata Steel. Available at: https://carbontracker.org/reports/measuring-transition-tata-steel/ (Accessed: 5 July 2026).</w:t>
      </w:r>
    </w:p>
    <w:p w14:paraId="6F354669" w14:textId="77777777" w:rsidR="00AF3D76" w:rsidRDefault="00AF3D76" w:rsidP="00AF3D76">
      <w:pPr>
        <w:spacing w:after="140" w:line="300" w:lineRule="auto"/>
        <w:ind w:left="480" w:hanging="480"/>
      </w:pPr>
      <w:r>
        <w:rPr>
          <w:sz w:val="22"/>
          <w:szCs w:val="22"/>
        </w:rPr>
        <w:t>Carbon Chain (2026) How Will EU CBAM Affect Metal Trade? Available at: https://www.carbonchain.com/cbam/eu-cbam-metals (Accessed: 5 July 2026).</w:t>
      </w:r>
    </w:p>
    <w:p w14:paraId="69DB2FBD" w14:textId="77777777" w:rsidR="00AF3D76" w:rsidRDefault="00AF3D76" w:rsidP="00AF3D76">
      <w:pPr>
        <w:spacing w:after="140" w:line="300" w:lineRule="auto"/>
        <w:ind w:left="480" w:hanging="480"/>
      </w:pPr>
      <w:r>
        <w:rPr>
          <w:sz w:val="22"/>
          <w:szCs w:val="22"/>
        </w:rPr>
        <w:t>Export.org.uk (2023) UK Considers Similar Carbon Import Tax to EU's CBAM Rules in Bid to Protect Domestic Steel Sector. Available at: https://www.export.org.uk/insights/trade-news/uk-considers-similar-carbon-import-tax-to-eus-cbam-rules-in-bid-to-protect-domestic-steel-sector/ (Accessed: 5 July 2026).</w:t>
      </w:r>
    </w:p>
    <w:p w14:paraId="18C360C5" w14:textId="77777777" w:rsidR="00AF3D76" w:rsidRDefault="00AF3D76" w:rsidP="00AF3D76">
      <w:pPr>
        <w:spacing w:after="140" w:line="300" w:lineRule="auto"/>
        <w:ind w:left="480" w:hanging="480"/>
      </w:pPr>
      <w:r>
        <w:rPr>
          <w:sz w:val="22"/>
          <w:szCs w:val="22"/>
        </w:rPr>
        <w:t>Fast markets (2026) CBAM Regulation Report: Navigating the EU's New Carbon Border Rules for Metals. Available at: https://www.fastmarkets.com/insights/cbam-regulation-report-navigating-the-eus-new-carbon-border-rules-for-metals/ (Accessed: 5 July 2026).</w:t>
      </w:r>
    </w:p>
    <w:p w14:paraId="1A6429C1" w14:textId="77777777" w:rsidR="00AF3D76" w:rsidRDefault="00AF3D76" w:rsidP="00AF3D76">
      <w:pPr>
        <w:spacing w:after="140" w:line="300" w:lineRule="auto"/>
        <w:ind w:left="480" w:hanging="480"/>
      </w:pPr>
      <w:r>
        <w:rPr>
          <w:sz w:val="22"/>
          <w:szCs w:val="22"/>
        </w:rPr>
        <w:t>Industry Branding (2024) Tata Steel: Industry Branding Case Study. Available at: https://www.industrybranding.com/case-study/tata-steel-green-steel-brand-circular-economy/ (Accessed: 5 July 2026).</w:t>
      </w:r>
    </w:p>
    <w:p w14:paraId="0FA28FD5" w14:textId="77777777" w:rsidR="00AF3D76" w:rsidRDefault="00AF3D76" w:rsidP="00AF3D76">
      <w:pPr>
        <w:spacing w:after="140" w:line="300" w:lineRule="auto"/>
        <w:ind w:left="480" w:hanging="480"/>
      </w:pPr>
      <w:r>
        <w:rPr>
          <w:sz w:val="22"/>
          <w:szCs w:val="22"/>
        </w:rPr>
        <w:t>Kotler, P. et al. (2024) Marketing Management, pp. 115–117.</w:t>
      </w:r>
    </w:p>
    <w:p w14:paraId="6A749320" w14:textId="77777777" w:rsidR="00AF3D76" w:rsidRDefault="00AF3D76" w:rsidP="00AF3D76">
      <w:pPr>
        <w:spacing w:after="140" w:line="300" w:lineRule="auto"/>
        <w:ind w:left="480" w:hanging="480"/>
      </w:pPr>
      <w:r>
        <w:rPr>
          <w:sz w:val="22"/>
          <w:szCs w:val="22"/>
        </w:rPr>
        <w:lastRenderedPageBreak/>
        <w:t>Outlook Business (2026) EU CBAM: A Wake-Up Call for Indian Steel Units to Decarbonize. Available at: https://www.outlookbusiness.com/magazine/eu-cbam-alerts-indian-steel-units-to-decarbonise (Accessed: 5 July 2026).</w:t>
      </w:r>
    </w:p>
    <w:p w14:paraId="153D2E09" w14:textId="77777777" w:rsidR="00AF3D76" w:rsidRDefault="00AF3D76" w:rsidP="00AF3D76">
      <w:pPr>
        <w:spacing w:after="140" w:line="300" w:lineRule="auto"/>
        <w:ind w:left="480" w:hanging="480"/>
      </w:pPr>
      <w:r>
        <w:rPr>
          <w:sz w:val="22"/>
          <w:szCs w:val="22"/>
        </w:rPr>
        <w:t>Tata Steel (2026a) Climate Action. Available at: https://www.tatasteel.com/sustainability/environment/climate-action/ (Accessed: 5 July 2026).</w:t>
      </w:r>
    </w:p>
    <w:p w14:paraId="671BC8F6" w14:textId="77777777" w:rsidR="00AF3D76" w:rsidRDefault="00AF3D76" w:rsidP="00AF3D76">
      <w:pPr>
        <w:spacing w:after="140" w:line="300" w:lineRule="auto"/>
        <w:ind w:left="480" w:hanging="480"/>
      </w:pPr>
      <w:r>
        <w:rPr>
          <w:sz w:val="22"/>
          <w:szCs w:val="22"/>
        </w:rPr>
        <w:t>Tata Steel (2026b) Tata Steel Partners SMS Group to Deploy World-First Easy Melt Decarbonization Technology. Available at: https://www.tatasteel.com/newsroom/press-releases/india/2026/tata-steel-partners-sms-group-to-deploy-world-first-easymelt-decarbonisation-technology/ (Accessed: 5 July 2026).</w:t>
      </w:r>
    </w:p>
    <w:p w14:paraId="2FF98053" w14:textId="77777777" w:rsidR="00AF3D76" w:rsidRDefault="00AF3D76" w:rsidP="00AF3D76">
      <w:pPr>
        <w:spacing w:after="140" w:line="300" w:lineRule="auto"/>
        <w:ind w:left="480" w:hanging="480"/>
      </w:pPr>
      <w:r>
        <w:rPr>
          <w:sz w:val="22"/>
          <w:szCs w:val="22"/>
        </w:rPr>
        <w:t>Tata Steel Annual Report (2023–2024) Climate Change Report. Available at: https://www.tatasteel.com/investors/integrated-report-2023-24/climate-change-report.html (Accessed: 5 July 2026).</w:t>
      </w:r>
    </w:p>
    <w:p w14:paraId="11BCCCC4" w14:textId="77777777" w:rsidR="00AF3D76" w:rsidRDefault="00AF3D76" w:rsidP="00AF3D76">
      <w:pPr>
        <w:spacing w:after="140" w:line="300" w:lineRule="auto"/>
        <w:ind w:left="480" w:hanging="480"/>
      </w:pPr>
      <w:r>
        <w:rPr>
          <w:sz w:val="22"/>
          <w:szCs w:val="22"/>
        </w:rPr>
        <w:t>Tata Steel Nederland (n.d.) Zeremis. Available at: https://products.tatasteelnederland.com/services/sustainable-solutions/zeremis (Accessed: 5 July 2026).</w:t>
      </w:r>
    </w:p>
    <w:p w14:paraId="1308422A" w14:textId="77777777" w:rsidR="00AF3D76" w:rsidRDefault="00AF3D76" w:rsidP="00AF3D76">
      <w:pPr>
        <w:spacing w:after="140" w:line="300" w:lineRule="auto"/>
        <w:ind w:left="480" w:hanging="480"/>
      </w:pPr>
      <w:r>
        <w:rPr>
          <w:sz w:val="22"/>
          <w:szCs w:val="22"/>
        </w:rPr>
        <w:t>Tata Steel UK (n.d.) Tata Steel Launches Low-CO2 Steel. Available at: https://www.tatasteeluk.com/corporate/news/tata-steel-launches-low-co2-steel (Accessed: 5 July 2026).</w:t>
      </w:r>
    </w:p>
    <w:p w14:paraId="3EDEF942" w14:textId="77777777" w:rsidR="00AF3D76" w:rsidRDefault="00AF3D76" w:rsidP="00AF3D76">
      <w:pPr>
        <w:spacing w:after="140" w:line="300" w:lineRule="auto"/>
        <w:ind w:left="480" w:hanging="480"/>
      </w:pPr>
      <w:r>
        <w:rPr>
          <w:sz w:val="22"/>
          <w:szCs w:val="22"/>
        </w:rPr>
        <w:t>The Jharkhand Story (2026) Tata Steel Accelerates Green Steel Transition, Reaffirms Net-Zero Goal for 2045. Available at: https://thejharkhandstory.co.in/tata-steel-accelerates-green-steel-transition-reaffirms-net-zero-goal-for-2045/ (Accessed: 5 July 2026).</w:t>
      </w:r>
    </w:p>
    <w:p w14:paraId="0B0D3511" w14:textId="77777777" w:rsidR="00AF3D76" w:rsidRDefault="00AF3D76" w:rsidP="00AF3D76">
      <w:pPr>
        <w:spacing w:after="140" w:line="300" w:lineRule="auto"/>
        <w:ind w:left="480" w:hanging="480"/>
      </w:pPr>
      <w:r>
        <w:rPr>
          <w:sz w:val="22"/>
          <w:szCs w:val="22"/>
        </w:rPr>
        <w:t>Whales book (2026) Tata Steel: EU Carbon Tax Boost or Costly Burden? Available at: https://www.whalesbook.com/news/English/industrial-goodsservices/Tata-Steel-EU-Carbon-Tax-Boost-or-Costly-Burden/6999764a730b6847a5175840 (Accessed: 5 July 2026).</w:t>
      </w:r>
    </w:p>
    <w:p w14:paraId="674E70B4" w14:textId="77777777" w:rsidR="00AF3D76" w:rsidRDefault="00AF3D76">
      <w:pPr>
        <w:spacing w:after="80"/>
        <w:jc w:val="center"/>
        <w:rPr>
          <w:b/>
          <w:bCs/>
          <w:sz w:val="30"/>
          <w:szCs w:val="30"/>
        </w:rPr>
      </w:pPr>
    </w:p>
    <w:sectPr w:rsidR="00AF3D76">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A0984"/>
    <w:multiLevelType w:val="hybridMultilevel"/>
    <w:tmpl w:val="997EDE3A"/>
    <w:lvl w:ilvl="0" w:tplc="F2680088">
      <w:start w:val="1"/>
      <w:numFmt w:val="bullet"/>
      <w:lvlText w:val="●"/>
      <w:lvlJc w:val="left"/>
      <w:pPr>
        <w:ind w:left="720" w:hanging="360"/>
      </w:pPr>
    </w:lvl>
    <w:lvl w:ilvl="1" w:tplc="D99271C2">
      <w:start w:val="1"/>
      <w:numFmt w:val="bullet"/>
      <w:lvlText w:val="○"/>
      <w:lvlJc w:val="left"/>
      <w:pPr>
        <w:ind w:left="1440" w:hanging="360"/>
      </w:pPr>
    </w:lvl>
    <w:lvl w:ilvl="2" w:tplc="82E4C72C">
      <w:start w:val="1"/>
      <w:numFmt w:val="bullet"/>
      <w:lvlText w:val="■"/>
      <w:lvlJc w:val="left"/>
      <w:pPr>
        <w:ind w:left="2160" w:hanging="360"/>
      </w:pPr>
    </w:lvl>
    <w:lvl w:ilvl="3" w:tplc="936C1340">
      <w:start w:val="1"/>
      <w:numFmt w:val="bullet"/>
      <w:lvlText w:val="●"/>
      <w:lvlJc w:val="left"/>
      <w:pPr>
        <w:ind w:left="2880" w:hanging="360"/>
      </w:pPr>
    </w:lvl>
    <w:lvl w:ilvl="4" w:tplc="C0622108">
      <w:start w:val="1"/>
      <w:numFmt w:val="bullet"/>
      <w:lvlText w:val="○"/>
      <w:lvlJc w:val="left"/>
      <w:pPr>
        <w:ind w:left="3600" w:hanging="360"/>
      </w:pPr>
    </w:lvl>
    <w:lvl w:ilvl="5" w:tplc="B6FEB910">
      <w:start w:val="1"/>
      <w:numFmt w:val="bullet"/>
      <w:lvlText w:val="■"/>
      <w:lvlJc w:val="left"/>
      <w:pPr>
        <w:ind w:left="4320" w:hanging="360"/>
      </w:pPr>
    </w:lvl>
    <w:lvl w:ilvl="6" w:tplc="20B89B10">
      <w:start w:val="1"/>
      <w:numFmt w:val="bullet"/>
      <w:lvlText w:val="●"/>
      <w:lvlJc w:val="left"/>
      <w:pPr>
        <w:ind w:left="5040" w:hanging="360"/>
      </w:pPr>
    </w:lvl>
    <w:lvl w:ilvl="7" w:tplc="4674398A">
      <w:start w:val="1"/>
      <w:numFmt w:val="bullet"/>
      <w:lvlText w:val="●"/>
      <w:lvlJc w:val="left"/>
      <w:pPr>
        <w:ind w:left="5760" w:hanging="360"/>
      </w:pPr>
    </w:lvl>
    <w:lvl w:ilvl="8" w:tplc="BD6C5E00">
      <w:start w:val="1"/>
      <w:numFmt w:val="bullet"/>
      <w:lvlText w:val="●"/>
      <w:lvlJc w:val="left"/>
      <w:pPr>
        <w:ind w:left="6480" w:hanging="360"/>
      </w:pPr>
    </w:lvl>
  </w:abstractNum>
  <w:num w:numId="1" w16cid:durableId="135561558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73CF"/>
    <w:rsid w:val="00005D25"/>
    <w:rsid w:val="00041028"/>
    <w:rsid w:val="000D4BFA"/>
    <w:rsid w:val="000E63DD"/>
    <w:rsid w:val="00110F64"/>
    <w:rsid w:val="0014376B"/>
    <w:rsid w:val="00153280"/>
    <w:rsid w:val="001676CD"/>
    <w:rsid w:val="00305025"/>
    <w:rsid w:val="003F783F"/>
    <w:rsid w:val="00482B94"/>
    <w:rsid w:val="00566D77"/>
    <w:rsid w:val="006C0E09"/>
    <w:rsid w:val="007A3189"/>
    <w:rsid w:val="008D709C"/>
    <w:rsid w:val="00AF3D76"/>
    <w:rsid w:val="00B25112"/>
    <w:rsid w:val="00B3581E"/>
    <w:rsid w:val="00BB397B"/>
    <w:rsid w:val="00C118C7"/>
    <w:rsid w:val="00D30668"/>
    <w:rsid w:val="00D333C7"/>
    <w:rsid w:val="00D72C7E"/>
    <w:rsid w:val="00E51B9F"/>
    <w:rsid w:val="00EF73CF"/>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076A5"/>
  <w15:docId w15:val="{33A25C4C-C3AC-4D44-8590-FA9A922C9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3"/>
        <w:szCs w:val="23"/>
        <w:lang w:val="en-US"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7A3189"/>
    <w:pPr>
      <w:keepNext/>
      <w:keepLines/>
      <w:spacing w:before="240" w:line="259" w:lineRule="auto"/>
      <w:outlineLvl w:val="9"/>
    </w:pPr>
    <w:rPr>
      <w:rFonts w:asciiTheme="majorHAnsi" w:eastAsiaTheme="majorEastAsia" w:hAnsiTheme="majorHAnsi" w:cstheme="majorBidi"/>
      <w:color w:val="0F4761" w:themeColor="accent1" w:themeShade="BF"/>
      <w:lang w:eastAsia="en-US"/>
    </w:rPr>
  </w:style>
  <w:style w:type="paragraph" w:styleId="TOC1">
    <w:name w:val="toc 1"/>
    <w:basedOn w:val="Normal"/>
    <w:next w:val="Normal"/>
    <w:autoRedefine/>
    <w:uiPriority w:val="39"/>
    <w:unhideWhenUsed/>
    <w:rsid w:val="007A3189"/>
    <w:pPr>
      <w:spacing w:after="100"/>
    </w:pPr>
  </w:style>
  <w:style w:type="paragraph" w:styleId="TOC2">
    <w:name w:val="toc 2"/>
    <w:basedOn w:val="Normal"/>
    <w:next w:val="Normal"/>
    <w:autoRedefine/>
    <w:uiPriority w:val="39"/>
    <w:unhideWhenUsed/>
    <w:rsid w:val="007A3189"/>
    <w:pPr>
      <w:spacing w:after="100"/>
      <w:ind w:left="23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E6211-7032-4872-AA1D-A829BC207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11</Pages>
  <Words>3603</Words>
  <Characters>20540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Adeem KHAN</cp:lastModifiedBy>
  <cp:revision>5</cp:revision>
  <dcterms:created xsi:type="dcterms:W3CDTF">2026-07-21T10:13:00Z</dcterms:created>
  <dcterms:modified xsi:type="dcterms:W3CDTF">2026-07-22T20:00:00Z</dcterms:modified>
</cp:coreProperties>
</file>