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5A03F" w14:textId="77777777" w:rsidR="002F7D75" w:rsidRPr="009D531E" w:rsidRDefault="002F7D75" w:rsidP="009D531E">
      <w:pPr>
        <w:spacing w:line="360" w:lineRule="auto"/>
        <w:rPr>
          <w:rFonts w:ascii="Arial" w:hAnsi="Arial" w:cs="Arial"/>
          <w:bCs/>
        </w:rPr>
      </w:pPr>
      <w:r w:rsidRPr="009D531E">
        <w:rPr>
          <w:rFonts w:ascii="Arial" w:hAnsi="Arial" w:cs="Arial"/>
          <w:bCs/>
        </w:rPr>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shd w:val="clear" w:color="auto" w:fill="auto"/>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shd w:val="clear" w:color="auto" w:fill="auto"/>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shd w:val="clear" w:color="auto" w:fill="auto"/>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0266359F"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00C933E3">
        <w:rPr>
          <w:rFonts w:ascii="Arial" w:eastAsiaTheme="majorEastAsia" w:hAnsi="Arial" w:cs="Arial"/>
          <w:b/>
          <w:bCs/>
          <w:lang w:bidi="ta-IN"/>
        </w:rPr>
        <w:t>Jennifer Williams (Defendant)</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Pr="009D531E" w:rsidRDefault="005F216E" w:rsidP="009D531E">
      <w:pPr>
        <w:pStyle w:val="Heading1"/>
      </w:pPr>
      <w:r w:rsidRPr="009D531E">
        <w:t>Introduction</w:t>
      </w:r>
    </w:p>
    <w:p w14:paraId="46441825" w14:textId="596FDC96" w:rsidR="00C933E3" w:rsidRPr="00C933E3" w:rsidRDefault="00C933E3" w:rsidP="00C933E3">
      <w:pPr>
        <w:pStyle w:val="Heading2"/>
        <w:rPr>
          <w:color w:val="70AD47" w:themeColor="accent6"/>
        </w:rPr>
      </w:pPr>
      <w:r w:rsidRPr="00C933E3">
        <w:rPr>
          <w:rFonts w:asciiTheme="minorHAnsi" w:hAnsiTheme="minorHAnsi" w:cstheme="minorHAnsi"/>
        </w:rPr>
        <w:t>This skeleton argument is guidance for Jennifer Williams on why Sarah has no claim over proceeds gained from the gatehouse should Jennifer even agree to a sale of said Gatehouse. Jennifer insists that there is no constructive trust and that the house is solely owned by herself.</w:t>
      </w:r>
    </w:p>
    <w:p w14:paraId="74D96C8C" w14:textId="77777777" w:rsidR="005F216E" w:rsidRPr="009D531E" w:rsidRDefault="005F216E" w:rsidP="009D531E">
      <w:pPr>
        <w:pStyle w:val="Heading1"/>
      </w:pPr>
      <w:r w:rsidRPr="009D531E">
        <w:t>The issues</w:t>
      </w:r>
    </w:p>
    <w:p w14:paraId="54261E09" w14:textId="1F0C75FD" w:rsidR="005F216E" w:rsidRDefault="003C63F7" w:rsidP="009D531E">
      <w:pPr>
        <w:pStyle w:val="Heading2"/>
        <w:rPr>
          <w:color w:val="70AD47" w:themeColor="accent6"/>
        </w:rPr>
      </w:pPr>
      <w:r>
        <w:t xml:space="preserve">The </w:t>
      </w:r>
      <w:r w:rsidR="004079D6">
        <w:t>issue</w:t>
      </w:r>
      <w:r>
        <w:t xml:space="preserve"> at hand is that Jennifer is sole owner of the </w:t>
      </w:r>
      <w:r w:rsidR="00240F89">
        <w:t>house,</w:t>
      </w:r>
      <w:r>
        <w:t xml:space="preserve"> and that Sarah has no legal rights </w:t>
      </w:r>
      <w:r w:rsidR="004079D6">
        <w:t xml:space="preserve">to the house as the pair are not married so do not share spousal rights in this situation. </w:t>
      </w:r>
      <w:r w:rsidR="001265CB">
        <w:t>Jennifer covered all costs and, also paid half of Sarahs tuition so that she could afford to retrain as a nurse.</w:t>
      </w:r>
      <w:r w:rsidR="00595DAF">
        <w:t xml:space="preserve"> It was also Jennifer who had not been paying the insurance which led to her having to using her savings.</w:t>
      </w:r>
    </w:p>
    <w:p w14:paraId="79A0B29D" w14:textId="24F1374F" w:rsidR="003C63F7" w:rsidRPr="003C63F7" w:rsidRDefault="003C63F7" w:rsidP="003C63F7">
      <w:r>
        <w:t xml:space="preserve"> </w:t>
      </w:r>
    </w:p>
    <w:p w14:paraId="18D69515" w14:textId="0810B6CA" w:rsidR="005F216E" w:rsidRPr="009D531E" w:rsidRDefault="00DC16C7" w:rsidP="002E60BF">
      <w:pPr>
        <w:pStyle w:val="Heading2"/>
        <w:rPr>
          <w:color w:val="002060"/>
        </w:rPr>
      </w:pPr>
      <w:r>
        <w:rPr>
          <w:color w:val="70AD47" w:themeColor="accent6"/>
        </w:rPr>
        <w:t xml:space="preserve"> </w:t>
      </w:r>
      <w:r>
        <w:t>Constructed trust can potentially be considered in this case as Jennifer had stated that she would ‘always look after’ Sarah. However, it is never stated in what fashion that would be.</w:t>
      </w:r>
      <w:r w:rsidR="00595DAF">
        <w:t xml:space="preserve"> Pr</w:t>
      </w:r>
      <w:r w:rsidR="003C403A">
        <w:t>opriet</w:t>
      </w:r>
      <w:r w:rsidR="00893BBB">
        <w:t>ar</w:t>
      </w:r>
      <w:r w:rsidR="003C403A">
        <w:t>y</w:t>
      </w:r>
      <w:r w:rsidR="00595DAF">
        <w:t xml:space="preserve"> estoppel would also not be viable in this case due to the fact over the duration of the relationship as both parties suffered financial detriment at times. </w:t>
      </w:r>
      <w:r w:rsidR="002E60BF">
        <w:t xml:space="preserve">There was never an expressed </w:t>
      </w:r>
      <w:r w:rsidR="002E60BF">
        <w:lastRenderedPageBreak/>
        <w:t>declaration of trust for this property and has always belonged to Jennifer whilst the two were in a relationship</w:t>
      </w:r>
      <w:r w:rsidR="00F43BBA">
        <w:t xml:space="preserve">. </w:t>
      </w:r>
    </w:p>
    <w:p w14:paraId="7B2205B7" w14:textId="77777777" w:rsidR="005F216E" w:rsidRPr="009D531E" w:rsidRDefault="005F216E" w:rsidP="009D531E">
      <w:pPr>
        <w:pStyle w:val="Heading1"/>
      </w:pPr>
      <w:r w:rsidRPr="009D531E">
        <w:t>The facts</w:t>
      </w:r>
    </w:p>
    <w:p w14:paraId="458F349E" w14:textId="17478EE2" w:rsidR="008D44DE" w:rsidRPr="008D44DE" w:rsidRDefault="008D44DE" w:rsidP="008D44DE">
      <w:pPr>
        <w:pStyle w:val="Heading2"/>
      </w:pPr>
      <w:r>
        <w:t xml:space="preserve">The facts of this case are as follows. Jennifer is the sole homeowner on the deeds of the house, yes Sarah did in fact pay for maintenance of the building, however Jenniefer had also spent several years in where she was the sole provider of the family whilst Sarah was retraining. Jennifer never explicitly states that Sarah was entitled to any of the house if they did eventually split. The pair are not married so do not share the same rights that a married couple would share. Insurance refused to pay for repairs </w:t>
      </w:r>
      <w:r w:rsidR="00E276CF">
        <w:t xml:space="preserve">due to direct debit not being paid over the course of 3 months prior. Sarah used money from savings to ‘modernise and upgrade’ the ‘Gatehouse’. Shared costs whilst staying in a rental property whilst 'the Gatehouse’ was being renovated. </w:t>
      </w:r>
    </w:p>
    <w:p w14:paraId="020D26B5"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Claim arising under a constructive trust</w:t>
      </w:r>
    </w:p>
    <w:p w14:paraId="4D929431" w14:textId="77777777" w:rsidR="005F216E" w:rsidRPr="009D531E" w:rsidRDefault="005F216E" w:rsidP="009D531E">
      <w:pPr>
        <w:pStyle w:val="Heading1"/>
      </w:pPr>
      <w:r w:rsidRPr="009D531E">
        <w:t xml:space="preserve">The law </w:t>
      </w:r>
    </w:p>
    <w:p w14:paraId="332E087F" w14:textId="70223F6E" w:rsidR="005F216E" w:rsidRPr="009D531E" w:rsidRDefault="002015C7" w:rsidP="003C403A">
      <w:pPr>
        <w:pStyle w:val="Heading2"/>
        <w:rPr>
          <w:color w:val="002060"/>
        </w:rPr>
      </w:pPr>
      <w:r>
        <w:t xml:space="preserve">For real estate and property is less regulated for those who are unmarried and often depends on who is registered as the owner of the property. Joint name cases (which don’t apply to this case) start at a 50/50 split as both parties are considered tenants in common. </w:t>
      </w:r>
      <w:r w:rsidR="005A3EC9">
        <w:t xml:space="preserve">In single name cases the starting point is the ‘non owner’ has no rights in the property and </w:t>
      </w:r>
      <w:proofErr w:type="gramStart"/>
      <w:r w:rsidR="005A3EC9">
        <w:t>has to</w:t>
      </w:r>
      <w:proofErr w:type="gramEnd"/>
      <w:r w:rsidR="005A3EC9">
        <w:t xml:space="preserve"> prove that they have an interest in said property. Lloyds Bank v Rosset [1991] set precedent in that although Mrs Rosset helped with redecoration and building work that was insufficient to give her a beneficial interest in the house. </w:t>
      </w:r>
      <w:r w:rsidR="005F7634">
        <w:t>Rosset suggests that only contributions to the purchase price could be considered sufficient to acquire a beneficial interest in property.</w:t>
      </w:r>
      <w:r w:rsidR="00CE0397">
        <w:t xml:space="preserve"> A constructive trust arises where it would not be conscionable for the legal title holder of the asset to deny the interest of another. Constructive trusts are based on the intentions of the parties which can be expressed or assumed through the property owners </w:t>
      </w:r>
      <w:r w:rsidR="00CE0397">
        <w:lastRenderedPageBreak/>
        <w:t>conduct</w:t>
      </w:r>
      <w:r w:rsidR="003C403A">
        <w:t xml:space="preserve"> </w:t>
      </w:r>
      <w:r w:rsidR="003C403A" w:rsidRPr="003C403A">
        <w:t>(Abbott, 2022)</w:t>
      </w:r>
      <w:r w:rsidR="00CE0397">
        <w:t xml:space="preserve">. </w:t>
      </w:r>
      <w:r w:rsidR="003C403A">
        <w:t>There is no dispute in the law itself only how it may be applied in this case.</w:t>
      </w:r>
      <w:r w:rsidR="005A3EC9">
        <w:t xml:space="preserve"> </w:t>
      </w:r>
    </w:p>
    <w:p w14:paraId="2DF6B9FF" w14:textId="5E89243E" w:rsidR="0001234A" w:rsidRPr="0001234A" w:rsidRDefault="005F216E" w:rsidP="0001234A">
      <w:pPr>
        <w:pStyle w:val="Heading1"/>
      </w:pPr>
      <w:r w:rsidRPr="009D531E">
        <w:t xml:space="preserve">Submissions </w:t>
      </w:r>
    </w:p>
    <w:p w14:paraId="69EE1BE6" w14:textId="4E40379D" w:rsidR="000A28D5" w:rsidRPr="0001234A" w:rsidRDefault="003C403A" w:rsidP="0001234A">
      <w:pPr>
        <w:pStyle w:val="Heading2"/>
        <w:rPr>
          <w:color w:val="70AD47" w:themeColor="accent6"/>
        </w:rPr>
      </w:pPr>
      <w:r>
        <w:t xml:space="preserve">Ms Williams has never expressed that Ms Morgan has any claim of interest in the property that Ms Williams is recognized as the sole owner of. As stated in </w:t>
      </w:r>
      <w:r w:rsidR="00CB0335">
        <w:rPr>
          <w:noProof/>
        </w:rPr>
        <w:t xml:space="preserve">Stack v Dowden [2007] </w:t>
      </w:r>
      <w:r w:rsidR="00CB0335">
        <w:t xml:space="preserve">the starting point of the law is that sole legal ownership is sole beneficial ownership. Ms Morgan is not entitled to becoming a beneficial owner in this case as she had no equity in the acquisition of the house as the house was transferred </w:t>
      </w:r>
      <w:r w:rsidR="000A28D5">
        <w:t>to Ms Williams in 1995, 8 years before Ms Williams and Ms Morgan Embarked on their relationship.</w:t>
      </w:r>
    </w:p>
    <w:p w14:paraId="53902D58" w14:textId="1F4F8605" w:rsidR="00D049E2" w:rsidRPr="00D049E2" w:rsidRDefault="000A28D5" w:rsidP="00D049E2">
      <w:pPr>
        <w:pStyle w:val="Heading2"/>
      </w:pPr>
      <w:r>
        <w:rPr>
          <w:noProof/>
        </w:rPr>
        <w:t>Lloyds Bank v Rosset [1990] in which Mr Rosset was the sole owner of the house in name and thus, although Mrs Rosset claimed she had an interest due to the fact she had helped with redecoration and building works. She had not financially contributed to the a</w:t>
      </w:r>
      <w:r w:rsidR="00192593">
        <w:rPr>
          <w:noProof/>
        </w:rPr>
        <w:t>c</w:t>
      </w:r>
      <w:r>
        <w:rPr>
          <w:noProof/>
        </w:rPr>
        <w:t xml:space="preserve">qusition </w:t>
      </w:r>
      <w:r w:rsidR="00192593">
        <w:rPr>
          <w:noProof/>
        </w:rPr>
        <w:t>of the huse directly. This case alone sets preceident in that Ms Morgan made no financial contributions to the</w:t>
      </w:r>
      <w:r w:rsidR="00B3161E">
        <w:rPr>
          <w:noProof/>
        </w:rPr>
        <w:t xml:space="preserve"> </w:t>
      </w:r>
      <w:r w:rsidR="00192593">
        <w:rPr>
          <w:noProof/>
        </w:rPr>
        <w:t>purchase of the house thus is not entitled to any beneficial interest in the ‘Gatehouse’</w:t>
      </w:r>
      <w:r w:rsidR="00CB0335">
        <w:t xml:space="preserve">  </w:t>
      </w:r>
    </w:p>
    <w:p w14:paraId="051A1556" w14:textId="4B5E3F35" w:rsidR="0001234A" w:rsidRDefault="0001234A" w:rsidP="00D049E2">
      <w:pPr>
        <w:pStyle w:val="Heading2"/>
        <w:rPr>
          <w:noProof/>
        </w:rPr>
      </w:pPr>
      <w:r>
        <w:rPr>
          <w:noProof/>
        </w:rPr>
        <w:t>James v Thomas [2007]</w:t>
      </w:r>
      <w:r w:rsidR="00D553B7">
        <w:rPr>
          <w:noProof/>
        </w:rPr>
        <w:t>,Mr Thomas was sole owner of ‘The Cottage’ years before meeting Ms James. Very similar to this case James inheritted the house. Ms Thomas had paid nothing towards the acquistion of said property. She was denied an entitlement to a beneficial interest as the assurances given to her were not deemed sufficient. This applies to Ms Williams’ case as Ms Morgan did not know of Ms Williams before her acquisition of the house, and Ms Morgan directly benefitted from the fact she did not have to pay a mortgage or rent to live in the family home. Ms Morgan never had any claim to the property as she was never incuded in the acquisition of the property that be either in rent or mortgage payments.</w:t>
      </w:r>
    </w:p>
    <w:p w14:paraId="03F3143A" w14:textId="5D4C24AD" w:rsidR="00D049E2" w:rsidRDefault="00B3161E" w:rsidP="00D049E2">
      <w:pPr>
        <w:pStyle w:val="Heading2"/>
        <w:rPr>
          <w:noProof/>
        </w:rPr>
      </w:pPr>
      <w:r w:rsidRPr="00EA57FC">
        <w:t xml:space="preserve"> </w:t>
      </w:r>
      <w:r w:rsidR="00EA57FC" w:rsidRPr="00EA57FC">
        <w:rPr>
          <w:noProof/>
        </w:rPr>
        <w:t xml:space="preserve">Kernott v Jones </w:t>
      </w:r>
      <w:r w:rsidR="00EA57FC">
        <w:rPr>
          <w:noProof/>
        </w:rPr>
        <w:t>[</w:t>
      </w:r>
      <w:r w:rsidR="00EA57FC" w:rsidRPr="00EA57FC">
        <w:rPr>
          <w:noProof/>
        </w:rPr>
        <w:t>201</w:t>
      </w:r>
      <w:r w:rsidR="00EA57FC">
        <w:rPr>
          <w:noProof/>
        </w:rPr>
        <w:t>1]</w:t>
      </w:r>
      <w:r w:rsidR="00D049E2">
        <w:rPr>
          <w:noProof/>
        </w:rPr>
        <w:t xml:space="preserve"> a case about an unmarried couple in which the court found that there was a presumption that there was a beneficial interest in the property if the house is purchased in joint names. This case between Ms Morgan and Ms Williams, there is one sole owner of the property being Ms </w:t>
      </w:r>
      <w:r w:rsidR="00D049E2">
        <w:rPr>
          <w:noProof/>
        </w:rPr>
        <w:lastRenderedPageBreak/>
        <w:t>Williams whilst although they were in a relationship they were not married thus not entitling her to the same rights as a married couple</w:t>
      </w:r>
      <w:r w:rsidR="00D553B7">
        <w:rPr>
          <w:noProof/>
        </w:rPr>
        <w:t>.</w:t>
      </w:r>
    </w:p>
    <w:p w14:paraId="7EA8E56F" w14:textId="77777777" w:rsidR="0001234A" w:rsidRPr="0001234A" w:rsidRDefault="0001234A" w:rsidP="0001234A"/>
    <w:p w14:paraId="2D69B6FD" w14:textId="77777777" w:rsidR="0001234A" w:rsidRPr="0001234A" w:rsidRDefault="0001234A" w:rsidP="0001234A"/>
    <w:p w14:paraId="22F84A5B" w14:textId="77777777" w:rsidR="005F216E" w:rsidRPr="009D531E" w:rsidRDefault="005F216E" w:rsidP="009D531E">
      <w:pPr>
        <w:pStyle w:val="Heading1"/>
      </w:pPr>
      <w:r w:rsidRPr="009D531E">
        <w:t xml:space="preserve">Conclusions </w:t>
      </w:r>
    </w:p>
    <w:p w14:paraId="2A494A12" w14:textId="414ABE6F" w:rsidR="005F216E" w:rsidRPr="009D531E" w:rsidRDefault="00564E9E" w:rsidP="009D531E">
      <w:pPr>
        <w:pStyle w:val="Heading2"/>
        <w:rPr>
          <w:color w:val="70AD47" w:themeColor="accent6"/>
        </w:rPr>
      </w:pPr>
      <w:r>
        <w:t>Ultimately Ms Morgan has no grounds to claim that there was any trust implied or otherwise based on the facts and what previous cases had to offer.</w:t>
      </w:r>
    </w:p>
    <w:p w14:paraId="58AB532E" w14:textId="77777777" w:rsidR="005F216E" w:rsidRPr="009D531E" w:rsidRDefault="005F216E" w:rsidP="009D531E">
      <w:pPr>
        <w:pStyle w:val="Heading2"/>
        <w:numPr>
          <w:ilvl w:val="0"/>
          <w:numId w:val="0"/>
        </w:numPr>
        <w:ind w:left="680"/>
        <w:rPr>
          <w:color w:val="002060"/>
        </w:rPr>
      </w:pPr>
      <w:r w:rsidRPr="009D531E">
        <w:rPr>
          <w:color w:val="002060"/>
        </w:rPr>
        <w:t>Suggested 25 words.</w:t>
      </w:r>
    </w:p>
    <w:p w14:paraId="3FA2DFDB"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 xml:space="preserve">Claim arising under a proprietary estoppel </w:t>
      </w:r>
    </w:p>
    <w:p w14:paraId="6672ADB9" w14:textId="77777777" w:rsidR="005F216E" w:rsidRPr="009D531E" w:rsidRDefault="005F216E" w:rsidP="009D531E">
      <w:pPr>
        <w:pStyle w:val="Heading1"/>
      </w:pPr>
      <w:r w:rsidRPr="009D531E">
        <w:t xml:space="preserve">The law </w:t>
      </w:r>
    </w:p>
    <w:p w14:paraId="570D81C4" w14:textId="47A1BEFC" w:rsidR="005F216E" w:rsidRPr="009D531E" w:rsidRDefault="00A8016E" w:rsidP="00664FDE">
      <w:pPr>
        <w:pStyle w:val="Heading2"/>
        <w:rPr>
          <w:color w:val="002060"/>
        </w:rPr>
      </w:pPr>
      <w:r w:rsidRPr="00A8016E">
        <w:t>Propriet</w:t>
      </w:r>
      <w:r w:rsidR="00F261CE">
        <w:t>ar</w:t>
      </w:r>
      <w:r w:rsidRPr="00A8016E">
        <w:t>y</w:t>
      </w:r>
      <w:r>
        <w:t xml:space="preserve"> estoppel is used typically when party (b) in this case Ms Morgan, seeks to assert a right to a land or property belonging to another party, in the case Ms Williams. In where B has been led to believe that by words, a promise or conduct by A would lead B to believe they have an acquired interest to the land or property Ramsden v Dyson and Wilmott v Barber are the cases that provide a starting point of understanding of the doctrine of propriety estoppel </w:t>
      </w:r>
      <w:sdt>
        <w:sdtPr>
          <w:id w:val="-720671816"/>
          <w:citation/>
        </w:sdtPr>
        <w:sdtEndPr/>
        <w:sdtContent>
          <w:r>
            <w:fldChar w:fldCharType="begin"/>
          </w:r>
          <w:r w:rsidR="00CB42C9">
            <w:instrText xml:space="preserve">CITATION Lex24 \l 2057 </w:instrText>
          </w:r>
          <w:r>
            <w:fldChar w:fldCharType="separate"/>
          </w:r>
          <w:r w:rsidR="00E96B1F" w:rsidRPr="00E96B1F">
            <w:rPr>
              <w:noProof/>
            </w:rPr>
            <w:t>(Lexis+UK, 2024)</w:t>
          </w:r>
          <w:r>
            <w:fldChar w:fldCharType="end"/>
          </w:r>
        </w:sdtContent>
      </w:sdt>
      <w:r>
        <w:t>.</w:t>
      </w:r>
      <w:r w:rsidR="00F261CE">
        <w:t xml:space="preserve"> Proprietary</w:t>
      </w:r>
      <w:r w:rsidR="00893BBB">
        <w:t xml:space="preserve"> estoppel is governed under the land registration act and that the weight of authority often favours in the view that person Bs right arises after that person has acted to their detriment, and that it is not a mere personal right.</w:t>
      </w:r>
      <w:r w:rsidR="00F261CE">
        <w:t xml:space="preserve"> </w:t>
      </w:r>
      <w:sdt>
        <w:sdtPr>
          <w:id w:val="443436521"/>
          <w:citation/>
        </w:sdtPr>
        <w:sdtEndPr/>
        <w:sdtContent>
          <w:r w:rsidR="00CB42C9">
            <w:fldChar w:fldCharType="begin"/>
          </w:r>
          <w:r w:rsidR="00CB42C9">
            <w:instrText xml:space="preserve"> CITATION UKP03 \l 2057 </w:instrText>
          </w:r>
          <w:r w:rsidR="00CB42C9">
            <w:fldChar w:fldCharType="separate"/>
          </w:r>
          <w:r w:rsidR="00E96B1F" w:rsidRPr="00E96B1F">
            <w:rPr>
              <w:noProof/>
            </w:rPr>
            <w:t>(UK Public General Acts, 2003)</w:t>
          </w:r>
          <w:r w:rsidR="00CB42C9">
            <w:fldChar w:fldCharType="end"/>
          </w:r>
        </w:sdtContent>
      </w:sdt>
      <w:r w:rsidR="00664FDE">
        <w:t xml:space="preserve">. Person B my rely on the promise to their detriment and that A later goes back on their promise, in turn B would then have an action against person A. </w:t>
      </w:r>
    </w:p>
    <w:p w14:paraId="3C3827A7" w14:textId="77777777" w:rsidR="005F216E" w:rsidRPr="009D531E" w:rsidRDefault="005F216E" w:rsidP="009D531E">
      <w:pPr>
        <w:pStyle w:val="Heading1"/>
      </w:pPr>
      <w:r w:rsidRPr="009D531E">
        <w:t xml:space="preserve">Submissions </w:t>
      </w:r>
    </w:p>
    <w:p w14:paraId="215AF9BB" w14:textId="77777777" w:rsidR="007D3135" w:rsidRDefault="00A72DB8" w:rsidP="009D531E">
      <w:pPr>
        <w:pStyle w:val="Heading2"/>
      </w:pPr>
      <w:r>
        <w:t xml:space="preserve">Ms Williams had never given any promise in that Ns Morgan would be a recipient or beneficiary of the family home should they pair split. All that was mentioned was a passing comment over text that read “nothing will happen, we’re strong. I’ll always look after you”. Ms Willaims also commented on the fact Ms Morgan had her savings to fall back on. Ms Williams also denies any claim that she had made any assurances in the fact the property was equally </w:t>
      </w:r>
      <w:r>
        <w:lastRenderedPageBreak/>
        <w:t xml:space="preserve">owned and that instead claims Sarah was aware that any work that was done to the house was under the assumption that she had not paid any rent over the duration of the relationship. </w:t>
      </w:r>
      <w:r w:rsidR="00943B7D">
        <w:t>Therefore,</w:t>
      </w:r>
      <w:r>
        <w:t xml:space="preserve"> the key element in claiming proprietary estoppel is not met as the is no evidence that she had been promised anything</w:t>
      </w:r>
      <w:r w:rsidR="00943B7D">
        <w:t xml:space="preserve"> regarding the property.</w:t>
      </w:r>
      <w:r w:rsidR="007D3135">
        <w:t xml:space="preserve"> As with the </w:t>
      </w:r>
      <w:r w:rsidR="007D3135">
        <w:rPr>
          <w:noProof/>
        </w:rPr>
        <w:t xml:space="preserve">case of </w:t>
      </w:r>
      <w:r w:rsidR="007D3135" w:rsidRPr="007D3135">
        <w:rPr>
          <w:noProof/>
        </w:rPr>
        <w:t>Southwell v Blackburn [2014] EWCA Civ 1347</w:t>
      </w:r>
      <w:r w:rsidR="007D3135">
        <w:rPr>
          <w:noProof/>
        </w:rPr>
        <w:t xml:space="preserve"> Southwell had directly implied that Blackburn would have a home for life and was ordered to pay a sum of £28,500. That is not what has happened between this couple.</w:t>
      </w:r>
    </w:p>
    <w:p w14:paraId="710829CC" w14:textId="77777777" w:rsidR="00A52615" w:rsidRDefault="007D3135" w:rsidP="009D531E">
      <w:pPr>
        <w:pStyle w:val="Heading2"/>
      </w:pPr>
      <w:r>
        <w:rPr>
          <w:noProof/>
        </w:rPr>
        <w:t xml:space="preserve">It should be argued that Ms Morgan had not acted in her detriment in moving in with </w:t>
      </w:r>
      <w:r w:rsidR="002363B8">
        <w:rPr>
          <w:noProof/>
        </w:rPr>
        <w:t xml:space="preserve">as it allowed for her to experience the benefit of being able to retrain as a nurse due to the fact she had no rent to pay and had the support of Ms Williams. Ms Williams although having to use her savings in regard to fixing the Gatehouse was down to her own negligence in not setting up the insurance in which she said she would do. Unlike with the case of </w:t>
      </w:r>
      <w:r w:rsidR="002363B8" w:rsidRPr="002363B8">
        <w:rPr>
          <w:noProof/>
        </w:rPr>
        <w:t>Davies v Davies [2014] EWCA Civ 568</w:t>
      </w:r>
      <w:r w:rsidR="002363B8">
        <w:rPr>
          <w:noProof/>
        </w:rPr>
        <w:t xml:space="preserve">  in which thew court upheld that Ms Davies had equitable relief based on proprietary estoppel. Which is not a valid practice of the law in this case.</w:t>
      </w:r>
      <w:r w:rsidR="00A72DB8">
        <w:t xml:space="preserve">  </w:t>
      </w:r>
    </w:p>
    <w:p w14:paraId="69FC2ED0" w14:textId="6D23F87D" w:rsidR="005F216E" w:rsidRPr="009D531E" w:rsidRDefault="00A52615" w:rsidP="00057E73">
      <w:pPr>
        <w:pStyle w:val="Heading2"/>
        <w:rPr>
          <w:color w:val="002060"/>
        </w:rPr>
      </w:pPr>
      <w:r>
        <w:t xml:space="preserve">It would be argued that Ms Morgan was not reliant on living in the property as again she had access to her savings in which she could have used in renting or purchasing a property for herself. </w:t>
      </w:r>
      <w:r w:rsidR="00057E73">
        <w:t xml:space="preserve">In </w:t>
      </w:r>
      <w:r>
        <w:t xml:space="preserve">the case of </w:t>
      </w:r>
      <w:r w:rsidRPr="00A52615">
        <w:rPr>
          <w:noProof/>
        </w:rPr>
        <w:t>Steels v Steels [2023] EWHC 2985</w:t>
      </w:r>
      <w:r w:rsidR="00057E73">
        <w:rPr>
          <w:noProof/>
        </w:rPr>
        <w:t xml:space="preserve"> in that the longer the couple had stayed in the family home the harder it became for the couple to find a mortage as they had lived their lives differently than they would have, had they have had a mortage of their own. It was found however, there was no suffcient evidence of relient detriment as there was no evidence to suggest they would have struggled to get a mortage.</w:t>
      </w:r>
      <w:r>
        <w:rPr>
          <w:noProof/>
        </w:rPr>
        <w:t xml:space="preserve"> </w:t>
      </w:r>
    </w:p>
    <w:p w14:paraId="0A9CE178" w14:textId="77777777" w:rsidR="005F216E" w:rsidRPr="009D531E" w:rsidRDefault="005F216E" w:rsidP="00E96B1F">
      <w:pPr>
        <w:pStyle w:val="Heading1"/>
      </w:pPr>
      <w:r w:rsidRPr="009D531E">
        <w:t xml:space="preserve">Conclusions </w:t>
      </w:r>
    </w:p>
    <w:p w14:paraId="3F826E65" w14:textId="5B1D0B63" w:rsidR="00057E73" w:rsidRPr="009D531E" w:rsidRDefault="00057E73" w:rsidP="00057E73">
      <w:pPr>
        <w:pStyle w:val="Heading2"/>
        <w:rPr>
          <w:color w:val="002060"/>
        </w:rPr>
      </w:pPr>
      <w:r>
        <w:t>Evidently Ms Morgan does not meet the grounds to claim proprietary estoppel as she has not wholly relied upon Ms Williams for a place to call home.</w:t>
      </w:r>
    </w:p>
    <w:p w14:paraId="09D1DC35" w14:textId="3169BF07" w:rsidR="005F216E" w:rsidRPr="009D531E" w:rsidRDefault="005F216E" w:rsidP="009D531E">
      <w:pPr>
        <w:pStyle w:val="Heading2"/>
        <w:numPr>
          <w:ilvl w:val="0"/>
          <w:numId w:val="0"/>
        </w:numPr>
        <w:ind w:left="680"/>
        <w:rPr>
          <w:color w:val="002060"/>
        </w:rPr>
      </w:pPr>
    </w:p>
    <w:p w14:paraId="52F9839E" w14:textId="77777777" w:rsidR="005F216E" w:rsidRPr="009D531E" w:rsidRDefault="005F216E" w:rsidP="009D531E">
      <w:pPr>
        <w:pStyle w:val="Heading1"/>
      </w:pPr>
      <w:r w:rsidRPr="009D531E">
        <w:t xml:space="preserve">Overall conclusions </w:t>
      </w:r>
    </w:p>
    <w:p w14:paraId="78754883" w14:textId="77777777" w:rsidR="00E96B1F" w:rsidRPr="00E96B1F" w:rsidRDefault="00057E73" w:rsidP="00E96B1F">
      <w:pPr>
        <w:pStyle w:val="Heading2"/>
        <w:rPr>
          <w:rFonts w:asciiTheme="majorHAnsi" w:hAnsiTheme="majorHAnsi" w:cstheme="majorHAnsi"/>
          <w:b/>
          <w:bCs/>
        </w:rPr>
      </w:pPr>
      <w:r>
        <w:lastRenderedPageBreak/>
        <w:t xml:space="preserve">To summarise the facts of this case </w:t>
      </w:r>
      <w:proofErr w:type="gramStart"/>
      <w:r>
        <w:t xml:space="preserve">as a whole </w:t>
      </w:r>
      <w:r w:rsidR="00E96B1F">
        <w:t>it</w:t>
      </w:r>
      <w:proofErr w:type="gramEnd"/>
      <w:r w:rsidR="00E96B1F">
        <w:t xml:space="preserve"> would be suggested that the case is thrown out as Ms Morgan does not have grounds to claim either constructed trust or proprietary estoppel. Ms Willaims opened her home to this woman and offered her a place to live for 15 years rent free so she in turn benefitted from the relationship.</w:t>
      </w:r>
    </w:p>
    <w:p w14:paraId="3B1553C5" w14:textId="657B8EEC" w:rsidR="005F216E" w:rsidRPr="00E96B1F" w:rsidRDefault="00D62530" w:rsidP="00E96B1F">
      <w:pPr>
        <w:pStyle w:val="Heading2"/>
        <w:numPr>
          <w:ilvl w:val="0"/>
          <w:numId w:val="0"/>
        </w:numPr>
        <w:ind w:left="680"/>
        <w:jc w:val="right"/>
        <w:rPr>
          <w:rFonts w:asciiTheme="majorHAnsi" w:hAnsiTheme="majorHAnsi" w:cstheme="majorHAnsi"/>
          <w:b/>
          <w:bCs/>
        </w:rPr>
      </w:pPr>
      <w:r w:rsidRPr="00E96B1F">
        <w:rPr>
          <w:rFonts w:asciiTheme="majorHAnsi" w:hAnsiTheme="majorHAnsi" w:cstheme="majorHAnsi"/>
          <w:b/>
          <w:bCs/>
        </w:rPr>
        <w:t>Your name</w:t>
      </w:r>
      <w:r w:rsidR="00E96B1F">
        <w:rPr>
          <w:rFonts w:asciiTheme="majorHAnsi" w:hAnsiTheme="majorHAnsi" w:cstheme="majorHAnsi"/>
          <w:b/>
          <w:bCs/>
        </w:rPr>
        <w:t>: Kyran Woods</w:t>
      </w:r>
    </w:p>
    <w:p w14:paraId="3765130C" w14:textId="214F2BD5" w:rsidR="00D62530" w:rsidRDefault="00D62530" w:rsidP="00E96B1F">
      <w:pPr>
        <w:spacing w:line="360" w:lineRule="auto"/>
        <w:jc w:val="right"/>
        <w:rPr>
          <w:rFonts w:asciiTheme="majorHAnsi" w:hAnsiTheme="majorHAnsi" w:cstheme="majorHAnsi"/>
          <w:b/>
          <w:bCs/>
        </w:rPr>
      </w:pPr>
      <w:r>
        <w:rPr>
          <w:rFonts w:asciiTheme="majorHAnsi" w:hAnsiTheme="majorHAnsi" w:cstheme="majorHAnsi"/>
          <w:b/>
          <w:bCs/>
        </w:rPr>
        <w:t>Your role</w:t>
      </w:r>
      <w:r w:rsidR="00E96B1F">
        <w:rPr>
          <w:rFonts w:asciiTheme="majorHAnsi" w:hAnsiTheme="majorHAnsi" w:cstheme="majorHAnsi"/>
          <w:b/>
          <w:bCs/>
        </w:rPr>
        <w:t>: Counsel to the Defendant</w:t>
      </w:r>
    </w:p>
    <w:p w14:paraId="0ADC9468" w14:textId="794AE6F1" w:rsidR="00D62530" w:rsidRPr="00D62530" w:rsidRDefault="00D62530" w:rsidP="00E96B1F">
      <w:pPr>
        <w:spacing w:line="360" w:lineRule="auto"/>
        <w:jc w:val="right"/>
        <w:rPr>
          <w:rFonts w:asciiTheme="majorHAnsi" w:hAnsiTheme="majorHAnsi" w:cstheme="majorHAnsi"/>
          <w:b/>
          <w:bCs/>
        </w:rPr>
      </w:pPr>
      <w:r>
        <w:rPr>
          <w:rFonts w:asciiTheme="majorHAnsi" w:hAnsiTheme="majorHAnsi" w:cstheme="majorHAnsi"/>
          <w:b/>
          <w:bCs/>
        </w:rPr>
        <w:t>Work/</w:t>
      </w:r>
      <w:r w:rsidR="00E96B1F">
        <w:rPr>
          <w:rFonts w:asciiTheme="majorHAnsi" w:hAnsiTheme="majorHAnsi" w:cstheme="majorHAnsi"/>
          <w:b/>
          <w:bCs/>
        </w:rPr>
        <w:t>chambers: University of St Davids Wales</w:t>
      </w:r>
    </w:p>
    <w:p w14:paraId="7E25C8BA" w14:textId="53DB30EE" w:rsidR="00D62530" w:rsidRDefault="00D62530" w:rsidP="00E96B1F">
      <w:pPr>
        <w:spacing w:line="360" w:lineRule="auto"/>
        <w:jc w:val="right"/>
        <w:rPr>
          <w:rFonts w:asciiTheme="majorHAnsi" w:hAnsiTheme="majorHAnsi" w:cstheme="majorHAnsi"/>
          <w:b/>
          <w:bCs/>
        </w:rPr>
      </w:pPr>
      <w:r>
        <w:rPr>
          <w:rFonts w:asciiTheme="majorHAnsi" w:hAnsiTheme="majorHAnsi" w:cstheme="majorHAnsi"/>
          <w:b/>
          <w:bCs/>
        </w:rPr>
        <w:t>Date</w:t>
      </w:r>
      <w:r w:rsidR="00E96B1F">
        <w:rPr>
          <w:rFonts w:asciiTheme="majorHAnsi" w:hAnsiTheme="majorHAnsi" w:cstheme="majorHAnsi"/>
          <w:b/>
          <w:bCs/>
        </w:rPr>
        <w:t>: 05/12/24</w:t>
      </w:r>
    </w:p>
    <w:p w14:paraId="59D9D6F6" w14:textId="77777777" w:rsidR="00D62530" w:rsidRDefault="00D62530" w:rsidP="00E96B1F">
      <w:pPr>
        <w:spacing w:line="360" w:lineRule="auto"/>
        <w:jc w:val="right"/>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Default="0003621E">
      <w:pPr>
        <w:rPr>
          <w:rFonts w:asciiTheme="minorHAnsi" w:hAnsiTheme="minorHAnsi" w:cstheme="minorHAnsi"/>
          <w:b/>
          <w:bCs/>
        </w:rPr>
      </w:pPr>
      <w:r w:rsidRPr="0003621E">
        <w:rPr>
          <w:rFonts w:asciiTheme="minorHAnsi" w:hAnsiTheme="minorHAnsi" w:cstheme="minorHAnsi"/>
          <w:b/>
          <w:bCs/>
        </w:rPr>
        <w:lastRenderedPageBreak/>
        <w:t>Case note</w:t>
      </w:r>
    </w:p>
    <w:p w14:paraId="6E60BBB7" w14:textId="77777777" w:rsidR="0003621E" w:rsidRDefault="0003621E">
      <w:pPr>
        <w:rPr>
          <w:rFonts w:asciiTheme="minorHAnsi" w:hAnsiTheme="minorHAnsi" w:cstheme="minorHAnsi"/>
          <w:b/>
          <w:bCs/>
        </w:rPr>
      </w:pPr>
    </w:p>
    <w:p w14:paraId="7C520658" w14:textId="7F86F4B3" w:rsidR="000639D6" w:rsidRPr="00170655" w:rsidRDefault="000639D6" w:rsidP="008912EA">
      <w:pPr>
        <w:jc w:val="center"/>
        <w:rPr>
          <w:rFonts w:asciiTheme="minorHAnsi" w:hAnsiTheme="minorHAnsi" w:cstheme="minorHAnsi"/>
          <w:b/>
          <w:bCs/>
        </w:rPr>
      </w:pPr>
      <w:r w:rsidRPr="00170655">
        <w:rPr>
          <w:rFonts w:asciiTheme="minorHAnsi" w:hAnsiTheme="minorHAnsi" w:cstheme="minorHAnsi"/>
          <w:b/>
          <w:bCs/>
        </w:rPr>
        <w:t>Southwell v Blackburn</w:t>
      </w:r>
      <w:r w:rsidR="00170655" w:rsidRPr="00170655">
        <w:rPr>
          <w:rFonts w:asciiTheme="minorHAnsi" w:hAnsiTheme="minorHAnsi" w:cstheme="minorHAnsi"/>
          <w:b/>
          <w:bCs/>
        </w:rPr>
        <w:t xml:space="preserve"> [2014]</w:t>
      </w:r>
    </w:p>
    <w:p w14:paraId="302CCD4A" w14:textId="59DA4B65" w:rsidR="00170655" w:rsidRPr="00170655" w:rsidRDefault="00170655" w:rsidP="008912EA">
      <w:pPr>
        <w:jc w:val="center"/>
        <w:rPr>
          <w:rFonts w:asciiTheme="minorHAnsi" w:hAnsiTheme="minorHAnsi" w:cstheme="minorHAnsi"/>
          <w:b/>
          <w:bCs/>
        </w:rPr>
      </w:pPr>
      <w:proofErr w:type="spellStart"/>
      <w:r w:rsidRPr="00170655">
        <w:rPr>
          <w:rFonts w:asciiTheme="minorHAnsi" w:hAnsiTheme="minorHAnsi" w:cstheme="minorHAnsi"/>
          <w:b/>
          <w:bCs/>
        </w:rPr>
        <w:t>Civ</w:t>
      </w:r>
      <w:proofErr w:type="spellEnd"/>
      <w:r w:rsidRPr="00170655">
        <w:rPr>
          <w:rFonts w:asciiTheme="minorHAnsi" w:hAnsiTheme="minorHAnsi" w:cstheme="minorHAnsi"/>
          <w:b/>
          <w:bCs/>
        </w:rPr>
        <w:t xml:space="preserve"> 1347</w:t>
      </w:r>
    </w:p>
    <w:p w14:paraId="5F673DB7" w14:textId="755B7A3F" w:rsidR="008912EA" w:rsidRPr="00170655" w:rsidRDefault="00170655" w:rsidP="008912EA">
      <w:pPr>
        <w:jc w:val="center"/>
        <w:rPr>
          <w:rFonts w:asciiTheme="minorHAnsi" w:hAnsiTheme="minorHAnsi" w:cstheme="minorHAnsi"/>
          <w:b/>
          <w:bCs/>
        </w:rPr>
      </w:pPr>
      <w:proofErr w:type="spellStart"/>
      <w:r w:rsidRPr="00170655">
        <w:rPr>
          <w:rFonts w:asciiTheme="minorHAnsi" w:hAnsiTheme="minorHAnsi" w:cstheme="minorHAnsi"/>
          <w:b/>
          <w:bCs/>
        </w:rPr>
        <w:t>EWCA</w:t>
      </w:r>
      <w:proofErr w:type="spellEnd"/>
    </w:p>
    <w:p w14:paraId="1AF377E3" w14:textId="77777777" w:rsidR="008912EA" w:rsidRDefault="008912EA" w:rsidP="008912EA">
      <w:pPr>
        <w:jc w:val="center"/>
        <w:rPr>
          <w:rFonts w:asciiTheme="minorHAnsi" w:hAnsiTheme="minorHAnsi" w:cstheme="minorHAnsi"/>
          <w:b/>
          <w:bCs/>
          <w:color w:val="70AD47" w:themeColor="accent6"/>
        </w:rPr>
      </w:pPr>
    </w:p>
    <w:p w14:paraId="43A22AF8" w14:textId="09B4BCF0" w:rsidR="001A6CEE" w:rsidRPr="001A6CEE" w:rsidRDefault="001A6CEE" w:rsidP="008912EA">
      <w:pPr>
        <w:jc w:val="center"/>
        <w:rPr>
          <w:rFonts w:asciiTheme="minorHAnsi" w:hAnsiTheme="minorHAnsi" w:cstheme="minorHAnsi"/>
          <w:b/>
          <w:bCs/>
          <w:color w:val="002060"/>
        </w:rPr>
      </w:pPr>
    </w:p>
    <w:p w14:paraId="17C74CC6" w14:textId="77777777" w:rsidR="001A6CEE" w:rsidRPr="001A6CEE" w:rsidRDefault="001A6CEE" w:rsidP="008912EA">
      <w:pPr>
        <w:jc w:val="center"/>
        <w:rPr>
          <w:rFonts w:asciiTheme="minorHAnsi" w:hAnsiTheme="minorHAnsi" w:cstheme="minorHAnsi"/>
          <w:b/>
          <w:bCs/>
          <w:color w:val="002060"/>
        </w:rPr>
      </w:pPr>
    </w:p>
    <w:p w14:paraId="6BBE8D0D" w14:textId="77777777" w:rsidR="008912EA" w:rsidRDefault="008912EA" w:rsidP="008912EA">
      <w:pPr>
        <w:rPr>
          <w:rFonts w:asciiTheme="minorHAnsi" w:hAnsiTheme="minorHAnsi" w:cstheme="minorHAnsi"/>
          <w:b/>
          <w:bCs/>
        </w:rPr>
      </w:pPr>
      <w:r>
        <w:rPr>
          <w:rFonts w:asciiTheme="minorHAnsi" w:hAnsiTheme="minorHAnsi" w:cstheme="minorHAnsi"/>
          <w:b/>
          <w:bCs/>
        </w:rPr>
        <w:t>Parties</w:t>
      </w:r>
    </w:p>
    <w:p w14:paraId="41F667AA" w14:textId="21BE1289" w:rsidR="008912EA" w:rsidRDefault="00D020E5" w:rsidP="008912EA">
      <w:pPr>
        <w:rPr>
          <w:rFonts w:asciiTheme="minorHAnsi" w:hAnsiTheme="minorHAnsi" w:cstheme="minorHAnsi"/>
        </w:rPr>
      </w:pPr>
      <w:r>
        <w:rPr>
          <w:rFonts w:asciiTheme="minorHAnsi" w:hAnsiTheme="minorHAnsi" w:cstheme="minorHAnsi"/>
        </w:rPr>
        <w:t>David Roy Southwell (Defendant)</w:t>
      </w:r>
    </w:p>
    <w:p w14:paraId="2809EC1B" w14:textId="50D86626" w:rsidR="00D020E5" w:rsidRDefault="00D020E5" w:rsidP="008912EA">
      <w:pPr>
        <w:rPr>
          <w:rFonts w:asciiTheme="minorHAnsi" w:hAnsiTheme="minorHAnsi" w:cstheme="minorHAnsi"/>
        </w:rPr>
      </w:pPr>
      <w:r>
        <w:rPr>
          <w:rFonts w:asciiTheme="minorHAnsi" w:hAnsiTheme="minorHAnsi" w:cstheme="minorHAnsi"/>
        </w:rPr>
        <w:t>Catherine Blackburn (</w:t>
      </w:r>
      <w:r w:rsidR="00417792">
        <w:rPr>
          <w:rFonts w:asciiTheme="minorHAnsi" w:hAnsiTheme="minorHAnsi" w:cstheme="minorHAnsi"/>
        </w:rPr>
        <w:t>Claimant</w:t>
      </w:r>
      <w:r>
        <w:rPr>
          <w:rFonts w:asciiTheme="minorHAnsi" w:hAnsiTheme="minorHAnsi" w:cstheme="minorHAnsi"/>
        </w:rPr>
        <w:t>)</w:t>
      </w:r>
    </w:p>
    <w:p w14:paraId="536C436B" w14:textId="77777777" w:rsidR="00D020E5" w:rsidRDefault="00D020E5" w:rsidP="008912EA">
      <w:pPr>
        <w:rPr>
          <w:rFonts w:asciiTheme="minorHAnsi" w:hAnsiTheme="minorHAnsi" w:cstheme="minorHAnsi"/>
          <w:b/>
          <w:bCs/>
        </w:rPr>
      </w:pPr>
    </w:p>
    <w:p w14:paraId="1A4CBE6D" w14:textId="5E641E97" w:rsidR="008912EA" w:rsidRDefault="008912EA" w:rsidP="008912EA">
      <w:pPr>
        <w:rPr>
          <w:rFonts w:asciiTheme="minorHAnsi" w:hAnsiTheme="minorHAnsi" w:cstheme="minorHAnsi"/>
          <w:b/>
          <w:bCs/>
        </w:rPr>
      </w:pPr>
      <w:r>
        <w:rPr>
          <w:rFonts w:asciiTheme="minorHAnsi" w:hAnsiTheme="minorHAnsi" w:cstheme="minorHAnsi"/>
          <w:b/>
          <w:bCs/>
        </w:rPr>
        <w:t>Procedural History</w:t>
      </w:r>
    </w:p>
    <w:p w14:paraId="62A33DD3" w14:textId="77777777" w:rsidR="008912EA" w:rsidRDefault="008912EA" w:rsidP="008912EA">
      <w:pPr>
        <w:rPr>
          <w:rFonts w:asciiTheme="minorHAnsi" w:hAnsiTheme="minorHAnsi" w:cstheme="minorHAnsi"/>
          <w:color w:val="70AD47" w:themeColor="accent6"/>
        </w:rPr>
      </w:pPr>
    </w:p>
    <w:p w14:paraId="43C029E4" w14:textId="6E9FD7C9" w:rsidR="00417792" w:rsidRDefault="00417792" w:rsidP="008912EA">
      <w:pPr>
        <w:rPr>
          <w:rFonts w:asciiTheme="minorHAnsi" w:hAnsiTheme="minorHAnsi" w:cstheme="minorHAnsi"/>
        </w:rPr>
      </w:pPr>
      <w:r>
        <w:rPr>
          <w:rFonts w:asciiTheme="minorHAnsi" w:hAnsiTheme="minorHAnsi" w:cstheme="minorHAnsi"/>
        </w:rPr>
        <w:t>Trial at Worcester County Court, Judge ordered Southwell to pay £28,500</w:t>
      </w:r>
    </w:p>
    <w:p w14:paraId="22EE3890" w14:textId="28D87E74" w:rsidR="00417792" w:rsidRDefault="00417792" w:rsidP="008912EA">
      <w:pPr>
        <w:rPr>
          <w:rFonts w:asciiTheme="minorHAnsi" w:hAnsiTheme="minorHAnsi" w:cstheme="minorHAnsi"/>
        </w:rPr>
      </w:pPr>
      <w:r>
        <w:rPr>
          <w:rFonts w:asciiTheme="minorHAnsi" w:hAnsiTheme="minorHAnsi" w:cstheme="minorHAnsi"/>
        </w:rPr>
        <w:t xml:space="preserve">Defendant appeals against order </w:t>
      </w:r>
    </w:p>
    <w:p w14:paraId="57FFADBD" w14:textId="38CB44EF" w:rsidR="00417792" w:rsidRDefault="00417792" w:rsidP="008912EA">
      <w:pPr>
        <w:rPr>
          <w:rFonts w:asciiTheme="minorHAnsi" w:hAnsiTheme="minorHAnsi" w:cstheme="minorHAnsi"/>
        </w:rPr>
      </w:pPr>
      <w:r>
        <w:rPr>
          <w:rFonts w:asciiTheme="minorHAnsi" w:hAnsiTheme="minorHAnsi" w:cstheme="minorHAnsi"/>
        </w:rPr>
        <w:t>Judge upheld claim to an enforceable equity by operation of proprietary estoppel</w:t>
      </w:r>
    </w:p>
    <w:p w14:paraId="15E5BF16" w14:textId="77777777" w:rsidR="00417792" w:rsidRDefault="00417792" w:rsidP="008912EA">
      <w:pPr>
        <w:rPr>
          <w:rFonts w:asciiTheme="minorHAnsi" w:hAnsiTheme="minorHAnsi" w:cstheme="minorHAnsi"/>
          <w:color w:val="C00000"/>
        </w:rPr>
      </w:pPr>
    </w:p>
    <w:p w14:paraId="6ABE88E2" w14:textId="69204436" w:rsidR="008912EA" w:rsidRDefault="008912EA" w:rsidP="008912EA">
      <w:pPr>
        <w:rPr>
          <w:rFonts w:asciiTheme="minorHAnsi" w:hAnsiTheme="minorHAnsi" w:cstheme="minorHAnsi"/>
          <w:b/>
          <w:bCs/>
        </w:rPr>
      </w:pPr>
      <w:r>
        <w:rPr>
          <w:rFonts w:asciiTheme="minorHAnsi" w:hAnsiTheme="minorHAnsi" w:cstheme="minorHAnsi"/>
          <w:b/>
          <w:bCs/>
        </w:rPr>
        <w:t>Material facts</w:t>
      </w:r>
    </w:p>
    <w:p w14:paraId="5D956328" w14:textId="0D7D08FA" w:rsidR="008912EA" w:rsidRDefault="008912EA" w:rsidP="008912EA">
      <w:pPr>
        <w:rPr>
          <w:rFonts w:asciiTheme="minorHAnsi" w:hAnsiTheme="minorHAnsi" w:cstheme="minorHAnsi"/>
          <w:color w:val="70AD47" w:themeColor="accent6"/>
        </w:rPr>
      </w:pPr>
      <w:r>
        <w:rPr>
          <w:rFonts w:asciiTheme="minorHAnsi" w:hAnsiTheme="minorHAnsi" w:cstheme="minorHAnsi"/>
          <w:color w:val="70AD47" w:themeColor="accent6"/>
        </w:rPr>
        <w:t xml:space="preserve"> </w:t>
      </w:r>
    </w:p>
    <w:p w14:paraId="1FA74D59" w14:textId="53C7A63B" w:rsidR="00417792" w:rsidRPr="00417792" w:rsidRDefault="00417792" w:rsidP="008912EA">
      <w:pPr>
        <w:rPr>
          <w:rFonts w:asciiTheme="minorHAnsi" w:hAnsiTheme="minorHAnsi" w:cstheme="minorHAnsi"/>
        </w:rPr>
      </w:pPr>
      <w:r>
        <w:rPr>
          <w:rFonts w:asciiTheme="minorHAnsi" w:hAnsiTheme="minorHAnsi" w:cstheme="minorHAnsi"/>
        </w:rPr>
        <w:t xml:space="preserve">Unmarried couple, with property purchased in Southwell’s name alone with his </w:t>
      </w:r>
      <w:r w:rsidR="00DE505E">
        <w:rPr>
          <w:rFonts w:asciiTheme="minorHAnsi" w:hAnsiTheme="minorHAnsi" w:cstheme="minorHAnsi"/>
        </w:rPr>
        <w:t xml:space="preserve">money and he took responsibility of the mortgage. Blackburn had moved out of rented accommodation in which she had spent £20,000 fitting and furnishing house and left her accommodation on the reliance of Southwell’s assurances. </w:t>
      </w:r>
    </w:p>
    <w:p w14:paraId="296B68CA" w14:textId="77777777" w:rsidR="002315B0" w:rsidRDefault="002315B0" w:rsidP="008912EA">
      <w:pPr>
        <w:rPr>
          <w:rFonts w:asciiTheme="minorHAnsi" w:hAnsiTheme="minorHAnsi" w:cstheme="minorHAnsi"/>
          <w:b/>
          <w:bCs/>
        </w:rPr>
      </w:pPr>
    </w:p>
    <w:p w14:paraId="36443AEA" w14:textId="2FBE0FA8" w:rsidR="008912EA" w:rsidRDefault="008912EA" w:rsidP="008912EA">
      <w:pPr>
        <w:rPr>
          <w:rFonts w:asciiTheme="minorHAnsi" w:hAnsiTheme="minorHAnsi" w:cstheme="minorHAnsi"/>
          <w:b/>
          <w:bCs/>
        </w:rPr>
      </w:pPr>
      <w:r>
        <w:rPr>
          <w:rFonts w:asciiTheme="minorHAnsi" w:hAnsiTheme="minorHAnsi" w:cstheme="minorHAnsi"/>
          <w:b/>
          <w:bCs/>
        </w:rPr>
        <w:t xml:space="preserve">Legal </w:t>
      </w:r>
      <w:r w:rsidR="001A6CEE">
        <w:rPr>
          <w:rFonts w:asciiTheme="minorHAnsi" w:hAnsiTheme="minorHAnsi" w:cstheme="minorHAnsi"/>
          <w:b/>
          <w:bCs/>
        </w:rPr>
        <w:t>questions for the court</w:t>
      </w:r>
      <w:r>
        <w:rPr>
          <w:rFonts w:asciiTheme="minorHAnsi" w:hAnsiTheme="minorHAnsi" w:cstheme="minorHAnsi"/>
          <w:b/>
          <w:bCs/>
        </w:rPr>
        <w:t xml:space="preserve"> </w:t>
      </w:r>
    </w:p>
    <w:p w14:paraId="190F7908" w14:textId="77777777" w:rsidR="008912EA" w:rsidRPr="001A6CEE" w:rsidRDefault="008912EA" w:rsidP="008912EA">
      <w:pPr>
        <w:rPr>
          <w:rFonts w:asciiTheme="minorHAnsi" w:hAnsiTheme="minorHAnsi" w:cstheme="minorHAnsi"/>
          <w:color w:val="C00000"/>
        </w:rPr>
      </w:pPr>
    </w:p>
    <w:p w14:paraId="789A1F01" w14:textId="4FB7AA43" w:rsidR="001A6CEE" w:rsidRPr="00DE505E" w:rsidRDefault="00DE505E" w:rsidP="008912EA">
      <w:pPr>
        <w:pStyle w:val="ListParagraph"/>
        <w:numPr>
          <w:ilvl w:val="0"/>
          <w:numId w:val="14"/>
        </w:numPr>
        <w:rPr>
          <w:rFonts w:asciiTheme="minorHAnsi" w:hAnsiTheme="minorHAnsi" w:cstheme="minorHAnsi"/>
          <w:color w:val="C00000"/>
        </w:rPr>
      </w:pPr>
      <w:r w:rsidRPr="00DE505E">
        <w:rPr>
          <w:rFonts w:asciiTheme="minorHAnsi" w:hAnsiTheme="minorHAnsi" w:cstheme="minorHAnsi"/>
        </w:rPr>
        <w:t>Whether the assurances were enough for proprietary estoppel to be considered.</w:t>
      </w:r>
    </w:p>
    <w:p w14:paraId="0F40679F" w14:textId="451CE37D" w:rsidR="00DE505E" w:rsidRPr="001A6CEE" w:rsidRDefault="00DE505E" w:rsidP="008912EA">
      <w:pPr>
        <w:pStyle w:val="ListParagraph"/>
        <w:numPr>
          <w:ilvl w:val="0"/>
          <w:numId w:val="14"/>
        </w:numPr>
        <w:rPr>
          <w:rFonts w:asciiTheme="minorHAnsi" w:hAnsiTheme="minorHAnsi" w:cstheme="minorHAnsi"/>
          <w:color w:val="C00000"/>
        </w:rPr>
      </w:pPr>
      <w:r>
        <w:rPr>
          <w:rFonts w:asciiTheme="minorHAnsi" w:hAnsiTheme="minorHAnsi" w:cstheme="minorHAnsi"/>
        </w:rPr>
        <w:t>That due to the fact to claim a constructive trust had failed did not mean there was no assurance as to the right of Blackburn’s accommodation.</w:t>
      </w:r>
    </w:p>
    <w:p w14:paraId="6B20F962" w14:textId="77777777" w:rsidR="008912EA" w:rsidRDefault="008912EA" w:rsidP="008912EA">
      <w:pPr>
        <w:rPr>
          <w:rFonts w:asciiTheme="minorHAnsi" w:hAnsiTheme="minorHAnsi" w:cstheme="minorHAnsi"/>
          <w:color w:val="70AD47" w:themeColor="accent6"/>
        </w:rPr>
      </w:pPr>
    </w:p>
    <w:p w14:paraId="5C0D4EA2" w14:textId="54B97E92" w:rsidR="001A6CEE" w:rsidRDefault="001A6CEE" w:rsidP="001A6CEE">
      <w:pPr>
        <w:rPr>
          <w:rFonts w:asciiTheme="minorHAnsi" w:hAnsiTheme="minorHAnsi" w:cstheme="minorHAnsi"/>
          <w:b/>
          <w:bCs/>
        </w:rPr>
      </w:pPr>
      <w:r>
        <w:rPr>
          <w:rFonts w:asciiTheme="minorHAnsi" w:hAnsiTheme="minorHAnsi" w:cstheme="minorHAnsi"/>
          <w:b/>
          <w:bCs/>
        </w:rPr>
        <w:t>Appellant arguments</w:t>
      </w:r>
    </w:p>
    <w:p w14:paraId="1BEE41DF" w14:textId="77777777" w:rsidR="000639D6" w:rsidRDefault="000639D6" w:rsidP="001A6CEE">
      <w:pPr>
        <w:rPr>
          <w:rFonts w:asciiTheme="minorHAnsi" w:hAnsiTheme="minorHAnsi" w:cstheme="minorHAnsi"/>
          <w:color w:val="70AD47" w:themeColor="accent6"/>
        </w:rPr>
      </w:pPr>
    </w:p>
    <w:p w14:paraId="282B3E1A" w14:textId="752313C9" w:rsidR="001A6CEE" w:rsidRPr="000639D6" w:rsidRDefault="000639D6" w:rsidP="001A6CEE">
      <w:pPr>
        <w:rPr>
          <w:rFonts w:asciiTheme="minorHAnsi" w:hAnsiTheme="minorHAnsi" w:cstheme="minorHAnsi"/>
        </w:rPr>
      </w:pPr>
      <w:r>
        <w:rPr>
          <w:rFonts w:asciiTheme="minorHAnsi" w:hAnsiTheme="minorHAnsi" w:cstheme="minorHAnsi"/>
        </w:rPr>
        <w:t>Appellant disagreed that Blackburn had a right to claim as they hadn’t gotten married and knew if they had done then she would have a claim against him as he was the sole owner of the property. Appellant disputed that any of his assurances found by the judge lacked specificity to engage in the doctrine.</w:t>
      </w:r>
    </w:p>
    <w:p w14:paraId="21AD0227" w14:textId="77777777" w:rsidR="000639D6" w:rsidRDefault="000639D6" w:rsidP="001A6CEE">
      <w:pPr>
        <w:rPr>
          <w:rFonts w:asciiTheme="minorHAnsi" w:hAnsiTheme="minorHAnsi" w:cstheme="minorHAnsi"/>
          <w:b/>
          <w:bCs/>
        </w:rPr>
      </w:pPr>
    </w:p>
    <w:p w14:paraId="1176F083" w14:textId="367E2DBA" w:rsidR="001A6CEE" w:rsidRDefault="001A6CEE" w:rsidP="001A6CEE">
      <w:pPr>
        <w:rPr>
          <w:rFonts w:asciiTheme="minorHAnsi" w:hAnsiTheme="minorHAnsi" w:cstheme="minorHAnsi"/>
          <w:b/>
          <w:bCs/>
        </w:rPr>
      </w:pPr>
      <w:r>
        <w:rPr>
          <w:rFonts w:asciiTheme="minorHAnsi" w:hAnsiTheme="minorHAnsi" w:cstheme="minorHAnsi"/>
          <w:b/>
          <w:bCs/>
        </w:rPr>
        <w:t>Respondent’s arguments</w:t>
      </w:r>
    </w:p>
    <w:p w14:paraId="5CF6C40A" w14:textId="77777777" w:rsidR="000639D6" w:rsidRDefault="000639D6" w:rsidP="001A6CEE">
      <w:pPr>
        <w:rPr>
          <w:rFonts w:asciiTheme="minorHAnsi" w:hAnsiTheme="minorHAnsi" w:cstheme="minorHAnsi"/>
        </w:rPr>
      </w:pPr>
    </w:p>
    <w:p w14:paraId="1AF58D3C" w14:textId="053853E2" w:rsidR="001A6CEE" w:rsidRPr="000639D6" w:rsidRDefault="000639D6" w:rsidP="001A6CEE">
      <w:pPr>
        <w:rPr>
          <w:rFonts w:asciiTheme="minorHAnsi" w:hAnsiTheme="minorHAnsi" w:cstheme="minorHAnsi"/>
        </w:rPr>
      </w:pPr>
      <w:r>
        <w:rPr>
          <w:rFonts w:asciiTheme="minorHAnsi" w:hAnsiTheme="minorHAnsi" w:cstheme="minorHAnsi"/>
        </w:rPr>
        <w:t>Respondent claimed that the property was held by the appellant on form of a constructive trust on behalf of both parties in equal shares. HH Judge Pearce-Higgins QC denied claim over constructive trust. However, alternative claim of proprietary estoppel succeeded.</w:t>
      </w:r>
    </w:p>
    <w:p w14:paraId="593800C0" w14:textId="77777777" w:rsidR="001A6CEE" w:rsidRDefault="001A6CEE" w:rsidP="001A6CEE">
      <w:pPr>
        <w:rPr>
          <w:rFonts w:asciiTheme="minorHAnsi" w:hAnsiTheme="minorHAnsi" w:cstheme="minorHAnsi"/>
          <w:color w:val="70AD47" w:themeColor="accent6"/>
        </w:rPr>
      </w:pPr>
    </w:p>
    <w:p w14:paraId="49B912A6" w14:textId="77777777" w:rsidR="001A6CEE" w:rsidRPr="001A6CEE" w:rsidRDefault="001A6CEE" w:rsidP="001A6CEE"/>
    <w:p w14:paraId="2F034DC2" w14:textId="4E196F4B" w:rsidR="001A6CEE" w:rsidRDefault="001A6CEE" w:rsidP="001A6CEE">
      <w:pPr>
        <w:rPr>
          <w:rFonts w:asciiTheme="minorHAnsi" w:hAnsiTheme="minorHAnsi" w:cstheme="minorHAnsi"/>
          <w:b/>
          <w:bCs/>
        </w:rPr>
      </w:pPr>
      <w:r>
        <w:rPr>
          <w:rFonts w:asciiTheme="minorHAnsi" w:hAnsiTheme="minorHAnsi" w:cstheme="minorHAnsi"/>
          <w:b/>
          <w:bCs/>
        </w:rPr>
        <w:t>Decision of court</w:t>
      </w:r>
    </w:p>
    <w:p w14:paraId="72E9F74F" w14:textId="77777777" w:rsidR="001A6CEE" w:rsidRDefault="001A6CEE" w:rsidP="001A6CEE">
      <w:pPr>
        <w:rPr>
          <w:rFonts w:asciiTheme="minorHAnsi" w:hAnsiTheme="minorHAnsi" w:cstheme="minorHAnsi"/>
          <w:color w:val="70AD47" w:themeColor="accent6"/>
        </w:rPr>
      </w:pPr>
    </w:p>
    <w:p w14:paraId="61F67A1F" w14:textId="63E5D3C0" w:rsidR="001A6CEE" w:rsidRPr="00170655" w:rsidRDefault="00170655" w:rsidP="001A6CEE">
      <w:pPr>
        <w:rPr>
          <w:rFonts w:asciiTheme="minorHAnsi" w:hAnsiTheme="minorHAnsi" w:cstheme="minorHAnsi"/>
        </w:rPr>
      </w:pPr>
      <w:r>
        <w:rPr>
          <w:rFonts w:asciiTheme="minorHAnsi" w:hAnsiTheme="minorHAnsi" w:cstheme="minorHAnsi"/>
        </w:rPr>
        <w:t>Appeal refused and original decision upheld</w:t>
      </w:r>
    </w:p>
    <w:p w14:paraId="46178BAA" w14:textId="77777777" w:rsidR="001A6CEE" w:rsidRDefault="001A6CEE" w:rsidP="008912EA">
      <w:pPr>
        <w:rPr>
          <w:rFonts w:asciiTheme="minorHAnsi" w:hAnsiTheme="minorHAnsi" w:cstheme="minorHAnsi"/>
        </w:rPr>
      </w:pPr>
    </w:p>
    <w:p w14:paraId="1055E542" w14:textId="3BCCBD5F" w:rsidR="001A6CEE" w:rsidRDefault="001A6CEE" w:rsidP="001A6CEE">
      <w:pPr>
        <w:rPr>
          <w:rFonts w:asciiTheme="minorHAnsi" w:hAnsiTheme="minorHAnsi" w:cstheme="minorHAnsi"/>
          <w:b/>
          <w:bCs/>
        </w:rPr>
      </w:pPr>
      <w:r>
        <w:rPr>
          <w:rFonts w:asciiTheme="minorHAnsi" w:hAnsiTheme="minorHAnsi" w:cstheme="minorHAnsi"/>
          <w:b/>
          <w:bCs/>
        </w:rPr>
        <w:lastRenderedPageBreak/>
        <w:t>Rule of law</w:t>
      </w:r>
    </w:p>
    <w:p w14:paraId="11943A61" w14:textId="77777777" w:rsidR="002315B0" w:rsidRDefault="002315B0" w:rsidP="001A6CEE">
      <w:pPr>
        <w:rPr>
          <w:rFonts w:asciiTheme="minorHAnsi" w:hAnsiTheme="minorHAnsi" w:cstheme="minorHAnsi"/>
          <w:color w:val="70AD47" w:themeColor="accent6"/>
        </w:rPr>
      </w:pPr>
    </w:p>
    <w:p w14:paraId="2DA24672" w14:textId="36FFE22A" w:rsidR="001A6CEE" w:rsidRPr="002315B0" w:rsidRDefault="002315B0" w:rsidP="001A6CEE">
      <w:pPr>
        <w:rPr>
          <w:rFonts w:asciiTheme="minorHAnsi" w:hAnsiTheme="minorHAnsi" w:cstheme="minorHAnsi"/>
        </w:rPr>
      </w:pPr>
      <w:r>
        <w:rPr>
          <w:rFonts w:asciiTheme="minorHAnsi" w:hAnsiTheme="minorHAnsi" w:cstheme="minorHAnsi"/>
        </w:rPr>
        <w:t>The court decided that the respondents claim to propriety estoppel was valid and awarded the sum of £28,500 it found that the appellants promise of accommodation to be specific enough to grant equity in Blackburn’s favour. The court ruled that the promise of security was in fact valid due to the respondent being at a detriment by leaving her accommodation.</w:t>
      </w:r>
    </w:p>
    <w:p w14:paraId="03227D65" w14:textId="77777777" w:rsidR="002315B0" w:rsidRDefault="002315B0" w:rsidP="001A6CEE">
      <w:pPr>
        <w:rPr>
          <w:rFonts w:asciiTheme="minorHAnsi" w:hAnsiTheme="minorHAnsi" w:cstheme="minorHAnsi"/>
          <w:b/>
          <w:bCs/>
        </w:rPr>
      </w:pPr>
    </w:p>
    <w:p w14:paraId="008C3387" w14:textId="7E905BE6" w:rsidR="001A6CEE" w:rsidRDefault="001A6CEE" w:rsidP="001A6CEE">
      <w:pPr>
        <w:rPr>
          <w:rFonts w:asciiTheme="minorHAnsi" w:hAnsiTheme="minorHAnsi" w:cstheme="minorHAnsi"/>
          <w:b/>
          <w:bCs/>
        </w:rPr>
      </w:pPr>
      <w:r>
        <w:rPr>
          <w:rFonts w:asciiTheme="minorHAnsi" w:hAnsiTheme="minorHAnsi" w:cstheme="minorHAnsi"/>
          <w:b/>
          <w:bCs/>
        </w:rPr>
        <w:t>Reasoning</w:t>
      </w:r>
    </w:p>
    <w:p w14:paraId="003FEEF0" w14:textId="77777777" w:rsidR="002315B0" w:rsidRDefault="002315B0" w:rsidP="00A57D4A">
      <w:pPr>
        <w:rPr>
          <w:rFonts w:asciiTheme="minorHAnsi" w:hAnsiTheme="minorHAnsi" w:cstheme="minorHAnsi"/>
          <w:color w:val="70AD47" w:themeColor="accent6"/>
        </w:rPr>
      </w:pPr>
    </w:p>
    <w:p w14:paraId="117E0843" w14:textId="6794AC93" w:rsidR="00170655" w:rsidRPr="00170655" w:rsidRDefault="00170655" w:rsidP="00170655">
      <w:pPr>
        <w:rPr>
          <w:rFonts w:asciiTheme="minorHAnsi" w:hAnsiTheme="minorHAnsi" w:cstheme="minorHAnsi"/>
        </w:rPr>
      </w:pPr>
      <w:r>
        <w:rPr>
          <w:rFonts w:asciiTheme="minorHAnsi" w:hAnsiTheme="minorHAnsi" w:cstheme="minorHAnsi"/>
        </w:rPr>
        <w:t>Court decided that there was detriment to the respondent as she had abandoned a secure home in which she had spent considerable amounts of money into a home in which she held no legal title for. The detrimental reliance is what made the promise of a home from the appellant irrevocable</w:t>
      </w:r>
      <w:r w:rsidR="002315B0">
        <w:rPr>
          <w:rFonts w:asciiTheme="minorHAnsi" w:hAnsiTheme="minorHAnsi" w:cstheme="minorHAnsi"/>
        </w:rPr>
        <w:t xml:space="preserve"> and that it would be unconscionable to revoke the promise made.</w:t>
      </w:r>
    </w:p>
    <w:p w14:paraId="27CC9159" w14:textId="77777777" w:rsidR="00A57D4A" w:rsidRDefault="00A57D4A" w:rsidP="00A57D4A">
      <w:pPr>
        <w:rPr>
          <w:rFonts w:asciiTheme="minorHAnsi" w:hAnsiTheme="minorHAnsi" w:cstheme="minorHAnsi"/>
          <w:color w:val="70AD47" w:themeColor="accent6"/>
        </w:rPr>
      </w:pPr>
    </w:p>
    <w:p w14:paraId="58DBBD68" w14:textId="77777777" w:rsidR="00A57D4A" w:rsidRDefault="00A57D4A"/>
    <w:p w14:paraId="2F87977C" w14:textId="77777777" w:rsidR="00A57D4A" w:rsidRDefault="00A57D4A"/>
    <w:p w14:paraId="73A72906" w14:textId="519B725C" w:rsidR="001A6CEE" w:rsidRDefault="001A6CEE">
      <w:pPr>
        <w:rPr>
          <w:rFonts w:asciiTheme="majorHAnsi" w:eastAsiaTheme="majorEastAsia" w:hAnsiTheme="majorHAnsi" w:cstheme="majorBidi"/>
          <w:b/>
          <w:szCs w:val="40"/>
        </w:rPr>
      </w:pPr>
      <w:r>
        <w:br w:type="page"/>
      </w:r>
    </w:p>
    <w:p w14:paraId="0C08295F" w14:textId="14B80BBE" w:rsidR="005F216E" w:rsidRPr="009D531E" w:rsidRDefault="005F216E" w:rsidP="009D79FD">
      <w:pPr>
        <w:pStyle w:val="Heading1"/>
        <w:numPr>
          <w:ilvl w:val="0"/>
          <w:numId w:val="0"/>
        </w:numPr>
      </w:pPr>
      <w:r w:rsidRPr="009D531E">
        <w:lastRenderedPageBreak/>
        <w:t>References</w:t>
      </w:r>
    </w:p>
    <w:sdt>
      <w:sdtPr>
        <w:rPr>
          <w:rFonts w:ascii="Times New Roman" w:eastAsia="Times New Roman" w:hAnsi="Times New Roman" w:cs="Times New Roman"/>
          <w:b w:val="0"/>
          <w:szCs w:val="24"/>
        </w:rPr>
        <w:id w:val="-1504663894"/>
        <w:docPartObj>
          <w:docPartGallery w:val="Bibliographies"/>
          <w:docPartUnique/>
        </w:docPartObj>
      </w:sdtPr>
      <w:sdtEndPr/>
      <w:sdtContent>
        <w:p w14:paraId="2AEF86E1" w14:textId="2AA6917F" w:rsidR="00CB42C9" w:rsidRDefault="00CB42C9">
          <w:pPr>
            <w:pStyle w:val="Heading1"/>
          </w:pPr>
          <w:r>
            <w:t>References</w:t>
          </w:r>
        </w:p>
        <w:sdt>
          <w:sdtPr>
            <w:id w:val="-573587230"/>
            <w:bibliography/>
          </w:sdtPr>
          <w:sdtEndPr/>
          <w:sdtContent>
            <w:p w14:paraId="236ADCAC" w14:textId="77777777" w:rsidR="00E96B1F" w:rsidRDefault="00CB42C9" w:rsidP="00E96B1F">
              <w:pPr>
                <w:pStyle w:val="Bibliography"/>
                <w:rPr>
                  <w:noProof/>
                </w:rPr>
              </w:pPr>
              <w:r>
                <w:fldChar w:fldCharType="begin"/>
              </w:r>
              <w:r>
                <w:instrText xml:space="preserve"> BIBLIOGRAPHY </w:instrText>
              </w:r>
              <w:r>
                <w:fldChar w:fldCharType="separate"/>
              </w:r>
              <w:r w:rsidR="00E96B1F">
                <w:rPr>
                  <w:noProof/>
                </w:rPr>
                <w:t xml:space="preserve">Abbott, L., 2022. </w:t>
              </w:r>
              <w:r w:rsidR="00E96B1F">
                <w:rPr>
                  <w:i/>
                  <w:iCs/>
                  <w:noProof/>
                </w:rPr>
                <w:t xml:space="preserve">What are resulting and constructive trusts. </w:t>
              </w:r>
              <w:r w:rsidR="00E96B1F">
                <w:rPr>
                  <w:noProof/>
                </w:rPr>
                <w:t xml:space="preserve">[Online] </w:t>
              </w:r>
              <w:r w:rsidR="00E96B1F">
                <w:rPr>
                  <w:noProof/>
                </w:rPr>
                <w:br/>
                <w:t xml:space="preserve">Available at: </w:t>
              </w:r>
              <w:r w:rsidR="00E96B1F">
                <w:rPr>
                  <w:noProof/>
                  <w:u w:val="single"/>
                </w:rPr>
                <w:t>https://www.thegazette.co.uk/all-notices/content/104095</w:t>
              </w:r>
            </w:p>
            <w:p w14:paraId="55A06C67" w14:textId="77777777" w:rsidR="00E96B1F" w:rsidRDefault="00E96B1F" w:rsidP="00E96B1F">
              <w:pPr>
                <w:pStyle w:val="Bibliography"/>
                <w:rPr>
                  <w:noProof/>
                </w:rPr>
              </w:pPr>
              <w:r>
                <w:rPr>
                  <w:i/>
                  <w:iCs/>
                  <w:noProof/>
                </w:rPr>
                <w:t xml:space="preserve">Davies v Davies [2014] EWCA Civ 568 </w:t>
              </w:r>
              <w:r>
                <w:rPr>
                  <w:noProof/>
                </w:rPr>
                <w:t xml:space="preserve">(2014) Ryan Mowat. </w:t>
              </w:r>
            </w:p>
            <w:p w14:paraId="066B94EC" w14:textId="77777777" w:rsidR="00E96B1F" w:rsidRDefault="00E96B1F" w:rsidP="00E96B1F">
              <w:pPr>
                <w:pStyle w:val="Bibliography"/>
                <w:rPr>
                  <w:noProof/>
                </w:rPr>
              </w:pPr>
              <w:r>
                <w:rPr>
                  <w:i/>
                  <w:iCs/>
                  <w:noProof/>
                </w:rPr>
                <w:t xml:space="preserve">James v Thomas [2007] EWCA Civ 1212 </w:t>
              </w:r>
              <w:r>
                <w:rPr>
                  <w:noProof/>
                </w:rPr>
                <w:t xml:space="preserve">(2007) Sarah Greer. </w:t>
              </w:r>
            </w:p>
            <w:p w14:paraId="683CCB9E" w14:textId="77777777" w:rsidR="00E96B1F" w:rsidRDefault="00E96B1F" w:rsidP="00E96B1F">
              <w:pPr>
                <w:pStyle w:val="Bibliography"/>
                <w:rPr>
                  <w:noProof/>
                </w:rPr>
              </w:pPr>
              <w:r>
                <w:rPr>
                  <w:i/>
                  <w:iCs/>
                  <w:noProof/>
                </w:rPr>
                <w:t xml:space="preserve">Kernott v Jones [2011] UKSC 53 </w:t>
              </w:r>
              <w:r>
                <w:rPr>
                  <w:noProof/>
                </w:rPr>
                <w:t xml:space="preserve">(2011) Matthew Evans. </w:t>
              </w:r>
            </w:p>
            <w:p w14:paraId="7F5C5AD7" w14:textId="77777777" w:rsidR="00E96B1F" w:rsidRDefault="00E96B1F" w:rsidP="00E96B1F">
              <w:pPr>
                <w:pStyle w:val="Bibliography"/>
                <w:rPr>
                  <w:noProof/>
                </w:rPr>
              </w:pPr>
              <w:r>
                <w:rPr>
                  <w:noProof/>
                </w:rPr>
                <w:t xml:space="preserve">Lexis+UK, 2024. </w:t>
              </w:r>
              <w:r>
                <w:rPr>
                  <w:i/>
                  <w:iCs/>
                  <w:noProof/>
                </w:rPr>
                <w:t xml:space="preserve">Propriety estoppel-what is it. </w:t>
              </w:r>
              <w:r>
                <w:rPr>
                  <w:noProof/>
                </w:rPr>
                <w:t xml:space="preserve">[Online] </w:t>
              </w:r>
              <w:r>
                <w:rPr>
                  <w:noProof/>
                </w:rPr>
                <w:br/>
                <w:t xml:space="preserve">Available at: </w:t>
              </w:r>
              <w:r>
                <w:rPr>
                  <w:noProof/>
                  <w:u w:val="single"/>
                </w:rPr>
                <w:t>https://plus-lexis-com.ezproxy.uwtsd.ac.uk/uk/document/?pdmfid=1001073&amp;crid=9665ba43-794e-429d-ada9-b52ab8497b10&amp;pddocfullpath=%2Fshared%2Fdocument%2Fpractical-guidance-uk%2Furn:contentItem:5MFD-V4J1-F18B-80WT-00000-00&amp;pdcontentcomponentid=128510&amp;pdteaser</w:t>
              </w:r>
              <w:r>
                <w:rPr>
                  <w:noProof/>
                </w:rPr>
                <w:br/>
                <w:t>[Accessed 5 December 2024].</w:t>
              </w:r>
            </w:p>
            <w:p w14:paraId="1515E045" w14:textId="77777777" w:rsidR="00E96B1F" w:rsidRDefault="00E96B1F" w:rsidP="00E96B1F">
              <w:pPr>
                <w:pStyle w:val="Bibliography"/>
                <w:rPr>
                  <w:noProof/>
                </w:rPr>
              </w:pPr>
              <w:r>
                <w:rPr>
                  <w:i/>
                  <w:iCs/>
                  <w:noProof/>
                </w:rPr>
                <w:t xml:space="preserve">Lloyds Bank v Rosset [1991] 1 AC 107 </w:t>
              </w:r>
              <w:r>
                <w:rPr>
                  <w:noProof/>
                </w:rPr>
                <w:t xml:space="preserve">(1990) Mattew Mills. </w:t>
              </w:r>
            </w:p>
            <w:p w14:paraId="03497BC8" w14:textId="77777777" w:rsidR="00E96B1F" w:rsidRDefault="00E96B1F" w:rsidP="00E96B1F">
              <w:pPr>
                <w:pStyle w:val="Bibliography"/>
                <w:rPr>
                  <w:noProof/>
                </w:rPr>
              </w:pPr>
              <w:r>
                <w:rPr>
                  <w:i/>
                  <w:iCs/>
                  <w:noProof/>
                </w:rPr>
                <w:t xml:space="preserve">Southwell v Blackburn [2014] EWCA Civ 1347 </w:t>
              </w:r>
              <w:r>
                <w:rPr>
                  <w:noProof/>
                </w:rPr>
                <w:t xml:space="preserve">(2014) Curt of Appeal. </w:t>
              </w:r>
            </w:p>
            <w:p w14:paraId="351E4A6D" w14:textId="77777777" w:rsidR="00E96B1F" w:rsidRDefault="00E96B1F" w:rsidP="00E96B1F">
              <w:pPr>
                <w:pStyle w:val="Bibliography"/>
                <w:rPr>
                  <w:noProof/>
                </w:rPr>
              </w:pPr>
              <w:r>
                <w:rPr>
                  <w:i/>
                  <w:iCs/>
                  <w:noProof/>
                </w:rPr>
                <w:t xml:space="preserve">Stack v Dowden [2007] UKHL 17 </w:t>
              </w:r>
              <w:r>
                <w:rPr>
                  <w:noProof/>
                </w:rPr>
                <w:t xml:space="preserve">(2007) James Freeman. </w:t>
              </w:r>
            </w:p>
            <w:p w14:paraId="6619F5DD" w14:textId="77777777" w:rsidR="00E96B1F" w:rsidRDefault="00E96B1F" w:rsidP="00E96B1F">
              <w:pPr>
                <w:pStyle w:val="Bibliography"/>
                <w:rPr>
                  <w:noProof/>
                </w:rPr>
              </w:pPr>
              <w:r>
                <w:rPr>
                  <w:i/>
                  <w:iCs/>
                  <w:noProof/>
                </w:rPr>
                <w:t xml:space="preserve">Steels v Steels [2023] EWHC 2985 </w:t>
              </w:r>
              <w:r>
                <w:rPr>
                  <w:noProof/>
                </w:rPr>
                <w:t xml:space="preserve">(2023) Isabella Thomas-Kelly. </w:t>
              </w:r>
            </w:p>
            <w:p w14:paraId="0CFA0DF5" w14:textId="77777777" w:rsidR="00E96B1F" w:rsidRDefault="00E96B1F" w:rsidP="00E96B1F">
              <w:pPr>
                <w:pStyle w:val="Bibliography"/>
                <w:rPr>
                  <w:noProof/>
                </w:rPr>
              </w:pPr>
              <w:r>
                <w:rPr>
                  <w:noProof/>
                </w:rPr>
                <w:t xml:space="preserve">UK Public General Acts, 2003. </w:t>
              </w:r>
              <w:r>
                <w:rPr>
                  <w:i/>
                  <w:iCs/>
                  <w:noProof/>
                </w:rPr>
                <w:t xml:space="preserve">Land registration Act 2002. </w:t>
              </w:r>
              <w:r>
                <w:rPr>
                  <w:noProof/>
                </w:rPr>
                <w:t xml:space="preserve">[Online] </w:t>
              </w:r>
              <w:r>
                <w:rPr>
                  <w:noProof/>
                </w:rPr>
                <w:br/>
                <w:t xml:space="preserve">Available at: </w:t>
              </w:r>
              <w:r>
                <w:rPr>
                  <w:noProof/>
                  <w:u w:val="single"/>
                </w:rPr>
                <w:t>https://www.legislation.gov.uk/ukpga/2002/9/contents</w:t>
              </w:r>
              <w:r>
                <w:rPr>
                  <w:noProof/>
                </w:rPr>
                <w:br/>
                <w:t>[Accessed 5 December 2024].</w:t>
              </w:r>
            </w:p>
            <w:p w14:paraId="6FF62E57" w14:textId="77777777" w:rsidR="00E96B1F" w:rsidRDefault="00E96B1F" w:rsidP="00E96B1F">
              <w:pPr>
                <w:pStyle w:val="Bibliography"/>
                <w:rPr>
                  <w:noProof/>
                </w:rPr>
              </w:pPr>
              <w:r>
                <w:rPr>
                  <w:noProof/>
                </w:rPr>
                <w:t>UK, n.d. [Online].</w:t>
              </w:r>
            </w:p>
            <w:p w14:paraId="42163ED4" w14:textId="4C2E635C" w:rsidR="00CB42C9" w:rsidRDefault="00CB42C9" w:rsidP="00E96B1F">
              <w:r>
                <w:rPr>
                  <w:b/>
                  <w:bCs/>
                  <w:noProof/>
                </w:rPr>
                <w:fldChar w:fldCharType="end"/>
              </w:r>
            </w:p>
          </w:sdtContent>
        </w:sdt>
      </w:sdtContent>
    </w:sdt>
    <w:p w14:paraId="30617AA3" w14:textId="505368FD" w:rsidR="003C403A" w:rsidRDefault="003C403A" w:rsidP="00893BBB"/>
    <w:p w14:paraId="6C408D3D" w14:textId="77777777" w:rsidR="005F216E" w:rsidRPr="009D531E" w:rsidRDefault="005F216E" w:rsidP="009D531E">
      <w:pPr>
        <w:spacing w:line="360" w:lineRule="auto"/>
        <w:rPr>
          <w:rFonts w:ascii="Arial" w:hAnsi="Arial" w:cs="Arial"/>
        </w:rPr>
      </w:pPr>
    </w:p>
    <w:sectPr w:rsidR="005F216E" w:rsidRPr="009D531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5230B" w14:textId="77777777" w:rsidR="00B5659D" w:rsidRDefault="00B5659D" w:rsidP="00A27820">
      <w:r>
        <w:separator/>
      </w:r>
    </w:p>
  </w:endnote>
  <w:endnote w:type="continuationSeparator" w:id="0">
    <w:p w14:paraId="76981DEB" w14:textId="77777777" w:rsidR="00B5659D" w:rsidRDefault="00B5659D"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2042476"/>
      <w:docPartObj>
        <w:docPartGallery w:val="Page Numbers (Bottom of Page)"/>
        <w:docPartUnique/>
      </w:docPartObj>
    </w:sdtPr>
    <w:sdtEndPr>
      <w:rPr>
        <w:rStyle w:val="PageNumber"/>
      </w:rPr>
    </w:sdtEnd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53464338"/>
      <w:docPartObj>
        <w:docPartGallery w:val="Page Numbers (Bottom of Page)"/>
        <w:docPartUnique/>
      </w:docPartObj>
    </w:sdtPr>
    <w:sdtEndPr>
      <w:rPr>
        <w:rStyle w:val="PageNumber"/>
      </w:rPr>
    </w:sdtEnd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ADBB95" w14:textId="77777777" w:rsidR="00B5659D" w:rsidRDefault="00B5659D" w:rsidP="00A27820">
      <w:r>
        <w:separator/>
      </w:r>
    </w:p>
  </w:footnote>
  <w:footnote w:type="continuationSeparator" w:id="0">
    <w:p w14:paraId="76813F72" w14:textId="77777777" w:rsidR="00B5659D" w:rsidRDefault="00B5659D" w:rsidP="00A278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25D"/>
    <w:multiLevelType w:val="multilevel"/>
    <w:tmpl w:val="8BC47C6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91F44B6"/>
    <w:multiLevelType w:val="hybridMultilevel"/>
    <w:tmpl w:val="C4160FDE"/>
    <w:lvl w:ilvl="0" w:tplc="122C8884">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142338276">
    <w:abstractNumId w:val="11"/>
  </w:num>
  <w:num w:numId="2" w16cid:durableId="2120635015">
    <w:abstractNumId w:val="1"/>
  </w:num>
  <w:num w:numId="3" w16cid:durableId="409429405">
    <w:abstractNumId w:val="8"/>
  </w:num>
  <w:num w:numId="4" w16cid:durableId="966425405">
    <w:abstractNumId w:val="2"/>
  </w:num>
  <w:num w:numId="5" w16cid:durableId="905720763">
    <w:abstractNumId w:val="7"/>
  </w:num>
  <w:num w:numId="6" w16cid:durableId="1688821942">
    <w:abstractNumId w:val="10"/>
  </w:num>
  <w:num w:numId="7" w16cid:durableId="1028261598">
    <w:abstractNumId w:val="4"/>
  </w:num>
  <w:num w:numId="8" w16cid:durableId="1507552221">
    <w:abstractNumId w:val="12"/>
  </w:num>
  <w:num w:numId="9" w16cid:durableId="2146777341">
    <w:abstractNumId w:val="3"/>
  </w:num>
  <w:num w:numId="10" w16cid:durableId="1605649047">
    <w:abstractNumId w:val="6"/>
  </w:num>
  <w:num w:numId="11" w16cid:durableId="1501387600">
    <w:abstractNumId w:val="0"/>
  </w:num>
  <w:num w:numId="12" w16cid:durableId="759907699">
    <w:abstractNumId w:val="5"/>
  </w:num>
  <w:num w:numId="13" w16cid:durableId="1294866029">
    <w:abstractNumId w:val="14"/>
  </w:num>
  <w:num w:numId="14" w16cid:durableId="600912506">
    <w:abstractNumId w:val="13"/>
  </w:num>
  <w:num w:numId="15" w16cid:durableId="8828652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1234A"/>
    <w:rsid w:val="0003621E"/>
    <w:rsid w:val="00057E73"/>
    <w:rsid w:val="000639D6"/>
    <w:rsid w:val="000A28D5"/>
    <w:rsid w:val="000B02BA"/>
    <w:rsid w:val="001265CB"/>
    <w:rsid w:val="00170655"/>
    <w:rsid w:val="00192593"/>
    <w:rsid w:val="001A6CEE"/>
    <w:rsid w:val="001F2EFC"/>
    <w:rsid w:val="002015C7"/>
    <w:rsid w:val="002315B0"/>
    <w:rsid w:val="002363B8"/>
    <w:rsid w:val="00240F89"/>
    <w:rsid w:val="002E60BF"/>
    <w:rsid w:val="002F7D75"/>
    <w:rsid w:val="00346E4E"/>
    <w:rsid w:val="003B6AE4"/>
    <w:rsid w:val="003C403A"/>
    <w:rsid w:val="003C63F7"/>
    <w:rsid w:val="00403E8A"/>
    <w:rsid w:val="004079D6"/>
    <w:rsid w:val="004176CB"/>
    <w:rsid w:val="00417792"/>
    <w:rsid w:val="004A2F1A"/>
    <w:rsid w:val="00564E9E"/>
    <w:rsid w:val="00595DAF"/>
    <w:rsid w:val="005A3EC9"/>
    <w:rsid w:val="005F216E"/>
    <w:rsid w:val="005F7634"/>
    <w:rsid w:val="00607193"/>
    <w:rsid w:val="00614AB9"/>
    <w:rsid w:val="006202AE"/>
    <w:rsid w:val="006642EC"/>
    <w:rsid w:val="00664FDE"/>
    <w:rsid w:val="007D3135"/>
    <w:rsid w:val="008143F1"/>
    <w:rsid w:val="008912EA"/>
    <w:rsid w:val="00893BBB"/>
    <w:rsid w:val="008B3572"/>
    <w:rsid w:val="008D44DE"/>
    <w:rsid w:val="00943B7D"/>
    <w:rsid w:val="009D531E"/>
    <w:rsid w:val="009D79FD"/>
    <w:rsid w:val="00A27820"/>
    <w:rsid w:val="00A52615"/>
    <w:rsid w:val="00A57D4A"/>
    <w:rsid w:val="00A72DB8"/>
    <w:rsid w:val="00A8016E"/>
    <w:rsid w:val="00AA328E"/>
    <w:rsid w:val="00B3161E"/>
    <w:rsid w:val="00B3586F"/>
    <w:rsid w:val="00B5659D"/>
    <w:rsid w:val="00B67821"/>
    <w:rsid w:val="00B91837"/>
    <w:rsid w:val="00BA0A8D"/>
    <w:rsid w:val="00C67930"/>
    <w:rsid w:val="00C933E3"/>
    <w:rsid w:val="00CB0335"/>
    <w:rsid w:val="00CB42C9"/>
    <w:rsid w:val="00CE0397"/>
    <w:rsid w:val="00D020E5"/>
    <w:rsid w:val="00D049E2"/>
    <w:rsid w:val="00D3403E"/>
    <w:rsid w:val="00D553B7"/>
    <w:rsid w:val="00D62530"/>
    <w:rsid w:val="00D94925"/>
    <w:rsid w:val="00DC16C7"/>
    <w:rsid w:val="00DD3A64"/>
    <w:rsid w:val="00DE0CA8"/>
    <w:rsid w:val="00DE505E"/>
    <w:rsid w:val="00E276CF"/>
    <w:rsid w:val="00E3405E"/>
    <w:rsid w:val="00E951F5"/>
    <w:rsid w:val="00E96B1F"/>
    <w:rsid w:val="00EA57FC"/>
    <w:rsid w:val="00EC67D6"/>
    <w:rsid w:val="00F10F77"/>
    <w:rsid w:val="00F14498"/>
    <w:rsid w:val="00F261CE"/>
    <w:rsid w:val="00F31919"/>
    <w:rsid w:val="00F43BBA"/>
    <w:rsid w:val="00F564F0"/>
    <w:rsid w:val="00F61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Bibliography">
    <w:name w:val="Bibliography"/>
    <w:basedOn w:val="Normal"/>
    <w:next w:val="Normal"/>
    <w:uiPriority w:val="37"/>
    <w:unhideWhenUsed/>
    <w:rsid w:val="003C4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23363287">
      <w:bodyDiv w:val="1"/>
      <w:marLeft w:val="0"/>
      <w:marRight w:val="0"/>
      <w:marTop w:val="0"/>
      <w:marBottom w:val="0"/>
      <w:divBdr>
        <w:top w:val="none" w:sz="0" w:space="0" w:color="auto"/>
        <w:left w:val="none" w:sz="0" w:space="0" w:color="auto"/>
        <w:bottom w:val="none" w:sz="0" w:space="0" w:color="auto"/>
        <w:right w:val="none" w:sz="0" w:space="0" w:color="auto"/>
      </w:divBdr>
    </w:div>
    <w:div w:id="35661102">
      <w:bodyDiv w:val="1"/>
      <w:marLeft w:val="0"/>
      <w:marRight w:val="0"/>
      <w:marTop w:val="0"/>
      <w:marBottom w:val="0"/>
      <w:divBdr>
        <w:top w:val="none" w:sz="0" w:space="0" w:color="auto"/>
        <w:left w:val="none" w:sz="0" w:space="0" w:color="auto"/>
        <w:bottom w:val="none" w:sz="0" w:space="0" w:color="auto"/>
        <w:right w:val="none" w:sz="0" w:space="0" w:color="auto"/>
      </w:divBdr>
    </w:div>
    <w:div w:id="36862448">
      <w:bodyDiv w:val="1"/>
      <w:marLeft w:val="0"/>
      <w:marRight w:val="0"/>
      <w:marTop w:val="0"/>
      <w:marBottom w:val="0"/>
      <w:divBdr>
        <w:top w:val="none" w:sz="0" w:space="0" w:color="auto"/>
        <w:left w:val="none" w:sz="0" w:space="0" w:color="auto"/>
        <w:bottom w:val="none" w:sz="0" w:space="0" w:color="auto"/>
        <w:right w:val="none" w:sz="0" w:space="0" w:color="auto"/>
      </w:divBdr>
    </w:div>
    <w:div w:id="42020636">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60757687">
      <w:bodyDiv w:val="1"/>
      <w:marLeft w:val="0"/>
      <w:marRight w:val="0"/>
      <w:marTop w:val="0"/>
      <w:marBottom w:val="0"/>
      <w:divBdr>
        <w:top w:val="none" w:sz="0" w:space="0" w:color="auto"/>
        <w:left w:val="none" w:sz="0" w:space="0" w:color="auto"/>
        <w:bottom w:val="none" w:sz="0" w:space="0" w:color="auto"/>
        <w:right w:val="none" w:sz="0" w:space="0" w:color="auto"/>
      </w:divBdr>
    </w:div>
    <w:div w:id="72818606">
      <w:bodyDiv w:val="1"/>
      <w:marLeft w:val="0"/>
      <w:marRight w:val="0"/>
      <w:marTop w:val="0"/>
      <w:marBottom w:val="0"/>
      <w:divBdr>
        <w:top w:val="none" w:sz="0" w:space="0" w:color="auto"/>
        <w:left w:val="none" w:sz="0" w:space="0" w:color="auto"/>
        <w:bottom w:val="none" w:sz="0" w:space="0" w:color="auto"/>
        <w:right w:val="none" w:sz="0" w:space="0" w:color="auto"/>
      </w:divBdr>
    </w:div>
    <w:div w:id="153690561">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269625680">
      <w:bodyDiv w:val="1"/>
      <w:marLeft w:val="0"/>
      <w:marRight w:val="0"/>
      <w:marTop w:val="0"/>
      <w:marBottom w:val="0"/>
      <w:divBdr>
        <w:top w:val="none" w:sz="0" w:space="0" w:color="auto"/>
        <w:left w:val="none" w:sz="0" w:space="0" w:color="auto"/>
        <w:bottom w:val="none" w:sz="0" w:space="0" w:color="auto"/>
        <w:right w:val="none" w:sz="0" w:space="0" w:color="auto"/>
      </w:divBdr>
    </w:div>
    <w:div w:id="287009228">
      <w:bodyDiv w:val="1"/>
      <w:marLeft w:val="0"/>
      <w:marRight w:val="0"/>
      <w:marTop w:val="0"/>
      <w:marBottom w:val="0"/>
      <w:divBdr>
        <w:top w:val="none" w:sz="0" w:space="0" w:color="auto"/>
        <w:left w:val="none" w:sz="0" w:space="0" w:color="auto"/>
        <w:bottom w:val="none" w:sz="0" w:space="0" w:color="auto"/>
        <w:right w:val="none" w:sz="0" w:space="0" w:color="auto"/>
      </w:divBdr>
    </w:div>
    <w:div w:id="329066696">
      <w:bodyDiv w:val="1"/>
      <w:marLeft w:val="0"/>
      <w:marRight w:val="0"/>
      <w:marTop w:val="0"/>
      <w:marBottom w:val="0"/>
      <w:divBdr>
        <w:top w:val="none" w:sz="0" w:space="0" w:color="auto"/>
        <w:left w:val="none" w:sz="0" w:space="0" w:color="auto"/>
        <w:bottom w:val="none" w:sz="0" w:space="0" w:color="auto"/>
        <w:right w:val="none" w:sz="0" w:space="0" w:color="auto"/>
      </w:divBdr>
    </w:div>
    <w:div w:id="342167978">
      <w:bodyDiv w:val="1"/>
      <w:marLeft w:val="0"/>
      <w:marRight w:val="0"/>
      <w:marTop w:val="0"/>
      <w:marBottom w:val="0"/>
      <w:divBdr>
        <w:top w:val="none" w:sz="0" w:space="0" w:color="auto"/>
        <w:left w:val="none" w:sz="0" w:space="0" w:color="auto"/>
        <w:bottom w:val="none" w:sz="0" w:space="0" w:color="auto"/>
        <w:right w:val="none" w:sz="0" w:space="0" w:color="auto"/>
      </w:divBdr>
    </w:div>
    <w:div w:id="367724796">
      <w:bodyDiv w:val="1"/>
      <w:marLeft w:val="0"/>
      <w:marRight w:val="0"/>
      <w:marTop w:val="0"/>
      <w:marBottom w:val="0"/>
      <w:divBdr>
        <w:top w:val="none" w:sz="0" w:space="0" w:color="auto"/>
        <w:left w:val="none" w:sz="0" w:space="0" w:color="auto"/>
        <w:bottom w:val="none" w:sz="0" w:space="0" w:color="auto"/>
        <w:right w:val="none" w:sz="0" w:space="0" w:color="auto"/>
      </w:divBdr>
    </w:div>
    <w:div w:id="449322409">
      <w:bodyDiv w:val="1"/>
      <w:marLeft w:val="0"/>
      <w:marRight w:val="0"/>
      <w:marTop w:val="0"/>
      <w:marBottom w:val="0"/>
      <w:divBdr>
        <w:top w:val="none" w:sz="0" w:space="0" w:color="auto"/>
        <w:left w:val="none" w:sz="0" w:space="0" w:color="auto"/>
        <w:bottom w:val="none" w:sz="0" w:space="0" w:color="auto"/>
        <w:right w:val="none" w:sz="0" w:space="0" w:color="auto"/>
      </w:divBdr>
    </w:div>
    <w:div w:id="451947440">
      <w:bodyDiv w:val="1"/>
      <w:marLeft w:val="0"/>
      <w:marRight w:val="0"/>
      <w:marTop w:val="0"/>
      <w:marBottom w:val="0"/>
      <w:divBdr>
        <w:top w:val="none" w:sz="0" w:space="0" w:color="auto"/>
        <w:left w:val="none" w:sz="0" w:space="0" w:color="auto"/>
        <w:bottom w:val="none" w:sz="0" w:space="0" w:color="auto"/>
        <w:right w:val="none" w:sz="0" w:space="0" w:color="auto"/>
      </w:divBdr>
    </w:div>
    <w:div w:id="460391673">
      <w:bodyDiv w:val="1"/>
      <w:marLeft w:val="0"/>
      <w:marRight w:val="0"/>
      <w:marTop w:val="0"/>
      <w:marBottom w:val="0"/>
      <w:divBdr>
        <w:top w:val="none" w:sz="0" w:space="0" w:color="auto"/>
        <w:left w:val="none" w:sz="0" w:space="0" w:color="auto"/>
        <w:bottom w:val="none" w:sz="0" w:space="0" w:color="auto"/>
        <w:right w:val="none" w:sz="0" w:space="0" w:color="auto"/>
      </w:divBdr>
    </w:div>
    <w:div w:id="463235826">
      <w:bodyDiv w:val="1"/>
      <w:marLeft w:val="0"/>
      <w:marRight w:val="0"/>
      <w:marTop w:val="0"/>
      <w:marBottom w:val="0"/>
      <w:divBdr>
        <w:top w:val="none" w:sz="0" w:space="0" w:color="auto"/>
        <w:left w:val="none" w:sz="0" w:space="0" w:color="auto"/>
        <w:bottom w:val="none" w:sz="0" w:space="0" w:color="auto"/>
        <w:right w:val="none" w:sz="0" w:space="0" w:color="auto"/>
      </w:divBdr>
    </w:div>
    <w:div w:id="468088429">
      <w:bodyDiv w:val="1"/>
      <w:marLeft w:val="0"/>
      <w:marRight w:val="0"/>
      <w:marTop w:val="0"/>
      <w:marBottom w:val="0"/>
      <w:divBdr>
        <w:top w:val="none" w:sz="0" w:space="0" w:color="auto"/>
        <w:left w:val="none" w:sz="0" w:space="0" w:color="auto"/>
        <w:bottom w:val="none" w:sz="0" w:space="0" w:color="auto"/>
        <w:right w:val="none" w:sz="0" w:space="0" w:color="auto"/>
      </w:divBdr>
    </w:div>
    <w:div w:id="472254224">
      <w:bodyDiv w:val="1"/>
      <w:marLeft w:val="0"/>
      <w:marRight w:val="0"/>
      <w:marTop w:val="0"/>
      <w:marBottom w:val="0"/>
      <w:divBdr>
        <w:top w:val="none" w:sz="0" w:space="0" w:color="auto"/>
        <w:left w:val="none" w:sz="0" w:space="0" w:color="auto"/>
        <w:bottom w:val="none" w:sz="0" w:space="0" w:color="auto"/>
        <w:right w:val="none" w:sz="0" w:space="0" w:color="auto"/>
      </w:divBdr>
    </w:div>
    <w:div w:id="478811479">
      <w:bodyDiv w:val="1"/>
      <w:marLeft w:val="0"/>
      <w:marRight w:val="0"/>
      <w:marTop w:val="0"/>
      <w:marBottom w:val="0"/>
      <w:divBdr>
        <w:top w:val="none" w:sz="0" w:space="0" w:color="auto"/>
        <w:left w:val="none" w:sz="0" w:space="0" w:color="auto"/>
        <w:bottom w:val="none" w:sz="0" w:space="0" w:color="auto"/>
        <w:right w:val="none" w:sz="0" w:space="0" w:color="auto"/>
      </w:divBdr>
    </w:div>
    <w:div w:id="480316769">
      <w:bodyDiv w:val="1"/>
      <w:marLeft w:val="0"/>
      <w:marRight w:val="0"/>
      <w:marTop w:val="0"/>
      <w:marBottom w:val="0"/>
      <w:divBdr>
        <w:top w:val="none" w:sz="0" w:space="0" w:color="auto"/>
        <w:left w:val="none" w:sz="0" w:space="0" w:color="auto"/>
        <w:bottom w:val="none" w:sz="0" w:space="0" w:color="auto"/>
        <w:right w:val="none" w:sz="0" w:space="0" w:color="auto"/>
      </w:divBdr>
    </w:div>
    <w:div w:id="589239484">
      <w:bodyDiv w:val="1"/>
      <w:marLeft w:val="0"/>
      <w:marRight w:val="0"/>
      <w:marTop w:val="0"/>
      <w:marBottom w:val="0"/>
      <w:divBdr>
        <w:top w:val="none" w:sz="0" w:space="0" w:color="auto"/>
        <w:left w:val="none" w:sz="0" w:space="0" w:color="auto"/>
        <w:bottom w:val="none" w:sz="0" w:space="0" w:color="auto"/>
        <w:right w:val="none" w:sz="0" w:space="0" w:color="auto"/>
      </w:divBdr>
    </w:div>
    <w:div w:id="675616781">
      <w:bodyDiv w:val="1"/>
      <w:marLeft w:val="0"/>
      <w:marRight w:val="0"/>
      <w:marTop w:val="0"/>
      <w:marBottom w:val="0"/>
      <w:divBdr>
        <w:top w:val="none" w:sz="0" w:space="0" w:color="auto"/>
        <w:left w:val="none" w:sz="0" w:space="0" w:color="auto"/>
        <w:bottom w:val="none" w:sz="0" w:space="0" w:color="auto"/>
        <w:right w:val="none" w:sz="0" w:space="0" w:color="auto"/>
      </w:divBdr>
    </w:div>
    <w:div w:id="703167098">
      <w:bodyDiv w:val="1"/>
      <w:marLeft w:val="0"/>
      <w:marRight w:val="0"/>
      <w:marTop w:val="0"/>
      <w:marBottom w:val="0"/>
      <w:divBdr>
        <w:top w:val="none" w:sz="0" w:space="0" w:color="auto"/>
        <w:left w:val="none" w:sz="0" w:space="0" w:color="auto"/>
        <w:bottom w:val="none" w:sz="0" w:space="0" w:color="auto"/>
        <w:right w:val="none" w:sz="0" w:space="0" w:color="auto"/>
      </w:divBdr>
    </w:div>
    <w:div w:id="765661836">
      <w:bodyDiv w:val="1"/>
      <w:marLeft w:val="0"/>
      <w:marRight w:val="0"/>
      <w:marTop w:val="0"/>
      <w:marBottom w:val="0"/>
      <w:divBdr>
        <w:top w:val="none" w:sz="0" w:space="0" w:color="auto"/>
        <w:left w:val="none" w:sz="0" w:space="0" w:color="auto"/>
        <w:bottom w:val="none" w:sz="0" w:space="0" w:color="auto"/>
        <w:right w:val="none" w:sz="0" w:space="0" w:color="auto"/>
      </w:divBdr>
    </w:div>
    <w:div w:id="839925450">
      <w:bodyDiv w:val="1"/>
      <w:marLeft w:val="0"/>
      <w:marRight w:val="0"/>
      <w:marTop w:val="0"/>
      <w:marBottom w:val="0"/>
      <w:divBdr>
        <w:top w:val="none" w:sz="0" w:space="0" w:color="auto"/>
        <w:left w:val="none" w:sz="0" w:space="0" w:color="auto"/>
        <w:bottom w:val="none" w:sz="0" w:space="0" w:color="auto"/>
        <w:right w:val="none" w:sz="0" w:space="0" w:color="auto"/>
      </w:divBdr>
    </w:div>
    <w:div w:id="859440227">
      <w:bodyDiv w:val="1"/>
      <w:marLeft w:val="0"/>
      <w:marRight w:val="0"/>
      <w:marTop w:val="0"/>
      <w:marBottom w:val="0"/>
      <w:divBdr>
        <w:top w:val="none" w:sz="0" w:space="0" w:color="auto"/>
        <w:left w:val="none" w:sz="0" w:space="0" w:color="auto"/>
        <w:bottom w:val="none" w:sz="0" w:space="0" w:color="auto"/>
        <w:right w:val="none" w:sz="0" w:space="0" w:color="auto"/>
      </w:divBdr>
    </w:div>
    <w:div w:id="927426636">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032070936">
      <w:bodyDiv w:val="1"/>
      <w:marLeft w:val="0"/>
      <w:marRight w:val="0"/>
      <w:marTop w:val="0"/>
      <w:marBottom w:val="0"/>
      <w:divBdr>
        <w:top w:val="none" w:sz="0" w:space="0" w:color="auto"/>
        <w:left w:val="none" w:sz="0" w:space="0" w:color="auto"/>
        <w:bottom w:val="none" w:sz="0" w:space="0" w:color="auto"/>
        <w:right w:val="none" w:sz="0" w:space="0" w:color="auto"/>
      </w:divBdr>
    </w:div>
    <w:div w:id="1124229175">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325935426">
      <w:bodyDiv w:val="1"/>
      <w:marLeft w:val="0"/>
      <w:marRight w:val="0"/>
      <w:marTop w:val="0"/>
      <w:marBottom w:val="0"/>
      <w:divBdr>
        <w:top w:val="none" w:sz="0" w:space="0" w:color="auto"/>
        <w:left w:val="none" w:sz="0" w:space="0" w:color="auto"/>
        <w:bottom w:val="none" w:sz="0" w:space="0" w:color="auto"/>
        <w:right w:val="none" w:sz="0" w:space="0" w:color="auto"/>
      </w:divBdr>
    </w:div>
    <w:div w:id="1382048593">
      <w:bodyDiv w:val="1"/>
      <w:marLeft w:val="0"/>
      <w:marRight w:val="0"/>
      <w:marTop w:val="0"/>
      <w:marBottom w:val="0"/>
      <w:divBdr>
        <w:top w:val="none" w:sz="0" w:space="0" w:color="auto"/>
        <w:left w:val="none" w:sz="0" w:space="0" w:color="auto"/>
        <w:bottom w:val="none" w:sz="0" w:space="0" w:color="auto"/>
        <w:right w:val="none" w:sz="0" w:space="0" w:color="auto"/>
      </w:divBdr>
    </w:div>
    <w:div w:id="1447626971">
      <w:bodyDiv w:val="1"/>
      <w:marLeft w:val="0"/>
      <w:marRight w:val="0"/>
      <w:marTop w:val="0"/>
      <w:marBottom w:val="0"/>
      <w:divBdr>
        <w:top w:val="none" w:sz="0" w:space="0" w:color="auto"/>
        <w:left w:val="none" w:sz="0" w:space="0" w:color="auto"/>
        <w:bottom w:val="none" w:sz="0" w:space="0" w:color="auto"/>
        <w:right w:val="none" w:sz="0" w:space="0" w:color="auto"/>
      </w:divBdr>
    </w:div>
    <w:div w:id="1455904098">
      <w:bodyDiv w:val="1"/>
      <w:marLeft w:val="0"/>
      <w:marRight w:val="0"/>
      <w:marTop w:val="0"/>
      <w:marBottom w:val="0"/>
      <w:divBdr>
        <w:top w:val="none" w:sz="0" w:space="0" w:color="auto"/>
        <w:left w:val="none" w:sz="0" w:space="0" w:color="auto"/>
        <w:bottom w:val="none" w:sz="0" w:space="0" w:color="auto"/>
        <w:right w:val="none" w:sz="0" w:space="0" w:color="auto"/>
      </w:divBdr>
    </w:div>
    <w:div w:id="1535078906">
      <w:bodyDiv w:val="1"/>
      <w:marLeft w:val="0"/>
      <w:marRight w:val="0"/>
      <w:marTop w:val="0"/>
      <w:marBottom w:val="0"/>
      <w:divBdr>
        <w:top w:val="none" w:sz="0" w:space="0" w:color="auto"/>
        <w:left w:val="none" w:sz="0" w:space="0" w:color="auto"/>
        <w:bottom w:val="none" w:sz="0" w:space="0" w:color="auto"/>
        <w:right w:val="none" w:sz="0" w:space="0" w:color="auto"/>
      </w:divBdr>
    </w:div>
    <w:div w:id="1596013130">
      <w:bodyDiv w:val="1"/>
      <w:marLeft w:val="0"/>
      <w:marRight w:val="0"/>
      <w:marTop w:val="0"/>
      <w:marBottom w:val="0"/>
      <w:divBdr>
        <w:top w:val="none" w:sz="0" w:space="0" w:color="auto"/>
        <w:left w:val="none" w:sz="0" w:space="0" w:color="auto"/>
        <w:bottom w:val="none" w:sz="0" w:space="0" w:color="auto"/>
        <w:right w:val="none" w:sz="0" w:space="0" w:color="auto"/>
      </w:divBdr>
    </w:div>
    <w:div w:id="1788620672">
      <w:bodyDiv w:val="1"/>
      <w:marLeft w:val="0"/>
      <w:marRight w:val="0"/>
      <w:marTop w:val="0"/>
      <w:marBottom w:val="0"/>
      <w:divBdr>
        <w:top w:val="none" w:sz="0" w:space="0" w:color="auto"/>
        <w:left w:val="none" w:sz="0" w:space="0" w:color="auto"/>
        <w:bottom w:val="none" w:sz="0" w:space="0" w:color="auto"/>
        <w:right w:val="none" w:sz="0" w:space="0" w:color="auto"/>
      </w:divBdr>
    </w:div>
    <w:div w:id="1795096814">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1916276095">
      <w:bodyDiv w:val="1"/>
      <w:marLeft w:val="0"/>
      <w:marRight w:val="0"/>
      <w:marTop w:val="0"/>
      <w:marBottom w:val="0"/>
      <w:divBdr>
        <w:top w:val="none" w:sz="0" w:space="0" w:color="auto"/>
        <w:left w:val="none" w:sz="0" w:space="0" w:color="auto"/>
        <w:bottom w:val="none" w:sz="0" w:space="0" w:color="auto"/>
        <w:right w:val="none" w:sz="0" w:space="0" w:color="auto"/>
      </w:divBdr>
    </w:div>
    <w:div w:id="1953317516">
      <w:bodyDiv w:val="1"/>
      <w:marLeft w:val="0"/>
      <w:marRight w:val="0"/>
      <w:marTop w:val="0"/>
      <w:marBottom w:val="0"/>
      <w:divBdr>
        <w:top w:val="none" w:sz="0" w:space="0" w:color="auto"/>
        <w:left w:val="none" w:sz="0" w:space="0" w:color="auto"/>
        <w:bottom w:val="none" w:sz="0" w:space="0" w:color="auto"/>
        <w:right w:val="none" w:sz="0" w:space="0" w:color="auto"/>
      </w:divBdr>
    </w:div>
    <w:div w:id="1984575766">
      <w:bodyDiv w:val="1"/>
      <w:marLeft w:val="0"/>
      <w:marRight w:val="0"/>
      <w:marTop w:val="0"/>
      <w:marBottom w:val="0"/>
      <w:divBdr>
        <w:top w:val="none" w:sz="0" w:space="0" w:color="auto"/>
        <w:left w:val="none" w:sz="0" w:space="0" w:color="auto"/>
        <w:bottom w:val="none" w:sz="0" w:space="0" w:color="auto"/>
        <w:right w:val="none" w:sz="0" w:space="0" w:color="auto"/>
      </w:divBdr>
    </w:div>
    <w:div w:id="2041203301">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 w:id="2101946798">
      <w:bodyDiv w:val="1"/>
      <w:marLeft w:val="0"/>
      <w:marRight w:val="0"/>
      <w:marTop w:val="0"/>
      <w:marBottom w:val="0"/>
      <w:divBdr>
        <w:top w:val="none" w:sz="0" w:space="0" w:color="auto"/>
        <w:left w:val="none" w:sz="0" w:space="0" w:color="auto"/>
        <w:bottom w:val="none" w:sz="0" w:space="0" w:color="auto"/>
        <w:right w:val="none" w:sz="0" w:space="0" w:color="auto"/>
      </w:divBdr>
    </w:div>
    <w:div w:id="2138909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Abb22</b:Tag>
    <b:SourceType>InternetSite</b:SourceType>
    <b:Guid>{3539F02C-C67E-4514-90BF-395368AD42AB}</b:Guid>
    <b:Title>What are resulting and constructive trusts</b:Title>
    <b:Year>2022</b:Year>
    <b:Author>
      <b:Author>
        <b:NameList>
          <b:Person>
            <b:Last>Abbott</b:Last>
            <b:First>Laura</b:First>
          </b:Person>
        </b:NameList>
      </b:Author>
    </b:Author>
    <b:InternetSiteTitle>The Gazette Official Public Record</b:InternetSiteTitle>
    <b:URL>https://www.thegazette.co.uk/all-notices/content/104095</b:URL>
    <b:RefOrder>3</b:RefOrder>
  </b:Source>
  <b:Source>
    <b:Tag>UK</b:Tag>
    <b:SourceType>DocumentFromInternetSite</b:SourceType>
    <b:Guid>{DFB0BE6F-83EB-46E3-AE6C-AA7166A858DC}</b:Guid>
    <b:Author>
      <b:Author>
        <b:Corporate>UK</b:Corporate>
      </b:Author>
    </b:Author>
    <b:RefOrder>4</b:RefOrder>
  </b:Source>
  <b:Source>
    <b:Tag>UKP03</b:Tag>
    <b:SourceType>InternetSite</b:SourceType>
    <b:Guid>{F013FF7D-A9A0-47AE-9999-A15753E84038}</b:Guid>
    <b:Title>Land registration Act 2002</b:Title>
    <b:Year>2003</b:Year>
    <b:Author>
      <b:Author>
        <b:Corporate>UK Public General Acts</b:Corporate>
      </b:Author>
    </b:Author>
    <b:YearAccessed>2024</b:YearAccessed>
    <b:MonthAccessed>December</b:MonthAccessed>
    <b:DayAccessed>5</b:DayAccessed>
    <b:URL>https://www.legislation.gov.uk/ukpga/2002/9/contents</b:URL>
    <b:RefOrder>2</b:RefOrder>
  </b:Source>
  <b:Source>
    <b:Tag>Lex24</b:Tag>
    <b:SourceType>InternetSite</b:SourceType>
    <b:Guid>{73F6359D-6F95-414F-B62E-ED1A66F4E5E6}</b:Guid>
    <b:Title>Propriety estoppel-what is it</b:Title>
    <b:Year>2024</b:Year>
    <b:Author>
      <b:Author>
        <b:Corporate>Lexis+UK</b:Corporate>
      </b:Author>
    </b:Author>
    <b:InternetSiteTitle>Lexis+ UK</b:InternetSiteTitle>
    <b:URL>https://plus-lexis-com.ezproxy.uwtsd.ac.uk/uk/document/?pdmfid=1001073&amp;crid=9665ba43-794e-429d-ada9-b52ab8497b10&amp;pddocfullpath=%2Fshared%2Fdocument%2Fpractical-guidance-uk%2Furn:contentItem:5MFD-V4J1-F18B-80WT-00000-00&amp;pdcontentcomponentid=128510&amp;pdteaser</b:URL>
    <b:YearAccessed>2024</b:YearAccessed>
    <b:MonthAccessed>December</b:MonthAccessed>
    <b:DayAccessed>5</b:DayAccessed>
    <b:RefOrder>1</b:RefOrder>
  </b:Source>
  <b:Source>
    <b:Tag>Sta07</b:Tag>
    <b:SourceType>Case</b:SourceType>
    <b:Guid>{EFA0A7E6-8128-4E7D-983F-C520DBD9AF34}</b:Guid>
    <b:Title>Stack v Dowden  [2007] UKHL 17</b:Title>
    <b:Year>2007</b:Year>
    <b:Month>April</b:Month>
    <b:Day>25</b:Day>
    <b:CaseNumber>UKHL 17</b:CaseNumber>
    <b:Court>House of Lords</b:Court>
    <b:Reporter>James Freeman</b:Reporter>
    <b:RefOrder>5</b:RefOrder>
  </b:Source>
  <b:Source>
    <b:Tag>Jam07</b:Tag>
    <b:SourceType>Case</b:SourceType>
    <b:Guid>{FA80E99C-7876-4C05-AAFA-973FBBBDD280}</b:Guid>
    <b:Title>James v Thomas [2007] EWCA Civ 1212</b:Title>
    <b:CaseNumber>EWCA Civ 1212</b:CaseNumber>
    <b:Court>Court of Appeal</b:Court>
    <b:Year>2007</b:Year>
    <b:Month>November</b:Month>
    <b:Day>27</b:Day>
    <b:Reporter>Sarah Greer</b:Reporter>
    <b:RefOrder>6</b:RefOrder>
  </b:Source>
  <b:Source>
    <b:Tag>Ker11</b:Tag>
    <b:SourceType>Case</b:SourceType>
    <b:Guid>{E985E16F-6AF5-4F79-A6D3-0D66A502599C}</b:Guid>
    <b:Title>Kernott v Jones [2011] UKSC 53</b:Title>
    <b:CaseNumber>UKSC 53</b:CaseNumber>
    <b:Court>The Supreme Court</b:Court>
    <b:Year>2011</b:Year>
    <b:Month>November </b:Month>
    <b:Day>9</b:Day>
    <b:Reporter>Matthew Evans</b:Reporter>
    <b:RefOrder>7</b:RefOrder>
  </b:Source>
  <b:Source>
    <b:Tag>Llo90</b:Tag>
    <b:SourceType>Case</b:SourceType>
    <b:Guid>{7857A4D3-301B-4CF3-9251-6E3EFE68CEAB}</b:Guid>
    <b:Title>Lloyds Bank v Rosset [1991] 1 AC 107</b:Title>
    <b:CaseNumber>1 A.C 107</b:CaseNumber>
    <b:Court>House of Lords</b:Court>
    <b:Year>1990</b:Year>
    <b:Month>March</b:Month>
    <b:Day>29</b:Day>
    <b:Reporter>Mattew Mills</b:Reporter>
    <b:RefOrder>8</b:RefOrder>
  </b:Source>
  <b:Source>
    <b:Tag>Sou14</b:Tag>
    <b:SourceType>Case</b:SourceType>
    <b:Guid>{DD48B123-68DF-4437-8C41-49D97BD7FE36}</b:Guid>
    <b:Title>Southwell v Blackburn [2014] EWCA Civ 1347</b:Title>
    <b:Year>2014</b:Year>
    <b:Reporter>Curt of Appeal</b:Reporter>
    <b:RefOrder>9</b:RefOrder>
  </b:Source>
  <b:Source>
    <b:Tag>Dav14</b:Tag>
    <b:SourceType>Case</b:SourceType>
    <b:Guid>{DBB5203B-BD3B-441D-A7AD-D63719E0BBC2}</b:Guid>
    <b:Title>Davies v Davies [2014] EWCA Civ 568</b:Title>
    <b:Reporter>Ryan Mowat</b:Reporter>
    <b:Year>2014</b:Year>
    <b:RefOrder>10</b:RefOrder>
  </b:Source>
  <b:Source>
    <b:Tag>Ste23</b:Tag>
    <b:SourceType>Case</b:SourceType>
    <b:Guid>{3CD9E17C-6847-471E-BDD4-EAE9EC93B7EF}</b:Guid>
    <b:Title>Steels v Steels [2023] EWHC 2985</b:Title>
    <b:Reporter>Isabella Thomas-Kelly</b:Reporter>
    <b:Year>2023</b:Year>
    <b:RefOrder>11</b:RefOrder>
  </b:Source>
</b:Sources>
</file>

<file path=customXml/itemProps1.xml><?xml version="1.0" encoding="utf-8"?>
<ds:datastoreItem xmlns:ds="http://schemas.openxmlformats.org/officeDocument/2006/customXml" ds:itemID="{B9CB2CC6-520A-4F71-8406-E0116A01E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1954</Words>
  <Characters>11143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Kyran Woods</cp:lastModifiedBy>
  <cp:revision>2</cp:revision>
  <dcterms:created xsi:type="dcterms:W3CDTF">2024-12-06T14:43:00Z</dcterms:created>
  <dcterms:modified xsi:type="dcterms:W3CDTF">2024-12-06T14:43:00Z</dcterms:modified>
</cp:coreProperties>
</file>