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07E5AEDD"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7011E673" w14:textId="6913F26A" w:rsidR="00B21F2E" w:rsidRPr="003C3341" w:rsidRDefault="00B21F2E"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98F0B10" w14:textId="3031D594" w:rsidR="001B69C8" w:rsidRPr="003C3341"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4109F8" w:rsidRPr="004109F8">
              <w:rPr>
                <w:rFonts w:ascii="Tahoma" w:hAnsi="Tahoma" w:cs="Tahoma"/>
                <w:b/>
                <w:sz w:val="20"/>
                <w:szCs w:val="20"/>
              </w:rPr>
              <w:t xml:space="preserve">MIHAELA CRISTINA RUSU </w:t>
            </w:r>
          </w:p>
          <w:p w14:paraId="69E1F0CF" w14:textId="4E9E313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C3119">
              <w:rPr>
                <w:rFonts w:ascii="Tahoma" w:hAnsi="Tahoma" w:cs="Tahoma"/>
                <w:b/>
                <w:sz w:val="20"/>
                <w:szCs w:val="20"/>
              </w:rPr>
              <w:t>2121189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9EABBA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C3119">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2839C39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C3119">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6E469E">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048F346F" w14:textId="77777777" w:rsidR="0064197E" w:rsidRPr="009061F1" w:rsidRDefault="0064197E" w:rsidP="0064197E">
            <w:pPr>
              <w:pStyle w:val="NormalWeb"/>
              <w:rPr>
                <w:rFonts w:ascii="SymbolMT" w:hAnsi="SymbolMT"/>
              </w:rPr>
            </w:pPr>
            <w:r>
              <w:rPr>
                <w:rFonts w:ascii="Calibri" w:hAnsi="Calibri" w:cs="Calibri"/>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6E469E">
        <w:trPr>
          <w:trHeight w:val="2494"/>
        </w:trPr>
        <w:tc>
          <w:tcPr>
            <w:tcW w:w="11182" w:type="dxa"/>
            <w:gridSpan w:val="2"/>
          </w:tcPr>
          <w:p w14:paraId="0831D54A" w14:textId="40231EC5" w:rsidR="00B945EA" w:rsidRDefault="00B945EA" w:rsidP="00A65C1D">
            <w:pPr>
              <w:rPr>
                <w:rFonts w:ascii="Tahoma" w:hAnsi="Tahoma" w:cs="Tahoma"/>
                <w:sz w:val="20"/>
                <w:szCs w:val="20"/>
              </w:rPr>
            </w:pPr>
          </w:p>
          <w:p w14:paraId="467586AD" w14:textId="1E028A42" w:rsidR="00F51904" w:rsidRDefault="0064197E" w:rsidP="00C414B0">
            <w:pPr>
              <w:spacing w:line="360" w:lineRule="auto"/>
              <w:jc w:val="both"/>
            </w:pPr>
            <w:r w:rsidRPr="0064197E">
              <w:t>The topic is the handling of allergic reactions and intolerances in the industry, as well as the relevance of this matter.</w:t>
            </w:r>
            <w:r w:rsidR="00575543">
              <w:t xml:space="preserve"> </w:t>
            </w:r>
            <w:r w:rsidR="00575543" w:rsidRPr="00575543">
              <w:t>An allergenic reaction may occur when the adaptive immunological systems get in touch with a specific foodstuff. Allergens are chemicals that may cause allergic responses. Even while foods high in allergens don't affect the bulk of citizens, a small percentage of persons may well have a significant reaction to them. Milk and peanuts are two foods most often related to contact dermatitis. This response may be produced by only one or two grains of the allergen and is usually visible within a short period of time after intake</w:t>
            </w:r>
            <w:r w:rsidR="0002377E">
              <w:t xml:space="preserve"> (</w:t>
            </w:r>
            <w:r w:rsidR="0002377E" w:rsidRPr="0002377E">
              <w:rPr>
                <w:color w:val="222222"/>
                <w:shd w:val="clear" w:color="auto" w:fill="FFFFFF"/>
              </w:rPr>
              <w:t>Sicherer</w:t>
            </w:r>
            <w:r w:rsidR="0002377E">
              <w:rPr>
                <w:color w:val="222222"/>
                <w:shd w:val="clear" w:color="auto" w:fill="FFFFFF"/>
              </w:rPr>
              <w:t>, et al, 2010)</w:t>
            </w:r>
            <w:r w:rsidR="00575543" w:rsidRPr="00575543">
              <w:t>.</w:t>
            </w:r>
            <w:r w:rsidR="00575543">
              <w:t xml:space="preserve"> </w:t>
            </w:r>
            <w:r w:rsidR="00575543" w:rsidRPr="00575543">
              <w:t>The severity of reactions to culinary allergens may vary from moderate to severe, with anaphylaxis, a life-threatening illness, perhaps the most serious. It is essential for people with food allergies to carefully plan their meals, as individuals can't consume any irritating ingredients. That market has a pivotal function in preserving the well-being of customers since avoiding allergens is the only method to avoid allergies.</w:t>
            </w:r>
          </w:p>
          <w:p w14:paraId="4DC1E882" w14:textId="6199DD47" w:rsidR="00797115" w:rsidRDefault="00033152" w:rsidP="00033152">
            <w:pPr>
              <w:spacing w:line="360" w:lineRule="auto"/>
              <w:jc w:val="both"/>
            </w:pPr>
            <w:r w:rsidRPr="00033152">
              <w:t>A wide range of unpleasant and sometimes debilitating symptoms, including cramps, diarrhoea, and flatulence, may occur in people with food intolerances</w:t>
            </w:r>
            <w:r w:rsidR="00CD52E7">
              <w:t xml:space="preserve"> (</w:t>
            </w:r>
            <w:r w:rsidR="00CD52E7">
              <w:rPr>
                <w:color w:val="222222"/>
                <w:shd w:val="clear" w:color="auto" w:fill="FFFFFF"/>
              </w:rPr>
              <w:t>Lomer and</w:t>
            </w:r>
            <w:r w:rsidR="00CD52E7" w:rsidRPr="00CD52E7">
              <w:rPr>
                <w:color w:val="222222"/>
                <w:shd w:val="clear" w:color="auto" w:fill="FFFFFF"/>
              </w:rPr>
              <w:t xml:space="preserve"> M.C.E., 2015</w:t>
            </w:r>
            <w:r w:rsidR="00CD52E7">
              <w:rPr>
                <w:color w:val="222222"/>
                <w:shd w:val="clear" w:color="auto" w:fill="FFFFFF"/>
              </w:rPr>
              <w:t>)</w:t>
            </w:r>
            <w:r w:rsidRPr="00033152">
              <w:t>. Dairy, gluten, caffeine, salicylates, amines, FODMAPs, and sulphites are among of top prevalent food allergies. Fruits, vegetables, spices, and nuts, to name a few, contain these compounds in varying amounts. FODMAPs and sodium thiosulfate are two more prevalent dietary intolerances.</w:t>
            </w:r>
            <w:r w:rsidR="006B2CE3">
              <w:t xml:space="preserve"> </w:t>
            </w:r>
            <w:r w:rsidRPr="00033152">
              <w:t>There is a link between depression and intolerances, and both may worsen them. IBS and CD are the two most common causes of food intolerance in the general population</w:t>
            </w:r>
            <w:r w:rsidR="00CD52E7">
              <w:t xml:space="preserve"> (</w:t>
            </w:r>
            <w:r w:rsidR="00CD52E7" w:rsidRPr="00CD52E7">
              <w:rPr>
                <w:color w:val="222222"/>
                <w:shd w:val="clear" w:color="auto" w:fill="FFFFFF"/>
              </w:rPr>
              <w:t>Sainsbury</w:t>
            </w:r>
            <w:r w:rsidR="00CD52E7">
              <w:rPr>
                <w:color w:val="222222"/>
                <w:shd w:val="clear" w:color="auto" w:fill="FFFFFF"/>
              </w:rPr>
              <w:t>, et al, 2013)</w:t>
            </w:r>
            <w:r w:rsidRPr="00033152">
              <w:t>.</w:t>
            </w:r>
          </w:p>
          <w:p w14:paraId="3223D94F" w14:textId="0D567BF3" w:rsidR="00375882" w:rsidRDefault="006B2CE3" w:rsidP="0002377E">
            <w:pPr>
              <w:spacing w:line="360" w:lineRule="auto"/>
              <w:jc w:val="both"/>
              <w:rPr>
                <w:rFonts w:ascii="Tahoma" w:hAnsi="Tahoma" w:cs="Tahoma"/>
                <w:sz w:val="20"/>
                <w:szCs w:val="20"/>
              </w:rPr>
            </w:pPr>
            <w:r w:rsidRPr="006B2CE3">
              <w:t>A growing amount of people are reporting allergies, particularly in youngsters, during the last twenty years</w:t>
            </w:r>
            <w:r w:rsidR="00CD52E7">
              <w:t xml:space="preserve"> (</w:t>
            </w:r>
            <w:r w:rsidR="00CD52E7" w:rsidRPr="00CD52E7">
              <w:rPr>
                <w:color w:val="222222"/>
                <w:shd w:val="clear" w:color="auto" w:fill="FFFFFF"/>
              </w:rPr>
              <w:t>Suh, E., 2006</w:t>
            </w:r>
            <w:r w:rsidR="00CD52E7">
              <w:rPr>
                <w:color w:val="222222"/>
                <w:shd w:val="clear" w:color="auto" w:fill="FFFFFF"/>
              </w:rPr>
              <w:t>)</w:t>
            </w:r>
            <w:r w:rsidRPr="006B2CE3">
              <w:t xml:space="preserve">. Consumers have become more conscious of allergies as a result of this development. Allergies have become much </w:t>
            </w:r>
            <w:r w:rsidR="00A632B8" w:rsidRPr="006B2CE3">
              <w:t>better</w:t>
            </w:r>
            <w:r w:rsidRPr="006B2CE3">
              <w:t xml:space="preserve"> known as a potential threat to the integrity of the food supply. We always have a role in reducing the occurrence of food allergies, from food producers to government agencies to individual consumers. Allergy sufferers are protected by a wide range of national and international guidelines and norms that producers must follow.</w:t>
            </w:r>
            <w:r w:rsidR="00A632B8">
              <w:t xml:space="preserve"> </w:t>
            </w:r>
            <w:r w:rsidR="00A632B8" w:rsidRPr="00A632B8">
              <w:t xml:space="preserve">The Codex Alimentarius Commission has created a list of common allergens in foodstuffs which consumers should avoid. Countries have different criteria for how allergies should be classified; this is feasible. The EU mandates, for example, that fourteen distinct food allergens be specified on the company's label. Crabs, </w:t>
            </w:r>
            <w:r w:rsidR="00A632B8" w:rsidRPr="00A632B8">
              <w:lastRenderedPageBreak/>
              <w:t>mollusks, eggs, fishes, almonds, walnuts, soy, dairy, onions, dijon, tahini, indigo, and sodium thiosulfate are all foods that may cause allergic reactions. Sodium metabisulfite is included on the list of allergen foods.</w:t>
            </w:r>
            <w:r w:rsidR="006E469E">
              <w:t xml:space="preserve"> </w:t>
            </w:r>
            <w:r w:rsidR="006E469E" w:rsidRPr="006E469E">
              <w:t>In order to keep allergens from spreading from one site to the next, it is essential to perform complete cleaning and sanitation procedures. Even if cleaning treatments which have been displayed effectively in the removal of other kinds of bacteria fail to remove allergens, there is still a chance. As a result, the sterilization procedures, including the chemicals, equipment, and time necessary, must be recorded and made accessible to all parties involved. The appropriate safe and hygienic criteria must be set until hygiene and disinfection strategy could be considered approved.</w:t>
            </w:r>
            <w:r>
              <w:t xml:space="preserve"> </w:t>
            </w:r>
            <w:r w:rsidR="00A632B8" w:rsidRPr="00A632B8">
              <w:t>Customers having allergies have a right to expect businesses and other service outlets to understand how to cope with them. Whenever the protein from differing meals gets into touch, it is known as "cross-contact</w:t>
            </w:r>
            <w:r w:rsidR="0002377E" w:rsidRPr="00A632B8">
              <w:t>.</w:t>
            </w:r>
            <w:r w:rsidR="0002377E">
              <w:t xml:space="preserve">” </w:t>
            </w:r>
            <w:r w:rsidR="0002377E" w:rsidRPr="0002377E">
              <w:t>For people with food allergies, the sole therapy is to avoid anything that could contain an allergy. Any items that may contain the offending allergen should be kept in mind while making meals for someone to has an allergy. The consumer ought to be able to properly identify the food on the plate by reading the label, using sanitized equipment and plates, and receiving it on a clearly labelled plate</w:t>
            </w:r>
            <w:r w:rsidR="00CD52E7">
              <w:t xml:space="preserve"> (</w:t>
            </w:r>
            <w:r w:rsidR="00CD52E7" w:rsidRPr="00CD52E7">
              <w:rPr>
                <w:color w:val="222222"/>
                <w:shd w:val="clear" w:color="auto" w:fill="FFFFFF"/>
              </w:rPr>
              <w:t>Madsen</w:t>
            </w:r>
            <w:r w:rsidR="00CD52E7">
              <w:rPr>
                <w:color w:val="222222"/>
                <w:shd w:val="clear" w:color="auto" w:fill="FFFFFF"/>
              </w:rPr>
              <w:t xml:space="preserve">, et al, </w:t>
            </w:r>
            <w:r w:rsidR="00703341">
              <w:rPr>
                <w:color w:val="222222"/>
                <w:shd w:val="clear" w:color="auto" w:fill="FFFFFF"/>
              </w:rPr>
              <w:t>2013)</w:t>
            </w:r>
            <w:r w:rsidR="0002377E" w:rsidRPr="0002377E">
              <w:t>. As a result, the allergy sufferer may eat it without fear.</w:t>
            </w:r>
            <w:r w:rsidR="0002377E">
              <w:t xml:space="preserve"> </w:t>
            </w:r>
            <w:r w:rsidR="0002377E" w:rsidRPr="0002377E">
              <w:t>The management of allergies and intolerances in the sector is something I will keep in mind going forward. I'll do my best to steer clear of products that may cause an allergic reaction for my customers, and I'll need to know which products they're allergic to in order to do so.</w:t>
            </w:r>
          </w:p>
          <w:p w14:paraId="5AAD8421" w14:textId="77777777" w:rsidR="00375882" w:rsidRDefault="00375882" w:rsidP="0002377E">
            <w:pPr>
              <w:spacing w:line="360" w:lineRule="auto"/>
              <w:jc w:val="both"/>
              <w:rPr>
                <w:rFonts w:ascii="Tahoma" w:hAnsi="Tahoma" w:cs="Tahoma"/>
                <w:sz w:val="20"/>
                <w:szCs w:val="20"/>
              </w:rPr>
            </w:pPr>
          </w:p>
          <w:p w14:paraId="601C5B2A" w14:textId="77777777" w:rsidR="00375882" w:rsidRDefault="00375882" w:rsidP="0002377E">
            <w:pPr>
              <w:spacing w:line="360" w:lineRule="auto"/>
              <w:jc w:val="both"/>
              <w:rPr>
                <w:rFonts w:ascii="Tahoma" w:hAnsi="Tahoma" w:cs="Tahoma"/>
                <w:sz w:val="20"/>
                <w:szCs w:val="20"/>
              </w:rPr>
            </w:pPr>
          </w:p>
          <w:p w14:paraId="169E8A99" w14:textId="77777777" w:rsidR="00375882" w:rsidRDefault="00375882" w:rsidP="0002377E">
            <w:pPr>
              <w:spacing w:line="360" w:lineRule="auto"/>
              <w:jc w:val="both"/>
              <w:rPr>
                <w:rFonts w:ascii="Tahoma" w:hAnsi="Tahoma" w:cs="Tahoma"/>
                <w:sz w:val="20"/>
                <w:szCs w:val="20"/>
              </w:rPr>
            </w:pPr>
          </w:p>
          <w:p w14:paraId="0514EA32" w14:textId="77777777" w:rsidR="00375882" w:rsidRDefault="00375882" w:rsidP="0002377E">
            <w:pPr>
              <w:spacing w:line="360" w:lineRule="auto"/>
              <w:jc w:val="both"/>
              <w:rPr>
                <w:rFonts w:ascii="Tahoma" w:hAnsi="Tahoma" w:cs="Tahoma"/>
                <w:sz w:val="20"/>
                <w:szCs w:val="20"/>
              </w:rPr>
            </w:pPr>
          </w:p>
          <w:p w14:paraId="733FBFA5" w14:textId="77777777" w:rsidR="00375882" w:rsidRDefault="00375882" w:rsidP="0002377E">
            <w:pPr>
              <w:spacing w:line="360" w:lineRule="auto"/>
              <w:jc w:val="both"/>
              <w:rPr>
                <w:rFonts w:ascii="Tahoma" w:hAnsi="Tahoma" w:cs="Tahoma"/>
                <w:sz w:val="20"/>
                <w:szCs w:val="20"/>
              </w:rPr>
            </w:pPr>
          </w:p>
          <w:p w14:paraId="20085F77" w14:textId="77777777" w:rsidR="00375882" w:rsidRDefault="00375882" w:rsidP="0002377E">
            <w:pPr>
              <w:spacing w:line="360" w:lineRule="auto"/>
              <w:jc w:val="both"/>
              <w:rPr>
                <w:rFonts w:ascii="Tahoma" w:hAnsi="Tahoma" w:cs="Tahoma"/>
                <w:sz w:val="20"/>
                <w:szCs w:val="20"/>
              </w:rPr>
            </w:pPr>
          </w:p>
          <w:p w14:paraId="368349A1" w14:textId="77777777" w:rsidR="00375882" w:rsidRDefault="00375882" w:rsidP="0002377E">
            <w:pPr>
              <w:spacing w:line="360" w:lineRule="auto"/>
              <w:jc w:val="both"/>
              <w:rPr>
                <w:rFonts w:ascii="Tahoma" w:hAnsi="Tahoma" w:cs="Tahoma"/>
                <w:sz w:val="20"/>
                <w:szCs w:val="20"/>
              </w:rPr>
            </w:pPr>
          </w:p>
          <w:p w14:paraId="24449AB5" w14:textId="77777777" w:rsidR="00375882" w:rsidRDefault="00375882" w:rsidP="0002377E">
            <w:pPr>
              <w:spacing w:line="360" w:lineRule="auto"/>
              <w:jc w:val="both"/>
              <w:rPr>
                <w:rFonts w:ascii="Tahoma" w:hAnsi="Tahoma" w:cs="Tahoma"/>
                <w:sz w:val="20"/>
                <w:szCs w:val="20"/>
              </w:rPr>
            </w:pPr>
          </w:p>
          <w:p w14:paraId="5B6F190D" w14:textId="77777777" w:rsidR="00375882" w:rsidRDefault="00375882" w:rsidP="0002377E">
            <w:pPr>
              <w:spacing w:line="360" w:lineRule="auto"/>
              <w:jc w:val="both"/>
              <w:rPr>
                <w:rFonts w:ascii="Tahoma" w:hAnsi="Tahoma" w:cs="Tahoma"/>
                <w:sz w:val="20"/>
                <w:szCs w:val="20"/>
              </w:rPr>
            </w:pPr>
          </w:p>
          <w:p w14:paraId="1CBB91F9" w14:textId="77777777" w:rsidR="00375882" w:rsidRDefault="00375882" w:rsidP="0002377E">
            <w:pPr>
              <w:spacing w:line="360" w:lineRule="auto"/>
              <w:jc w:val="both"/>
              <w:rPr>
                <w:rFonts w:ascii="Tahoma" w:hAnsi="Tahoma" w:cs="Tahoma"/>
                <w:sz w:val="20"/>
                <w:szCs w:val="20"/>
              </w:rPr>
            </w:pPr>
          </w:p>
          <w:p w14:paraId="22B4E043" w14:textId="77777777" w:rsidR="00375882" w:rsidRDefault="00375882" w:rsidP="0002377E">
            <w:pPr>
              <w:spacing w:line="360" w:lineRule="auto"/>
              <w:jc w:val="both"/>
              <w:rPr>
                <w:rFonts w:ascii="Tahoma" w:hAnsi="Tahoma" w:cs="Tahoma"/>
                <w:sz w:val="20"/>
                <w:szCs w:val="20"/>
              </w:rPr>
            </w:pPr>
          </w:p>
          <w:p w14:paraId="40B794DC" w14:textId="77777777" w:rsidR="00375882" w:rsidRDefault="00375882" w:rsidP="0002377E">
            <w:pPr>
              <w:spacing w:line="360" w:lineRule="auto"/>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CD52E7">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CD52E7">
        <w:trPr>
          <w:trHeight w:val="2494"/>
        </w:trPr>
        <w:tc>
          <w:tcPr>
            <w:tcW w:w="11182" w:type="dxa"/>
            <w:gridSpan w:val="2"/>
          </w:tcPr>
          <w:p w14:paraId="4FBADFA5" w14:textId="0FAD261E" w:rsidR="00375882" w:rsidRPr="00703341" w:rsidRDefault="00CD52E7" w:rsidP="007F6692">
            <w:pPr>
              <w:rPr>
                <w:color w:val="222222"/>
                <w:shd w:val="clear" w:color="auto" w:fill="FFFFFF"/>
              </w:rPr>
            </w:pPr>
            <w:r w:rsidRPr="00703341">
              <w:rPr>
                <w:color w:val="222222"/>
                <w:shd w:val="clear" w:color="auto" w:fill="FFFFFF"/>
              </w:rPr>
              <w:t>Lomer, M.C.E., 2015. The aetiology, diagnosis, mechanisms and clinical evidence for food intolerance. </w:t>
            </w:r>
            <w:r w:rsidRPr="00703341">
              <w:rPr>
                <w:iCs/>
                <w:color w:val="222222"/>
                <w:shd w:val="clear" w:color="auto" w:fill="FFFFFF"/>
              </w:rPr>
              <w:t>Alimentary pharmacology &amp; therapeutics</w:t>
            </w:r>
            <w:r w:rsidRPr="00703341">
              <w:rPr>
                <w:color w:val="222222"/>
                <w:shd w:val="clear" w:color="auto" w:fill="FFFFFF"/>
              </w:rPr>
              <w:t>, </w:t>
            </w:r>
            <w:r w:rsidRPr="00703341">
              <w:rPr>
                <w:iCs/>
                <w:color w:val="222222"/>
                <w:shd w:val="clear" w:color="auto" w:fill="FFFFFF"/>
              </w:rPr>
              <w:t>41</w:t>
            </w:r>
            <w:r w:rsidRPr="00703341">
              <w:rPr>
                <w:color w:val="222222"/>
                <w:shd w:val="clear" w:color="auto" w:fill="FFFFFF"/>
              </w:rPr>
              <w:t>(3), pp.262-275.</w:t>
            </w:r>
          </w:p>
          <w:p w14:paraId="70723540" w14:textId="77777777" w:rsidR="00703341" w:rsidRPr="00703341" w:rsidRDefault="00703341" w:rsidP="007F6692">
            <w:pPr>
              <w:rPr>
                <w:color w:val="222222"/>
                <w:shd w:val="clear" w:color="auto" w:fill="FFFFFF"/>
              </w:rPr>
            </w:pPr>
          </w:p>
          <w:p w14:paraId="356C087B" w14:textId="24DF0EB3" w:rsidR="00CD52E7" w:rsidRPr="00703341" w:rsidRDefault="00CD52E7" w:rsidP="007F6692">
            <w:r w:rsidRPr="00703341">
              <w:rPr>
                <w:color w:val="222222"/>
                <w:shd w:val="clear" w:color="auto" w:fill="FFFFFF"/>
              </w:rPr>
              <w:t>Madsen, C., Crevel, R., Mills, C. and Taylor, S. eds., 2013. </w:t>
            </w:r>
            <w:r w:rsidRPr="00703341">
              <w:rPr>
                <w:iCs/>
                <w:color w:val="222222"/>
                <w:shd w:val="clear" w:color="auto" w:fill="FFFFFF"/>
              </w:rPr>
              <w:t>Risk management for food allergy</w:t>
            </w:r>
            <w:r w:rsidRPr="00703341">
              <w:rPr>
                <w:color w:val="222222"/>
                <w:shd w:val="clear" w:color="auto" w:fill="FFFFFF"/>
              </w:rPr>
              <w:t>. Academic Press.</w:t>
            </w:r>
          </w:p>
          <w:p w14:paraId="41DDF9ED" w14:textId="77777777" w:rsidR="00CD52E7" w:rsidRPr="00703341" w:rsidRDefault="00CD52E7" w:rsidP="007F6692">
            <w:pPr>
              <w:spacing w:line="360" w:lineRule="auto"/>
              <w:jc w:val="both"/>
              <w:rPr>
                <w:color w:val="222222"/>
                <w:shd w:val="clear" w:color="auto" w:fill="FFFFFF"/>
              </w:rPr>
            </w:pPr>
          </w:p>
          <w:p w14:paraId="270473D5" w14:textId="7BA8A8AB" w:rsidR="00CD52E7" w:rsidRPr="00703341" w:rsidRDefault="00CD52E7" w:rsidP="007F6692">
            <w:pPr>
              <w:spacing w:line="360" w:lineRule="auto"/>
              <w:jc w:val="both"/>
              <w:rPr>
                <w:color w:val="222222"/>
                <w:shd w:val="clear" w:color="auto" w:fill="FFFFFF"/>
              </w:rPr>
            </w:pPr>
            <w:r w:rsidRPr="00703341">
              <w:rPr>
                <w:color w:val="222222"/>
                <w:shd w:val="clear" w:color="auto" w:fill="FFFFFF"/>
              </w:rPr>
              <w:t>Sainsbury, A., Sanders, D.S. and Ford, A.C., 2013. Prevalence of irritable bowel syndrome–type symptoms in patients with celiac disease: a meta-analysis. </w:t>
            </w:r>
            <w:r w:rsidRPr="00703341">
              <w:rPr>
                <w:iCs/>
                <w:color w:val="222222"/>
                <w:shd w:val="clear" w:color="auto" w:fill="FFFFFF"/>
              </w:rPr>
              <w:t>Clinical Gastroenterology and Hepatology</w:t>
            </w:r>
            <w:r w:rsidRPr="00703341">
              <w:rPr>
                <w:color w:val="222222"/>
                <w:shd w:val="clear" w:color="auto" w:fill="FFFFFF"/>
              </w:rPr>
              <w:t>, </w:t>
            </w:r>
            <w:r w:rsidRPr="00703341">
              <w:rPr>
                <w:iCs/>
                <w:color w:val="222222"/>
                <w:shd w:val="clear" w:color="auto" w:fill="FFFFFF"/>
              </w:rPr>
              <w:t>11</w:t>
            </w:r>
            <w:r w:rsidRPr="00703341">
              <w:rPr>
                <w:color w:val="222222"/>
                <w:shd w:val="clear" w:color="auto" w:fill="FFFFFF"/>
              </w:rPr>
              <w:t>(4), pp.359-365.</w:t>
            </w:r>
          </w:p>
          <w:p w14:paraId="6871C605" w14:textId="77777777" w:rsidR="00703341" w:rsidRPr="00703341" w:rsidRDefault="00703341" w:rsidP="007F6692">
            <w:pPr>
              <w:spacing w:line="360" w:lineRule="auto"/>
              <w:jc w:val="both"/>
              <w:rPr>
                <w:color w:val="222222"/>
                <w:shd w:val="clear" w:color="auto" w:fill="FFFFFF"/>
              </w:rPr>
            </w:pPr>
          </w:p>
          <w:p w14:paraId="4F228F5D" w14:textId="4030A040" w:rsidR="00375882" w:rsidRPr="00703341" w:rsidRDefault="0002377E" w:rsidP="007F6692">
            <w:pPr>
              <w:spacing w:line="360" w:lineRule="auto"/>
              <w:jc w:val="both"/>
              <w:rPr>
                <w:color w:val="222222"/>
                <w:shd w:val="clear" w:color="auto" w:fill="FFFFFF"/>
              </w:rPr>
            </w:pPr>
            <w:r w:rsidRPr="00703341">
              <w:rPr>
                <w:color w:val="222222"/>
                <w:shd w:val="clear" w:color="auto" w:fill="FFFFFF"/>
              </w:rPr>
              <w:t>Sicherer, S.H. and Sampson, H.A., 2010. Food allergy. </w:t>
            </w:r>
            <w:r w:rsidRPr="00703341">
              <w:rPr>
                <w:iCs/>
                <w:color w:val="222222"/>
                <w:shd w:val="clear" w:color="auto" w:fill="FFFFFF"/>
              </w:rPr>
              <w:t>Journal of allergy and clinical immunology</w:t>
            </w:r>
            <w:r w:rsidRPr="00703341">
              <w:rPr>
                <w:color w:val="222222"/>
                <w:shd w:val="clear" w:color="auto" w:fill="FFFFFF"/>
              </w:rPr>
              <w:t>, </w:t>
            </w:r>
            <w:r w:rsidRPr="00703341">
              <w:rPr>
                <w:iCs/>
                <w:color w:val="222222"/>
                <w:shd w:val="clear" w:color="auto" w:fill="FFFFFF"/>
              </w:rPr>
              <w:t>125</w:t>
            </w:r>
            <w:r w:rsidRPr="00703341">
              <w:rPr>
                <w:color w:val="222222"/>
                <w:shd w:val="clear" w:color="auto" w:fill="FFFFFF"/>
              </w:rPr>
              <w:t xml:space="preserve">(2), </w:t>
            </w:r>
            <w:proofErr w:type="gramStart"/>
            <w:r w:rsidRPr="00703341">
              <w:rPr>
                <w:color w:val="222222"/>
                <w:shd w:val="clear" w:color="auto" w:fill="FFFFFF"/>
              </w:rPr>
              <w:t>pp.S</w:t>
            </w:r>
            <w:proofErr w:type="gramEnd"/>
            <w:r w:rsidRPr="00703341">
              <w:rPr>
                <w:color w:val="222222"/>
                <w:shd w:val="clear" w:color="auto" w:fill="FFFFFF"/>
              </w:rPr>
              <w:t>116-S125.</w:t>
            </w:r>
          </w:p>
          <w:p w14:paraId="6FC68BB3" w14:textId="77777777" w:rsidR="00703341" w:rsidRPr="00703341" w:rsidRDefault="00703341" w:rsidP="007F6692">
            <w:pPr>
              <w:spacing w:line="360" w:lineRule="auto"/>
              <w:jc w:val="both"/>
              <w:rPr>
                <w:color w:val="222222"/>
                <w:shd w:val="clear" w:color="auto" w:fill="FFFFFF"/>
              </w:rPr>
            </w:pPr>
          </w:p>
          <w:p w14:paraId="0D2D3247" w14:textId="295B1451" w:rsidR="00CD52E7" w:rsidRPr="00703341" w:rsidRDefault="00CD52E7" w:rsidP="007F6692">
            <w:pPr>
              <w:spacing w:line="360" w:lineRule="auto"/>
              <w:jc w:val="both"/>
            </w:pPr>
            <w:r w:rsidRPr="00703341">
              <w:rPr>
                <w:color w:val="222222"/>
                <w:shd w:val="clear" w:color="auto" w:fill="FFFFFF"/>
              </w:rPr>
              <w:t>Suh, E., 2006. Allergic disease may increase the risk of atherosclerosis. </w:t>
            </w:r>
            <w:r w:rsidRPr="00703341">
              <w:rPr>
                <w:iCs/>
                <w:color w:val="222222"/>
                <w:shd w:val="clear" w:color="auto" w:fill="FFFFFF"/>
              </w:rPr>
              <w:t>Thorax</w:t>
            </w:r>
            <w:r w:rsidRPr="00703341">
              <w:rPr>
                <w:color w:val="222222"/>
                <w:shd w:val="clear" w:color="auto" w:fill="FFFFFF"/>
              </w:rPr>
              <w:t>, </w:t>
            </w:r>
            <w:r w:rsidRPr="00703341">
              <w:rPr>
                <w:iCs/>
                <w:color w:val="222222"/>
                <w:shd w:val="clear" w:color="auto" w:fill="FFFFFF"/>
              </w:rPr>
              <w:t>61</w:t>
            </w:r>
            <w:r w:rsidRPr="00703341">
              <w:rPr>
                <w:color w:val="222222"/>
                <w:shd w:val="clear" w:color="auto" w:fill="FFFFFF"/>
              </w:rPr>
              <w:t>(4), pp.299-299.</w:t>
            </w:r>
          </w:p>
          <w:p w14:paraId="7BE2B521" w14:textId="73ACEF86" w:rsidR="00375882" w:rsidRPr="00703341" w:rsidRDefault="00375882" w:rsidP="007F6692">
            <w:pPr>
              <w:spacing w:line="360" w:lineRule="auto"/>
              <w:jc w:val="both"/>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48686" w14:textId="77777777" w:rsidR="005375DD" w:rsidRDefault="005375DD">
      <w:r>
        <w:separator/>
      </w:r>
    </w:p>
  </w:endnote>
  <w:endnote w:type="continuationSeparator" w:id="0">
    <w:p w14:paraId="00D54DE0" w14:textId="77777777" w:rsidR="005375DD" w:rsidRDefault="005375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8F447" w14:textId="77777777" w:rsidR="005375DD" w:rsidRDefault="005375DD">
      <w:r>
        <w:separator/>
      </w:r>
    </w:p>
  </w:footnote>
  <w:footnote w:type="continuationSeparator" w:id="0">
    <w:p w14:paraId="2DF1E70B" w14:textId="77777777" w:rsidR="005375DD" w:rsidRDefault="005375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09462591">
    <w:abstractNumId w:val="12"/>
  </w:num>
  <w:num w:numId="2" w16cid:durableId="1783067053">
    <w:abstractNumId w:val="4"/>
  </w:num>
  <w:num w:numId="3" w16cid:durableId="276790667">
    <w:abstractNumId w:val="27"/>
  </w:num>
  <w:num w:numId="4" w16cid:durableId="942348896">
    <w:abstractNumId w:val="5"/>
  </w:num>
  <w:num w:numId="5" w16cid:durableId="772435331">
    <w:abstractNumId w:val="23"/>
  </w:num>
  <w:num w:numId="6" w16cid:durableId="1337421352">
    <w:abstractNumId w:val="6"/>
  </w:num>
  <w:num w:numId="7" w16cid:durableId="1940718780">
    <w:abstractNumId w:val="0"/>
  </w:num>
  <w:num w:numId="8" w16cid:durableId="1767115120">
    <w:abstractNumId w:val="26"/>
  </w:num>
  <w:num w:numId="9" w16cid:durableId="1588927142">
    <w:abstractNumId w:val="15"/>
  </w:num>
  <w:num w:numId="10" w16cid:durableId="1337196721">
    <w:abstractNumId w:val="18"/>
  </w:num>
  <w:num w:numId="11" w16cid:durableId="977997443">
    <w:abstractNumId w:val="3"/>
  </w:num>
  <w:num w:numId="12" w16cid:durableId="1429279563">
    <w:abstractNumId w:val="13"/>
  </w:num>
  <w:num w:numId="13" w16cid:durableId="2012025296">
    <w:abstractNumId w:val="2"/>
  </w:num>
  <w:num w:numId="14" w16cid:durableId="881597324">
    <w:abstractNumId w:val="9"/>
  </w:num>
  <w:num w:numId="15" w16cid:durableId="1388340436">
    <w:abstractNumId w:val="17"/>
  </w:num>
  <w:num w:numId="16" w16cid:durableId="2005162914">
    <w:abstractNumId w:val="19"/>
  </w:num>
  <w:num w:numId="17" w16cid:durableId="756898565">
    <w:abstractNumId w:val="1"/>
  </w:num>
  <w:num w:numId="18" w16cid:durableId="867789783">
    <w:abstractNumId w:val="25"/>
  </w:num>
  <w:num w:numId="19" w16cid:durableId="183835924">
    <w:abstractNumId w:val="8"/>
  </w:num>
  <w:num w:numId="20" w16cid:durableId="1724717523">
    <w:abstractNumId w:val="20"/>
  </w:num>
  <w:num w:numId="21" w16cid:durableId="2124961004">
    <w:abstractNumId w:val="11"/>
  </w:num>
  <w:num w:numId="22" w16cid:durableId="2143692354">
    <w:abstractNumId w:val="16"/>
  </w:num>
  <w:num w:numId="23" w16cid:durableId="81418176">
    <w:abstractNumId w:val="24"/>
  </w:num>
  <w:num w:numId="24" w16cid:durableId="881360182">
    <w:abstractNumId w:val="10"/>
  </w:num>
  <w:num w:numId="25" w16cid:durableId="1111389637">
    <w:abstractNumId w:val="22"/>
  </w:num>
  <w:num w:numId="26" w16cid:durableId="1346711921">
    <w:abstractNumId w:val="7"/>
  </w:num>
  <w:num w:numId="27" w16cid:durableId="1485463130">
    <w:abstractNumId w:val="21"/>
  </w:num>
  <w:num w:numId="28" w16cid:durableId="84451237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2377E"/>
    <w:rsid w:val="000304DF"/>
    <w:rsid w:val="00033152"/>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09F8"/>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2833"/>
    <w:rsid w:val="004B113B"/>
    <w:rsid w:val="004C08E2"/>
    <w:rsid w:val="004C7E23"/>
    <w:rsid w:val="005036DE"/>
    <w:rsid w:val="00517154"/>
    <w:rsid w:val="00522B05"/>
    <w:rsid w:val="005375DD"/>
    <w:rsid w:val="00542C5B"/>
    <w:rsid w:val="00552EED"/>
    <w:rsid w:val="00566333"/>
    <w:rsid w:val="00575543"/>
    <w:rsid w:val="005C6352"/>
    <w:rsid w:val="005D0DDE"/>
    <w:rsid w:val="005D5D0B"/>
    <w:rsid w:val="0062012D"/>
    <w:rsid w:val="0064197E"/>
    <w:rsid w:val="00643CB9"/>
    <w:rsid w:val="00656D2E"/>
    <w:rsid w:val="0066732A"/>
    <w:rsid w:val="00677D1F"/>
    <w:rsid w:val="00696CD6"/>
    <w:rsid w:val="00697481"/>
    <w:rsid w:val="006A4F97"/>
    <w:rsid w:val="006B2CE3"/>
    <w:rsid w:val="006C4640"/>
    <w:rsid w:val="006E469E"/>
    <w:rsid w:val="006F4FB6"/>
    <w:rsid w:val="006F501B"/>
    <w:rsid w:val="00702077"/>
    <w:rsid w:val="00703341"/>
    <w:rsid w:val="00725F0E"/>
    <w:rsid w:val="00734189"/>
    <w:rsid w:val="00735BB1"/>
    <w:rsid w:val="00744482"/>
    <w:rsid w:val="007451E8"/>
    <w:rsid w:val="00751243"/>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C3119"/>
    <w:rsid w:val="008E11A4"/>
    <w:rsid w:val="008E2A5A"/>
    <w:rsid w:val="008F0B0D"/>
    <w:rsid w:val="008F0D83"/>
    <w:rsid w:val="009061F1"/>
    <w:rsid w:val="00911C43"/>
    <w:rsid w:val="009139BF"/>
    <w:rsid w:val="00923E76"/>
    <w:rsid w:val="009448FE"/>
    <w:rsid w:val="00946B23"/>
    <w:rsid w:val="00985CF1"/>
    <w:rsid w:val="009A3A55"/>
    <w:rsid w:val="009B1D87"/>
    <w:rsid w:val="009C438C"/>
    <w:rsid w:val="009C6CAE"/>
    <w:rsid w:val="009D0DDA"/>
    <w:rsid w:val="00A02728"/>
    <w:rsid w:val="00A138AA"/>
    <w:rsid w:val="00A14DA0"/>
    <w:rsid w:val="00A43B8E"/>
    <w:rsid w:val="00A44FA9"/>
    <w:rsid w:val="00A45D42"/>
    <w:rsid w:val="00A551C6"/>
    <w:rsid w:val="00A5520C"/>
    <w:rsid w:val="00A632B8"/>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52E7"/>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5ED48C7C-89EB-314D-A7B7-6535F5BB9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820</Words>
  <Characters>4678</Characters>
  <Application>Microsoft Office Word</Application>
  <DocSecurity>4</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Ella Cristina</cp:lastModifiedBy>
  <cp:revision>2</cp:revision>
  <cp:lastPrinted>2020-09-28T20:53:00Z</cp:lastPrinted>
  <dcterms:created xsi:type="dcterms:W3CDTF">2022-06-03T12:58:00Z</dcterms:created>
  <dcterms:modified xsi:type="dcterms:W3CDTF">2022-06-03T12:58:00Z</dcterms:modified>
</cp:coreProperties>
</file>