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D33E1" w14:textId="77777777" w:rsidR="008C17FE" w:rsidRDefault="008C17FE" w:rsidP="00741B55">
      <w:pPr>
        <w:pStyle w:val="Heading1"/>
      </w:pPr>
    </w:p>
    <w:p w14:paraId="0A1DC5C3" w14:textId="77777777" w:rsidR="008C17FE" w:rsidRDefault="008C17FE" w:rsidP="008C17FE">
      <w:pPr>
        <w:pStyle w:val="Title"/>
        <w:jc w:val="center"/>
      </w:pPr>
    </w:p>
    <w:p w14:paraId="1AAAACE6" w14:textId="77777777" w:rsidR="008C17FE" w:rsidRDefault="008C17FE" w:rsidP="008C17FE">
      <w:pPr>
        <w:pStyle w:val="Title"/>
        <w:jc w:val="center"/>
      </w:pPr>
    </w:p>
    <w:p w14:paraId="4497A126" w14:textId="77777777" w:rsidR="008C17FE" w:rsidRDefault="008C17FE" w:rsidP="008C17FE">
      <w:pPr>
        <w:pStyle w:val="Title"/>
        <w:jc w:val="center"/>
      </w:pPr>
    </w:p>
    <w:p w14:paraId="1FDE378D" w14:textId="77777777" w:rsidR="008C17FE" w:rsidRDefault="008C17FE" w:rsidP="008C17FE">
      <w:pPr>
        <w:pStyle w:val="Title"/>
        <w:jc w:val="center"/>
      </w:pPr>
    </w:p>
    <w:p w14:paraId="3F83EBD3" w14:textId="080E18E8" w:rsidR="008C17FE" w:rsidRDefault="008C17FE" w:rsidP="008C17FE">
      <w:pPr>
        <w:pStyle w:val="Title"/>
        <w:jc w:val="center"/>
      </w:pPr>
      <w:r w:rsidRPr="008C17FE">
        <w:t xml:space="preserve">Business </w:t>
      </w:r>
      <w:r w:rsidRPr="008C17FE">
        <w:rPr>
          <w:sz w:val="72"/>
          <w:szCs w:val="72"/>
        </w:rPr>
        <w:t>Management</w:t>
      </w:r>
    </w:p>
    <w:p w14:paraId="56CF2EC5" w14:textId="0B5E6D8B" w:rsidR="008C17FE" w:rsidRPr="008C17FE" w:rsidRDefault="008C17FE" w:rsidP="008C17FE">
      <w:pPr>
        <w:pStyle w:val="Subtitle"/>
        <w:jc w:val="center"/>
        <w:rPr>
          <w:sz w:val="28"/>
          <w:szCs w:val="28"/>
        </w:rPr>
      </w:pPr>
      <w:r w:rsidRPr="008C17FE">
        <w:rPr>
          <w:sz w:val="28"/>
          <w:szCs w:val="28"/>
        </w:rPr>
        <w:t>International Business Communications</w:t>
      </w:r>
    </w:p>
    <w:p w14:paraId="2AB41F42" w14:textId="77777777" w:rsidR="008C17FE" w:rsidRDefault="008C17FE" w:rsidP="008C17FE"/>
    <w:p w14:paraId="758726B3" w14:textId="77777777" w:rsidR="008C17FE" w:rsidRDefault="008C17FE" w:rsidP="008C17FE"/>
    <w:p w14:paraId="478C02E4" w14:textId="77777777" w:rsidR="008C17FE" w:rsidRDefault="008C17FE" w:rsidP="008C17FE"/>
    <w:p w14:paraId="7E5456A0" w14:textId="77777777" w:rsidR="008C17FE" w:rsidRDefault="008C17FE" w:rsidP="008C17FE"/>
    <w:p w14:paraId="12795EEB" w14:textId="77777777" w:rsidR="008C17FE" w:rsidRDefault="008C17FE" w:rsidP="008C17FE"/>
    <w:p w14:paraId="56FC3B40" w14:textId="77777777" w:rsidR="008C17FE" w:rsidRDefault="008C17FE" w:rsidP="008C17FE"/>
    <w:p w14:paraId="5348597A" w14:textId="77777777" w:rsidR="008C17FE" w:rsidRDefault="008C17FE" w:rsidP="008C17FE"/>
    <w:p w14:paraId="4CA8A6C2" w14:textId="77777777" w:rsidR="008C17FE" w:rsidRDefault="008C17FE" w:rsidP="008C17FE"/>
    <w:p w14:paraId="41CF4A84" w14:textId="77777777" w:rsidR="008C17FE" w:rsidRDefault="008C17FE" w:rsidP="008C17FE"/>
    <w:p w14:paraId="3ABEC3DD" w14:textId="77777777" w:rsidR="008C17FE" w:rsidRDefault="008C17FE" w:rsidP="008C17FE"/>
    <w:p w14:paraId="41B18085" w14:textId="77777777" w:rsidR="008C17FE" w:rsidRDefault="008C17FE" w:rsidP="008C17FE"/>
    <w:p w14:paraId="72DC7FF6" w14:textId="77777777" w:rsidR="008C17FE" w:rsidRDefault="008C17FE" w:rsidP="008C17FE"/>
    <w:p w14:paraId="19AF184B" w14:textId="77777777" w:rsidR="008C17FE" w:rsidRDefault="008C17FE" w:rsidP="008C17FE"/>
    <w:p w14:paraId="5986DD8A" w14:textId="77777777" w:rsidR="008C17FE" w:rsidRDefault="008C17FE" w:rsidP="008C17FE"/>
    <w:p w14:paraId="30FDA08B" w14:textId="684BDB88" w:rsidR="008C17FE" w:rsidRDefault="008C17FE" w:rsidP="008C17FE">
      <w:r>
        <w:t>Name: Ionut Balba</w:t>
      </w:r>
    </w:p>
    <w:p w14:paraId="08DA740B" w14:textId="77777777" w:rsidR="008C17FE" w:rsidRDefault="008C17FE" w:rsidP="008C17FE"/>
    <w:p w14:paraId="588ED2CD" w14:textId="77777777" w:rsidR="008C17FE" w:rsidRDefault="008C17FE" w:rsidP="008C17FE"/>
    <w:p w14:paraId="17C30660" w14:textId="77777777" w:rsidR="008C17FE" w:rsidRDefault="008C17FE" w:rsidP="008C17FE"/>
    <w:p w14:paraId="1A88D6EB" w14:textId="77777777" w:rsidR="008C17FE" w:rsidRDefault="008C17FE" w:rsidP="008C17FE"/>
    <w:p w14:paraId="1D24257D" w14:textId="77777777" w:rsidR="008C17FE" w:rsidRDefault="008C17FE" w:rsidP="008C17FE"/>
    <w:p w14:paraId="502924E3" w14:textId="77777777" w:rsidR="008C17FE" w:rsidRDefault="008C17FE" w:rsidP="008C17FE"/>
    <w:p w14:paraId="0CFD5C72" w14:textId="77777777" w:rsidR="008C17FE" w:rsidRDefault="008C17FE" w:rsidP="008C17FE"/>
    <w:p w14:paraId="425C3997" w14:textId="77777777" w:rsidR="008C17FE" w:rsidRPr="008C17FE" w:rsidRDefault="008C17FE" w:rsidP="008C17FE"/>
    <w:sdt>
      <w:sdtPr>
        <w:id w:val="-142273115"/>
        <w:docPartObj>
          <w:docPartGallery w:val="Table of Contents"/>
          <w:docPartUnique/>
        </w:docPartObj>
      </w:sdtPr>
      <w:sdtEndPr>
        <w:rPr>
          <w:rFonts w:asciiTheme="minorHAnsi" w:eastAsiaTheme="minorHAnsi" w:hAnsiTheme="minorHAnsi" w:cstheme="minorBidi"/>
          <w:b/>
          <w:bCs/>
          <w:noProof/>
          <w:color w:val="auto"/>
          <w:sz w:val="22"/>
          <w:szCs w:val="22"/>
          <w:lang w:val="ro-RO"/>
        </w:rPr>
      </w:sdtEndPr>
      <w:sdtContent>
        <w:p w14:paraId="765A5E9F" w14:textId="4FD00E58" w:rsidR="008C17FE" w:rsidRDefault="008C17FE">
          <w:pPr>
            <w:pStyle w:val="TOCHeading"/>
          </w:pPr>
          <w:r>
            <w:t>Table of Contents</w:t>
          </w:r>
        </w:p>
        <w:p w14:paraId="6A7C7D2D" w14:textId="02628BA3" w:rsidR="008C17FE" w:rsidRDefault="008C17FE">
          <w:pPr>
            <w:pStyle w:val="TOC1"/>
            <w:tabs>
              <w:tab w:val="right" w:leader="dot" w:pos="9062"/>
            </w:tabs>
            <w:rPr>
              <w:noProof/>
            </w:rPr>
          </w:pPr>
          <w:r>
            <w:fldChar w:fldCharType="begin"/>
          </w:r>
          <w:r>
            <w:instrText xml:space="preserve"> TOC \o "1-3" \h \z \u </w:instrText>
          </w:r>
          <w:r>
            <w:fldChar w:fldCharType="separate"/>
          </w:r>
          <w:hyperlink w:anchor="_Toc153887413" w:history="1">
            <w:r w:rsidRPr="004F104F">
              <w:rPr>
                <w:rStyle w:val="Hyperlink"/>
                <w:noProof/>
              </w:rPr>
              <w:t>Introduction To British Business Communications</w:t>
            </w:r>
            <w:r>
              <w:rPr>
                <w:noProof/>
                <w:webHidden/>
              </w:rPr>
              <w:tab/>
            </w:r>
            <w:r>
              <w:rPr>
                <w:noProof/>
                <w:webHidden/>
              </w:rPr>
              <w:fldChar w:fldCharType="begin"/>
            </w:r>
            <w:r>
              <w:rPr>
                <w:noProof/>
                <w:webHidden/>
              </w:rPr>
              <w:instrText xml:space="preserve"> PAGEREF _Toc153887413 \h </w:instrText>
            </w:r>
            <w:r>
              <w:rPr>
                <w:noProof/>
                <w:webHidden/>
              </w:rPr>
            </w:r>
            <w:r>
              <w:rPr>
                <w:noProof/>
                <w:webHidden/>
              </w:rPr>
              <w:fldChar w:fldCharType="separate"/>
            </w:r>
            <w:r>
              <w:rPr>
                <w:noProof/>
                <w:webHidden/>
              </w:rPr>
              <w:t>1</w:t>
            </w:r>
            <w:r>
              <w:rPr>
                <w:noProof/>
                <w:webHidden/>
              </w:rPr>
              <w:fldChar w:fldCharType="end"/>
            </w:r>
          </w:hyperlink>
        </w:p>
        <w:p w14:paraId="44DB1F28" w14:textId="7387AAA7" w:rsidR="008C17FE" w:rsidRDefault="008C17FE">
          <w:pPr>
            <w:pStyle w:val="TOC2"/>
            <w:tabs>
              <w:tab w:val="right" w:leader="dot" w:pos="9062"/>
            </w:tabs>
            <w:rPr>
              <w:noProof/>
            </w:rPr>
          </w:pPr>
          <w:hyperlink w:anchor="_Toc153887414" w:history="1">
            <w:r w:rsidRPr="004F104F">
              <w:rPr>
                <w:rStyle w:val="Hyperlink"/>
                <w:noProof/>
              </w:rPr>
              <w:t>British Communication Culture: Nuances</w:t>
            </w:r>
            <w:r>
              <w:rPr>
                <w:noProof/>
                <w:webHidden/>
              </w:rPr>
              <w:tab/>
            </w:r>
            <w:r>
              <w:rPr>
                <w:noProof/>
                <w:webHidden/>
              </w:rPr>
              <w:fldChar w:fldCharType="begin"/>
            </w:r>
            <w:r>
              <w:rPr>
                <w:noProof/>
                <w:webHidden/>
              </w:rPr>
              <w:instrText xml:space="preserve"> PAGEREF _Toc153887414 \h </w:instrText>
            </w:r>
            <w:r>
              <w:rPr>
                <w:noProof/>
                <w:webHidden/>
              </w:rPr>
            </w:r>
            <w:r>
              <w:rPr>
                <w:noProof/>
                <w:webHidden/>
              </w:rPr>
              <w:fldChar w:fldCharType="separate"/>
            </w:r>
            <w:r>
              <w:rPr>
                <w:noProof/>
                <w:webHidden/>
              </w:rPr>
              <w:t>2</w:t>
            </w:r>
            <w:r>
              <w:rPr>
                <w:noProof/>
                <w:webHidden/>
              </w:rPr>
              <w:fldChar w:fldCharType="end"/>
            </w:r>
          </w:hyperlink>
        </w:p>
        <w:p w14:paraId="25472C62" w14:textId="4D3BC3DE" w:rsidR="008C17FE" w:rsidRDefault="008C17FE">
          <w:pPr>
            <w:pStyle w:val="TOC2"/>
            <w:tabs>
              <w:tab w:val="right" w:leader="dot" w:pos="9062"/>
            </w:tabs>
            <w:rPr>
              <w:noProof/>
            </w:rPr>
          </w:pPr>
          <w:hyperlink w:anchor="_Toc153887415" w:history="1">
            <w:r w:rsidRPr="004F104F">
              <w:rPr>
                <w:rStyle w:val="Hyperlink"/>
                <w:noProof/>
              </w:rPr>
              <w:t>Minding The Cultural Gap</w:t>
            </w:r>
            <w:r>
              <w:rPr>
                <w:noProof/>
                <w:webHidden/>
              </w:rPr>
              <w:tab/>
            </w:r>
            <w:r>
              <w:rPr>
                <w:noProof/>
                <w:webHidden/>
              </w:rPr>
              <w:fldChar w:fldCharType="begin"/>
            </w:r>
            <w:r>
              <w:rPr>
                <w:noProof/>
                <w:webHidden/>
              </w:rPr>
              <w:instrText xml:space="preserve"> PAGEREF _Toc153887415 \h </w:instrText>
            </w:r>
            <w:r>
              <w:rPr>
                <w:noProof/>
                <w:webHidden/>
              </w:rPr>
            </w:r>
            <w:r>
              <w:rPr>
                <w:noProof/>
                <w:webHidden/>
              </w:rPr>
              <w:fldChar w:fldCharType="separate"/>
            </w:r>
            <w:r>
              <w:rPr>
                <w:noProof/>
                <w:webHidden/>
              </w:rPr>
              <w:t>2</w:t>
            </w:r>
            <w:r>
              <w:rPr>
                <w:noProof/>
                <w:webHidden/>
              </w:rPr>
              <w:fldChar w:fldCharType="end"/>
            </w:r>
          </w:hyperlink>
        </w:p>
        <w:p w14:paraId="367E5FD4" w14:textId="7EF6E1DA" w:rsidR="008C17FE" w:rsidRDefault="008C17FE">
          <w:pPr>
            <w:pStyle w:val="TOC2"/>
            <w:tabs>
              <w:tab w:val="right" w:leader="dot" w:pos="9062"/>
            </w:tabs>
            <w:rPr>
              <w:noProof/>
            </w:rPr>
          </w:pPr>
          <w:hyperlink w:anchor="_Toc153887416" w:history="1">
            <w:r w:rsidRPr="004F104F">
              <w:rPr>
                <w:rStyle w:val="Hyperlink"/>
                <w:noProof/>
              </w:rPr>
              <w:t>Language skills as a competitive edge</w:t>
            </w:r>
            <w:r>
              <w:rPr>
                <w:noProof/>
                <w:webHidden/>
              </w:rPr>
              <w:tab/>
            </w:r>
            <w:r>
              <w:rPr>
                <w:noProof/>
                <w:webHidden/>
              </w:rPr>
              <w:fldChar w:fldCharType="begin"/>
            </w:r>
            <w:r>
              <w:rPr>
                <w:noProof/>
                <w:webHidden/>
              </w:rPr>
              <w:instrText xml:space="preserve"> PAGEREF _Toc153887416 \h </w:instrText>
            </w:r>
            <w:r>
              <w:rPr>
                <w:noProof/>
                <w:webHidden/>
              </w:rPr>
            </w:r>
            <w:r>
              <w:rPr>
                <w:noProof/>
                <w:webHidden/>
              </w:rPr>
              <w:fldChar w:fldCharType="separate"/>
            </w:r>
            <w:r>
              <w:rPr>
                <w:noProof/>
                <w:webHidden/>
              </w:rPr>
              <w:t>2</w:t>
            </w:r>
            <w:r>
              <w:rPr>
                <w:noProof/>
                <w:webHidden/>
              </w:rPr>
              <w:fldChar w:fldCharType="end"/>
            </w:r>
          </w:hyperlink>
        </w:p>
        <w:p w14:paraId="292F12A5" w14:textId="362F85E1" w:rsidR="008C17FE" w:rsidRDefault="008C17FE">
          <w:pPr>
            <w:pStyle w:val="TOC1"/>
            <w:tabs>
              <w:tab w:val="right" w:leader="dot" w:pos="9062"/>
            </w:tabs>
            <w:rPr>
              <w:noProof/>
            </w:rPr>
          </w:pPr>
          <w:hyperlink w:anchor="_Toc153887417" w:history="1">
            <w:r w:rsidRPr="004F104F">
              <w:rPr>
                <w:rStyle w:val="Hyperlink"/>
                <w:noProof/>
              </w:rPr>
              <w:t>Unilever: An Introduction</w:t>
            </w:r>
            <w:r>
              <w:rPr>
                <w:noProof/>
                <w:webHidden/>
              </w:rPr>
              <w:tab/>
            </w:r>
            <w:r>
              <w:rPr>
                <w:noProof/>
                <w:webHidden/>
              </w:rPr>
              <w:fldChar w:fldCharType="begin"/>
            </w:r>
            <w:r>
              <w:rPr>
                <w:noProof/>
                <w:webHidden/>
              </w:rPr>
              <w:instrText xml:space="preserve"> PAGEREF _Toc153887417 \h </w:instrText>
            </w:r>
            <w:r>
              <w:rPr>
                <w:noProof/>
                <w:webHidden/>
              </w:rPr>
            </w:r>
            <w:r>
              <w:rPr>
                <w:noProof/>
                <w:webHidden/>
              </w:rPr>
              <w:fldChar w:fldCharType="separate"/>
            </w:r>
            <w:r>
              <w:rPr>
                <w:noProof/>
                <w:webHidden/>
              </w:rPr>
              <w:t>2</w:t>
            </w:r>
            <w:r>
              <w:rPr>
                <w:noProof/>
                <w:webHidden/>
              </w:rPr>
              <w:fldChar w:fldCharType="end"/>
            </w:r>
          </w:hyperlink>
        </w:p>
        <w:p w14:paraId="0DEB1A7D" w14:textId="649011E8" w:rsidR="008C17FE" w:rsidRDefault="008C17FE">
          <w:pPr>
            <w:pStyle w:val="TOC2"/>
            <w:tabs>
              <w:tab w:val="right" w:leader="dot" w:pos="9062"/>
            </w:tabs>
            <w:rPr>
              <w:noProof/>
            </w:rPr>
          </w:pPr>
          <w:hyperlink w:anchor="_Toc153887418" w:history="1">
            <w:r w:rsidRPr="004F104F">
              <w:rPr>
                <w:rStyle w:val="Hyperlink"/>
                <w:noProof/>
              </w:rPr>
              <w:t>Unilever's push towards sustainability</w:t>
            </w:r>
            <w:r>
              <w:rPr>
                <w:noProof/>
                <w:webHidden/>
              </w:rPr>
              <w:tab/>
            </w:r>
            <w:r>
              <w:rPr>
                <w:noProof/>
                <w:webHidden/>
              </w:rPr>
              <w:fldChar w:fldCharType="begin"/>
            </w:r>
            <w:r>
              <w:rPr>
                <w:noProof/>
                <w:webHidden/>
              </w:rPr>
              <w:instrText xml:space="preserve"> PAGEREF _Toc153887418 \h </w:instrText>
            </w:r>
            <w:r>
              <w:rPr>
                <w:noProof/>
                <w:webHidden/>
              </w:rPr>
            </w:r>
            <w:r>
              <w:rPr>
                <w:noProof/>
                <w:webHidden/>
              </w:rPr>
              <w:fldChar w:fldCharType="separate"/>
            </w:r>
            <w:r>
              <w:rPr>
                <w:noProof/>
                <w:webHidden/>
              </w:rPr>
              <w:t>3</w:t>
            </w:r>
            <w:r>
              <w:rPr>
                <w:noProof/>
                <w:webHidden/>
              </w:rPr>
              <w:fldChar w:fldCharType="end"/>
            </w:r>
          </w:hyperlink>
        </w:p>
        <w:p w14:paraId="0F63D906" w14:textId="0007B468" w:rsidR="008C17FE" w:rsidRDefault="008C17FE">
          <w:pPr>
            <w:pStyle w:val="TOC2"/>
            <w:tabs>
              <w:tab w:val="right" w:leader="dot" w:pos="9062"/>
            </w:tabs>
            <w:rPr>
              <w:noProof/>
            </w:rPr>
          </w:pPr>
          <w:hyperlink w:anchor="_Toc153887419" w:history="1">
            <w:r w:rsidRPr="004F104F">
              <w:rPr>
                <w:rStyle w:val="Hyperlink"/>
                <w:noProof/>
              </w:rPr>
              <w:t>Multi-Domestic Strategy</w:t>
            </w:r>
            <w:r>
              <w:rPr>
                <w:noProof/>
                <w:webHidden/>
              </w:rPr>
              <w:tab/>
            </w:r>
            <w:r>
              <w:rPr>
                <w:noProof/>
                <w:webHidden/>
              </w:rPr>
              <w:fldChar w:fldCharType="begin"/>
            </w:r>
            <w:r>
              <w:rPr>
                <w:noProof/>
                <w:webHidden/>
              </w:rPr>
              <w:instrText xml:space="preserve"> PAGEREF _Toc153887419 \h </w:instrText>
            </w:r>
            <w:r>
              <w:rPr>
                <w:noProof/>
                <w:webHidden/>
              </w:rPr>
            </w:r>
            <w:r>
              <w:rPr>
                <w:noProof/>
                <w:webHidden/>
              </w:rPr>
              <w:fldChar w:fldCharType="separate"/>
            </w:r>
            <w:r>
              <w:rPr>
                <w:noProof/>
                <w:webHidden/>
              </w:rPr>
              <w:t>3</w:t>
            </w:r>
            <w:r>
              <w:rPr>
                <w:noProof/>
                <w:webHidden/>
              </w:rPr>
              <w:fldChar w:fldCharType="end"/>
            </w:r>
          </w:hyperlink>
        </w:p>
        <w:p w14:paraId="048963B8" w14:textId="26740E27" w:rsidR="008C17FE" w:rsidRDefault="008C17FE">
          <w:pPr>
            <w:pStyle w:val="TOC2"/>
            <w:tabs>
              <w:tab w:val="right" w:leader="dot" w:pos="9062"/>
            </w:tabs>
            <w:rPr>
              <w:noProof/>
            </w:rPr>
          </w:pPr>
          <w:hyperlink w:anchor="_Toc153887420" w:history="1">
            <w:r w:rsidRPr="004F104F">
              <w:rPr>
                <w:rStyle w:val="Hyperlink"/>
                <w:noProof/>
              </w:rPr>
              <w:t>Managing Complex Supply Chains</w:t>
            </w:r>
            <w:r>
              <w:rPr>
                <w:noProof/>
                <w:webHidden/>
              </w:rPr>
              <w:tab/>
            </w:r>
            <w:r>
              <w:rPr>
                <w:noProof/>
                <w:webHidden/>
              </w:rPr>
              <w:fldChar w:fldCharType="begin"/>
            </w:r>
            <w:r>
              <w:rPr>
                <w:noProof/>
                <w:webHidden/>
              </w:rPr>
              <w:instrText xml:space="preserve"> PAGEREF _Toc153887420 \h </w:instrText>
            </w:r>
            <w:r>
              <w:rPr>
                <w:noProof/>
                <w:webHidden/>
              </w:rPr>
            </w:r>
            <w:r>
              <w:rPr>
                <w:noProof/>
                <w:webHidden/>
              </w:rPr>
              <w:fldChar w:fldCharType="separate"/>
            </w:r>
            <w:r>
              <w:rPr>
                <w:noProof/>
                <w:webHidden/>
              </w:rPr>
              <w:t>3</w:t>
            </w:r>
            <w:r>
              <w:rPr>
                <w:noProof/>
                <w:webHidden/>
              </w:rPr>
              <w:fldChar w:fldCharType="end"/>
            </w:r>
          </w:hyperlink>
        </w:p>
        <w:p w14:paraId="25C34796" w14:textId="5D25402C" w:rsidR="008C17FE" w:rsidRDefault="008C17FE">
          <w:pPr>
            <w:pStyle w:val="TOC1"/>
            <w:tabs>
              <w:tab w:val="right" w:leader="dot" w:pos="9062"/>
            </w:tabs>
            <w:rPr>
              <w:noProof/>
            </w:rPr>
          </w:pPr>
          <w:hyperlink w:anchor="_Toc153887421" w:history="1">
            <w:r w:rsidRPr="004F104F">
              <w:rPr>
                <w:rStyle w:val="Hyperlink"/>
                <w:noProof/>
              </w:rPr>
              <w:t>Expansion Opportunities Evaluation</w:t>
            </w:r>
            <w:r>
              <w:rPr>
                <w:noProof/>
                <w:webHidden/>
              </w:rPr>
              <w:tab/>
            </w:r>
            <w:r>
              <w:rPr>
                <w:noProof/>
                <w:webHidden/>
              </w:rPr>
              <w:fldChar w:fldCharType="begin"/>
            </w:r>
            <w:r>
              <w:rPr>
                <w:noProof/>
                <w:webHidden/>
              </w:rPr>
              <w:instrText xml:space="preserve"> PAGEREF _Toc153887421 \h </w:instrText>
            </w:r>
            <w:r>
              <w:rPr>
                <w:noProof/>
                <w:webHidden/>
              </w:rPr>
            </w:r>
            <w:r>
              <w:rPr>
                <w:noProof/>
                <w:webHidden/>
              </w:rPr>
              <w:fldChar w:fldCharType="separate"/>
            </w:r>
            <w:r>
              <w:rPr>
                <w:noProof/>
                <w:webHidden/>
              </w:rPr>
              <w:t>4</w:t>
            </w:r>
            <w:r>
              <w:rPr>
                <w:noProof/>
                <w:webHidden/>
              </w:rPr>
              <w:fldChar w:fldCharType="end"/>
            </w:r>
          </w:hyperlink>
        </w:p>
        <w:p w14:paraId="4F9E12BE" w14:textId="4EE85455" w:rsidR="008C17FE" w:rsidRDefault="008C17FE">
          <w:pPr>
            <w:pStyle w:val="TOC2"/>
            <w:tabs>
              <w:tab w:val="right" w:leader="dot" w:pos="9062"/>
            </w:tabs>
            <w:rPr>
              <w:noProof/>
            </w:rPr>
          </w:pPr>
          <w:hyperlink w:anchor="_Toc153887422" w:history="1">
            <w:r w:rsidRPr="004F104F">
              <w:rPr>
                <w:rStyle w:val="Hyperlink"/>
                <w:noProof/>
              </w:rPr>
              <w:t>France</w:t>
            </w:r>
            <w:r>
              <w:rPr>
                <w:noProof/>
                <w:webHidden/>
              </w:rPr>
              <w:tab/>
            </w:r>
            <w:r>
              <w:rPr>
                <w:noProof/>
                <w:webHidden/>
              </w:rPr>
              <w:fldChar w:fldCharType="begin"/>
            </w:r>
            <w:r>
              <w:rPr>
                <w:noProof/>
                <w:webHidden/>
              </w:rPr>
              <w:instrText xml:space="preserve"> PAGEREF _Toc153887422 \h </w:instrText>
            </w:r>
            <w:r>
              <w:rPr>
                <w:noProof/>
                <w:webHidden/>
              </w:rPr>
            </w:r>
            <w:r>
              <w:rPr>
                <w:noProof/>
                <w:webHidden/>
              </w:rPr>
              <w:fldChar w:fldCharType="separate"/>
            </w:r>
            <w:r>
              <w:rPr>
                <w:noProof/>
                <w:webHidden/>
              </w:rPr>
              <w:t>4</w:t>
            </w:r>
            <w:r>
              <w:rPr>
                <w:noProof/>
                <w:webHidden/>
              </w:rPr>
              <w:fldChar w:fldCharType="end"/>
            </w:r>
          </w:hyperlink>
        </w:p>
        <w:p w14:paraId="7E41E746" w14:textId="32F7FA15" w:rsidR="008C17FE" w:rsidRDefault="008C17FE">
          <w:pPr>
            <w:pStyle w:val="TOC2"/>
            <w:tabs>
              <w:tab w:val="right" w:leader="dot" w:pos="9062"/>
            </w:tabs>
            <w:rPr>
              <w:noProof/>
            </w:rPr>
          </w:pPr>
          <w:hyperlink w:anchor="_Toc153887423" w:history="1">
            <w:r w:rsidRPr="004F104F">
              <w:rPr>
                <w:rStyle w:val="Hyperlink"/>
                <w:noProof/>
              </w:rPr>
              <w:t>Poland</w:t>
            </w:r>
            <w:r>
              <w:rPr>
                <w:noProof/>
                <w:webHidden/>
              </w:rPr>
              <w:tab/>
            </w:r>
            <w:r>
              <w:rPr>
                <w:noProof/>
                <w:webHidden/>
              </w:rPr>
              <w:fldChar w:fldCharType="begin"/>
            </w:r>
            <w:r>
              <w:rPr>
                <w:noProof/>
                <w:webHidden/>
              </w:rPr>
              <w:instrText xml:space="preserve"> PAGEREF _Toc153887423 \h </w:instrText>
            </w:r>
            <w:r>
              <w:rPr>
                <w:noProof/>
                <w:webHidden/>
              </w:rPr>
            </w:r>
            <w:r>
              <w:rPr>
                <w:noProof/>
                <w:webHidden/>
              </w:rPr>
              <w:fldChar w:fldCharType="separate"/>
            </w:r>
            <w:r>
              <w:rPr>
                <w:noProof/>
                <w:webHidden/>
              </w:rPr>
              <w:t>4</w:t>
            </w:r>
            <w:r>
              <w:rPr>
                <w:noProof/>
                <w:webHidden/>
              </w:rPr>
              <w:fldChar w:fldCharType="end"/>
            </w:r>
          </w:hyperlink>
        </w:p>
        <w:p w14:paraId="415269FB" w14:textId="25E0BCDD" w:rsidR="008C17FE" w:rsidRDefault="008C17FE">
          <w:pPr>
            <w:pStyle w:val="TOC1"/>
            <w:tabs>
              <w:tab w:val="right" w:leader="dot" w:pos="9062"/>
            </w:tabs>
            <w:rPr>
              <w:noProof/>
            </w:rPr>
          </w:pPr>
          <w:hyperlink w:anchor="_Toc153887424" w:history="1">
            <w:r w:rsidRPr="004F104F">
              <w:rPr>
                <w:rStyle w:val="Hyperlink"/>
                <w:noProof/>
              </w:rPr>
              <w:t>Analysis Communication Barriers</w:t>
            </w:r>
            <w:r>
              <w:rPr>
                <w:noProof/>
                <w:webHidden/>
              </w:rPr>
              <w:tab/>
            </w:r>
            <w:r>
              <w:rPr>
                <w:noProof/>
                <w:webHidden/>
              </w:rPr>
              <w:fldChar w:fldCharType="begin"/>
            </w:r>
            <w:r>
              <w:rPr>
                <w:noProof/>
                <w:webHidden/>
              </w:rPr>
              <w:instrText xml:space="preserve"> PAGEREF _Toc153887424 \h </w:instrText>
            </w:r>
            <w:r>
              <w:rPr>
                <w:noProof/>
                <w:webHidden/>
              </w:rPr>
            </w:r>
            <w:r>
              <w:rPr>
                <w:noProof/>
                <w:webHidden/>
              </w:rPr>
              <w:fldChar w:fldCharType="separate"/>
            </w:r>
            <w:r>
              <w:rPr>
                <w:noProof/>
                <w:webHidden/>
              </w:rPr>
              <w:t>4</w:t>
            </w:r>
            <w:r>
              <w:rPr>
                <w:noProof/>
                <w:webHidden/>
              </w:rPr>
              <w:fldChar w:fldCharType="end"/>
            </w:r>
          </w:hyperlink>
        </w:p>
        <w:p w14:paraId="11B89E46" w14:textId="15D6519E" w:rsidR="008C17FE" w:rsidRDefault="008C17FE">
          <w:pPr>
            <w:pStyle w:val="TOC2"/>
            <w:tabs>
              <w:tab w:val="right" w:leader="dot" w:pos="9062"/>
            </w:tabs>
            <w:rPr>
              <w:noProof/>
            </w:rPr>
          </w:pPr>
          <w:hyperlink w:anchor="_Toc153887425" w:history="1">
            <w:r w:rsidRPr="004F104F">
              <w:rPr>
                <w:rStyle w:val="Hyperlink"/>
                <w:noProof/>
              </w:rPr>
              <w:t>Unilever's Navigating Workplace Diversity &amp; Inclusion Complexities</w:t>
            </w:r>
            <w:r>
              <w:rPr>
                <w:noProof/>
                <w:webHidden/>
              </w:rPr>
              <w:tab/>
            </w:r>
            <w:r>
              <w:rPr>
                <w:noProof/>
                <w:webHidden/>
              </w:rPr>
              <w:fldChar w:fldCharType="begin"/>
            </w:r>
            <w:r>
              <w:rPr>
                <w:noProof/>
                <w:webHidden/>
              </w:rPr>
              <w:instrText xml:space="preserve"> PAGEREF _Toc153887425 \h </w:instrText>
            </w:r>
            <w:r>
              <w:rPr>
                <w:noProof/>
                <w:webHidden/>
              </w:rPr>
            </w:r>
            <w:r>
              <w:rPr>
                <w:noProof/>
                <w:webHidden/>
              </w:rPr>
              <w:fldChar w:fldCharType="separate"/>
            </w:r>
            <w:r>
              <w:rPr>
                <w:noProof/>
                <w:webHidden/>
              </w:rPr>
              <w:t>5</w:t>
            </w:r>
            <w:r>
              <w:rPr>
                <w:noProof/>
                <w:webHidden/>
              </w:rPr>
              <w:fldChar w:fldCharType="end"/>
            </w:r>
          </w:hyperlink>
        </w:p>
        <w:p w14:paraId="729C9FF8" w14:textId="704C12D6" w:rsidR="008C17FE" w:rsidRDefault="008C17FE">
          <w:pPr>
            <w:pStyle w:val="TOC2"/>
            <w:tabs>
              <w:tab w:val="right" w:leader="dot" w:pos="9062"/>
            </w:tabs>
            <w:rPr>
              <w:noProof/>
            </w:rPr>
          </w:pPr>
          <w:hyperlink w:anchor="_Toc153887426" w:history="1">
            <w:r w:rsidRPr="004F104F">
              <w:rPr>
                <w:rStyle w:val="Hyperlink"/>
                <w:noProof/>
              </w:rPr>
              <w:t>Generating Inclusive Company Cultures</w:t>
            </w:r>
            <w:r>
              <w:rPr>
                <w:noProof/>
                <w:webHidden/>
              </w:rPr>
              <w:tab/>
            </w:r>
            <w:r>
              <w:rPr>
                <w:noProof/>
                <w:webHidden/>
              </w:rPr>
              <w:fldChar w:fldCharType="begin"/>
            </w:r>
            <w:r>
              <w:rPr>
                <w:noProof/>
                <w:webHidden/>
              </w:rPr>
              <w:instrText xml:space="preserve"> PAGEREF _Toc153887426 \h </w:instrText>
            </w:r>
            <w:r>
              <w:rPr>
                <w:noProof/>
                <w:webHidden/>
              </w:rPr>
            </w:r>
            <w:r>
              <w:rPr>
                <w:noProof/>
                <w:webHidden/>
              </w:rPr>
              <w:fldChar w:fldCharType="separate"/>
            </w:r>
            <w:r>
              <w:rPr>
                <w:noProof/>
                <w:webHidden/>
              </w:rPr>
              <w:t>5</w:t>
            </w:r>
            <w:r>
              <w:rPr>
                <w:noProof/>
                <w:webHidden/>
              </w:rPr>
              <w:fldChar w:fldCharType="end"/>
            </w:r>
          </w:hyperlink>
        </w:p>
        <w:p w14:paraId="7DB1E44D" w14:textId="666B9816" w:rsidR="008C17FE" w:rsidRDefault="008C17FE">
          <w:pPr>
            <w:pStyle w:val="TOC2"/>
            <w:tabs>
              <w:tab w:val="right" w:leader="dot" w:pos="9062"/>
            </w:tabs>
            <w:rPr>
              <w:noProof/>
            </w:rPr>
          </w:pPr>
          <w:hyperlink w:anchor="_Toc153887427" w:history="1">
            <w:r w:rsidRPr="004F104F">
              <w:rPr>
                <w:rStyle w:val="Hyperlink"/>
                <w:noProof/>
              </w:rPr>
              <w:t>Communication Technology Limitations</w:t>
            </w:r>
            <w:r>
              <w:rPr>
                <w:noProof/>
                <w:webHidden/>
              </w:rPr>
              <w:tab/>
            </w:r>
            <w:r>
              <w:rPr>
                <w:noProof/>
                <w:webHidden/>
              </w:rPr>
              <w:fldChar w:fldCharType="begin"/>
            </w:r>
            <w:r>
              <w:rPr>
                <w:noProof/>
                <w:webHidden/>
              </w:rPr>
              <w:instrText xml:space="preserve"> PAGEREF _Toc153887427 \h </w:instrText>
            </w:r>
            <w:r>
              <w:rPr>
                <w:noProof/>
                <w:webHidden/>
              </w:rPr>
            </w:r>
            <w:r>
              <w:rPr>
                <w:noProof/>
                <w:webHidden/>
              </w:rPr>
              <w:fldChar w:fldCharType="separate"/>
            </w:r>
            <w:r>
              <w:rPr>
                <w:noProof/>
                <w:webHidden/>
              </w:rPr>
              <w:t>5</w:t>
            </w:r>
            <w:r>
              <w:rPr>
                <w:noProof/>
                <w:webHidden/>
              </w:rPr>
              <w:fldChar w:fldCharType="end"/>
            </w:r>
          </w:hyperlink>
        </w:p>
        <w:p w14:paraId="2C905DE0" w14:textId="502146D0" w:rsidR="008C17FE" w:rsidRDefault="008C17FE">
          <w:pPr>
            <w:pStyle w:val="TOC2"/>
            <w:tabs>
              <w:tab w:val="right" w:leader="dot" w:pos="9062"/>
            </w:tabs>
            <w:rPr>
              <w:noProof/>
            </w:rPr>
          </w:pPr>
          <w:hyperlink w:anchor="_Toc153887428" w:history="1">
            <w:r w:rsidRPr="004F104F">
              <w:rPr>
                <w:rStyle w:val="Hyperlink"/>
                <w:noProof/>
              </w:rPr>
              <w:t>Corporate Social Justice &amp; Societal Change</w:t>
            </w:r>
            <w:r>
              <w:rPr>
                <w:noProof/>
                <w:webHidden/>
              </w:rPr>
              <w:tab/>
            </w:r>
            <w:r>
              <w:rPr>
                <w:noProof/>
                <w:webHidden/>
              </w:rPr>
              <w:fldChar w:fldCharType="begin"/>
            </w:r>
            <w:r>
              <w:rPr>
                <w:noProof/>
                <w:webHidden/>
              </w:rPr>
              <w:instrText xml:space="preserve"> PAGEREF _Toc153887428 \h </w:instrText>
            </w:r>
            <w:r>
              <w:rPr>
                <w:noProof/>
                <w:webHidden/>
              </w:rPr>
            </w:r>
            <w:r>
              <w:rPr>
                <w:noProof/>
                <w:webHidden/>
              </w:rPr>
              <w:fldChar w:fldCharType="separate"/>
            </w:r>
            <w:r>
              <w:rPr>
                <w:noProof/>
                <w:webHidden/>
              </w:rPr>
              <w:t>6</w:t>
            </w:r>
            <w:r>
              <w:rPr>
                <w:noProof/>
                <w:webHidden/>
              </w:rPr>
              <w:fldChar w:fldCharType="end"/>
            </w:r>
          </w:hyperlink>
        </w:p>
        <w:p w14:paraId="396E369D" w14:textId="750EBE25" w:rsidR="008C17FE" w:rsidRDefault="008C17FE">
          <w:pPr>
            <w:pStyle w:val="TOC2"/>
            <w:tabs>
              <w:tab w:val="right" w:leader="dot" w:pos="9062"/>
            </w:tabs>
            <w:rPr>
              <w:noProof/>
            </w:rPr>
          </w:pPr>
          <w:hyperlink w:anchor="_Toc153887429" w:history="1">
            <w:r w:rsidRPr="004F104F">
              <w:rPr>
                <w:rStyle w:val="Hyperlink"/>
                <w:noProof/>
              </w:rPr>
              <w:t>Prepare for Crisis Communications</w:t>
            </w:r>
            <w:r>
              <w:rPr>
                <w:noProof/>
                <w:webHidden/>
              </w:rPr>
              <w:tab/>
            </w:r>
            <w:r>
              <w:rPr>
                <w:noProof/>
                <w:webHidden/>
              </w:rPr>
              <w:fldChar w:fldCharType="begin"/>
            </w:r>
            <w:r>
              <w:rPr>
                <w:noProof/>
                <w:webHidden/>
              </w:rPr>
              <w:instrText xml:space="preserve"> PAGEREF _Toc153887429 \h </w:instrText>
            </w:r>
            <w:r>
              <w:rPr>
                <w:noProof/>
                <w:webHidden/>
              </w:rPr>
            </w:r>
            <w:r>
              <w:rPr>
                <w:noProof/>
                <w:webHidden/>
              </w:rPr>
              <w:fldChar w:fldCharType="separate"/>
            </w:r>
            <w:r>
              <w:rPr>
                <w:noProof/>
                <w:webHidden/>
              </w:rPr>
              <w:t>6</w:t>
            </w:r>
            <w:r>
              <w:rPr>
                <w:noProof/>
                <w:webHidden/>
              </w:rPr>
              <w:fldChar w:fldCharType="end"/>
            </w:r>
          </w:hyperlink>
        </w:p>
        <w:p w14:paraId="5431EF83" w14:textId="21AAD732" w:rsidR="008C17FE" w:rsidRDefault="008C17FE">
          <w:pPr>
            <w:pStyle w:val="TOC1"/>
            <w:tabs>
              <w:tab w:val="right" w:leader="dot" w:pos="9062"/>
            </w:tabs>
            <w:rPr>
              <w:noProof/>
            </w:rPr>
          </w:pPr>
          <w:hyperlink w:anchor="_Toc153887430" w:history="1">
            <w:r w:rsidRPr="004F104F">
              <w:rPr>
                <w:rStyle w:val="Hyperlink"/>
                <w:noProof/>
              </w:rPr>
              <w:t>Recommendations</w:t>
            </w:r>
            <w:r>
              <w:rPr>
                <w:noProof/>
                <w:webHidden/>
              </w:rPr>
              <w:tab/>
            </w:r>
            <w:r>
              <w:rPr>
                <w:noProof/>
                <w:webHidden/>
              </w:rPr>
              <w:fldChar w:fldCharType="begin"/>
            </w:r>
            <w:r>
              <w:rPr>
                <w:noProof/>
                <w:webHidden/>
              </w:rPr>
              <w:instrText xml:space="preserve"> PAGEREF _Toc153887430 \h </w:instrText>
            </w:r>
            <w:r>
              <w:rPr>
                <w:noProof/>
                <w:webHidden/>
              </w:rPr>
            </w:r>
            <w:r>
              <w:rPr>
                <w:noProof/>
                <w:webHidden/>
              </w:rPr>
              <w:fldChar w:fldCharType="separate"/>
            </w:r>
            <w:r>
              <w:rPr>
                <w:noProof/>
                <w:webHidden/>
              </w:rPr>
              <w:t>6</w:t>
            </w:r>
            <w:r>
              <w:rPr>
                <w:noProof/>
                <w:webHidden/>
              </w:rPr>
              <w:fldChar w:fldCharType="end"/>
            </w:r>
          </w:hyperlink>
        </w:p>
        <w:p w14:paraId="1ABE6390" w14:textId="6E678324" w:rsidR="008C17FE" w:rsidRDefault="008C17FE">
          <w:pPr>
            <w:pStyle w:val="TOC2"/>
            <w:tabs>
              <w:tab w:val="right" w:leader="dot" w:pos="9062"/>
            </w:tabs>
            <w:rPr>
              <w:noProof/>
            </w:rPr>
          </w:pPr>
          <w:hyperlink w:anchor="_Toc153887431" w:history="1">
            <w:r w:rsidRPr="004F104F">
              <w:rPr>
                <w:rStyle w:val="Hyperlink"/>
                <w:noProof/>
              </w:rPr>
              <w:t>Poland's Academic Talent Pipeline</w:t>
            </w:r>
            <w:r>
              <w:rPr>
                <w:noProof/>
                <w:webHidden/>
              </w:rPr>
              <w:tab/>
            </w:r>
            <w:r>
              <w:rPr>
                <w:noProof/>
                <w:webHidden/>
              </w:rPr>
              <w:fldChar w:fldCharType="begin"/>
            </w:r>
            <w:r>
              <w:rPr>
                <w:noProof/>
                <w:webHidden/>
              </w:rPr>
              <w:instrText xml:space="preserve"> PAGEREF _Toc153887431 \h </w:instrText>
            </w:r>
            <w:r>
              <w:rPr>
                <w:noProof/>
                <w:webHidden/>
              </w:rPr>
            </w:r>
            <w:r>
              <w:rPr>
                <w:noProof/>
                <w:webHidden/>
              </w:rPr>
              <w:fldChar w:fldCharType="separate"/>
            </w:r>
            <w:r>
              <w:rPr>
                <w:noProof/>
                <w:webHidden/>
              </w:rPr>
              <w:t>7</w:t>
            </w:r>
            <w:r>
              <w:rPr>
                <w:noProof/>
                <w:webHidden/>
              </w:rPr>
              <w:fldChar w:fldCharType="end"/>
            </w:r>
          </w:hyperlink>
        </w:p>
        <w:p w14:paraId="14FE3F2A" w14:textId="16B26FDB" w:rsidR="008C17FE" w:rsidRDefault="008C17FE">
          <w:pPr>
            <w:pStyle w:val="TOC2"/>
            <w:tabs>
              <w:tab w:val="right" w:leader="dot" w:pos="9062"/>
            </w:tabs>
            <w:rPr>
              <w:noProof/>
            </w:rPr>
          </w:pPr>
          <w:hyperlink w:anchor="_Toc153887432" w:history="1">
            <w:r w:rsidRPr="004F104F">
              <w:rPr>
                <w:rStyle w:val="Hyperlink"/>
                <w:noProof/>
              </w:rPr>
              <w:t>Fostering Inclusive Procurement through Social Procurement</w:t>
            </w:r>
            <w:r>
              <w:rPr>
                <w:noProof/>
                <w:webHidden/>
              </w:rPr>
              <w:tab/>
            </w:r>
            <w:r>
              <w:rPr>
                <w:noProof/>
                <w:webHidden/>
              </w:rPr>
              <w:fldChar w:fldCharType="begin"/>
            </w:r>
            <w:r>
              <w:rPr>
                <w:noProof/>
                <w:webHidden/>
              </w:rPr>
              <w:instrText xml:space="preserve"> PAGEREF _Toc153887432 \h </w:instrText>
            </w:r>
            <w:r>
              <w:rPr>
                <w:noProof/>
                <w:webHidden/>
              </w:rPr>
            </w:r>
            <w:r>
              <w:rPr>
                <w:noProof/>
                <w:webHidden/>
              </w:rPr>
              <w:fldChar w:fldCharType="separate"/>
            </w:r>
            <w:r>
              <w:rPr>
                <w:noProof/>
                <w:webHidden/>
              </w:rPr>
              <w:t>7</w:t>
            </w:r>
            <w:r>
              <w:rPr>
                <w:noProof/>
                <w:webHidden/>
              </w:rPr>
              <w:fldChar w:fldCharType="end"/>
            </w:r>
          </w:hyperlink>
        </w:p>
        <w:p w14:paraId="78C9FC68" w14:textId="1F46C045" w:rsidR="008C17FE" w:rsidRDefault="008C17FE">
          <w:pPr>
            <w:pStyle w:val="TOC1"/>
            <w:tabs>
              <w:tab w:val="right" w:leader="dot" w:pos="9062"/>
            </w:tabs>
            <w:rPr>
              <w:noProof/>
            </w:rPr>
          </w:pPr>
          <w:hyperlink w:anchor="_Toc153887433" w:history="1">
            <w:r w:rsidRPr="004F104F">
              <w:rPr>
                <w:rStyle w:val="Hyperlink"/>
                <w:noProof/>
              </w:rPr>
              <w:t>Conclusion</w:t>
            </w:r>
            <w:r>
              <w:rPr>
                <w:noProof/>
                <w:webHidden/>
              </w:rPr>
              <w:tab/>
            </w:r>
            <w:r>
              <w:rPr>
                <w:noProof/>
                <w:webHidden/>
              </w:rPr>
              <w:fldChar w:fldCharType="begin"/>
            </w:r>
            <w:r>
              <w:rPr>
                <w:noProof/>
                <w:webHidden/>
              </w:rPr>
              <w:instrText xml:space="preserve"> PAGEREF _Toc153887433 \h </w:instrText>
            </w:r>
            <w:r>
              <w:rPr>
                <w:noProof/>
                <w:webHidden/>
              </w:rPr>
            </w:r>
            <w:r>
              <w:rPr>
                <w:noProof/>
                <w:webHidden/>
              </w:rPr>
              <w:fldChar w:fldCharType="separate"/>
            </w:r>
            <w:r>
              <w:rPr>
                <w:noProof/>
                <w:webHidden/>
              </w:rPr>
              <w:t>7</w:t>
            </w:r>
            <w:r>
              <w:rPr>
                <w:noProof/>
                <w:webHidden/>
              </w:rPr>
              <w:fldChar w:fldCharType="end"/>
            </w:r>
          </w:hyperlink>
        </w:p>
        <w:p w14:paraId="77E50CED" w14:textId="135B4C8E" w:rsidR="008C17FE" w:rsidRDefault="008C17FE">
          <w:pPr>
            <w:pStyle w:val="TOC1"/>
            <w:tabs>
              <w:tab w:val="right" w:leader="dot" w:pos="9062"/>
            </w:tabs>
            <w:rPr>
              <w:noProof/>
            </w:rPr>
          </w:pPr>
          <w:hyperlink w:anchor="_Toc153887434" w:history="1">
            <w:r w:rsidRPr="004F104F">
              <w:rPr>
                <w:rStyle w:val="Hyperlink"/>
                <w:noProof/>
              </w:rPr>
              <w:t>References</w:t>
            </w:r>
            <w:r>
              <w:rPr>
                <w:noProof/>
                <w:webHidden/>
              </w:rPr>
              <w:tab/>
            </w:r>
            <w:r>
              <w:rPr>
                <w:noProof/>
                <w:webHidden/>
              </w:rPr>
              <w:fldChar w:fldCharType="begin"/>
            </w:r>
            <w:r>
              <w:rPr>
                <w:noProof/>
                <w:webHidden/>
              </w:rPr>
              <w:instrText xml:space="preserve"> PAGEREF _Toc153887434 \h </w:instrText>
            </w:r>
            <w:r>
              <w:rPr>
                <w:noProof/>
                <w:webHidden/>
              </w:rPr>
            </w:r>
            <w:r>
              <w:rPr>
                <w:noProof/>
                <w:webHidden/>
              </w:rPr>
              <w:fldChar w:fldCharType="separate"/>
            </w:r>
            <w:r>
              <w:rPr>
                <w:noProof/>
                <w:webHidden/>
              </w:rPr>
              <w:t>9</w:t>
            </w:r>
            <w:r>
              <w:rPr>
                <w:noProof/>
                <w:webHidden/>
              </w:rPr>
              <w:fldChar w:fldCharType="end"/>
            </w:r>
          </w:hyperlink>
        </w:p>
        <w:p w14:paraId="03ECDE2B" w14:textId="30949976" w:rsidR="008C17FE" w:rsidRDefault="008C17FE">
          <w:r>
            <w:rPr>
              <w:b/>
              <w:bCs/>
              <w:noProof/>
            </w:rPr>
            <w:fldChar w:fldCharType="end"/>
          </w:r>
        </w:p>
      </w:sdtContent>
    </w:sdt>
    <w:p w14:paraId="00A4DB3E" w14:textId="77777777" w:rsidR="008C17FE" w:rsidRDefault="008C17FE" w:rsidP="00741B55">
      <w:pPr>
        <w:pStyle w:val="Heading1"/>
      </w:pPr>
    </w:p>
    <w:p w14:paraId="5424906B" w14:textId="77777777" w:rsidR="008C17FE" w:rsidRDefault="008C17FE" w:rsidP="00741B55">
      <w:pPr>
        <w:pStyle w:val="Heading1"/>
      </w:pPr>
    </w:p>
    <w:p w14:paraId="335E688D" w14:textId="77777777" w:rsidR="008C17FE" w:rsidRDefault="008C17FE" w:rsidP="008C17FE"/>
    <w:p w14:paraId="2265C4EB" w14:textId="77777777" w:rsidR="008C17FE" w:rsidRPr="008C17FE" w:rsidRDefault="008C17FE" w:rsidP="008C17FE"/>
    <w:p w14:paraId="1D263830" w14:textId="4F7B9C36" w:rsidR="00133AB4" w:rsidRPr="00133AB4" w:rsidRDefault="00133AB4" w:rsidP="00741B55">
      <w:pPr>
        <w:pStyle w:val="Heading1"/>
      </w:pPr>
      <w:bookmarkStart w:id="0" w:name="_Toc153887413"/>
      <w:r w:rsidRPr="00133AB4">
        <w:lastRenderedPageBreak/>
        <w:t>Introduction To British Business Communications</w:t>
      </w:r>
      <w:bookmarkEnd w:id="0"/>
    </w:p>
    <w:p w14:paraId="5E4654D0" w14:textId="77777777" w:rsidR="00133AB4" w:rsidRPr="00133AB4" w:rsidRDefault="00133AB4" w:rsidP="00741B55">
      <w:pPr>
        <w:spacing w:line="360" w:lineRule="auto"/>
        <w:jc w:val="both"/>
        <w:rPr>
          <w:rFonts w:asciiTheme="majorHAnsi" w:hAnsiTheme="majorHAnsi" w:cstheme="majorHAnsi"/>
          <w:sz w:val="24"/>
          <w:szCs w:val="24"/>
        </w:rPr>
      </w:pPr>
      <w:r w:rsidRPr="00133AB4">
        <w:rPr>
          <w:rFonts w:asciiTheme="majorHAnsi" w:hAnsiTheme="majorHAnsi" w:cstheme="majorHAnsi"/>
          <w:sz w:val="24"/>
          <w:szCs w:val="24"/>
        </w:rPr>
        <w:t>For any company, but especially for British businesses expanding overseas, effective communication is crucial. British communication is direct, but polite. It emphasizes clarity and conciseness. Communication barriers can arise when there are important cultural differences. This essay will examine key factors that Unilever, a British multinational, should consider when expanding into new EU markets.</w:t>
      </w:r>
    </w:p>
    <w:p w14:paraId="4B30A56D" w14:textId="77777777" w:rsidR="00133AB4" w:rsidRPr="00133AB4" w:rsidRDefault="00133AB4" w:rsidP="00741B55">
      <w:pPr>
        <w:pStyle w:val="Heading2"/>
      </w:pPr>
      <w:bookmarkStart w:id="1" w:name="_Toc153887414"/>
      <w:r w:rsidRPr="00133AB4">
        <w:t>British Communication Culture: Nuances</w:t>
      </w:r>
      <w:bookmarkEnd w:id="1"/>
    </w:p>
    <w:p w14:paraId="244715B9" w14:textId="637E0D3A" w:rsidR="00133AB4" w:rsidRPr="00133AB4" w:rsidRDefault="00133AB4" w:rsidP="00741B55">
      <w:pPr>
        <w:spacing w:line="360" w:lineRule="auto"/>
        <w:jc w:val="both"/>
        <w:rPr>
          <w:rFonts w:asciiTheme="majorHAnsi" w:hAnsiTheme="majorHAnsi" w:cstheme="majorHAnsi"/>
          <w:sz w:val="24"/>
          <w:szCs w:val="24"/>
        </w:rPr>
      </w:pPr>
      <w:r w:rsidRPr="00133AB4">
        <w:rPr>
          <w:rFonts w:asciiTheme="majorHAnsi" w:hAnsiTheme="majorHAnsi" w:cstheme="majorHAnsi"/>
          <w:sz w:val="24"/>
          <w:szCs w:val="24"/>
        </w:rPr>
        <w:t xml:space="preserve">Although Britain is known for its direct and efficient communication, there are subtle differences between the English, </w:t>
      </w:r>
      <w:r w:rsidR="00741B55">
        <w:rPr>
          <w:rFonts w:asciiTheme="majorHAnsi" w:hAnsiTheme="majorHAnsi" w:cstheme="majorHAnsi"/>
          <w:sz w:val="24"/>
          <w:szCs w:val="24"/>
        </w:rPr>
        <w:t>Scottish</w:t>
      </w:r>
      <w:r w:rsidRPr="00133AB4">
        <w:rPr>
          <w:rFonts w:asciiTheme="majorHAnsi" w:hAnsiTheme="majorHAnsi" w:cstheme="majorHAnsi"/>
          <w:sz w:val="24"/>
          <w:szCs w:val="24"/>
        </w:rPr>
        <w:t xml:space="preserve">, </w:t>
      </w:r>
      <w:r w:rsidR="00741B55">
        <w:rPr>
          <w:rFonts w:asciiTheme="majorHAnsi" w:hAnsiTheme="majorHAnsi" w:cstheme="majorHAnsi"/>
          <w:sz w:val="24"/>
          <w:szCs w:val="24"/>
        </w:rPr>
        <w:t>Welsh</w:t>
      </w:r>
      <w:r w:rsidRPr="00133AB4">
        <w:rPr>
          <w:rFonts w:asciiTheme="majorHAnsi" w:hAnsiTheme="majorHAnsi" w:cstheme="majorHAnsi"/>
          <w:sz w:val="24"/>
          <w:szCs w:val="24"/>
        </w:rPr>
        <w:t xml:space="preserve">, and Irish which influence norms. The English, for example, tend to be reserved, while Irish colleagues are more chatty. (Commisceo Global, 2022). The humor also varies - for example, the English use sarcastic dry humor at work while the Scottish enjoy bantering and teasing with friends. Even simple terms can be confusing - a cookie and a biscuit are the same thing in American English but requesting the wrong type in a British workplace may </w:t>
      </w:r>
      <w:r w:rsidR="00741B55">
        <w:rPr>
          <w:rFonts w:asciiTheme="majorHAnsi" w:hAnsiTheme="majorHAnsi" w:cstheme="majorHAnsi"/>
          <w:sz w:val="24"/>
          <w:szCs w:val="24"/>
        </w:rPr>
        <w:t>amuse</w:t>
      </w:r>
      <w:r w:rsidRPr="00133AB4">
        <w:rPr>
          <w:rFonts w:asciiTheme="majorHAnsi" w:hAnsiTheme="majorHAnsi" w:cstheme="majorHAnsi"/>
          <w:sz w:val="24"/>
          <w:szCs w:val="24"/>
        </w:rPr>
        <w:t>. Being aware of these subtleties will help visitors adapt.</w:t>
      </w:r>
    </w:p>
    <w:p w14:paraId="56192CDA" w14:textId="77777777" w:rsidR="00133AB4" w:rsidRPr="00133AB4" w:rsidRDefault="00133AB4" w:rsidP="00741B55">
      <w:pPr>
        <w:pStyle w:val="Heading2"/>
      </w:pPr>
      <w:bookmarkStart w:id="2" w:name="_Toc153887415"/>
      <w:r w:rsidRPr="00133AB4">
        <w:t>Minding The Cultural Gap</w:t>
      </w:r>
      <w:bookmarkEnd w:id="2"/>
    </w:p>
    <w:p w14:paraId="1EDA8E73" w14:textId="77777777" w:rsidR="00133AB4" w:rsidRPr="00133AB4" w:rsidRDefault="00133AB4" w:rsidP="00741B55">
      <w:pPr>
        <w:spacing w:line="360" w:lineRule="auto"/>
        <w:jc w:val="both"/>
        <w:rPr>
          <w:rFonts w:asciiTheme="majorHAnsi" w:hAnsiTheme="majorHAnsi" w:cstheme="majorHAnsi"/>
          <w:sz w:val="24"/>
          <w:szCs w:val="24"/>
        </w:rPr>
      </w:pPr>
      <w:r w:rsidRPr="00133AB4">
        <w:rPr>
          <w:rFonts w:asciiTheme="majorHAnsi" w:hAnsiTheme="majorHAnsi" w:cstheme="majorHAnsi"/>
          <w:sz w:val="24"/>
          <w:szCs w:val="24"/>
        </w:rPr>
        <w:t>Hofstede Insights 2022 notes that the UK has the lowest power distance score globally, reflecting a limited dependence on hierarchy or status. Many EU countries, however, have a much greater inequality of power between leaders and their staff. Brits who are used to being able to express their opinions freely may find it difficult to adapt to an environment where criticizing superiors could result in censure. British individualism is also different from the more collective, consensus driven continental norms which emphasize group needs over individual ones. Without awareness training the lack of respect from British employees overseas may be viewed as rude or ignorant. It is important to be aware of these invisible societal differences.</w:t>
      </w:r>
    </w:p>
    <w:p w14:paraId="419790CB" w14:textId="77777777" w:rsidR="00133AB4" w:rsidRPr="00133AB4" w:rsidRDefault="00133AB4" w:rsidP="00741B55">
      <w:pPr>
        <w:pStyle w:val="Heading2"/>
      </w:pPr>
      <w:bookmarkStart w:id="3" w:name="_Toc153887416"/>
      <w:r w:rsidRPr="00133AB4">
        <w:t>Language skills as a competitive edge</w:t>
      </w:r>
      <w:bookmarkEnd w:id="3"/>
    </w:p>
    <w:p w14:paraId="6E9A8C5E" w14:textId="125DE05E" w:rsidR="00133AB4" w:rsidRPr="00133AB4" w:rsidRDefault="00133AB4" w:rsidP="00741B55">
      <w:pPr>
        <w:spacing w:line="360" w:lineRule="auto"/>
        <w:jc w:val="both"/>
        <w:rPr>
          <w:rFonts w:asciiTheme="majorHAnsi" w:hAnsiTheme="majorHAnsi" w:cstheme="majorHAnsi"/>
          <w:sz w:val="24"/>
          <w:szCs w:val="24"/>
        </w:rPr>
      </w:pPr>
      <w:r w:rsidRPr="00133AB4">
        <w:rPr>
          <w:rFonts w:asciiTheme="majorHAnsi" w:hAnsiTheme="majorHAnsi" w:cstheme="majorHAnsi"/>
          <w:sz w:val="24"/>
          <w:szCs w:val="24"/>
        </w:rPr>
        <w:t xml:space="preserve">Although English is widely spoken in Western Europe, learning the local language can be crucial to forming local relationships, establishing partnerships and understanding local legal nuances. According to research, 72% of British </w:t>
      </w:r>
      <w:r w:rsidR="00741B55">
        <w:rPr>
          <w:rFonts w:asciiTheme="majorHAnsi" w:hAnsiTheme="majorHAnsi" w:cstheme="majorHAnsi"/>
          <w:sz w:val="24"/>
          <w:szCs w:val="24"/>
        </w:rPr>
        <w:t>SMEs</w:t>
      </w:r>
      <w:r w:rsidRPr="00133AB4">
        <w:rPr>
          <w:rFonts w:asciiTheme="majorHAnsi" w:hAnsiTheme="majorHAnsi" w:cstheme="majorHAnsi"/>
          <w:sz w:val="24"/>
          <w:szCs w:val="24"/>
        </w:rPr>
        <w:t xml:space="preserve"> have lost business because of language barriers. This is a significant competitive disadvantage compared to their multilingual European counterparts. Translation services are helpful, but direct communication allows for subtleties such as humor to build relationships. When entering new markets, it is important to invest in developing the language skills of British executives.</w:t>
      </w:r>
    </w:p>
    <w:p w14:paraId="3A07DD12" w14:textId="6848E359" w:rsidR="00133AB4" w:rsidRPr="00133AB4" w:rsidRDefault="00133AB4" w:rsidP="00741B55">
      <w:pPr>
        <w:pStyle w:val="Heading1"/>
      </w:pPr>
      <w:bookmarkStart w:id="4" w:name="_Toc153887417"/>
      <w:r w:rsidRPr="00133AB4">
        <w:lastRenderedPageBreak/>
        <w:t>Unilever</w:t>
      </w:r>
      <w:r w:rsidR="00741B55">
        <w:t>:</w:t>
      </w:r>
      <w:r w:rsidRPr="00133AB4">
        <w:t xml:space="preserve"> An Introduction</w:t>
      </w:r>
      <w:bookmarkEnd w:id="4"/>
    </w:p>
    <w:p w14:paraId="5AB8DD2B" w14:textId="77777777" w:rsidR="00133AB4" w:rsidRPr="00133AB4" w:rsidRDefault="00133AB4" w:rsidP="00741B55">
      <w:pPr>
        <w:spacing w:line="360" w:lineRule="auto"/>
        <w:jc w:val="both"/>
        <w:rPr>
          <w:rFonts w:asciiTheme="majorHAnsi" w:hAnsiTheme="majorHAnsi" w:cstheme="majorHAnsi"/>
          <w:sz w:val="24"/>
          <w:szCs w:val="24"/>
        </w:rPr>
      </w:pPr>
      <w:r w:rsidRPr="00133AB4">
        <w:rPr>
          <w:rFonts w:asciiTheme="majorHAnsi" w:hAnsiTheme="majorHAnsi" w:cstheme="majorHAnsi"/>
          <w:sz w:val="24"/>
          <w:szCs w:val="24"/>
        </w:rPr>
        <w:t>Unilever, a British and Dutch consumer goods company with co-headquarters in London and Rotterdam, is an international corporation. Over 190 countries sell its products including food, beverages, home care and personal care such as Dove, Lipton and Hellmann's. Unilever, known for its brands that promote sustainability and social responsibility aims to expand while maintaining strong corporate value. When entering new markets, communication across cultures is crucial for a multinational company.</w:t>
      </w:r>
    </w:p>
    <w:p w14:paraId="0109AE77" w14:textId="77777777" w:rsidR="00133AB4" w:rsidRPr="00133AB4" w:rsidRDefault="00133AB4" w:rsidP="00741B55">
      <w:pPr>
        <w:pStyle w:val="Heading2"/>
      </w:pPr>
      <w:bookmarkStart w:id="5" w:name="_Toc153887418"/>
      <w:r w:rsidRPr="00133AB4">
        <w:t>Unilever's push towards sustainability</w:t>
      </w:r>
      <w:bookmarkEnd w:id="5"/>
    </w:p>
    <w:p w14:paraId="6B76B7A9" w14:textId="7C383147" w:rsidR="00133AB4" w:rsidRPr="00133AB4" w:rsidRDefault="00133AB4" w:rsidP="00741B55">
      <w:pPr>
        <w:spacing w:after="0" w:line="360" w:lineRule="auto"/>
        <w:jc w:val="both"/>
        <w:rPr>
          <w:rFonts w:asciiTheme="majorHAnsi" w:hAnsiTheme="majorHAnsi" w:cstheme="majorHAnsi"/>
          <w:sz w:val="24"/>
          <w:szCs w:val="24"/>
        </w:rPr>
      </w:pPr>
      <w:r w:rsidRPr="00133AB4">
        <w:rPr>
          <w:rFonts w:asciiTheme="majorHAnsi" w:hAnsiTheme="majorHAnsi" w:cstheme="majorHAnsi"/>
          <w:sz w:val="24"/>
          <w:szCs w:val="24"/>
        </w:rPr>
        <w:t xml:space="preserve">Unilever's sustainability is a priority. Ambitious environmental and social goals guide brand innovation worldwide. Recent commitments by the company include net zero emission by 2030, a wage that </w:t>
      </w:r>
      <w:r w:rsidR="00741B55">
        <w:rPr>
          <w:rFonts w:asciiTheme="majorHAnsi" w:hAnsiTheme="majorHAnsi" w:cstheme="majorHAnsi"/>
          <w:sz w:val="24"/>
          <w:szCs w:val="24"/>
        </w:rPr>
        <w:t>can</w:t>
      </w:r>
      <w:r w:rsidRPr="00133AB4">
        <w:rPr>
          <w:rFonts w:asciiTheme="majorHAnsi" w:hAnsiTheme="majorHAnsi" w:cstheme="majorHAnsi"/>
          <w:sz w:val="24"/>
          <w:szCs w:val="24"/>
        </w:rPr>
        <w:t xml:space="preserve"> support employees</w:t>
      </w:r>
      <w:r w:rsidR="00741B55">
        <w:rPr>
          <w:rFonts w:asciiTheme="majorHAnsi" w:hAnsiTheme="majorHAnsi" w:cstheme="majorHAnsi"/>
          <w:sz w:val="24"/>
          <w:szCs w:val="24"/>
        </w:rPr>
        <w:t>,</w:t>
      </w:r>
      <w:r w:rsidRPr="00133AB4">
        <w:rPr>
          <w:rFonts w:asciiTheme="majorHAnsi" w:hAnsiTheme="majorHAnsi" w:cstheme="majorHAnsi"/>
          <w:sz w:val="24"/>
          <w:szCs w:val="24"/>
        </w:rPr>
        <w:t xml:space="preserve"> and investments in marginalized groups such as women and farmers from developing nations (Unilever</w:t>
      </w:r>
      <w:r w:rsidR="00741B55">
        <w:rPr>
          <w:rFonts w:asciiTheme="majorHAnsi" w:hAnsiTheme="majorHAnsi" w:cstheme="majorHAnsi"/>
          <w:sz w:val="24"/>
          <w:szCs w:val="24"/>
        </w:rPr>
        <w:t>,</w:t>
      </w:r>
      <w:r w:rsidRPr="00133AB4">
        <w:rPr>
          <w:rFonts w:asciiTheme="majorHAnsi" w:hAnsiTheme="majorHAnsi" w:cstheme="majorHAnsi"/>
          <w:sz w:val="24"/>
          <w:szCs w:val="24"/>
        </w:rPr>
        <w:t xml:space="preserve"> 2022). This is in line with the preferences of younger generations. According to research, nearly 90% of millennials consider sustainability when making purchasing decisions. They are also more likely than other generations to purchase from companies that demonstrate authentic social responsibility. (Caprino 2020). Unilever's consumer brand and employer brand are strengthened by its continued leadership in the global market.</w:t>
      </w:r>
    </w:p>
    <w:p w14:paraId="5DB2F7BB" w14:textId="515DE253" w:rsidR="00741B55" w:rsidRDefault="00133AB4" w:rsidP="00741B55">
      <w:pPr>
        <w:pStyle w:val="Heading2"/>
      </w:pPr>
      <w:r w:rsidRPr="00133AB4">
        <w:br/>
      </w:r>
      <w:bookmarkStart w:id="6" w:name="_Toc153887419"/>
      <w:r w:rsidR="00741B55">
        <w:t>Multi-Domestic Strategy</w:t>
      </w:r>
      <w:bookmarkEnd w:id="6"/>
    </w:p>
    <w:p w14:paraId="4470C395" w14:textId="20DC09B8" w:rsidR="00133AB4" w:rsidRPr="00133AB4" w:rsidRDefault="00133AB4" w:rsidP="00741B55">
      <w:pPr>
        <w:spacing w:line="360" w:lineRule="auto"/>
        <w:jc w:val="both"/>
        <w:rPr>
          <w:rFonts w:asciiTheme="majorHAnsi" w:hAnsiTheme="majorHAnsi" w:cstheme="majorHAnsi"/>
          <w:sz w:val="24"/>
          <w:szCs w:val="24"/>
        </w:rPr>
      </w:pPr>
      <w:r w:rsidRPr="00133AB4">
        <w:rPr>
          <w:rFonts w:asciiTheme="majorHAnsi" w:hAnsiTheme="majorHAnsi" w:cstheme="majorHAnsi"/>
          <w:sz w:val="24"/>
          <w:szCs w:val="24"/>
        </w:rPr>
        <w:t>Unilever, with its headquarters in Western Europe, adopts a multi-domestic strategy that prioritizes national autonomy (Yip</w:t>
      </w:r>
      <w:r w:rsidR="00741B55">
        <w:rPr>
          <w:rFonts w:asciiTheme="majorHAnsi" w:hAnsiTheme="majorHAnsi" w:cstheme="majorHAnsi"/>
          <w:sz w:val="24"/>
          <w:szCs w:val="24"/>
        </w:rPr>
        <w:t>,</w:t>
      </w:r>
      <w:r w:rsidRPr="00133AB4">
        <w:rPr>
          <w:rFonts w:asciiTheme="majorHAnsi" w:hAnsiTheme="majorHAnsi" w:cstheme="majorHAnsi"/>
          <w:sz w:val="24"/>
          <w:szCs w:val="24"/>
        </w:rPr>
        <w:t xml:space="preserve"> 2022). It allows regional leaders the flexibility to adjust branding, positioning</w:t>
      </w:r>
      <w:r w:rsidR="00741B55">
        <w:rPr>
          <w:rFonts w:asciiTheme="majorHAnsi" w:hAnsiTheme="majorHAnsi" w:cstheme="majorHAnsi"/>
          <w:sz w:val="24"/>
          <w:szCs w:val="24"/>
        </w:rPr>
        <w:t>,</w:t>
      </w:r>
      <w:r w:rsidRPr="00133AB4">
        <w:rPr>
          <w:rFonts w:asciiTheme="majorHAnsi" w:hAnsiTheme="majorHAnsi" w:cstheme="majorHAnsi"/>
          <w:sz w:val="24"/>
          <w:szCs w:val="24"/>
        </w:rPr>
        <w:t xml:space="preserve"> and marketing to their own cultures. The company must find a balance between localization and standardization of its core values as it expands. Unilever’s corporate reputation is a great asset for its new subsidiaries. However, ongoing HR coordination will be crucial. Leaders need to determine the autonomy that subsidiaries will have when partnering with local firms or utilizing global firm relationships for consistency.</w:t>
      </w:r>
    </w:p>
    <w:p w14:paraId="350C13CE" w14:textId="77777777" w:rsidR="00133AB4" w:rsidRPr="00133AB4" w:rsidRDefault="00133AB4" w:rsidP="00741B55">
      <w:pPr>
        <w:pStyle w:val="Heading2"/>
      </w:pPr>
      <w:bookmarkStart w:id="7" w:name="_Toc153887420"/>
      <w:r w:rsidRPr="00133AB4">
        <w:t>Managing Complex Supply Chains</w:t>
      </w:r>
      <w:bookmarkEnd w:id="7"/>
    </w:p>
    <w:p w14:paraId="2B609629" w14:textId="047591DB" w:rsidR="00133AB4" w:rsidRPr="00133AB4" w:rsidRDefault="00133AB4" w:rsidP="00741B55">
      <w:pPr>
        <w:spacing w:line="360" w:lineRule="auto"/>
        <w:jc w:val="both"/>
        <w:rPr>
          <w:rFonts w:asciiTheme="majorHAnsi" w:hAnsiTheme="majorHAnsi" w:cstheme="majorHAnsi"/>
          <w:sz w:val="24"/>
          <w:szCs w:val="24"/>
        </w:rPr>
      </w:pPr>
      <w:r w:rsidRPr="00133AB4">
        <w:rPr>
          <w:rFonts w:asciiTheme="majorHAnsi" w:hAnsiTheme="majorHAnsi" w:cstheme="majorHAnsi"/>
          <w:sz w:val="24"/>
          <w:szCs w:val="24"/>
        </w:rPr>
        <w:t>Unilever's supply chains are extremely complex, spanning several continents. The challenge of meeting local consumer demands while ensuring timely production, distribution</w:t>
      </w:r>
      <w:r w:rsidR="00741B55">
        <w:rPr>
          <w:rFonts w:asciiTheme="majorHAnsi" w:hAnsiTheme="majorHAnsi" w:cstheme="majorHAnsi"/>
          <w:sz w:val="24"/>
          <w:szCs w:val="24"/>
        </w:rPr>
        <w:t>,</w:t>
      </w:r>
      <w:r w:rsidRPr="00133AB4">
        <w:rPr>
          <w:rFonts w:asciiTheme="majorHAnsi" w:hAnsiTheme="majorHAnsi" w:cstheme="majorHAnsi"/>
          <w:sz w:val="24"/>
          <w:szCs w:val="24"/>
        </w:rPr>
        <w:t xml:space="preserve"> and delivery is only amplified by expanding into new markets. Responsible sourcing is also becoming more important as sustainability commitments increase (Vurro, et. al., 2009). Investments in new technologies such as blockchain, predictive analytics using machine learning algorithms, and </w:t>
      </w:r>
      <w:r w:rsidRPr="00133AB4">
        <w:rPr>
          <w:rFonts w:asciiTheme="majorHAnsi" w:hAnsiTheme="majorHAnsi" w:cstheme="majorHAnsi"/>
          <w:sz w:val="24"/>
          <w:szCs w:val="24"/>
        </w:rPr>
        <w:lastRenderedPageBreak/>
        <w:t>Internet-of-Things-connected distribution centers will enable the ethical, responsive supply network that is needed. Change management is also crucial to leveraging these capabilities. Engaging local employees will facilitate upgrades and generate innovative ideas for optimization tailored to regional needs.</w:t>
      </w:r>
    </w:p>
    <w:p w14:paraId="336D71F2" w14:textId="77777777" w:rsidR="00133AB4" w:rsidRPr="00133AB4" w:rsidRDefault="00133AB4" w:rsidP="00741B55">
      <w:pPr>
        <w:pStyle w:val="Heading1"/>
      </w:pPr>
      <w:bookmarkStart w:id="8" w:name="_Toc153887421"/>
      <w:r w:rsidRPr="00133AB4">
        <w:t>Expansion Opportunities Evaluation</w:t>
      </w:r>
      <w:bookmarkEnd w:id="8"/>
    </w:p>
    <w:p w14:paraId="08B91C98" w14:textId="120AAE7C" w:rsidR="00133AB4" w:rsidRPr="00133AB4" w:rsidRDefault="00133AB4" w:rsidP="00741B55">
      <w:pPr>
        <w:spacing w:line="360" w:lineRule="auto"/>
        <w:jc w:val="both"/>
        <w:rPr>
          <w:rFonts w:asciiTheme="majorHAnsi" w:hAnsiTheme="majorHAnsi" w:cstheme="majorHAnsi"/>
          <w:sz w:val="24"/>
          <w:szCs w:val="24"/>
        </w:rPr>
      </w:pPr>
      <w:r w:rsidRPr="00133AB4">
        <w:rPr>
          <w:rFonts w:asciiTheme="majorHAnsi" w:hAnsiTheme="majorHAnsi" w:cstheme="majorHAnsi"/>
          <w:sz w:val="24"/>
          <w:szCs w:val="24"/>
        </w:rPr>
        <w:t>Unilever should carefully evaluate the communication challenges that could arise due to cross-cultural differences, such as language, business practices, societal values</w:t>
      </w:r>
      <w:r w:rsidR="00741B55">
        <w:rPr>
          <w:rFonts w:asciiTheme="majorHAnsi" w:hAnsiTheme="majorHAnsi" w:cstheme="majorHAnsi"/>
          <w:sz w:val="24"/>
          <w:szCs w:val="24"/>
        </w:rPr>
        <w:t>,</w:t>
      </w:r>
      <w:r w:rsidRPr="00133AB4">
        <w:rPr>
          <w:rFonts w:asciiTheme="majorHAnsi" w:hAnsiTheme="majorHAnsi" w:cstheme="majorHAnsi"/>
          <w:sz w:val="24"/>
          <w:szCs w:val="24"/>
        </w:rPr>
        <w:t xml:space="preserve"> and diversity of </w:t>
      </w:r>
      <w:r w:rsidR="00741B55">
        <w:rPr>
          <w:rFonts w:asciiTheme="majorHAnsi" w:hAnsiTheme="majorHAnsi" w:cstheme="majorHAnsi"/>
          <w:sz w:val="24"/>
          <w:szCs w:val="24"/>
        </w:rPr>
        <w:t xml:space="preserve">the </w:t>
      </w:r>
      <w:r w:rsidRPr="00133AB4">
        <w:rPr>
          <w:rFonts w:asciiTheme="majorHAnsi" w:hAnsiTheme="majorHAnsi" w:cstheme="majorHAnsi"/>
          <w:sz w:val="24"/>
          <w:szCs w:val="24"/>
        </w:rPr>
        <w:t>workforce. France and Poland are two promising options in the EU.</w:t>
      </w:r>
    </w:p>
    <w:p w14:paraId="408AB83A" w14:textId="77777777" w:rsidR="00133AB4" w:rsidRPr="00133AB4" w:rsidRDefault="00133AB4" w:rsidP="00741B55">
      <w:pPr>
        <w:pStyle w:val="Heading2"/>
      </w:pPr>
      <w:bookmarkStart w:id="9" w:name="_Toc153887422"/>
      <w:r w:rsidRPr="00133AB4">
        <w:t>France</w:t>
      </w:r>
      <w:bookmarkEnd w:id="9"/>
    </w:p>
    <w:p w14:paraId="24CA6E13" w14:textId="43FB12BD" w:rsidR="00133AB4" w:rsidRPr="00133AB4" w:rsidRDefault="00133AB4" w:rsidP="00741B55">
      <w:pPr>
        <w:spacing w:line="360" w:lineRule="auto"/>
        <w:jc w:val="both"/>
        <w:rPr>
          <w:rFonts w:asciiTheme="majorHAnsi" w:hAnsiTheme="majorHAnsi" w:cstheme="majorHAnsi"/>
          <w:sz w:val="24"/>
          <w:szCs w:val="24"/>
        </w:rPr>
      </w:pPr>
      <w:r w:rsidRPr="00133AB4">
        <w:rPr>
          <w:rFonts w:asciiTheme="majorHAnsi" w:hAnsiTheme="majorHAnsi" w:cstheme="majorHAnsi"/>
          <w:sz w:val="24"/>
          <w:szCs w:val="24"/>
        </w:rPr>
        <w:t xml:space="preserve">French culture is more formal and indirect in comparison to British style. According to Hofstede’s cultural dimensions theory, France is rated higher than Britain in terms of power distance and uncertainty </w:t>
      </w:r>
      <w:r w:rsidR="00741B55">
        <w:rPr>
          <w:rFonts w:asciiTheme="majorHAnsi" w:hAnsiTheme="majorHAnsi" w:cstheme="majorHAnsi"/>
          <w:sz w:val="24"/>
          <w:szCs w:val="24"/>
        </w:rPr>
        <w:t>avoidance</w:t>
      </w:r>
      <w:r w:rsidRPr="00133AB4">
        <w:rPr>
          <w:rFonts w:asciiTheme="majorHAnsi" w:hAnsiTheme="majorHAnsi" w:cstheme="majorHAnsi"/>
          <w:sz w:val="24"/>
          <w:szCs w:val="24"/>
        </w:rPr>
        <w:t xml:space="preserve">. This means that French businesses have a more hierarchical structure and are more concerned with rules and procedures. Language barriers can still hinder communication, despite a high level of English proficiency. France offers a great opportunity with a GDP of over $2.7 trillion, a population of over 67 </w:t>
      </w:r>
      <w:r w:rsidR="00741B55">
        <w:rPr>
          <w:rFonts w:asciiTheme="majorHAnsi" w:hAnsiTheme="majorHAnsi" w:cstheme="majorHAnsi"/>
          <w:sz w:val="24"/>
          <w:szCs w:val="24"/>
        </w:rPr>
        <w:t>million</w:t>
      </w:r>
      <w:r w:rsidRPr="00133AB4">
        <w:rPr>
          <w:rFonts w:asciiTheme="majorHAnsi" w:hAnsiTheme="majorHAnsi" w:cstheme="majorHAnsi"/>
          <w:sz w:val="24"/>
          <w:szCs w:val="24"/>
        </w:rPr>
        <w:t xml:space="preserve"> people including many skilled workers and graduates. But rigidity in employment laws and strong unions can also be a risk.</w:t>
      </w:r>
    </w:p>
    <w:p w14:paraId="04EDA30D" w14:textId="77777777" w:rsidR="00133AB4" w:rsidRPr="00133AB4" w:rsidRDefault="00133AB4" w:rsidP="00741B55">
      <w:pPr>
        <w:pStyle w:val="Heading2"/>
      </w:pPr>
      <w:bookmarkStart w:id="10" w:name="_Toc153887423"/>
      <w:r w:rsidRPr="00133AB4">
        <w:t>Poland</w:t>
      </w:r>
      <w:bookmarkEnd w:id="10"/>
    </w:p>
    <w:p w14:paraId="2B94DC87" w14:textId="492DFDFC" w:rsidR="00133AB4" w:rsidRPr="00133AB4" w:rsidRDefault="00133AB4" w:rsidP="00741B55">
      <w:pPr>
        <w:spacing w:line="360" w:lineRule="auto"/>
        <w:jc w:val="both"/>
        <w:rPr>
          <w:rFonts w:asciiTheme="majorHAnsi" w:hAnsiTheme="majorHAnsi" w:cstheme="majorHAnsi"/>
          <w:sz w:val="24"/>
          <w:szCs w:val="24"/>
        </w:rPr>
      </w:pPr>
      <w:r w:rsidRPr="00133AB4">
        <w:rPr>
          <w:rFonts w:asciiTheme="majorHAnsi" w:hAnsiTheme="majorHAnsi" w:cstheme="majorHAnsi"/>
          <w:sz w:val="24"/>
          <w:szCs w:val="24"/>
        </w:rPr>
        <w:t xml:space="preserve">Poland, which shares borders with Germany and has a population of nearly 38 million people, is one of Europe's most rapidly growing economies. Polish communication norms have changed since the country became a </w:t>
      </w:r>
      <w:r w:rsidR="00741B55">
        <w:rPr>
          <w:rFonts w:asciiTheme="majorHAnsi" w:hAnsiTheme="majorHAnsi" w:cstheme="majorHAnsi"/>
          <w:sz w:val="24"/>
          <w:szCs w:val="24"/>
        </w:rPr>
        <w:t>post-communist</w:t>
      </w:r>
      <w:r w:rsidRPr="00133AB4">
        <w:rPr>
          <w:rFonts w:asciiTheme="majorHAnsi" w:hAnsiTheme="majorHAnsi" w:cstheme="majorHAnsi"/>
          <w:sz w:val="24"/>
          <w:szCs w:val="24"/>
        </w:rPr>
        <w:t xml:space="preserve"> nation. According to the Hofstede rating, Poland has a slightly higher power distance compared to Britain, but a lower level of uncertainty avoidance. Direct communication is welcomed despite the existence of hierarchies in the workplace. Because English is not the native language of Poland, translations are needed to avoid </w:t>
      </w:r>
      <w:r w:rsidR="00741B55">
        <w:rPr>
          <w:rFonts w:asciiTheme="majorHAnsi" w:hAnsiTheme="majorHAnsi" w:cstheme="majorHAnsi"/>
          <w:sz w:val="24"/>
          <w:szCs w:val="24"/>
        </w:rPr>
        <w:t>miscommunication</w:t>
      </w:r>
      <w:r w:rsidRPr="00133AB4">
        <w:rPr>
          <w:rFonts w:asciiTheme="majorHAnsi" w:hAnsiTheme="majorHAnsi" w:cstheme="majorHAnsi"/>
          <w:sz w:val="24"/>
          <w:szCs w:val="24"/>
        </w:rPr>
        <w:t>. Poland is still lagging behind Western Europe in terms of diversity, inclusion</w:t>
      </w:r>
      <w:r w:rsidR="00741B55">
        <w:rPr>
          <w:rFonts w:asciiTheme="majorHAnsi" w:hAnsiTheme="majorHAnsi" w:cstheme="majorHAnsi"/>
          <w:sz w:val="24"/>
          <w:szCs w:val="24"/>
        </w:rPr>
        <w:t>,</w:t>
      </w:r>
      <w:r w:rsidRPr="00133AB4">
        <w:rPr>
          <w:rFonts w:asciiTheme="majorHAnsi" w:hAnsiTheme="majorHAnsi" w:cstheme="majorHAnsi"/>
          <w:sz w:val="24"/>
          <w:szCs w:val="24"/>
        </w:rPr>
        <w:t xml:space="preserve"> and equality measures. However, as more young workers seek education abroad, the country's openness increases.</w:t>
      </w:r>
    </w:p>
    <w:p w14:paraId="08DCE05E" w14:textId="77777777" w:rsidR="00133AB4" w:rsidRPr="00133AB4" w:rsidRDefault="00133AB4" w:rsidP="00741B55">
      <w:pPr>
        <w:pStyle w:val="Heading1"/>
      </w:pPr>
      <w:bookmarkStart w:id="11" w:name="_Toc153887424"/>
      <w:r w:rsidRPr="00133AB4">
        <w:t>Analysis Communication Barriers</w:t>
      </w:r>
      <w:bookmarkEnd w:id="11"/>
    </w:p>
    <w:p w14:paraId="1C9827E7" w14:textId="77777777" w:rsidR="00133AB4" w:rsidRPr="00133AB4" w:rsidRDefault="00133AB4" w:rsidP="00741B55">
      <w:pPr>
        <w:spacing w:line="360" w:lineRule="auto"/>
        <w:jc w:val="both"/>
        <w:rPr>
          <w:rFonts w:asciiTheme="majorHAnsi" w:hAnsiTheme="majorHAnsi" w:cstheme="majorHAnsi"/>
          <w:sz w:val="24"/>
          <w:szCs w:val="24"/>
        </w:rPr>
      </w:pPr>
      <w:r w:rsidRPr="00133AB4">
        <w:rPr>
          <w:rFonts w:asciiTheme="majorHAnsi" w:hAnsiTheme="majorHAnsi" w:cstheme="majorHAnsi"/>
          <w:sz w:val="24"/>
          <w:szCs w:val="24"/>
        </w:rPr>
        <w:t xml:space="preserve">When expanding into France or Poland, it is important to consider several communication barriers. Language barriers could hinder complex transactions or negotiations that require a </w:t>
      </w:r>
      <w:r w:rsidRPr="00133AB4">
        <w:rPr>
          <w:rFonts w:asciiTheme="majorHAnsi" w:hAnsiTheme="majorHAnsi" w:cstheme="majorHAnsi"/>
          <w:sz w:val="24"/>
          <w:szCs w:val="24"/>
        </w:rPr>
        <w:lastRenderedPageBreak/>
        <w:t>high level of terminology. Translators who are unfamiliar with industry-specific terminology may not be able to provide adequate translations. Communication styles can also cause cultural misinterpretations - for example, the French tend to use indirect speech which may frustrate British representatives who are straight-talkers. In cultures with high power distance, hierarchies based on age and status can prevent younger staff from raising concerns. It is not a good idea to make assumptions based on British standards. Unilever should also have specific adaptation strategies for diversity and inclusion that target each country's challenges. In Poland, a sensitive approach to religious and minorities issues is key.</w:t>
      </w:r>
    </w:p>
    <w:p w14:paraId="13E7EC9E" w14:textId="77777777" w:rsidR="00741B55" w:rsidRDefault="00133AB4" w:rsidP="00741B55">
      <w:pPr>
        <w:pStyle w:val="Heading2"/>
      </w:pPr>
      <w:bookmarkStart w:id="12" w:name="_Toc153887425"/>
      <w:r w:rsidRPr="00133AB4">
        <w:t>Unilever's Navigating Workplace Diversity &amp; Inclusion Complexities</w:t>
      </w:r>
      <w:bookmarkEnd w:id="12"/>
      <w:r w:rsidRPr="00133AB4">
        <w:t xml:space="preserve"> </w:t>
      </w:r>
    </w:p>
    <w:p w14:paraId="143F93C6" w14:textId="214A1406" w:rsidR="00133AB4" w:rsidRPr="00133AB4" w:rsidRDefault="00133AB4" w:rsidP="00741B55">
      <w:pPr>
        <w:spacing w:line="360" w:lineRule="auto"/>
        <w:jc w:val="both"/>
        <w:rPr>
          <w:rFonts w:asciiTheme="majorHAnsi" w:hAnsiTheme="majorHAnsi" w:cstheme="majorHAnsi"/>
          <w:sz w:val="24"/>
          <w:szCs w:val="24"/>
        </w:rPr>
      </w:pPr>
      <w:r w:rsidRPr="00133AB4">
        <w:rPr>
          <w:rFonts w:asciiTheme="majorHAnsi" w:hAnsiTheme="majorHAnsi" w:cstheme="majorHAnsi"/>
          <w:sz w:val="24"/>
          <w:szCs w:val="24"/>
        </w:rPr>
        <w:t xml:space="preserve">Unilever is in a great position to transfer its diversity, equity, and inclusion (DEI), expertise to Eastern European contexts. They can tailor their training and recruitment approaches to meet local realities. Progress Associates' CEO, however, notes that it is difficult to maintain corporate consistency in the face of regional differences. For example, what empowers women from France might not resonate in Poland. To ensure that diverse voices are heard, it is important to empower staff members to lead initiatives that address their lived experiences. It may be that the Polish leadership develops solutions to address religious minorities barriers in a way locals can relate </w:t>
      </w:r>
      <w:r w:rsidR="00741B55">
        <w:rPr>
          <w:rFonts w:asciiTheme="majorHAnsi" w:hAnsiTheme="majorHAnsi" w:cstheme="majorHAnsi"/>
          <w:sz w:val="24"/>
          <w:szCs w:val="24"/>
        </w:rPr>
        <w:t xml:space="preserve">to </w:t>
      </w:r>
      <w:r w:rsidRPr="00133AB4">
        <w:rPr>
          <w:rFonts w:asciiTheme="majorHAnsi" w:hAnsiTheme="majorHAnsi" w:cstheme="majorHAnsi"/>
          <w:sz w:val="24"/>
          <w:szCs w:val="24"/>
        </w:rPr>
        <w:t>better than frameworks imposed by Western executives who lack contextual nuances.</w:t>
      </w:r>
    </w:p>
    <w:p w14:paraId="23463534" w14:textId="77777777" w:rsidR="00741B55" w:rsidRDefault="00133AB4" w:rsidP="00741B55">
      <w:pPr>
        <w:pStyle w:val="Heading2"/>
      </w:pPr>
      <w:bookmarkStart w:id="13" w:name="_Toc153887426"/>
      <w:r w:rsidRPr="00133AB4">
        <w:t>Generating Inclusive Company Cultures</w:t>
      </w:r>
      <w:bookmarkEnd w:id="13"/>
      <w:r w:rsidRPr="00133AB4">
        <w:t xml:space="preserve"> </w:t>
      </w:r>
    </w:p>
    <w:p w14:paraId="6614D803" w14:textId="3ED48C03" w:rsidR="00133AB4" w:rsidRPr="00133AB4" w:rsidRDefault="00133AB4" w:rsidP="00741B55">
      <w:pPr>
        <w:spacing w:line="360" w:lineRule="auto"/>
        <w:jc w:val="both"/>
        <w:rPr>
          <w:rFonts w:asciiTheme="majorHAnsi" w:hAnsiTheme="majorHAnsi" w:cstheme="majorHAnsi"/>
          <w:sz w:val="24"/>
          <w:szCs w:val="24"/>
        </w:rPr>
      </w:pPr>
      <w:r w:rsidRPr="00133AB4">
        <w:rPr>
          <w:rFonts w:asciiTheme="majorHAnsi" w:hAnsiTheme="majorHAnsi" w:cstheme="majorHAnsi"/>
          <w:sz w:val="24"/>
          <w:szCs w:val="24"/>
        </w:rPr>
        <w:t>Inclusive companies show respect, appreciate all identities, and give marginalized people a sense of belonging (Bourke &amp; Dillon</w:t>
      </w:r>
      <w:r w:rsidR="00741B55">
        <w:rPr>
          <w:rFonts w:asciiTheme="majorHAnsi" w:hAnsiTheme="majorHAnsi" w:cstheme="majorHAnsi"/>
          <w:sz w:val="24"/>
          <w:szCs w:val="24"/>
        </w:rPr>
        <w:t>,</w:t>
      </w:r>
      <w:r w:rsidRPr="00133AB4">
        <w:rPr>
          <w:rFonts w:asciiTheme="majorHAnsi" w:hAnsiTheme="majorHAnsi" w:cstheme="majorHAnsi"/>
          <w:sz w:val="24"/>
          <w:szCs w:val="24"/>
        </w:rPr>
        <w:t xml:space="preserve"> 2022). Research shows that unconscious biases can influence behavior even when there is no malicious intent. Project Implicit tests can be incorporated into corporate training to raise awareness about hidden prejudices that are formed by cultural socialization. These prejudices should not be ignored but rather countered. This process of self-reflection helps develop skills to call out microaggressions in international peer groups, while also empowering employee resource group members to advocate for underrepresented employees through allyship.</w:t>
      </w:r>
    </w:p>
    <w:p w14:paraId="737C9409" w14:textId="77777777" w:rsidR="00741B55" w:rsidRDefault="00133AB4" w:rsidP="00741B55">
      <w:pPr>
        <w:pStyle w:val="Heading2"/>
      </w:pPr>
      <w:bookmarkStart w:id="14" w:name="_Toc153887427"/>
      <w:r w:rsidRPr="00133AB4">
        <w:t>Communication Technology Limitations</w:t>
      </w:r>
      <w:bookmarkEnd w:id="14"/>
      <w:r w:rsidRPr="00133AB4">
        <w:t xml:space="preserve"> </w:t>
      </w:r>
    </w:p>
    <w:p w14:paraId="48AFD710" w14:textId="36DA65B5" w:rsidR="00133AB4" w:rsidRPr="00133AB4" w:rsidRDefault="00133AB4" w:rsidP="00741B55">
      <w:pPr>
        <w:spacing w:line="360" w:lineRule="auto"/>
        <w:jc w:val="both"/>
        <w:rPr>
          <w:rFonts w:asciiTheme="majorHAnsi" w:hAnsiTheme="majorHAnsi" w:cstheme="majorHAnsi"/>
          <w:sz w:val="24"/>
          <w:szCs w:val="24"/>
        </w:rPr>
      </w:pPr>
      <w:r w:rsidRPr="00133AB4">
        <w:rPr>
          <w:rFonts w:asciiTheme="majorHAnsi" w:hAnsiTheme="majorHAnsi" w:cstheme="majorHAnsi"/>
          <w:sz w:val="24"/>
          <w:szCs w:val="24"/>
        </w:rPr>
        <w:t xml:space="preserve">While video calls can connect international teams across the globe, technology is not able to overcome all cultural barriers. Stanford University found that non-verbal cues such as facial expressions, posture, and gestures carry over 90% of the emotional meaning. Yet, these are </w:t>
      </w:r>
      <w:r w:rsidRPr="00133AB4">
        <w:rPr>
          <w:rFonts w:asciiTheme="majorHAnsi" w:hAnsiTheme="majorHAnsi" w:cstheme="majorHAnsi"/>
          <w:sz w:val="24"/>
          <w:szCs w:val="24"/>
        </w:rPr>
        <w:lastRenderedPageBreak/>
        <w:t xml:space="preserve">often lost in digital communication (Burgoon, et. al., 2021). Webcam angles can obscure the view, making it difficult to analyze body language. Interruptions are a result of lag times, while poor sound quality prevents the interpretation of tones. In-person interaction is the best way to build relationships and reach consensus. To foster deeper connections, companies need to balance digital communication with regular </w:t>
      </w:r>
      <w:r w:rsidR="00741B55">
        <w:rPr>
          <w:rFonts w:asciiTheme="majorHAnsi" w:hAnsiTheme="majorHAnsi" w:cstheme="majorHAnsi"/>
          <w:sz w:val="24"/>
          <w:szCs w:val="24"/>
        </w:rPr>
        <w:t>face-to-face</w:t>
      </w:r>
      <w:r w:rsidRPr="00133AB4">
        <w:rPr>
          <w:rFonts w:asciiTheme="majorHAnsi" w:hAnsiTheme="majorHAnsi" w:cstheme="majorHAnsi"/>
          <w:sz w:val="24"/>
          <w:szCs w:val="24"/>
        </w:rPr>
        <w:t xml:space="preserve"> meetings between executives and virtual teams across regions.</w:t>
      </w:r>
    </w:p>
    <w:p w14:paraId="2D91A8AE" w14:textId="77777777" w:rsidR="00741B55" w:rsidRDefault="00133AB4" w:rsidP="00741B55">
      <w:pPr>
        <w:pStyle w:val="Heading2"/>
      </w:pPr>
      <w:bookmarkStart w:id="15" w:name="_Toc153887428"/>
      <w:r w:rsidRPr="00133AB4">
        <w:t>Corporate Social Justice &amp; Societal Change</w:t>
      </w:r>
      <w:bookmarkEnd w:id="15"/>
      <w:r w:rsidRPr="00133AB4">
        <w:t xml:space="preserve"> </w:t>
      </w:r>
    </w:p>
    <w:p w14:paraId="1CDA50D7" w14:textId="74DF1766" w:rsidR="00133AB4" w:rsidRPr="00133AB4" w:rsidRDefault="00133AB4" w:rsidP="00741B55">
      <w:pPr>
        <w:spacing w:line="360" w:lineRule="auto"/>
        <w:jc w:val="both"/>
        <w:rPr>
          <w:rFonts w:asciiTheme="majorHAnsi" w:hAnsiTheme="majorHAnsi" w:cstheme="majorHAnsi"/>
          <w:sz w:val="24"/>
          <w:szCs w:val="24"/>
        </w:rPr>
      </w:pPr>
      <w:r w:rsidRPr="00133AB4">
        <w:rPr>
          <w:rFonts w:asciiTheme="majorHAnsi" w:hAnsiTheme="majorHAnsi" w:cstheme="majorHAnsi"/>
          <w:sz w:val="24"/>
          <w:szCs w:val="24"/>
        </w:rPr>
        <w:t xml:space="preserve">Modern stakeholders demand that companies take a public stand on social or political issues, from racial equality to LGBTQ+ rights. But even if values are universal in Western countries, they can still be polarizing elsewhere. Multinationals should consider that their mere presence </w:t>
      </w:r>
      <w:r w:rsidR="00741B55">
        <w:rPr>
          <w:rFonts w:asciiTheme="majorHAnsi" w:hAnsiTheme="majorHAnsi" w:cstheme="majorHAnsi"/>
          <w:sz w:val="24"/>
          <w:szCs w:val="24"/>
        </w:rPr>
        <w:t>in</w:t>
      </w:r>
      <w:r w:rsidRPr="00133AB4">
        <w:rPr>
          <w:rFonts w:asciiTheme="majorHAnsi" w:hAnsiTheme="majorHAnsi" w:cstheme="majorHAnsi"/>
          <w:sz w:val="24"/>
          <w:szCs w:val="24"/>
        </w:rPr>
        <w:t xml:space="preserve"> certain markets can be interpreted as an implicit endorsement of controversial policies </w:t>
      </w:r>
      <w:r w:rsidR="00741B55">
        <w:rPr>
          <w:rFonts w:asciiTheme="majorHAnsi" w:hAnsiTheme="majorHAnsi" w:cstheme="majorHAnsi"/>
          <w:sz w:val="24"/>
          <w:szCs w:val="24"/>
        </w:rPr>
        <w:t>that</w:t>
      </w:r>
      <w:r w:rsidRPr="00133AB4">
        <w:rPr>
          <w:rFonts w:asciiTheme="majorHAnsi" w:hAnsiTheme="majorHAnsi" w:cstheme="majorHAnsi"/>
          <w:sz w:val="24"/>
          <w:szCs w:val="24"/>
        </w:rPr>
        <w:t xml:space="preserve"> are in direct conflict with their values around equality and human </w:t>
      </w:r>
      <w:r w:rsidR="00741B55">
        <w:rPr>
          <w:rFonts w:asciiTheme="majorHAnsi" w:hAnsiTheme="majorHAnsi" w:cstheme="majorHAnsi"/>
          <w:sz w:val="24"/>
          <w:szCs w:val="24"/>
        </w:rPr>
        <w:t>rights</w:t>
      </w:r>
      <w:r w:rsidRPr="00133AB4">
        <w:rPr>
          <w:rFonts w:asciiTheme="majorHAnsi" w:hAnsiTheme="majorHAnsi" w:cstheme="majorHAnsi"/>
          <w:sz w:val="24"/>
          <w:szCs w:val="24"/>
        </w:rPr>
        <w:t xml:space="preserve">. Corporate activism can also be accused of neocolonialism, i.e. imposing culture from abroad. Unilever has to decide how it will balance supporting leaders who are driving change in line with corporate values and respecting the pace </w:t>
      </w:r>
      <w:r w:rsidR="00741B55">
        <w:rPr>
          <w:rFonts w:asciiTheme="majorHAnsi" w:hAnsiTheme="majorHAnsi" w:cstheme="majorHAnsi"/>
          <w:sz w:val="24"/>
          <w:szCs w:val="24"/>
        </w:rPr>
        <w:t xml:space="preserve">of </w:t>
      </w:r>
      <w:r w:rsidRPr="00133AB4">
        <w:rPr>
          <w:rFonts w:asciiTheme="majorHAnsi" w:hAnsiTheme="majorHAnsi" w:cstheme="majorHAnsi"/>
          <w:sz w:val="24"/>
          <w:szCs w:val="24"/>
        </w:rPr>
        <w:t>societal changes.</w:t>
      </w:r>
    </w:p>
    <w:p w14:paraId="000234F6" w14:textId="77777777" w:rsidR="00741B55" w:rsidRDefault="00133AB4" w:rsidP="00741B55">
      <w:pPr>
        <w:pStyle w:val="Heading2"/>
        <w:spacing w:before="0" w:after="240"/>
      </w:pPr>
      <w:bookmarkStart w:id="16" w:name="_Toc153887429"/>
      <w:r w:rsidRPr="00133AB4">
        <w:t>Prepare for Crisis Communications</w:t>
      </w:r>
      <w:bookmarkEnd w:id="16"/>
    </w:p>
    <w:p w14:paraId="7E5BFB47" w14:textId="2B971ED3" w:rsidR="00133AB4" w:rsidRPr="00133AB4" w:rsidRDefault="00133AB4" w:rsidP="00741B55">
      <w:pPr>
        <w:spacing w:line="360" w:lineRule="auto"/>
        <w:jc w:val="both"/>
        <w:rPr>
          <w:rFonts w:asciiTheme="majorHAnsi" w:hAnsiTheme="majorHAnsi" w:cstheme="majorHAnsi"/>
          <w:sz w:val="24"/>
          <w:szCs w:val="24"/>
        </w:rPr>
      </w:pPr>
      <w:r w:rsidRPr="00133AB4">
        <w:rPr>
          <w:rFonts w:asciiTheme="majorHAnsi" w:hAnsiTheme="majorHAnsi" w:cstheme="majorHAnsi"/>
          <w:sz w:val="24"/>
          <w:szCs w:val="24"/>
        </w:rPr>
        <w:t>Multinational corporations are increasingly exposed to political, environmental, and social disruptions across their global operations. Research shows that 82% of companies lack crisis management plans that address international communication strategies (Orror &amp; Jones</w:t>
      </w:r>
      <w:r w:rsidR="00741B55">
        <w:rPr>
          <w:rFonts w:asciiTheme="majorHAnsi" w:hAnsiTheme="majorHAnsi" w:cstheme="majorHAnsi"/>
          <w:sz w:val="24"/>
          <w:szCs w:val="24"/>
        </w:rPr>
        <w:t>,</w:t>
      </w:r>
      <w:r w:rsidRPr="00133AB4">
        <w:rPr>
          <w:rFonts w:asciiTheme="majorHAnsi" w:hAnsiTheme="majorHAnsi" w:cstheme="majorHAnsi"/>
          <w:sz w:val="24"/>
          <w:szCs w:val="24"/>
        </w:rPr>
        <w:t xml:space="preserve"> 2022). The language barriers, cultural sensitivities</w:t>
      </w:r>
      <w:r w:rsidR="00741B55">
        <w:rPr>
          <w:rFonts w:asciiTheme="majorHAnsi" w:hAnsiTheme="majorHAnsi" w:cstheme="majorHAnsi"/>
          <w:sz w:val="24"/>
          <w:szCs w:val="24"/>
        </w:rPr>
        <w:t>,</w:t>
      </w:r>
      <w:r w:rsidRPr="00133AB4">
        <w:rPr>
          <w:rFonts w:asciiTheme="majorHAnsi" w:hAnsiTheme="majorHAnsi" w:cstheme="majorHAnsi"/>
          <w:sz w:val="24"/>
          <w:szCs w:val="24"/>
        </w:rPr>
        <w:t xml:space="preserve"> and access variations, as well as the government relationships, complicate a quick coordinated response when compared with domestic incidents. Simulating international executives in regional offices can help identify blind spots when activating crisis protocols that are designed only for domestic use. A strong internal alignment is essential to ensure that external communications reflect local empathy and protect corporate reputation.</w:t>
      </w:r>
    </w:p>
    <w:p w14:paraId="29C3D552" w14:textId="77777777" w:rsidR="00133AB4" w:rsidRPr="00133AB4" w:rsidRDefault="00133AB4" w:rsidP="00741B55">
      <w:pPr>
        <w:pStyle w:val="Heading1"/>
      </w:pPr>
      <w:bookmarkStart w:id="17" w:name="_Toc153887430"/>
      <w:r w:rsidRPr="00133AB4">
        <w:t>Recommendations</w:t>
      </w:r>
      <w:bookmarkEnd w:id="17"/>
    </w:p>
    <w:p w14:paraId="58DB6E73" w14:textId="1646795D" w:rsidR="00133AB4" w:rsidRPr="00133AB4" w:rsidRDefault="00133AB4" w:rsidP="00741B55">
      <w:pPr>
        <w:spacing w:line="360" w:lineRule="auto"/>
        <w:jc w:val="both"/>
        <w:rPr>
          <w:rFonts w:asciiTheme="majorHAnsi" w:hAnsiTheme="majorHAnsi" w:cstheme="majorHAnsi"/>
          <w:sz w:val="24"/>
          <w:szCs w:val="24"/>
        </w:rPr>
      </w:pPr>
      <w:r w:rsidRPr="00133AB4">
        <w:rPr>
          <w:rFonts w:asciiTheme="majorHAnsi" w:hAnsiTheme="majorHAnsi" w:cstheme="majorHAnsi"/>
          <w:sz w:val="24"/>
          <w:szCs w:val="24"/>
        </w:rPr>
        <w:t xml:space="preserve">Unilever's growth prospects are best suited to Poland at this time. Unilever already has operations in Poland, but should use its employees to help with employer branding, community outreach, and highlighting Unilever values. This shows commitment and </w:t>
      </w:r>
      <w:r w:rsidR="00741B55">
        <w:rPr>
          <w:rFonts w:asciiTheme="majorHAnsi" w:hAnsiTheme="majorHAnsi" w:cstheme="majorHAnsi"/>
          <w:sz w:val="24"/>
          <w:szCs w:val="24"/>
        </w:rPr>
        <w:t xml:space="preserve">is </w:t>
      </w:r>
      <w:r w:rsidRPr="00133AB4">
        <w:rPr>
          <w:rFonts w:asciiTheme="majorHAnsi" w:hAnsiTheme="majorHAnsi" w:cstheme="majorHAnsi"/>
          <w:sz w:val="24"/>
          <w:szCs w:val="24"/>
        </w:rPr>
        <w:t xml:space="preserve">not just a temporary investment. It is important to provide specialized language training as well as cultural training </w:t>
      </w:r>
      <w:r w:rsidRPr="00133AB4">
        <w:rPr>
          <w:rFonts w:asciiTheme="majorHAnsi" w:hAnsiTheme="majorHAnsi" w:cstheme="majorHAnsi"/>
          <w:sz w:val="24"/>
          <w:szCs w:val="24"/>
        </w:rPr>
        <w:lastRenderedPageBreak/>
        <w:t>that addresses Polish communication norms, hierarchy</w:t>
      </w:r>
      <w:r w:rsidR="00741B55">
        <w:rPr>
          <w:rFonts w:asciiTheme="majorHAnsi" w:hAnsiTheme="majorHAnsi" w:cstheme="majorHAnsi"/>
          <w:sz w:val="24"/>
          <w:szCs w:val="24"/>
        </w:rPr>
        <w:t>,</w:t>
      </w:r>
      <w:r w:rsidRPr="00133AB4">
        <w:rPr>
          <w:rFonts w:asciiTheme="majorHAnsi" w:hAnsiTheme="majorHAnsi" w:cstheme="majorHAnsi"/>
          <w:sz w:val="24"/>
          <w:szCs w:val="24"/>
        </w:rPr>
        <w:t xml:space="preserve"> and hierarchy nuances. This will help avoid making insensitive mistakes. Staff must be dedicated to managing translations for important documents and navigating potential religious sensitivities. Poland is the best option for now, despite its challenges.</w:t>
      </w:r>
    </w:p>
    <w:p w14:paraId="3F6F059E" w14:textId="77777777" w:rsidR="00E11B10" w:rsidRDefault="00133AB4" w:rsidP="00E11B10">
      <w:pPr>
        <w:pStyle w:val="Heading2"/>
      </w:pPr>
      <w:bookmarkStart w:id="18" w:name="_Toc153887431"/>
      <w:r w:rsidRPr="00133AB4">
        <w:t>Poland's Academic Talent Pipeline</w:t>
      </w:r>
      <w:bookmarkEnd w:id="18"/>
      <w:r w:rsidRPr="00133AB4">
        <w:t xml:space="preserve"> </w:t>
      </w:r>
    </w:p>
    <w:p w14:paraId="75290C70" w14:textId="5CC2FCF4" w:rsidR="00133AB4" w:rsidRPr="00133AB4" w:rsidRDefault="00133AB4" w:rsidP="00741B55">
      <w:pPr>
        <w:spacing w:line="360" w:lineRule="auto"/>
        <w:jc w:val="both"/>
        <w:rPr>
          <w:rFonts w:asciiTheme="majorHAnsi" w:hAnsiTheme="majorHAnsi" w:cstheme="majorHAnsi"/>
          <w:sz w:val="24"/>
          <w:szCs w:val="24"/>
        </w:rPr>
      </w:pPr>
      <w:r w:rsidRPr="00133AB4">
        <w:rPr>
          <w:rFonts w:asciiTheme="majorHAnsi" w:hAnsiTheme="majorHAnsi" w:cstheme="majorHAnsi"/>
          <w:sz w:val="24"/>
          <w:szCs w:val="24"/>
        </w:rPr>
        <w:t>Poland has made significant investments in education, which have resulted in a large talent pool of graduates in the business, finance, and STEM fields. This is a huge draw for multinationals (KPMG</w:t>
      </w:r>
      <w:r w:rsidR="00741B55">
        <w:rPr>
          <w:rFonts w:asciiTheme="majorHAnsi" w:hAnsiTheme="majorHAnsi" w:cstheme="majorHAnsi"/>
          <w:sz w:val="24"/>
          <w:szCs w:val="24"/>
        </w:rPr>
        <w:t>,</w:t>
      </w:r>
      <w:r w:rsidRPr="00133AB4">
        <w:rPr>
          <w:rFonts w:asciiTheme="majorHAnsi" w:hAnsiTheme="majorHAnsi" w:cstheme="majorHAnsi"/>
          <w:sz w:val="24"/>
          <w:szCs w:val="24"/>
        </w:rPr>
        <w:t xml:space="preserve"> 2021). Unilever must form strategic partnerships with regional universities </w:t>
      </w:r>
      <w:r w:rsidR="00741B55">
        <w:rPr>
          <w:rFonts w:asciiTheme="majorHAnsi" w:hAnsiTheme="majorHAnsi" w:cstheme="majorHAnsi"/>
          <w:sz w:val="24"/>
          <w:szCs w:val="24"/>
        </w:rPr>
        <w:t>to</w:t>
      </w:r>
      <w:r w:rsidRPr="00133AB4">
        <w:rPr>
          <w:rFonts w:asciiTheme="majorHAnsi" w:hAnsiTheme="majorHAnsi" w:cstheme="majorHAnsi"/>
          <w:sz w:val="24"/>
          <w:szCs w:val="24"/>
        </w:rPr>
        <w:t xml:space="preserve"> attract the best candidates. Sponsoring student conferences, capstone projects, and business case competitions will also increase awareness, as well as enable two-way culture sharing for adapting recruiting approaches. Unilever's value proposition as an employer is reinforced by this early exposure.</w:t>
      </w:r>
    </w:p>
    <w:p w14:paraId="5EE0F6A7" w14:textId="77777777" w:rsidR="00E11B10" w:rsidRDefault="00133AB4" w:rsidP="00E11B10">
      <w:pPr>
        <w:pStyle w:val="Heading2"/>
        <w:spacing w:before="0"/>
      </w:pPr>
      <w:bookmarkStart w:id="19" w:name="_Toc153887432"/>
      <w:r w:rsidRPr="00133AB4">
        <w:t>Fostering Inclusive Procurement through Social Procurement</w:t>
      </w:r>
      <w:bookmarkEnd w:id="19"/>
    </w:p>
    <w:p w14:paraId="42CF1CA6" w14:textId="46FC5B0D" w:rsidR="00133AB4" w:rsidRPr="00133AB4" w:rsidRDefault="00133AB4" w:rsidP="00741B55">
      <w:pPr>
        <w:spacing w:line="360" w:lineRule="auto"/>
        <w:jc w:val="both"/>
        <w:rPr>
          <w:rFonts w:asciiTheme="majorHAnsi" w:hAnsiTheme="majorHAnsi" w:cstheme="majorHAnsi"/>
          <w:sz w:val="24"/>
          <w:szCs w:val="24"/>
        </w:rPr>
      </w:pPr>
      <w:r w:rsidRPr="00133AB4">
        <w:rPr>
          <w:rFonts w:asciiTheme="majorHAnsi" w:hAnsiTheme="majorHAnsi" w:cstheme="majorHAnsi"/>
          <w:sz w:val="24"/>
          <w:szCs w:val="24"/>
        </w:rPr>
        <w:t xml:space="preserve">Unilever's supply chain is a powerful tool for achieving positive social impact as sustainability commitments grow. Social procurement is a way to prioritize sourcing diverse small businesses, </w:t>
      </w:r>
      <w:r w:rsidR="00741B55">
        <w:rPr>
          <w:rFonts w:asciiTheme="majorHAnsi" w:hAnsiTheme="majorHAnsi" w:cstheme="majorHAnsi"/>
          <w:sz w:val="24"/>
          <w:szCs w:val="24"/>
        </w:rPr>
        <w:t>minority-owned</w:t>
      </w:r>
      <w:r w:rsidRPr="00133AB4">
        <w:rPr>
          <w:rFonts w:asciiTheme="majorHAnsi" w:hAnsiTheme="majorHAnsi" w:cstheme="majorHAnsi"/>
          <w:sz w:val="24"/>
          <w:szCs w:val="24"/>
        </w:rPr>
        <w:t xml:space="preserve"> vendors, disabled entrepreneurs, and </w:t>
      </w:r>
      <w:r w:rsidR="00E11B10">
        <w:rPr>
          <w:rFonts w:asciiTheme="majorHAnsi" w:hAnsiTheme="majorHAnsi" w:cstheme="majorHAnsi"/>
          <w:sz w:val="24"/>
          <w:szCs w:val="24"/>
        </w:rPr>
        <w:t>other</w:t>
      </w:r>
      <w:r w:rsidR="00741B55">
        <w:rPr>
          <w:rFonts w:asciiTheme="majorHAnsi" w:hAnsiTheme="majorHAnsi" w:cstheme="majorHAnsi"/>
          <w:sz w:val="24"/>
          <w:szCs w:val="24"/>
        </w:rPr>
        <w:t xml:space="preserve"> underrepresented group</w:t>
      </w:r>
      <w:r w:rsidR="00E11B10">
        <w:rPr>
          <w:rFonts w:asciiTheme="majorHAnsi" w:hAnsiTheme="majorHAnsi" w:cstheme="majorHAnsi"/>
          <w:sz w:val="24"/>
          <w:szCs w:val="24"/>
        </w:rPr>
        <w:t>s</w:t>
      </w:r>
      <w:r w:rsidRPr="00133AB4">
        <w:rPr>
          <w:rFonts w:asciiTheme="majorHAnsi" w:hAnsiTheme="majorHAnsi" w:cstheme="majorHAnsi"/>
          <w:sz w:val="24"/>
          <w:szCs w:val="24"/>
        </w:rPr>
        <w:t xml:space="preserve"> (Barraket, et. al., 2016). As preferred suppliers, Unilever partners with local Polish minorities Chambers of Commerce to diversify the economy and direct investment towards disadvantaged communities. These Chambers provide goods and </w:t>
      </w:r>
      <w:r w:rsidR="00741B55">
        <w:rPr>
          <w:rFonts w:asciiTheme="majorHAnsi" w:hAnsiTheme="majorHAnsi" w:cstheme="majorHAnsi"/>
          <w:sz w:val="24"/>
          <w:szCs w:val="24"/>
        </w:rPr>
        <w:t>services</w:t>
      </w:r>
      <w:r w:rsidRPr="00133AB4">
        <w:rPr>
          <w:rFonts w:asciiTheme="majorHAnsi" w:hAnsiTheme="majorHAnsi" w:cstheme="majorHAnsi"/>
          <w:sz w:val="24"/>
          <w:szCs w:val="24"/>
        </w:rPr>
        <w:t xml:space="preserve"> that are scaled up to Unilever’s mass market reach. It builds mutual trust and value between the two parties, as opposed to simple transactional buying that is devoid of any cultural context.</w:t>
      </w:r>
    </w:p>
    <w:p w14:paraId="1E8ADECE" w14:textId="41D4D7FE" w:rsidR="00133AB4" w:rsidRPr="00133AB4" w:rsidRDefault="00133AB4" w:rsidP="00741B55">
      <w:pPr>
        <w:spacing w:line="360" w:lineRule="auto"/>
        <w:jc w:val="both"/>
        <w:rPr>
          <w:rFonts w:asciiTheme="majorHAnsi" w:hAnsiTheme="majorHAnsi" w:cstheme="majorHAnsi"/>
          <w:sz w:val="24"/>
          <w:szCs w:val="24"/>
        </w:rPr>
      </w:pPr>
      <w:r w:rsidRPr="00133AB4">
        <w:rPr>
          <w:rFonts w:asciiTheme="majorHAnsi" w:hAnsiTheme="majorHAnsi" w:cstheme="majorHAnsi"/>
          <w:sz w:val="24"/>
          <w:szCs w:val="24"/>
        </w:rPr>
        <w:t xml:space="preserve">A proactive government and </w:t>
      </w:r>
      <w:r w:rsidR="00741B55">
        <w:rPr>
          <w:rFonts w:asciiTheme="majorHAnsi" w:hAnsiTheme="majorHAnsi" w:cstheme="majorHAnsi"/>
          <w:sz w:val="24"/>
          <w:szCs w:val="24"/>
        </w:rPr>
        <w:t>institutional</w:t>
      </w:r>
      <w:r w:rsidRPr="00133AB4">
        <w:rPr>
          <w:rFonts w:asciiTheme="majorHAnsi" w:hAnsiTheme="majorHAnsi" w:cstheme="majorHAnsi"/>
          <w:sz w:val="24"/>
          <w:szCs w:val="24"/>
        </w:rPr>
        <w:t xml:space="preserve"> alignment is needed to navigate Poland's unique region. This requires the guidance of experts who are immersed in local culture. Establishing a Polish advisory council will allow stakeholders in the community, such as government agencies and university scholars, to consider the cultural implications when making operational decisions. This insight and access to networks </w:t>
      </w:r>
      <w:r w:rsidR="00E11B10">
        <w:rPr>
          <w:rFonts w:asciiTheme="majorHAnsi" w:hAnsiTheme="majorHAnsi" w:cstheme="majorHAnsi"/>
          <w:sz w:val="24"/>
          <w:szCs w:val="24"/>
        </w:rPr>
        <w:t>allow</w:t>
      </w:r>
      <w:r w:rsidRPr="00133AB4">
        <w:rPr>
          <w:rFonts w:asciiTheme="majorHAnsi" w:hAnsiTheme="majorHAnsi" w:cstheme="majorHAnsi"/>
          <w:sz w:val="24"/>
          <w:szCs w:val="24"/>
        </w:rPr>
        <w:t xml:space="preserve"> for alignment with institutions that shape socio-political issues from </w:t>
      </w:r>
      <w:r w:rsidR="00741B55">
        <w:rPr>
          <w:rFonts w:asciiTheme="majorHAnsi" w:hAnsiTheme="majorHAnsi" w:cstheme="majorHAnsi"/>
          <w:sz w:val="24"/>
          <w:szCs w:val="24"/>
        </w:rPr>
        <w:t>minority protection</w:t>
      </w:r>
      <w:r w:rsidRPr="00133AB4">
        <w:rPr>
          <w:rFonts w:asciiTheme="majorHAnsi" w:hAnsiTheme="majorHAnsi" w:cstheme="majorHAnsi"/>
          <w:sz w:val="24"/>
          <w:szCs w:val="24"/>
        </w:rPr>
        <w:t xml:space="preserve"> to talent </w:t>
      </w:r>
      <w:r w:rsidR="00E11B10">
        <w:rPr>
          <w:rFonts w:asciiTheme="majorHAnsi" w:hAnsiTheme="majorHAnsi" w:cstheme="majorHAnsi"/>
          <w:sz w:val="24"/>
          <w:szCs w:val="24"/>
        </w:rPr>
        <w:t>development</w:t>
      </w:r>
      <w:r w:rsidRPr="00133AB4">
        <w:rPr>
          <w:rFonts w:asciiTheme="majorHAnsi" w:hAnsiTheme="majorHAnsi" w:cstheme="majorHAnsi"/>
          <w:sz w:val="24"/>
          <w:szCs w:val="24"/>
        </w:rPr>
        <w:t xml:space="preserve"> </w:t>
      </w:r>
      <w:r w:rsidR="00741B55">
        <w:rPr>
          <w:rFonts w:asciiTheme="majorHAnsi" w:hAnsiTheme="majorHAnsi" w:cstheme="majorHAnsi"/>
          <w:sz w:val="24"/>
          <w:szCs w:val="24"/>
        </w:rPr>
        <w:t>to</w:t>
      </w:r>
      <w:r w:rsidRPr="00133AB4">
        <w:rPr>
          <w:rFonts w:asciiTheme="majorHAnsi" w:hAnsiTheme="majorHAnsi" w:cstheme="majorHAnsi"/>
          <w:sz w:val="24"/>
          <w:szCs w:val="24"/>
        </w:rPr>
        <w:t xml:space="preserve"> continue responsible expansion grounded in local relationships. Poland-based leaders can provide proactive advice on any roadblocks or resolutions that arise during daily operations.</w:t>
      </w:r>
    </w:p>
    <w:p w14:paraId="509237C9" w14:textId="20A9AF7D" w:rsidR="00133AB4" w:rsidRPr="00133AB4" w:rsidRDefault="00741B55" w:rsidP="00741B55">
      <w:pPr>
        <w:pStyle w:val="Heading1"/>
      </w:pPr>
      <w:bookmarkStart w:id="20" w:name="_Toc153887433"/>
      <w:r>
        <w:lastRenderedPageBreak/>
        <w:t>Conclusion</w:t>
      </w:r>
      <w:bookmarkEnd w:id="20"/>
    </w:p>
    <w:p w14:paraId="147307A5" w14:textId="775B2E30" w:rsidR="00133AB4" w:rsidRPr="00133AB4" w:rsidRDefault="00133AB4" w:rsidP="00741B55">
      <w:pPr>
        <w:spacing w:line="360" w:lineRule="auto"/>
        <w:jc w:val="both"/>
        <w:rPr>
          <w:rFonts w:asciiTheme="majorHAnsi" w:hAnsiTheme="majorHAnsi" w:cstheme="majorHAnsi"/>
          <w:sz w:val="24"/>
          <w:szCs w:val="24"/>
        </w:rPr>
      </w:pPr>
      <w:r w:rsidRPr="00133AB4">
        <w:rPr>
          <w:rFonts w:asciiTheme="majorHAnsi" w:hAnsiTheme="majorHAnsi" w:cstheme="majorHAnsi"/>
          <w:sz w:val="24"/>
          <w:szCs w:val="24"/>
        </w:rPr>
        <w:t>When British multinationals such as Unilever expand their operations in the European Union, sustainable growth is more than economic profit. It is important to foster inclusive growth that respects regional cultural differences, and not just temporary investments. This analysis, which included factors such as communication norms, hierarchy differences</w:t>
      </w:r>
      <w:r w:rsidR="00741B55">
        <w:rPr>
          <w:rFonts w:asciiTheme="majorHAnsi" w:hAnsiTheme="majorHAnsi" w:cstheme="majorHAnsi"/>
          <w:sz w:val="24"/>
          <w:szCs w:val="24"/>
        </w:rPr>
        <w:t>,</w:t>
      </w:r>
      <w:r w:rsidRPr="00133AB4">
        <w:rPr>
          <w:rFonts w:asciiTheme="majorHAnsi" w:hAnsiTheme="majorHAnsi" w:cstheme="majorHAnsi"/>
          <w:sz w:val="24"/>
          <w:szCs w:val="24"/>
        </w:rPr>
        <w:t xml:space="preserve"> and crisis preparations, revealed that Poland was the EU expansion option most aligned to Unilever’s commitment to ethical business practices.</w:t>
      </w:r>
    </w:p>
    <w:p w14:paraId="1BF8EE74" w14:textId="46C7B8EF" w:rsidR="00133AB4" w:rsidRPr="00133AB4" w:rsidRDefault="00133AB4" w:rsidP="00741B55">
      <w:pPr>
        <w:spacing w:line="360" w:lineRule="auto"/>
        <w:jc w:val="both"/>
        <w:rPr>
          <w:rFonts w:asciiTheme="majorHAnsi" w:hAnsiTheme="majorHAnsi" w:cstheme="majorHAnsi"/>
          <w:sz w:val="24"/>
          <w:szCs w:val="24"/>
        </w:rPr>
      </w:pPr>
      <w:r w:rsidRPr="00133AB4">
        <w:rPr>
          <w:rFonts w:asciiTheme="majorHAnsi" w:hAnsiTheme="majorHAnsi" w:cstheme="majorHAnsi"/>
          <w:sz w:val="24"/>
          <w:szCs w:val="24"/>
        </w:rPr>
        <w:t xml:space="preserve">Unilever's presence </w:t>
      </w:r>
      <w:r w:rsidR="00741B55">
        <w:rPr>
          <w:rFonts w:asciiTheme="majorHAnsi" w:hAnsiTheme="majorHAnsi" w:cstheme="majorHAnsi"/>
          <w:sz w:val="24"/>
          <w:szCs w:val="24"/>
        </w:rPr>
        <w:t>in</w:t>
      </w:r>
      <w:r w:rsidRPr="00133AB4">
        <w:rPr>
          <w:rFonts w:asciiTheme="majorHAnsi" w:hAnsiTheme="majorHAnsi" w:cstheme="majorHAnsi"/>
          <w:sz w:val="24"/>
          <w:szCs w:val="24"/>
        </w:rPr>
        <w:t xml:space="preserve"> the Polish market has a great potential to grow over time, thanks to Poland's rapidly growing economy, its investments in education, and an increasing level of social openness. Unilever is already present in Poland, with products ranging from personal care to water purification and home care. The foundation of this can be leveraged by establishing Poland as a hub for innovation in the European market and deepening roots within the community. Priorities range from proactive government relationships to university partnerships that prepare future generations of leaders who are immersed in Unilever’s cultural values. It is crucial that Polish employees direct outreach to showcase the mutually beneficial dynamic between employer and employee, rather than have narratives imposed only from British headquarters without local contextualization.</w:t>
      </w:r>
    </w:p>
    <w:p w14:paraId="37E0A3BE" w14:textId="49722079" w:rsidR="00133AB4" w:rsidRPr="00133AB4" w:rsidRDefault="00133AB4" w:rsidP="00741B55">
      <w:pPr>
        <w:spacing w:line="360" w:lineRule="auto"/>
        <w:jc w:val="both"/>
        <w:rPr>
          <w:rFonts w:asciiTheme="majorHAnsi" w:hAnsiTheme="majorHAnsi" w:cstheme="majorHAnsi"/>
          <w:sz w:val="24"/>
          <w:szCs w:val="24"/>
        </w:rPr>
      </w:pPr>
      <w:r w:rsidRPr="00133AB4">
        <w:rPr>
          <w:rFonts w:asciiTheme="majorHAnsi" w:hAnsiTheme="majorHAnsi" w:cstheme="majorHAnsi"/>
          <w:sz w:val="24"/>
          <w:szCs w:val="24"/>
        </w:rPr>
        <w:t>To achieve success, it is necessary to balance efficient coordination across the borders with tailored regional strategies that address Poland's unique diversity and inclusion barriers. The balance between standardization, localization</w:t>
      </w:r>
      <w:r w:rsidR="00741B55">
        <w:rPr>
          <w:rFonts w:asciiTheme="majorHAnsi" w:hAnsiTheme="majorHAnsi" w:cstheme="majorHAnsi"/>
          <w:sz w:val="24"/>
          <w:szCs w:val="24"/>
        </w:rPr>
        <w:t>,</w:t>
      </w:r>
      <w:r w:rsidRPr="00133AB4">
        <w:rPr>
          <w:rFonts w:asciiTheme="majorHAnsi" w:hAnsiTheme="majorHAnsi" w:cstheme="majorHAnsi"/>
          <w:sz w:val="24"/>
          <w:szCs w:val="24"/>
        </w:rPr>
        <w:t xml:space="preserve"> and innovation must be continually evaluated to ensure that innovations are agile even in global systems. While digital tools allow for </w:t>
      </w:r>
      <w:r w:rsidR="00741B55">
        <w:rPr>
          <w:rFonts w:asciiTheme="majorHAnsi" w:hAnsiTheme="majorHAnsi" w:cstheme="majorHAnsi"/>
          <w:sz w:val="24"/>
          <w:szCs w:val="24"/>
        </w:rPr>
        <w:t>faster-than-ever</w:t>
      </w:r>
      <w:r w:rsidRPr="00133AB4">
        <w:rPr>
          <w:rFonts w:asciiTheme="majorHAnsi" w:hAnsiTheme="majorHAnsi" w:cstheme="majorHAnsi"/>
          <w:sz w:val="24"/>
          <w:szCs w:val="24"/>
        </w:rPr>
        <w:t xml:space="preserve"> collaboration across the globe, leaders should temper their technology optimism by investing in face-to-face gatherings that build cross-cultural bonds among international teams. Unilever's British employees who interact most frequently with their Polish counterparts can benefit from </w:t>
      </w:r>
      <w:r w:rsidR="00741B55">
        <w:rPr>
          <w:rFonts w:asciiTheme="majorHAnsi" w:hAnsiTheme="majorHAnsi" w:cstheme="majorHAnsi"/>
          <w:sz w:val="24"/>
          <w:szCs w:val="24"/>
        </w:rPr>
        <w:t>their</w:t>
      </w:r>
      <w:r w:rsidRPr="00133AB4">
        <w:rPr>
          <w:rFonts w:asciiTheme="majorHAnsi" w:hAnsiTheme="majorHAnsi" w:cstheme="majorHAnsi"/>
          <w:sz w:val="24"/>
          <w:szCs w:val="24"/>
        </w:rPr>
        <w:t xml:space="preserve"> language and communication skills, as well as cultural translations.</w:t>
      </w:r>
    </w:p>
    <w:p w14:paraId="3FF6946D" w14:textId="77777777" w:rsidR="00133AB4" w:rsidRPr="00133AB4" w:rsidRDefault="00133AB4" w:rsidP="00741B55">
      <w:pPr>
        <w:spacing w:line="360" w:lineRule="auto"/>
        <w:jc w:val="both"/>
        <w:rPr>
          <w:rFonts w:asciiTheme="majorHAnsi" w:hAnsiTheme="majorHAnsi" w:cstheme="majorHAnsi"/>
          <w:sz w:val="24"/>
          <w:szCs w:val="24"/>
        </w:rPr>
      </w:pPr>
      <w:r w:rsidRPr="00133AB4">
        <w:rPr>
          <w:rFonts w:asciiTheme="majorHAnsi" w:hAnsiTheme="majorHAnsi" w:cstheme="majorHAnsi"/>
          <w:sz w:val="24"/>
          <w:szCs w:val="24"/>
        </w:rPr>
        <w:t xml:space="preserve">Even the best-prepared multinational companies will encounter unexpected crises due to the volatility of today's disruptive political, social, and environmental events. It is important to develop proactive contingency plans that take into account the Polish perspective when assessing international incidents, and not simply apply crisis protocols developed for the United Kingdom. While defending the corporate reputation, public messaging must show a locally </w:t>
      </w:r>
      <w:r w:rsidRPr="00133AB4">
        <w:rPr>
          <w:rFonts w:asciiTheme="majorHAnsi" w:hAnsiTheme="majorHAnsi" w:cstheme="majorHAnsi"/>
          <w:sz w:val="24"/>
          <w:szCs w:val="24"/>
        </w:rPr>
        <w:lastRenderedPageBreak/>
        <w:t>empathetic leader who puts Polish citizens in the center. Unilever's communications can demonstrate compassion by considering these factors in advance, rather than reacting in a hurry during a crisis.</w:t>
      </w:r>
    </w:p>
    <w:p w14:paraId="71A902B8" w14:textId="3A54B0B4" w:rsidR="00133AB4" w:rsidRPr="00133AB4" w:rsidRDefault="00133AB4" w:rsidP="00741B55">
      <w:pPr>
        <w:spacing w:line="360" w:lineRule="auto"/>
        <w:jc w:val="both"/>
        <w:rPr>
          <w:rFonts w:asciiTheme="majorHAnsi" w:hAnsiTheme="majorHAnsi" w:cstheme="majorHAnsi"/>
          <w:sz w:val="24"/>
          <w:szCs w:val="24"/>
        </w:rPr>
      </w:pPr>
      <w:r w:rsidRPr="00133AB4">
        <w:rPr>
          <w:rFonts w:asciiTheme="majorHAnsi" w:hAnsiTheme="majorHAnsi" w:cstheme="majorHAnsi"/>
          <w:sz w:val="24"/>
          <w:szCs w:val="24"/>
        </w:rPr>
        <w:t xml:space="preserve">British multinationals </w:t>
      </w:r>
      <w:r w:rsidR="00741B55">
        <w:rPr>
          <w:rFonts w:asciiTheme="majorHAnsi" w:hAnsiTheme="majorHAnsi" w:cstheme="majorHAnsi"/>
          <w:sz w:val="24"/>
          <w:szCs w:val="24"/>
        </w:rPr>
        <w:t>can</w:t>
      </w:r>
      <w:r w:rsidRPr="00133AB4">
        <w:rPr>
          <w:rFonts w:asciiTheme="majorHAnsi" w:hAnsiTheme="majorHAnsi" w:cstheme="majorHAnsi"/>
          <w:sz w:val="24"/>
          <w:szCs w:val="24"/>
        </w:rPr>
        <w:t xml:space="preserve"> adapt and overcome obstacles in their expansion abroad through a conscious vision, a genuine commitment to success for all, and adherence to a mutually beneficial goal. Unilever sees Poland as a strategic opportunity to achieve sustainable and responsible European growth, in line with its values. This long-term potential must be honored in the execution. Both employer and employee will benefit from carefully cultivating and building </w:t>
      </w:r>
      <w:r w:rsidR="00741B55">
        <w:rPr>
          <w:rFonts w:asciiTheme="majorHAnsi" w:hAnsiTheme="majorHAnsi" w:cstheme="majorHAnsi"/>
          <w:sz w:val="24"/>
          <w:szCs w:val="24"/>
        </w:rPr>
        <w:t xml:space="preserve">a </w:t>
      </w:r>
      <w:r w:rsidRPr="00133AB4">
        <w:rPr>
          <w:rFonts w:asciiTheme="majorHAnsi" w:hAnsiTheme="majorHAnsi" w:cstheme="majorHAnsi"/>
          <w:sz w:val="24"/>
          <w:szCs w:val="24"/>
        </w:rPr>
        <w:t>trust-based Polish partnership.</w:t>
      </w:r>
    </w:p>
    <w:p w14:paraId="15C0E1F3" w14:textId="3E1599BE" w:rsidR="00CE4E40" w:rsidRPr="00741B55" w:rsidRDefault="00133AB4" w:rsidP="00741B55">
      <w:pPr>
        <w:pStyle w:val="Heading1"/>
      </w:pPr>
      <w:bookmarkStart w:id="21" w:name="_Toc153887434"/>
      <w:r w:rsidRPr="00741B55">
        <w:t>References</w:t>
      </w:r>
      <w:bookmarkEnd w:id="21"/>
    </w:p>
    <w:p w14:paraId="74344757" w14:textId="77777777" w:rsidR="00133AB4" w:rsidRPr="00741B55" w:rsidRDefault="00133AB4" w:rsidP="00741B55">
      <w:pPr>
        <w:pStyle w:val="ListParagraph"/>
        <w:numPr>
          <w:ilvl w:val="0"/>
          <w:numId w:val="1"/>
        </w:numPr>
        <w:spacing w:line="360" w:lineRule="auto"/>
        <w:jc w:val="both"/>
        <w:rPr>
          <w:rFonts w:asciiTheme="majorHAnsi" w:hAnsiTheme="majorHAnsi" w:cstheme="majorHAnsi"/>
          <w:sz w:val="24"/>
          <w:szCs w:val="24"/>
        </w:rPr>
      </w:pPr>
      <w:r w:rsidRPr="00741B55">
        <w:rPr>
          <w:rFonts w:asciiTheme="majorHAnsi" w:hAnsiTheme="majorHAnsi" w:cstheme="majorHAnsi"/>
          <w:sz w:val="24"/>
          <w:szCs w:val="24"/>
        </w:rPr>
        <w:t xml:space="preserve">Barraket, J. et al. (2016) ‘Finding Australia’s social enterprise sector 2016: Final report’, Social Traders and Centre for Social Impact Swinburne. Available at: </w:t>
      </w:r>
      <w:hyperlink r:id="rId6" w:history="1">
        <w:r w:rsidRPr="00741B55">
          <w:rPr>
            <w:rStyle w:val="Hyperlink"/>
            <w:rFonts w:asciiTheme="majorHAnsi" w:hAnsiTheme="majorHAnsi" w:cstheme="majorHAnsi"/>
            <w:sz w:val="24"/>
            <w:szCs w:val="24"/>
          </w:rPr>
          <w:t>https://apo.org.au/node/63983</w:t>
        </w:r>
      </w:hyperlink>
      <w:r w:rsidRPr="00741B55">
        <w:rPr>
          <w:rFonts w:asciiTheme="majorHAnsi" w:hAnsiTheme="majorHAnsi" w:cstheme="majorHAnsi"/>
          <w:sz w:val="24"/>
          <w:szCs w:val="24"/>
        </w:rPr>
        <w:t>.</w:t>
      </w:r>
    </w:p>
    <w:p w14:paraId="14A1CB12" w14:textId="77777777" w:rsidR="00133AB4" w:rsidRPr="00741B55" w:rsidRDefault="00133AB4" w:rsidP="00741B55">
      <w:pPr>
        <w:pStyle w:val="ListParagraph"/>
        <w:numPr>
          <w:ilvl w:val="0"/>
          <w:numId w:val="1"/>
        </w:numPr>
        <w:spacing w:line="360" w:lineRule="auto"/>
        <w:jc w:val="both"/>
        <w:rPr>
          <w:rFonts w:asciiTheme="majorHAnsi" w:hAnsiTheme="majorHAnsi" w:cstheme="majorHAnsi"/>
          <w:sz w:val="24"/>
          <w:szCs w:val="24"/>
        </w:rPr>
      </w:pPr>
      <w:r w:rsidRPr="00741B55">
        <w:rPr>
          <w:rFonts w:asciiTheme="majorHAnsi" w:hAnsiTheme="majorHAnsi" w:cstheme="majorHAnsi"/>
          <w:sz w:val="24"/>
          <w:szCs w:val="24"/>
        </w:rPr>
        <w:t xml:space="preserve">Bourke, J. and Dillon, B. (2022) ‘The key pillars of an inclusive culture’, Harvard Business Review, 3 June. Available at: </w:t>
      </w:r>
      <w:hyperlink r:id="rId7" w:history="1">
        <w:r w:rsidRPr="00741B55">
          <w:rPr>
            <w:rStyle w:val="Hyperlink"/>
            <w:rFonts w:asciiTheme="majorHAnsi" w:hAnsiTheme="majorHAnsi" w:cstheme="majorHAnsi"/>
            <w:sz w:val="24"/>
            <w:szCs w:val="24"/>
          </w:rPr>
          <w:t>https://hbr.org/2022/06/the-key-pillars-of-an-inclusive-culture</w:t>
        </w:r>
      </w:hyperlink>
      <w:r w:rsidRPr="00741B55">
        <w:rPr>
          <w:rFonts w:asciiTheme="majorHAnsi" w:hAnsiTheme="majorHAnsi" w:cstheme="majorHAnsi"/>
          <w:sz w:val="24"/>
          <w:szCs w:val="24"/>
        </w:rPr>
        <w:t>.</w:t>
      </w:r>
    </w:p>
    <w:p w14:paraId="1DF82BC3" w14:textId="77777777" w:rsidR="00133AB4" w:rsidRPr="00741B55" w:rsidRDefault="00133AB4" w:rsidP="00741B55">
      <w:pPr>
        <w:pStyle w:val="ListParagraph"/>
        <w:numPr>
          <w:ilvl w:val="0"/>
          <w:numId w:val="1"/>
        </w:numPr>
        <w:spacing w:line="360" w:lineRule="auto"/>
        <w:jc w:val="both"/>
        <w:rPr>
          <w:rFonts w:asciiTheme="majorHAnsi" w:hAnsiTheme="majorHAnsi" w:cstheme="majorHAnsi"/>
          <w:sz w:val="24"/>
          <w:szCs w:val="24"/>
        </w:rPr>
      </w:pPr>
      <w:r w:rsidRPr="00741B55">
        <w:rPr>
          <w:rFonts w:asciiTheme="majorHAnsi" w:hAnsiTheme="majorHAnsi" w:cstheme="majorHAnsi"/>
          <w:sz w:val="24"/>
          <w:szCs w:val="24"/>
        </w:rPr>
        <w:t>Burgoon, J.K. et al. (2021) ‘Does Zoom Affect Communication Satisfaction Differently for Women and Men?’, SSRN Electronic Journal. doi: 10.2139/ssrn.3820035.</w:t>
      </w:r>
    </w:p>
    <w:p w14:paraId="54B3907C" w14:textId="77777777" w:rsidR="00133AB4" w:rsidRPr="00741B55" w:rsidRDefault="00133AB4" w:rsidP="00741B55">
      <w:pPr>
        <w:pStyle w:val="ListParagraph"/>
        <w:numPr>
          <w:ilvl w:val="0"/>
          <w:numId w:val="1"/>
        </w:numPr>
        <w:spacing w:line="360" w:lineRule="auto"/>
        <w:jc w:val="both"/>
        <w:rPr>
          <w:rFonts w:asciiTheme="majorHAnsi" w:hAnsiTheme="majorHAnsi" w:cstheme="majorHAnsi"/>
          <w:sz w:val="24"/>
          <w:szCs w:val="24"/>
        </w:rPr>
      </w:pPr>
      <w:r w:rsidRPr="00741B55">
        <w:rPr>
          <w:rFonts w:asciiTheme="majorHAnsi" w:hAnsiTheme="majorHAnsi" w:cstheme="majorHAnsi"/>
          <w:sz w:val="24"/>
          <w:szCs w:val="24"/>
        </w:rPr>
        <w:t xml:space="preserve">Burke, E. (2022) How companies can advance workforce diversity worldwide. World Economic Forum Agenda. Available at: </w:t>
      </w:r>
      <w:hyperlink r:id="rId8" w:history="1">
        <w:r w:rsidRPr="00741B55">
          <w:rPr>
            <w:rStyle w:val="Hyperlink"/>
            <w:rFonts w:asciiTheme="majorHAnsi" w:hAnsiTheme="majorHAnsi" w:cstheme="majorHAnsi"/>
            <w:sz w:val="24"/>
            <w:szCs w:val="24"/>
          </w:rPr>
          <w:t>https://www.weforum.org/agenda/2022/01/how-companies-can-advance-workforce-diversity-worldwide/</w:t>
        </w:r>
      </w:hyperlink>
    </w:p>
    <w:p w14:paraId="07BACB2E" w14:textId="1BEE65FD" w:rsidR="00133AB4" w:rsidRPr="00741B55" w:rsidRDefault="00133AB4" w:rsidP="00741B55">
      <w:pPr>
        <w:pStyle w:val="ListParagraph"/>
        <w:numPr>
          <w:ilvl w:val="0"/>
          <w:numId w:val="1"/>
        </w:numPr>
        <w:spacing w:line="360" w:lineRule="auto"/>
        <w:jc w:val="both"/>
        <w:rPr>
          <w:rFonts w:asciiTheme="majorHAnsi" w:hAnsiTheme="majorHAnsi" w:cstheme="majorHAnsi"/>
          <w:sz w:val="24"/>
          <w:szCs w:val="24"/>
        </w:rPr>
      </w:pPr>
      <w:r w:rsidRPr="00741B55">
        <w:rPr>
          <w:rFonts w:asciiTheme="majorHAnsi" w:hAnsiTheme="majorHAnsi" w:cstheme="majorHAnsi"/>
          <w:sz w:val="24"/>
          <w:szCs w:val="24"/>
        </w:rPr>
        <w:t xml:space="preserve">Caprino, K. (2020) ‘90% Of Today's Shoppers Will Buy Your Brand If You Stand For A Cause’, Forbes, 26 </w:t>
      </w:r>
      <w:r w:rsidR="00741B55">
        <w:rPr>
          <w:rFonts w:asciiTheme="majorHAnsi" w:hAnsiTheme="majorHAnsi" w:cstheme="majorHAnsi"/>
          <w:sz w:val="24"/>
          <w:szCs w:val="24"/>
        </w:rPr>
        <w:t>November</w:t>
      </w:r>
      <w:r w:rsidRPr="00741B55">
        <w:rPr>
          <w:rFonts w:asciiTheme="majorHAnsi" w:hAnsiTheme="majorHAnsi" w:cstheme="majorHAnsi"/>
          <w:sz w:val="24"/>
          <w:szCs w:val="24"/>
        </w:rPr>
        <w:t xml:space="preserve">. Available at: </w:t>
      </w:r>
      <w:hyperlink r:id="rId9" w:history="1">
        <w:r w:rsidRPr="00741B55">
          <w:rPr>
            <w:rStyle w:val="Hyperlink"/>
            <w:rFonts w:asciiTheme="majorHAnsi" w:hAnsiTheme="majorHAnsi" w:cstheme="majorHAnsi"/>
            <w:sz w:val="24"/>
            <w:szCs w:val="24"/>
          </w:rPr>
          <w:t>https://www.forbes.com/sites/kathycaprino/2020/08/26/90-of-todays-shoppers-will-buy-your-brand-if-you-stand-for-a-cause/</w:t>
        </w:r>
      </w:hyperlink>
      <w:r w:rsidRPr="00741B55">
        <w:rPr>
          <w:rFonts w:asciiTheme="majorHAnsi" w:hAnsiTheme="majorHAnsi" w:cstheme="majorHAnsi"/>
          <w:sz w:val="24"/>
          <w:szCs w:val="24"/>
        </w:rPr>
        <w:t>.</w:t>
      </w:r>
    </w:p>
    <w:p w14:paraId="241146EE" w14:textId="77777777" w:rsidR="00133AB4" w:rsidRPr="00741B55" w:rsidRDefault="00133AB4" w:rsidP="00741B55">
      <w:pPr>
        <w:pStyle w:val="ListParagraph"/>
        <w:numPr>
          <w:ilvl w:val="0"/>
          <w:numId w:val="1"/>
        </w:numPr>
        <w:spacing w:line="360" w:lineRule="auto"/>
        <w:jc w:val="both"/>
        <w:rPr>
          <w:rFonts w:asciiTheme="majorHAnsi" w:hAnsiTheme="majorHAnsi" w:cstheme="majorHAnsi"/>
          <w:sz w:val="24"/>
          <w:szCs w:val="24"/>
        </w:rPr>
      </w:pPr>
      <w:r w:rsidRPr="00741B55">
        <w:rPr>
          <w:rFonts w:asciiTheme="majorHAnsi" w:hAnsiTheme="majorHAnsi" w:cstheme="majorHAnsi"/>
          <w:sz w:val="24"/>
          <w:szCs w:val="24"/>
        </w:rPr>
        <w:t xml:space="preserve">Commisceo-Global (2022) UK Cultural Awareness Guidelines. Available at: </w:t>
      </w:r>
      <w:hyperlink r:id="rId10" w:history="1">
        <w:r w:rsidRPr="00741B55">
          <w:rPr>
            <w:rStyle w:val="Hyperlink"/>
            <w:rFonts w:asciiTheme="majorHAnsi" w:hAnsiTheme="majorHAnsi" w:cstheme="majorHAnsi"/>
            <w:sz w:val="24"/>
            <w:szCs w:val="24"/>
          </w:rPr>
          <w:t>https://www.commisceo-global.com/resources/country-guides/united-kingdom-guide</w:t>
        </w:r>
      </w:hyperlink>
    </w:p>
    <w:p w14:paraId="45DADA2C" w14:textId="77777777" w:rsidR="00133AB4" w:rsidRPr="00741B55" w:rsidRDefault="00133AB4" w:rsidP="00741B55">
      <w:pPr>
        <w:pStyle w:val="ListParagraph"/>
        <w:numPr>
          <w:ilvl w:val="0"/>
          <w:numId w:val="1"/>
        </w:numPr>
        <w:spacing w:line="360" w:lineRule="auto"/>
        <w:jc w:val="both"/>
        <w:rPr>
          <w:rFonts w:asciiTheme="majorHAnsi" w:hAnsiTheme="majorHAnsi" w:cstheme="majorHAnsi"/>
          <w:sz w:val="24"/>
          <w:szCs w:val="24"/>
        </w:rPr>
      </w:pPr>
      <w:r w:rsidRPr="00741B55">
        <w:rPr>
          <w:rFonts w:asciiTheme="majorHAnsi" w:hAnsiTheme="majorHAnsi" w:cstheme="majorHAnsi"/>
          <w:sz w:val="24"/>
          <w:szCs w:val="24"/>
        </w:rPr>
        <w:t xml:space="preserve">Hofstede Insights (2022) Country Comparison Tool. Available at </w:t>
      </w:r>
      <w:hyperlink r:id="rId11" w:history="1">
        <w:r w:rsidRPr="00741B55">
          <w:rPr>
            <w:rStyle w:val="Hyperlink"/>
            <w:rFonts w:asciiTheme="majorHAnsi" w:hAnsiTheme="majorHAnsi" w:cstheme="majorHAnsi"/>
            <w:sz w:val="24"/>
            <w:szCs w:val="24"/>
          </w:rPr>
          <w:t>https://www.hofstede-insights.com/product/compare-countries/</w:t>
        </w:r>
      </w:hyperlink>
    </w:p>
    <w:p w14:paraId="77F0AF49" w14:textId="77777777" w:rsidR="00133AB4" w:rsidRPr="00741B55" w:rsidRDefault="00133AB4" w:rsidP="00741B55">
      <w:pPr>
        <w:pStyle w:val="ListParagraph"/>
        <w:numPr>
          <w:ilvl w:val="0"/>
          <w:numId w:val="1"/>
        </w:numPr>
        <w:spacing w:line="360" w:lineRule="auto"/>
        <w:jc w:val="both"/>
        <w:rPr>
          <w:rFonts w:asciiTheme="majorHAnsi" w:hAnsiTheme="majorHAnsi" w:cstheme="majorHAnsi"/>
          <w:sz w:val="24"/>
          <w:szCs w:val="24"/>
        </w:rPr>
      </w:pPr>
      <w:r w:rsidRPr="00741B55">
        <w:rPr>
          <w:rFonts w:asciiTheme="majorHAnsi" w:hAnsiTheme="majorHAnsi" w:cstheme="majorHAnsi"/>
          <w:sz w:val="24"/>
          <w:szCs w:val="24"/>
        </w:rPr>
        <w:lastRenderedPageBreak/>
        <w:t xml:space="preserve">KPMG (2021) Investment in Poland. Available at: </w:t>
      </w:r>
      <w:hyperlink r:id="rId12" w:history="1">
        <w:r w:rsidRPr="00741B55">
          <w:rPr>
            <w:rStyle w:val="Hyperlink"/>
            <w:rFonts w:asciiTheme="majorHAnsi" w:hAnsiTheme="majorHAnsi" w:cstheme="majorHAnsi"/>
            <w:sz w:val="24"/>
            <w:szCs w:val="24"/>
          </w:rPr>
          <w:t>https://assets.kpmg/content/dam/kpmg/pl/pdf/2021/11/pl-Investment-in-Poland.pdf</w:t>
        </w:r>
      </w:hyperlink>
    </w:p>
    <w:p w14:paraId="67817389" w14:textId="77777777" w:rsidR="00133AB4" w:rsidRPr="00741B55" w:rsidRDefault="00133AB4" w:rsidP="00741B55">
      <w:pPr>
        <w:pStyle w:val="ListParagraph"/>
        <w:numPr>
          <w:ilvl w:val="0"/>
          <w:numId w:val="1"/>
        </w:numPr>
        <w:spacing w:line="360" w:lineRule="auto"/>
        <w:jc w:val="both"/>
        <w:rPr>
          <w:rFonts w:asciiTheme="majorHAnsi" w:hAnsiTheme="majorHAnsi" w:cstheme="majorHAnsi"/>
          <w:sz w:val="24"/>
          <w:szCs w:val="24"/>
        </w:rPr>
      </w:pPr>
      <w:r w:rsidRPr="00741B55">
        <w:rPr>
          <w:rFonts w:asciiTheme="majorHAnsi" w:hAnsiTheme="majorHAnsi" w:cstheme="majorHAnsi"/>
          <w:sz w:val="24"/>
          <w:szCs w:val="24"/>
        </w:rPr>
        <w:t xml:space="preserve">Langdon, D. (2022) The impact of language barriers on UK productivity. Chartered Institute of Linguists. Available at: </w:t>
      </w:r>
      <w:hyperlink r:id="rId13" w:history="1">
        <w:r w:rsidRPr="00741B55">
          <w:rPr>
            <w:rStyle w:val="Hyperlink"/>
            <w:rFonts w:asciiTheme="majorHAnsi" w:hAnsiTheme="majorHAnsi" w:cstheme="majorHAnsi"/>
            <w:sz w:val="24"/>
            <w:szCs w:val="24"/>
          </w:rPr>
          <w:t>https://www.ciol.org.uk/news/the-impact-of-language-barriers-on-uk-productivityOrror</w:t>
        </w:r>
      </w:hyperlink>
      <w:r w:rsidRPr="00741B55">
        <w:rPr>
          <w:rFonts w:asciiTheme="majorHAnsi" w:hAnsiTheme="majorHAnsi" w:cstheme="majorHAnsi"/>
          <w:sz w:val="24"/>
          <w:szCs w:val="24"/>
        </w:rPr>
        <w:t xml:space="preserve">, S. and Jones, R. (2022) ‘Only 18% of multinational organizations say they are fully prepared for a crisis’, Ipsos, 25 May. Available at: </w:t>
      </w:r>
      <w:hyperlink r:id="rId14" w:history="1">
        <w:r w:rsidRPr="00741B55">
          <w:rPr>
            <w:rStyle w:val="Hyperlink"/>
            <w:rFonts w:asciiTheme="majorHAnsi" w:hAnsiTheme="majorHAnsi" w:cstheme="majorHAnsi"/>
            <w:sz w:val="24"/>
            <w:szCs w:val="24"/>
          </w:rPr>
          <w:t>https://www.ipsos.com/en-ro/only-18-multinational-organizations-say-they-are-fully-prepared-crisis</w:t>
        </w:r>
      </w:hyperlink>
    </w:p>
    <w:p w14:paraId="6C3A3DE3" w14:textId="77777777" w:rsidR="00133AB4" w:rsidRPr="00741B55" w:rsidRDefault="00133AB4" w:rsidP="00741B55">
      <w:pPr>
        <w:pStyle w:val="ListParagraph"/>
        <w:numPr>
          <w:ilvl w:val="0"/>
          <w:numId w:val="1"/>
        </w:numPr>
        <w:spacing w:line="360" w:lineRule="auto"/>
        <w:jc w:val="both"/>
        <w:rPr>
          <w:rFonts w:asciiTheme="majorHAnsi" w:hAnsiTheme="majorHAnsi" w:cstheme="majorHAnsi"/>
          <w:sz w:val="24"/>
          <w:szCs w:val="24"/>
        </w:rPr>
      </w:pPr>
      <w:r w:rsidRPr="00741B55">
        <w:rPr>
          <w:rFonts w:asciiTheme="majorHAnsi" w:hAnsiTheme="majorHAnsi" w:cstheme="majorHAnsi"/>
          <w:sz w:val="24"/>
          <w:szCs w:val="24"/>
        </w:rPr>
        <w:t xml:space="preserve">Unilever (2022) Unilever Annual Report and Accounts 2021. Available at: </w:t>
      </w:r>
      <w:hyperlink r:id="rId15" w:history="1">
        <w:r w:rsidRPr="00741B55">
          <w:rPr>
            <w:rStyle w:val="Hyperlink"/>
            <w:rFonts w:asciiTheme="majorHAnsi" w:hAnsiTheme="majorHAnsi" w:cstheme="majorHAnsi"/>
            <w:sz w:val="24"/>
            <w:szCs w:val="24"/>
          </w:rPr>
          <w:t>https://www.unilever.com/files/92ui5egz/production/5a7fd8972815768f48d5a9d06f3103076c5565d2.pdf</w:t>
        </w:r>
      </w:hyperlink>
    </w:p>
    <w:p w14:paraId="1165159E" w14:textId="77777777" w:rsidR="00133AB4" w:rsidRPr="00741B55" w:rsidRDefault="00133AB4" w:rsidP="00741B55">
      <w:pPr>
        <w:pStyle w:val="ListParagraph"/>
        <w:numPr>
          <w:ilvl w:val="0"/>
          <w:numId w:val="1"/>
        </w:numPr>
        <w:spacing w:line="360" w:lineRule="auto"/>
        <w:jc w:val="both"/>
        <w:rPr>
          <w:rFonts w:asciiTheme="majorHAnsi" w:hAnsiTheme="majorHAnsi" w:cstheme="majorHAnsi"/>
          <w:sz w:val="24"/>
          <w:szCs w:val="24"/>
        </w:rPr>
      </w:pPr>
      <w:r w:rsidRPr="00741B55">
        <w:rPr>
          <w:rFonts w:asciiTheme="majorHAnsi" w:hAnsiTheme="majorHAnsi" w:cstheme="majorHAnsi"/>
          <w:sz w:val="24"/>
          <w:szCs w:val="24"/>
        </w:rPr>
        <w:t>Vurro, C., Russo, A. and Perrini, F. (2009) ‘Shaping Sustainable Value Chains: Network Determinants of Supply Chain Governance Models’, Journal of Business Ethics, 90(4), pp. 607–621. doi: 10.1007/s10551-010-0595-x.</w:t>
      </w:r>
    </w:p>
    <w:p w14:paraId="6DFB1474" w14:textId="77777777" w:rsidR="00133AB4" w:rsidRPr="00741B55" w:rsidRDefault="00133AB4" w:rsidP="00741B55">
      <w:pPr>
        <w:pStyle w:val="ListParagraph"/>
        <w:numPr>
          <w:ilvl w:val="0"/>
          <w:numId w:val="1"/>
        </w:numPr>
        <w:spacing w:line="360" w:lineRule="auto"/>
        <w:jc w:val="both"/>
        <w:rPr>
          <w:rFonts w:asciiTheme="majorHAnsi" w:hAnsiTheme="majorHAnsi" w:cstheme="majorHAnsi"/>
          <w:sz w:val="24"/>
          <w:szCs w:val="24"/>
        </w:rPr>
      </w:pPr>
      <w:r w:rsidRPr="00741B55">
        <w:rPr>
          <w:rFonts w:asciiTheme="majorHAnsi" w:hAnsiTheme="majorHAnsi" w:cstheme="majorHAnsi"/>
          <w:sz w:val="24"/>
          <w:szCs w:val="24"/>
        </w:rPr>
        <w:t xml:space="preserve">Yip, G. (2022) ‘What is Unilever’s Corporate or Business Strategy?’, George S. Yip. Available at: </w:t>
      </w:r>
      <w:hyperlink r:id="rId16" w:history="1">
        <w:r w:rsidRPr="00741B55">
          <w:rPr>
            <w:rStyle w:val="Hyperlink"/>
            <w:rFonts w:asciiTheme="majorHAnsi" w:hAnsiTheme="majorHAnsi" w:cstheme="majorHAnsi"/>
            <w:sz w:val="24"/>
            <w:szCs w:val="24"/>
          </w:rPr>
          <w:t>https://www.ghsmart.com/insights/what-is-unilevers-corporate-or-business-strategy</w:t>
        </w:r>
      </w:hyperlink>
    </w:p>
    <w:p w14:paraId="7388F7FB" w14:textId="77777777" w:rsidR="00133AB4" w:rsidRPr="00741B55" w:rsidRDefault="00133AB4" w:rsidP="00741B55">
      <w:pPr>
        <w:spacing w:line="360" w:lineRule="auto"/>
        <w:jc w:val="both"/>
        <w:rPr>
          <w:rFonts w:asciiTheme="majorHAnsi" w:hAnsiTheme="majorHAnsi" w:cstheme="majorHAnsi"/>
          <w:sz w:val="24"/>
          <w:szCs w:val="24"/>
        </w:rPr>
      </w:pPr>
    </w:p>
    <w:sectPr w:rsidR="00133AB4" w:rsidRPr="00741B55">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165A0B"/>
    <w:multiLevelType w:val="hybridMultilevel"/>
    <w:tmpl w:val="25022848"/>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857080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EEE"/>
    <w:rsid w:val="00133AB4"/>
    <w:rsid w:val="00741B55"/>
    <w:rsid w:val="008C17FE"/>
    <w:rsid w:val="00A81EEE"/>
    <w:rsid w:val="00CE4E40"/>
    <w:rsid w:val="00E11B1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8195F3"/>
  <w15:chartTrackingRefBased/>
  <w15:docId w15:val="{4E2D6275-A16C-4951-8FC8-37CAD9E86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1B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1B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3AB4"/>
    <w:rPr>
      <w:color w:val="0563C1" w:themeColor="hyperlink"/>
      <w:u w:val="single"/>
    </w:rPr>
  </w:style>
  <w:style w:type="character" w:styleId="UnresolvedMention">
    <w:name w:val="Unresolved Mention"/>
    <w:basedOn w:val="DefaultParagraphFont"/>
    <w:uiPriority w:val="99"/>
    <w:semiHidden/>
    <w:unhideWhenUsed/>
    <w:rsid w:val="00133AB4"/>
    <w:rPr>
      <w:color w:val="605E5C"/>
      <w:shd w:val="clear" w:color="auto" w:fill="E1DFDD"/>
    </w:rPr>
  </w:style>
  <w:style w:type="paragraph" w:styleId="ListParagraph">
    <w:name w:val="List Paragraph"/>
    <w:basedOn w:val="Normal"/>
    <w:uiPriority w:val="34"/>
    <w:qFormat/>
    <w:rsid w:val="00741B55"/>
    <w:pPr>
      <w:ind w:left="720"/>
      <w:contextualSpacing/>
    </w:pPr>
  </w:style>
  <w:style w:type="character" w:customStyle="1" w:styleId="Heading1Char">
    <w:name w:val="Heading 1 Char"/>
    <w:basedOn w:val="DefaultParagraphFont"/>
    <w:link w:val="Heading1"/>
    <w:uiPriority w:val="9"/>
    <w:rsid w:val="00741B5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41B5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C17FE"/>
    <w:pPr>
      <w:outlineLvl w:val="9"/>
    </w:pPr>
    <w:rPr>
      <w:lang w:val="en-US"/>
    </w:rPr>
  </w:style>
  <w:style w:type="paragraph" w:styleId="TOC1">
    <w:name w:val="toc 1"/>
    <w:basedOn w:val="Normal"/>
    <w:next w:val="Normal"/>
    <w:autoRedefine/>
    <w:uiPriority w:val="39"/>
    <w:unhideWhenUsed/>
    <w:rsid w:val="008C17FE"/>
    <w:pPr>
      <w:spacing w:after="100"/>
    </w:pPr>
  </w:style>
  <w:style w:type="paragraph" w:styleId="TOC2">
    <w:name w:val="toc 2"/>
    <w:basedOn w:val="Normal"/>
    <w:next w:val="Normal"/>
    <w:autoRedefine/>
    <w:uiPriority w:val="39"/>
    <w:unhideWhenUsed/>
    <w:rsid w:val="008C17FE"/>
    <w:pPr>
      <w:spacing w:after="100"/>
      <w:ind w:left="220"/>
    </w:pPr>
  </w:style>
  <w:style w:type="paragraph" w:styleId="Title">
    <w:name w:val="Title"/>
    <w:basedOn w:val="Normal"/>
    <w:next w:val="Normal"/>
    <w:link w:val="TitleChar"/>
    <w:uiPriority w:val="10"/>
    <w:qFormat/>
    <w:rsid w:val="008C17F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17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17F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C17FE"/>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927531">
      <w:bodyDiv w:val="1"/>
      <w:marLeft w:val="0"/>
      <w:marRight w:val="0"/>
      <w:marTop w:val="0"/>
      <w:marBottom w:val="0"/>
      <w:divBdr>
        <w:top w:val="none" w:sz="0" w:space="0" w:color="auto"/>
        <w:left w:val="none" w:sz="0" w:space="0" w:color="auto"/>
        <w:bottom w:val="none" w:sz="0" w:space="0" w:color="auto"/>
        <w:right w:val="none" w:sz="0" w:space="0" w:color="auto"/>
      </w:divBdr>
    </w:div>
    <w:div w:id="295112715">
      <w:bodyDiv w:val="1"/>
      <w:marLeft w:val="0"/>
      <w:marRight w:val="0"/>
      <w:marTop w:val="0"/>
      <w:marBottom w:val="0"/>
      <w:divBdr>
        <w:top w:val="none" w:sz="0" w:space="0" w:color="auto"/>
        <w:left w:val="none" w:sz="0" w:space="0" w:color="auto"/>
        <w:bottom w:val="none" w:sz="0" w:space="0" w:color="auto"/>
        <w:right w:val="none" w:sz="0" w:space="0" w:color="auto"/>
      </w:divBdr>
    </w:div>
    <w:div w:id="461265675">
      <w:bodyDiv w:val="1"/>
      <w:marLeft w:val="0"/>
      <w:marRight w:val="0"/>
      <w:marTop w:val="0"/>
      <w:marBottom w:val="0"/>
      <w:divBdr>
        <w:top w:val="none" w:sz="0" w:space="0" w:color="auto"/>
        <w:left w:val="none" w:sz="0" w:space="0" w:color="auto"/>
        <w:bottom w:val="none" w:sz="0" w:space="0" w:color="auto"/>
        <w:right w:val="none" w:sz="0" w:space="0" w:color="auto"/>
      </w:divBdr>
    </w:div>
    <w:div w:id="553738143">
      <w:bodyDiv w:val="1"/>
      <w:marLeft w:val="0"/>
      <w:marRight w:val="0"/>
      <w:marTop w:val="0"/>
      <w:marBottom w:val="0"/>
      <w:divBdr>
        <w:top w:val="none" w:sz="0" w:space="0" w:color="auto"/>
        <w:left w:val="none" w:sz="0" w:space="0" w:color="auto"/>
        <w:bottom w:val="none" w:sz="0" w:space="0" w:color="auto"/>
        <w:right w:val="none" w:sz="0" w:space="0" w:color="auto"/>
      </w:divBdr>
    </w:div>
    <w:div w:id="580452597">
      <w:bodyDiv w:val="1"/>
      <w:marLeft w:val="0"/>
      <w:marRight w:val="0"/>
      <w:marTop w:val="0"/>
      <w:marBottom w:val="0"/>
      <w:divBdr>
        <w:top w:val="none" w:sz="0" w:space="0" w:color="auto"/>
        <w:left w:val="none" w:sz="0" w:space="0" w:color="auto"/>
        <w:bottom w:val="none" w:sz="0" w:space="0" w:color="auto"/>
        <w:right w:val="none" w:sz="0" w:space="0" w:color="auto"/>
      </w:divBdr>
    </w:div>
    <w:div w:id="847140630">
      <w:bodyDiv w:val="1"/>
      <w:marLeft w:val="0"/>
      <w:marRight w:val="0"/>
      <w:marTop w:val="0"/>
      <w:marBottom w:val="0"/>
      <w:divBdr>
        <w:top w:val="none" w:sz="0" w:space="0" w:color="auto"/>
        <w:left w:val="none" w:sz="0" w:space="0" w:color="auto"/>
        <w:bottom w:val="none" w:sz="0" w:space="0" w:color="auto"/>
        <w:right w:val="none" w:sz="0" w:space="0" w:color="auto"/>
      </w:divBdr>
    </w:div>
    <w:div w:id="978075228">
      <w:bodyDiv w:val="1"/>
      <w:marLeft w:val="0"/>
      <w:marRight w:val="0"/>
      <w:marTop w:val="0"/>
      <w:marBottom w:val="0"/>
      <w:divBdr>
        <w:top w:val="none" w:sz="0" w:space="0" w:color="auto"/>
        <w:left w:val="none" w:sz="0" w:space="0" w:color="auto"/>
        <w:bottom w:val="none" w:sz="0" w:space="0" w:color="auto"/>
        <w:right w:val="none" w:sz="0" w:space="0" w:color="auto"/>
      </w:divBdr>
    </w:div>
    <w:div w:id="1405179441">
      <w:bodyDiv w:val="1"/>
      <w:marLeft w:val="0"/>
      <w:marRight w:val="0"/>
      <w:marTop w:val="0"/>
      <w:marBottom w:val="0"/>
      <w:divBdr>
        <w:top w:val="none" w:sz="0" w:space="0" w:color="auto"/>
        <w:left w:val="none" w:sz="0" w:space="0" w:color="auto"/>
        <w:bottom w:val="none" w:sz="0" w:space="0" w:color="auto"/>
        <w:right w:val="none" w:sz="0" w:space="0" w:color="auto"/>
      </w:divBdr>
    </w:div>
    <w:div w:id="1410272872">
      <w:bodyDiv w:val="1"/>
      <w:marLeft w:val="0"/>
      <w:marRight w:val="0"/>
      <w:marTop w:val="0"/>
      <w:marBottom w:val="0"/>
      <w:divBdr>
        <w:top w:val="none" w:sz="0" w:space="0" w:color="auto"/>
        <w:left w:val="none" w:sz="0" w:space="0" w:color="auto"/>
        <w:bottom w:val="none" w:sz="0" w:space="0" w:color="auto"/>
        <w:right w:val="none" w:sz="0" w:space="0" w:color="auto"/>
      </w:divBdr>
    </w:div>
    <w:div w:id="1506289980">
      <w:bodyDiv w:val="1"/>
      <w:marLeft w:val="0"/>
      <w:marRight w:val="0"/>
      <w:marTop w:val="0"/>
      <w:marBottom w:val="0"/>
      <w:divBdr>
        <w:top w:val="none" w:sz="0" w:space="0" w:color="auto"/>
        <w:left w:val="none" w:sz="0" w:space="0" w:color="auto"/>
        <w:bottom w:val="none" w:sz="0" w:space="0" w:color="auto"/>
        <w:right w:val="none" w:sz="0" w:space="0" w:color="auto"/>
      </w:divBdr>
    </w:div>
    <w:div w:id="1549100362">
      <w:bodyDiv w:val="1"/>
      <w:marLeft w:val="0"/>
      <w:marRight w:val="0"/>
      <w:marTop w:val="0"/>
      <w:marBottom w:val="0"/>
      <w:divBdr>
        <w:top w:val="none" w:sz="0" w:space="0" w:color="auto"/>
        <w:left w:val="none" w:sz="0" w:space="0" w:color="auto"/>
        <w:bottom w:val="none" w:sz="0" w:space="0" w:color="auto"/>
        <w:right w:val="none" w:sz="0" w:space="0" w:color="auto"/>
      </w:divBdr>
    </w:div>
    <w:div w:id="1560942494">
      <w:bodyDiv w:val="1"/>
      <w:marLeft w:val="0"/>
      <w:marRight w:val="0"/>
      <w:marTop w:val="0"/>
      <w:marBottom w:val="0"/>
      <w:divBdr>
        <w:top w:val="none" w:sz="0" w:space="0" w:color="auto"/>
        <w:left w:val="none" w:sz="0" w:space="0" w:color="auto"/>
        <w:bottom w:val="none" w:sz="0" w:space="0" w:color="auto"/>
        <w:right w:val="none" w:sz="0" w:space="0" w:color="auto"/>
      </w:divBdr>
    </w:div>
    <w:div w:id="1590040718">
      <w:bodyDiv w:val="1"/>
      <w:marLeft w:val="0"/>
      <w:marRight w:val="0"/>
      <w:marTop w:val="0"/>
      <w:marBottom w:val="0"/>
      <w:divBdr>
        <w:top w:val="none" w:sz="0" w:space="0" w:color="auto"/>
        <w:left w:val="none" w:sz="0" w:space="0" w:color="auto"/>
        <w:bottom w:val="none" w:sz="0" w:space="0" w:color="auto"/>
        <w:right w:val="none" w:sz="0" w:space="0" w:color="auto"/>
      </w:divBdr>
    </w:div>
    <w:div w:id="1862623343">
      <w:bodyDiv w:val="1"/>
      <w:marLeft w:val="0"/>
      <w:marRight w:val="0"/>
      <w:marTop w:val="0"/>
      <w:marBottom w:val="0"/>
      <w:divBdr>
        <w:top w:val="none" w:sz="0" w:space="0" w:color="auto"/>
        <w:left w:val="none" w:sz="0" w:space="0" w:color="auto"/>
        <w:bottom w:val="none" w:sz="0" w:space="0" w:color="auto"/>
        <w:right w:val="none" w:sz="0" w:space="0" w:color="auto"/>
      </w:divBdr>
    </w:div>
    <w:div w:id="1885872667">
      <w:bodyDiv w:val="1"/>
      <w:marLeft w:val="0"/>
      <w:marRight w:val="0"/>
      <w:marTop w:val="0"/>
      <w:marBottom w:val="0"/>
      <w:divBdr>
        <w:top w:val="none" w:sz="0" w:space="0" w:color="auto"/>
        <w:left w:val="none" w:sz="0" w:space="0" w:color="auto"/>
        <w:bottom w:val="none" w:sz="0" w:space="0" w:color="auto"/>
        <w:right w:val="none" w:sz="0" w:space="0" w:color="auto"/>
      </w:divBdr>
    </w:div>
    <w:div w:id="2087877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forum.org/agenda/2022/01/how-companies-can-advance-workforce-diversity-worldwide/" TargetMode="External"/><Relationship Id="rId13" Type="http://schemas.openxmlformats.org/officeDocument/2006/relationships/hyperlink" Target="https://www.ciol.org.uk/news/the-impact-of-language-barriers-on-uk-productivityOrror"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hbr.org/2022/06/the-key-pillars-of-an-inclusive-culture" TargetMode="External"/><Relationship Id="rId12" Type="http://schemas.openxmlformats.org/officeDocument/2006/relationships/hyperlink" Target="https://assets.kpmg/content/dam/kpmg/pl/pdf/2021/11/pl-Investment-in-Poland.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hsmart.com/insights/what-is-unilevers-corporate-or-business-strategy" TargetMode="External"/><Relationship Id="rId1" Type="http://schemas.openxmlformats.org/officeDocument/2006/relationships/customXml" Target="../customXml/item1.xml"/><Relationship Id="rId6" Type="http://schemas.openxmlformats.org/officeDocument/2006/relationships/hyperlink" Target="https://apo.org.au/node/63983" TargetMode="External"/><Relationship Id="rId11" Type="http://schemas.openxmlformats.org/officeDocument/2006/relationships/hyperlink" Target="https://www.hofstede-insights.com/product/compare-countries/" TargetMode="External"/><Relationship Id="rId5" Type="http://schemas.openxmlformats.org/officeDocument/2006/relationships/webSettings" Target="webSettings.xml"/><Relationship Id="rId15" Type="http://schemas.openxmlformats.org/officeDocument/2006/relationships/hyperlink" Target="https://www.unilever.com/files/92ui5egz/production/5a7fd8972815768f48d5a9d06f3103076c5565d2.pdf" TargetMode="External"/><Relationship Id="rId10" Type="http://schemas.openxmlformats.org/officeDocument/2006/relationships/hyperlink" Target="https://www.commisceo-global.com/resources/country-guides/united-kingdom-guide" TargetMode="External"/><Relationship Id="rId4" Type="http://schemas.openxmlformats.org/officeDocument/2006/relationships/settings" Target="settings.xml"/><Relationship Id="rId9" Type="http://schemas.openxmlformats.org/officeDocument/2006/relationships/hyperlink" Target="https://www.forbes.com/sites/kathycaprino/2020/08/26/90-of-todays-shoppers-will-buy-your-brand-if-you-stand-for-a-cause/" TargetMode="External"/><Relationship Id="rId14" Type="http://schemas.openxmlformats.org/officeDocument/2006/relationships/hyperlink" Target="https://www.ipsos.com/en-ro/only-18-multinational-organizations-say-they-are-fully-prepared-crisis"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82DA7A-7F0B-42EE-9B09-D527D33106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11</Pages>
  <Words>3214</Words>
  <Characters>20570</Characters>
  <Application>Microsoft Office Word</Application>
  <DocSecurity>0</DocSecurity>
  <Lines>374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sandu</dc:creator>
  <cp:keywords/>
  <dc:description/>
  <cp:lastModifiedBy>alex sandu</cp:lastModifiedBy>
  <cp:revision>10</cp:revision>
  <dcterms:created xsi:type="dcterms:W3CDTF">2023-12-19T12:38:00Z</dcterms:created>
  <dcterms:modified xsi:type="dcterms:W3CDTF">2023-12-19T13:11:00Z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2c92b5056217949364ad3a339686e9ab969336bb0b0a61df0cf939e29d0b44f4</vt:lpwstr>
  </property>
</Properties>
</file>