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30A76" w14:textId="77777777" w:rsidR="00B537E4" w:rsidRDefault="00B537E4">
      <w:r w:rsidRPr="00B537E4">
        <w:rPr>
          <w:b/>
          <w:bCs/>
        </w:rPr>
        <w:t>Introduction</w:t>
      </w:r>
      <w:r>
        <w:t xml:space="preserve"> </w:t>
      </w:r>
    </w:p>
    <w:p w14:paraId="6FA80E34" w14:textId="56BD6649" w:rsidR="00245C45" w:rsidRDefault="00B537E4">
      <w:r>
        <w:t xml:space="preserve">Individuals can gain a thorough understanding of religious beliefs and the sacred writings that influence them by studying theology and bibliology. The investigation of these subjects becomes an </w:t>
      </w:r>
      <w:r w:rsidR="006D6766">
        <w:t>“</w:t>
      </w:r>
      <w:r w:rsidRPr="00B23C04">
        <w:rPr>
          <w:i/>
          <w:iCs/>
        </w:rPr>
        <w:t>extremely intimate and enlightening trip for a devoted Catholic. With the help of biblical passages, historical records, and theological viewpoints, one may explore the meaning of theology and bibliology in the context of Catholic faith in this essay</w:t>
      </w:r>
      <w:r w:rsidR="006D6766">
        <w:t>”.</w:t>
      </w:r>
      <w:r w:rsidR="006D6766">
        <w:rPr>
          <w:rStyle w:val="FootnoteReference"/>
        </w:rPr>
        <w:footnoteReference w:id="1"/>
      </w:r>
      <w:r w:rsidR="006D6766">
        <w:t xml:space="preserve"> </w:t>
      </w:r>
      <w:r>
        <w:t>By providing insights into the doctrinal underpinnings, biblical stories, and historical settings that form the core of the Catholic faith, this essay aims to peel back the layers of understanding enshrouded in these disciplines.</w:t>
      </w:r>
    </w:p>
    <w:p w14:paraId="0D2D322B" w14:textId="77777777" w:rsidR="009D7121" w:rsidRDefault="001551E6">
      <w:r w:rsidRPr="009D7121">
        <w:rPr>
          <w:b/>
          <w:bCs/>
        </w:rPr>
        <w:t>Personal Connection</w:t>
      </w:r>
      <w:r>
        <w:t xml:space="preserve"> </w:t>
      </w:r>
      <w:r w:rsidRPr="009D7121">
        <w:rPr>
          <w:b/>
          <w:bCs/>
        </w:rPr>
        <w:t>to Theology</w:t>
      </w:r>
      <w:r>
        <w:t xml:space="preserve"> </w:t>
      </w:r>
    </w:p>
    <w:p w14:paraId="30D551EC" w14:textId="3D3C66D0" w:rsidR="00AF4865" w:rsidRDefault="000D000F">
      <w:r>
        <w:t>“</w:t>
      </w:r>
      <w:r w:rsidR="001551E6" w:rsidRPr="00B23C04">
        <w:rPr>
          <w:i/>
          <w:iCs/>
        </w:rPr>
        <w:t>The notion of a personal theological connection is a dynamic thread that permeates the complex fabric of individual belief systems within the broad tapestry of religious inquiry. Within the framework of Catholicism, this relationship takes on an especially deep significance, frequently originating from a combination of personal spiritual experiences, cultural background, and familial influences. When one comes from a spiritually engaged family, early life experiences typically serve as the crucible that shapes one's theological worldview</w:t>
      </w:r>
      <w:r>
        <w:t>”.</w:t>
      </w:r>
      <w:r>
        <w:rPr>
          <w:rStyle w:val="FootnoteReference"/>
        </w:rPr>
        <w:footnoteReference w:id="2"/>
      </w:r>
      <w:r w:rsidR="00A6541F">
        <w:t xml:space="preserve"> </w:t>
      </w:r>
      <w:r w:rsidR="001551E6">
        <w:t xml:space="preserve">For many, even those who practise Catholicism, the home turns into a testing ground where the doctrines of the faith are taught, customs are followed, and a feeling of religious identity starts to develop. When it comes to Catholicism, where sacraments such as baptism are frequently bestowed upon infants, the blending of religious ideas and personal identity begins at a very young age. </w:t>
      </w:r>
      <w:r w:rsidR="00D20603">
        <w:t>“</w:t>
      </w:r>
      <w:r w:rsidR="001551E6" w:rsidRPr="00B23C04">
        <w:rPr>
          <w:i/>
          <w:iCs/>
        </w:rPr>
        <w:t>The memory of having been baptised when one was just two months old, a sign of one's family's religion, becomes a fundamental component in the individual's story of religious identification. As keepers of generational wisdom, grandparents have a big influence on how someone connects to theology on a personal level</w:t>
      </w:r>
      <w:r w:rsidR="00D20603">
        <w:t>”.</w:t>
      </w:r>
      <w:r w:rsidR="00D20603">
        <w:rPr>
          <w:rStyle w:val="FootnoteReference"/>
        </w:rPr>
        <w:footnoteReference w:id="3"/>
      </w:r>
      <w:r w:rsidR="001551E6">
        <w:t xml:space="preserve"> </w:t>
      </w:r>
    </w:p>
    <w:p w14:paraId="67372BC7" w14:textId="77777777" w:rsidR="00AF4865" w:rsidRDefault="00AF4865"/>
    <w:p w14:paraId="0AF028B5" w14:textId="6DC0687A" w:rsidR="001551E6" w:rsidRDefault="001551E6">
      <w:r>
        <w:t>Their impact goes beyond the dissemination of religious teachings; it includes the exchanging of life stories, the teaching of moral principles, and the development of a spiritual perspective. The integration of theological viewpoints is facilitated by rites of passage such as</w:t>
      </w:r>
      <w:r w:rsidR="00777599">
        <w:t xml:space="preserve"> visits to Catholic churches, accompanied prayers, and introductions to the complexities of biblical texts. Also, the formation of personal theology is a lived experience as well as an intellectual absorption process that takes place when a kid grows up in a Catholic home. It entails taking up the teachings of Jesus, learning how to pray, and becoming more sophisticated in your interpretation of the holy writings. </w:t>
      </w:r>
      <w:r w:rsidR="00777599" w:rsidRPr="00B23C04">
        <w:rPr>
          <w:i/>
          <w:iCs/>
        </w:rPr>
        <w:t>“The combination of theological inquiry and personal development fosters a symbiotic relationship in which the learner develops their religion as well as gains knowledge of it. This relationship that each person has with theology is dynamic; it changes over time as experiences and knowledge grow”.</w:t>
      </w:r>
      <w:r w:rsidR="00777599" w:rsidRPr="00B23C04">
        <w:rPr>
          <w:rStyle w:val="FootnoteReference"/>
          <w:i/>
          <w:iCs/>
        </w:rPr>
        <w:footnoteReference w:id="4"/>
      </w:r>
      <w:r w:rsidR="00777599" w:rsidRPr="00B23C04">
        <w:rPr>
          <w:i/>
          <w:iCs/>
        </w:rPr>
        <w:t xml:space="preserve"> </w:t>
      </w:r>
      <w:r w:rsidR="00777599">
        <w:t>It includes a real interaction with Catholic teachings and goes beyond mere memorization of dogmas. An ongoing process of challenging, searching out, and internalising religious principles characterises the vitality of this connection and eventually shapes a person's moral compass and worldview. Essentially, inside the complex fabric of Catholic teachings, a person's spiritual journey is propelled forward by their intimate relationship with theology.</w:t>
      </w:r>
    </w:p>
    <w:p w14:paraId="0AD3C7AC" w14:textId="77777777" w:rsidR="00FA3FE1" w:rsidRDefault="00FA3FE1">
      <w:r w:rsidRPr="00FA3FE1">
        <w:rPr>
          <w:b/>
          <w:bCs/>
        </w:rPr>
        <w:lastRenderedPageBreak/>
        <w:t>Biblical Passages and Theological Insights</w:t>
      </w:r>
      <w:r>
        <w:t xml:space="preserve"> </w:t>
      </w:r>
    </w:p>
    <w:p w14:paraId="092BDEF1" w14:textId="77777777" w:rsidR="00EB6C45" w:rsidRDefault="00FA3FE1">
      <w:r>
        <w:t xml:space="preserve">A thorough examination of biblical passages that form the basis of doctrinal knowledge is the cornerstone of theological inquiry in the Catholic faith. Not only are these holy books considered to be the inspired word of God, but they also have great historical and theological value that has shaped and continues to affect Christian doctrine. </w:t>
      </w:r>
      <w:r w:rsidRPr="00B23C04">
        <w:rPr>
          <w:i/>
          <w:iCs/>
        </w:rPr>
        <w:t>“Studying biblical passages is like setting out on a voyage through the halls of heavenly revelation for a Catholic person. Central to Catholic belief is the identification of Jesus as both God and Messiah</w:t>
      </w:r>
      <w:r>
        <w:t>”.</w:t>
      </w:r>
      <w:r>
        <w:rPr>
          <w:rStyle w:val="FootnoteReference"/>
        </w:rPr>
        <w:footnoteReference w:id="5"/>
      </w:r>
      <w:r w:rsidR="00EA47CE">
        <w:t xml:space="preserve"> </w:t>
      </w:r>
      <w:r>
        <w:t xml:space="preserve">This identification is rooted in passages like Matthew 16:16, where the Apostle Peter states, "You are the Messiah, the Son of the living God." </w:t>
      </w:r>
      <w:r w:rsidR="00EA47CE">
        <w:t>“</w:t>
      </w:r>
      <w:r w:rsidRPr="00B23C04">
        <w:rPr>
          <w:i/>
          <w:iCs/>
        </w:rPr>
        <w:t>The significance of this point in the Gospels highlights the theoretical basis of Catholic beliefs and crystallises Jesus' divinity. The variety of biblical depictions of Jesus, as elucidated by academics such as Bruce Chilton, adds a level of nuance to theological reflection</w:t>
      </w:r>
      <w:r w:rsidR="00EA47CE" w:rsidRPr="00B23C04">
        <w:rPr>
          <w:i/>
          <w:iCs/>
        </w:rPr>
        <w:t>”.</w:t>
      </w:r>
      <w:r w:rsidR="00EA47CE" w:rsidRPr="00B23C04">
        <w:rPr>
          <w:rStyle w:val="FootnoteReference"/>
          <w:i/>
          <w:iCs/>
        </w:rPr>
        <w:footnoteReference w:id="6"/>
      </w:r>
      <w:r w:rsidR="00620168">
        <w:t xml:space="preserve"> </w:t>
      </w:r>
      <w:r>
        <w:t>These diverse portrayals, which range from the forgiving healer to the severe prophet, suggest</w:t>
      </w:r>
      <w:r w:rsidR="00E04F89">
        <w:t xml:space="preserve"> complex theological understandings. Understanding that faith is complex and that there are many different interpretations of it coexisting with one another encourages believers to carefully consider their beliefs and leads to a more in-depth and sophisticated knowledge of God. </w:t>
      </w:r>
    </w:p>
    <w:p w14:paraId="7DAEC0D3" w14:textId="1215B04E" w:rsidR="00A37A5D" w:rsidRDefault="00E04F89">
      <w:r>
        <w:t xml:space="preserve">Biblical texts have theological relevance that goes beyond simple storytelling to include deep moments that capture the core of Catholic teachings. One example of a theological focal point is </w:t>
      </w:r>
      <w:r w:rsidR="00EB6C45" w:rsidRPr="00B23C04">
        <w:rPr>
          <w:i/>
          <w:iCs/>
        </w:rPr>
        <w:t>“</w:t>
      </w:r>
      <w:r w:rsidRPr="00B23C04">
        <w:rPr>
          <w:i/>
          <w:iCs/>
        </w:rPr>
        <w:t>Jesus' scream on the crucifixion, "My God, my God, why have you deserted me?" (Matthew 27:46). This cry, which is sometimes understood as an apparent moment of surrender, provides theological food for thought about the nature of Jesus' sacrifice and the redemptive story that runs through Catholic theology. Furthermore, delving into theological implications of Jesus' self-sacrificing death necessitates addressing difficult issues related to divine purpose and voluntariness</w:t>
      </w:r>
      <w:r w:rsidR="00EB6C45">
        <w:t>”.</w:t>
      </w:r>
      <w:r w:rsidR="00EB6C45">
        <w:rPr>
          <w:rStyle w:val="FootnoteReference"/>
        </w:rPr>
        <w:footnoteReference w:id="7"/>
      </w:r>
      <w:r w:rsidR="00176867">
        <w:t xml:space="preserve"> </w:t>
      </w:r>
      <w:r w:rsidR="00B23C04">
        <w:t>“</w:t>
      </w:r>
      <w:r w:rsidRPr="00B23C04">
        <w:rPr>
          <w:i/>
          <w:iCs/>
        </w:rPr>
        <w:t>Consideration of the great sacrifice that surpasses the circumstances of Jesus' death is prompted by R.B. Jamieson's insights into the sacrificial essence of his death</w:t>
      </w:r>
      <w:r w:rsidR="00031F8B" w:rsidRPr="00B23C04">
        <w:rPr>
          <w:i/>
          <w:iCs/>
        </w:rPr>
        <w:t>”</w:t>
      </w:r>
      <w:r w:rsidR="00031F8B">
        <w:t>.</w:t>
      </w:r>
      <w:r w:rsidR="00031F8B">
        <w:rPr>
          <w:rStyle w:val="FootnoteReference"/>
        </w:rPr>
        <w:footnoteReference w:id="8"/>
      </w:r>
      <w:r>
        <w:t xml:space="preserve"> As part of this theological investigation, believers are challenged to ponder the mysteries surrounding divine sacrifice and to identify the deeper significance underlying these biblical stories. </w:t>
      </w:r>
    </w:p>
    <w:p w14:paraId="0AF9F2D3" w14:textId="77777777" w:rsidR="00A37A5D" w:rsidRDefault="00E04F89">
      <w:r w:rsidRPr="00A37A5D">
        <w:rPr>
          <w:b/>
          <w:bCs/>
        </w:rPr>
        <w:t>Theological Contemplations on Jesus Sacrifice</w:t>
      </w:r>
      <w:r>
        <w:t xml:space="preserve"> </w:t>
      </w:r>
    </w:p>
    <w:p w14:paraId="2FF4A165" w14:textId="77777777" w:rsidR="00542255" w:rsidRDefault="00E04F89">
      <w:r>
        <w:t xml:space="preserve">The cross of Jesus represents the ultimate sacrifice, and this is explored theologically. The heartfelt cries of "My God, my God, why have you deserted me?" cast doubt on Jesus' willingness to make the sacrifice. </w:t>
      </w:r>
      <w:r w:rsidR="00857319" w:rsidRPr="00B23C04">
        <w:rPr>
          <w:i/>
          <w:iCs/>
        </w:rPr>
        <w:t>“</w:t>
      </w:r>
      <w:r w:rsidRPr="00B23C04">
        <w:rPr>
          <w:i/>
          <w:iCs/>
        </w:rPr>
        <w:t>The complex character of Jesus' mission is explored in the religious dispute over whether or not he desired his death</w:t>
      </w:r>
      <w:r w:rsidR="00857319" w:rsidRPr="00B23C04">
        <w:rPr>
          <w:i/>
          <w:iCs/>
        </w:rPr>
        <w:t>”.</w:t>
      </w:r>
      <w:r w:rsidR="00857319" w:rsidRPr="00B23C04">
        <w:rPr>
          <w:rStyle w:val="FootnoteReference"/>
          <w:i/>
          <w:iCs/>
        </w:rPr>
        <w:footnoteReference w:id="9"/>
      </w:r>
      <w:r w:rsidR="00857319">
        <w:t xml:space="preserve"> </w:t>
      </w:r>
      <w:r>
        <w:t>The viewpoint of R.B. Jamieson clarifies the self-giving nature of Jesus' death by focusing more on the great sacrifice than the specifics of his death.</w:t>
      </w:r>
      <w:r w:rsidR="00542255">
        <w:t xml:space="preserve"> </w:t>
      </w:r>
    </w:p>
    <w:p w14:paraId="4E54135C" w14:textId="77777777" w:rsidR="00300959" w:rsidRDefault="00300959">
      <w:pPr>
        <w:rPr>
          <w:b/>
          <w:bCs/>
        </w:rPr>
      </w:pPr>
    </w:p>
    <w:p w14:paraId="42CF75C1" w14:textId="77777777" w:rsidR="00300959" w:rsidRDefault="00300959">
      <w:pPr>
        <w:rPr>
          <w:b/>
          <w:bCs/>
        </w:rPr>
      </w:pPr>
    </w:p>
    <w:p w14:paraId="76311DBA" w14:textId="77777777" w:rsidR="00300959" w:rsidRDefault="00300959">
      <w:pPr>
        <w:rPr>
          <w:b/>
          <w:bCs/>
        </w:rPr>
      </w:pPr>
    </w:p>
    <w:p w14:paraId="7B7555A7" w14:textId="47C693A6" w:rsidR="00542255" w:rsidRDefault="00542255">
      <w:r w:rsidRPr="00542255">
        <w:rPr>
          <w:b/>
          <w:bCs/>
        </w:rPr>
        <w:lastRenderedPageBreak/>
        <w:t>Political and Religious Dynamics</w:t>
      </w:r>
      <w:r>
        <w:t xml:space="preserve"> </w:t>
      </w:r>
    </w:p>
    <w:p w14:paraId="184CF5F8" w14:textId="6869BAC5" w:rsidR="00542255" w:rsidRDefault="00542255">
      <w:r>
        <w:t>The essay broadens its focus to take into account the global political and religious processes. “</w:t>
      </w:r>
      <w:r w:rsidRPr="00B23C04">
        <w:rPr>
          <w:i/>
          <w:iCs/>
        </w:rPr>
        <w:t>The tensions resulting from diverse religious perspectives are acknowledged, along with the diversity of beliefs</w:t>
      </w:r>
      <w:r>
        <w:t>”.</w:t>
      </w:r>
      <w:r>
        <w:rPr>
          <w:rStyle w:val="FootnoteReference"/>
        </w:rPr>
        <w:footnoteReference w:id="10"/>
      </w:r>
      <w:r w:rsidR="003E5BF5">
        <w:t xml:space="preserve"> </w:t>
      </w:r>
      <w:r>
        <w:t>A degree of complexity is introduced by admitting that not everyone has the same beliefs about Jesus, highlighting the importance of interfaith communication and understanding.</w:t>
      </w:r>
    </w:p>
    <w:p w14:paraId="492029EB" w14:textId="77777777" w:rsidR="003E5BF5" w:rsidRDefault="003E5BF5"/>
    <w:p w14:paraId="014B5489" w14:textId="16CCC7F8" w:rsidR="007E647B" w:rsidRDefault="00542255">
      <w:r w:rsidRPr="00542255">
        <w:rPr>
          <w:b/>
          <w:bCs/>
        </w:rPr>
        <w:t xml:space="preserve">Conclusion </w:t>
      </w:r>
      <w:r>
        <w:t>Studying theology and bibliography within the framework of Catholic faith reveals a diverse range of historical viewpoints, customs, and beliefs. A path, nourished by a desire to learn more and anchored in family customs, exemplifies the great importance of these disciplines. A more nuanced view of the complexity within the larger religious landscape is made possible by theological reflections on Jesus' sacrifice and the recognition of a diversity of religious beliefs.</w:t>
      </w:r>
    </w:p>
    <w:p w14:paraId="31057F84" w14:textId="77777777" w:rsidR="00F80038" w:rsidRDefault="00F80038"/>
    <w:p w14:paraId="2C55CCFA" w14:textId="77777777" w:rsidR="00F80038" w:rsidRDefault="00F80038"/>
    <w:p w14:paraId="4AABD617" w14:textId="77777777" w:rsidR="00F80038" w:rsidRDefault="00F80038"/>
    <w:p w14:paraId="035EEFC5" w14:textId="77777777" w:rsidR="00F80038" w:rsidRDefault="00F80038"/>
    <w:p w14:paraId="4C6481D2" w14:textId="77777777" w:rsidR="00F80038" w:rsidRDefault="00F80038"/>
    <w:p w14:paraId="7C6F4BCB" w14:textId="77777777" w:rsidR="00F80038" w:rsidRDefault="00F80038"/>
    <w:p w14:paraId="3E66405A" w14:textId="77777777" w:rsidR="00F80038" w:rsidRDefault="00F80038"/>
    <w:p w14:paraId="18973097" w14:textId="77777777" w:rsidR="00F80038" w:rsidRDefault="00F80038"/>
    <w:p w14:paraId="7440AEE4" w14:textId="77777777" w:rsidR="00F80038" w:rsidRDefault="00F80038"/>
    <w:p w14:paraId="52E2D7E5" w14:textId="77777777" w:rsidR="00F80038" w:rsidRDefault="00F80038"/>
    <w:p w14:paraId="7522C7A4" w14:textId="77777777" w:rsidR="00F80038" w:rsidRDefault="00F80038"/>
    <w:p w14:paraId="25F9DD27" w14:textId="77777777" w:rsidR="00F80038" w:rsidRDefault="00F80038"/>
    <w:p w14:paraId="5FCCD93D" w14:textId="77777777" w:rsidR="00F80038" w:rsidRDefault="00F80038"/>
    <w:p w14:paraId="131F5DC6" w14:textId="77777777" w:rsidR="00F80038" w:rsidRDefault="00F80038"/>
    <w:p w14:paraId="559884C6" w14:textId="77777777" w:rsidR="00F80038" w:rsidRDefault="00F80038"/>
    <w:p w14:paraId="16A7A88C" w14:textId="77777777" w:rsidR="00F80038" w:rsidRDefault="00F80038"/>
    <w:p w14:paraId="60C8FC69" w14:textId="77777777" w:rsidR="00F80038" w:rsidRDefault="00F80038"/>
    <w:p w14:paraId="18417E90" w14:textId="77777777" w:rsidR="00F80038" w:rsidRDefault="00F80038"/>
    <w:p w14:paraId="78666457" w14:textId="77777777" w:rsidR="00F80038" w:rsidRDefault="00F80038"/>
    <w:p w14:paraId="0B583529" w14:textId="77777777" w:rsidR="00F80038" w:rsidRDefault="00F80038"/>
    <w:p w14:paraId="4E2CD148" w14:textId="74F24C7F" w:rsidR="00F80038" w:rsidRPr="003E5BF5" w:rsidRDefault="00F80038">
      <w:pPr>
        <w:rPr>
          <w:b/>
          <w:bCs/>
        </w:rPr>
      </w:pPr>
      <w:r w:rsidRPr="003E5BF5">
        <w:rPr>
          <w:b/>
          <w:bCs/>
        </w:rPr>
        <w:lastRenderedPageBreak/>
        <w:t xml:space="preserve">Bibliography </w:t>
      </w:r>
    </w:p>
    <w:p w14:paraId="1F82CC90" w14:textId="598FC3BE" w:rsidR="00F80038" w:rsidRDefault="002B44D8">
      <w:r>
        <w:t>Arweck, E. ed., 2016. Young people's attitudes to religious diversity. Routledge.</w:t>
      </w:r>
    </w:p>
    <w:p w14:paraId="5B3309B6" w14:textId="334DE2F5" w:rsidR="009C4DBF" w:rsidRDefault="009C4DBF">
      <w:r>
        <w:t>Burr, N.R., 2015. Critical Bibliography of Religion in America, Volume IV, parts 3, 4, and 5 (Vol. 2033). Princeton University Press.</w:t>
      </w:r>
    </w:p>
    <w:p w14:paraId="5927C676" w14:textId="5D60ED16" w:rsidR="009C4DBF" w:rsidRDefault="009C4DBF">
      <w:r>
        <w:t>Cornelio, J.S., 2016. Being Catholic in the contemporary Philippines: Young people reinterpreting religion. Routledge.</w:t>
      </w:r>
    </w:p>
    <w:p w14:paraId="2FE47882" w14:textId="13AF83E6" w:rsidR="009C4DBF" w:rsidRDefault="009C4DBF">
      <w:r>
        <w:t>Edge, P.W., 2017. Religion and law: An introduction. Routledge.</w:t>
      </w:r>
    </w:p>
    <w:p w14:paraId="3FA92FE0" w14:textId="2BDE1760" w:rsidR="009C4DBF" w:rsidRDefault="00931375">
      <w:r>
        <w:t>Knott, K. and Poole, E., 2016. Media portrayals of religion and the secular sacred: Representation and change. Routledge.</w:t>
      </w:r>
    </w:p>
    <w:p w14:paraId="18455E4E" w14:textId="4FC3CC3B" w:rsidR="00931375" w:rsidRDefault="00931375">
      <w:r>
        <w:t>Levine, D.H., 2014. Religion and politics in Latin America: The catholic church in Venezuela &amp; Colombia (Vol. 52). Princeton University Press.</w:t>
      </w:r>
    </w:p>
    <w:p w14:paraId="4E1148BB" w14:textId="3C88D35C" w:rsidR="00931375" w:rsidRDefault="00931375">
      <w:r>
        <w:t>Locke, K.A., 2016. The Church in Anglican Theology: A Historical, Theological and Ecumenical Exploration. Routledge.</w:t>
      </w:r>
    </w:p>
    <w:p w14:paraId="2DAB36AC" w14:textId="2DDDC1E1" w:rsidR="00931375" w:rsidRDefault="00931375">
      <w:r>
        <w:t>Mitchell, C., 2017. Religion, identity and politics in Northern Ireland: Boundaries of belonging and belief. Routledge</w:t>
      </w:r>
      <w:r w:rsidR="00EB0A51">
        <w:t>.</w:t>
      </w:r>
    </w:p>
    <w:p w14:paraId="7AEC1F66" w14:textId="0FFE67B8" w:rsidR="00EB0A51" w:rsidRDefault="00EB0A51">
      <w:r>
        <w:t>Nell, E. and Swart, I., 2016. Religion and development: The rise of a bibliography. HTS: Theological Studies, 72(4), pp.1-27.</w:t>
      </w:r>
    </w:p>
    <w:p w14:paraId="045AAAAC" w14:textId="77777777" w:rsidR="002B44D8" w:rsidRDefault="002B44D8"/>
    <w:sectPr w:rsidR="002B44D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7337D" w14:textId="77777777" w:rsidR="00165166" w:rsidRDefault="00165166" w:rsidP="00245C45">
      <w:pPr>
        <w:spacing w:after="0" w:line="240" w:lineRule="auto"/>
      </w:pPr>
      <w:r>
        <w:separator/>
      </w:r>
    </w:p>
  </w:endnote>
  <w:endnote w:type="continuationSeparator" w:id="0">
    <w:p w14:paraId="7A18C15A" w14:textId="77777777" w:rsidR="00165166" w:rsidRDefault="00165166" w:rsidP="00245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554977983"/>
      <w:docPartObj>
        <w:docPartGallery w:val="Page Numbers (Bottom of Page)"/>
        <w:docPartUnique/>
      </w:docPartObj>
    </w:sdtPr>
    <w:sdtEndPr>
      <w:rPr>
        <w:noProof/>
      </w:rPr>
    </w:sdtEndPr>
    <w:sdtContent>
      <w:p w14:paraId="0B82DA42" w14:textId="15BD0C37" w:rsidR="00EB0A51" w:rsidRDefault="00EB0A51">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035A8FD4" w14:textId="77777777" w:rsidR="00EB0A51" w:rsidRDefault="00EB0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21347" w14:textId="77777777" w:rsidR="00165166" w:rsidRDefault="00165166" w:rsidP="00245C45">
      <w:pPr>
        <w:spacing w:after="0" w:line="240" w:lineRule="auto"/>
      </w:pPr>
      <w:r>
        <w:separator/>
      </w:r>
    </w:p>
  </w:footnote>
  <w:footnote w:type="continuationSeparator" w:id="0">
    <w:p w14:paraId="3CAE8ED6" w14:textId="77777777" w:rsidR="00165166" w:rsidRDefault="00165166" w:rsidP="00245C45">
      <w:pPr>
        <w:spacing w:after="0" w:line="240" w:lineRule="auto"/>
      </w:pPr>
      <w:r>
        <w:continuationSeparator/>
      </w:r>
    </w:p>
  </w:footnote>
  <w:footnote w:id="1">
    <w:p w14:paraId="54A430B2" w14:textId="4670CB13" w:rsidR="006D6766" w:rsidRDefault="006D6766">
      <w:pPr>
        <w:pStyle w:val="FootnoteText"/>
      </w:pPr>
      <w:r>
        <w:rPr>
          <w:rStyle w:val="FootnoteReference"/>
        </w:rPr>
        <w:footnoteRef/>
      </w:r>
      <w:r>
        <w:t xml:space="preserve"> </w:t>
      </w:r>
      <w:r w:rsidR="00684F79">
        <w:t>Mitchell, C., 2017. Religion, identity and politics in Northern Ireland: Boundaries of belonging and belief. Routledge</w:t>
      </w:r>
    </w:p>
  </w:footnote>
  <w:footnote w:id="2">
    <w:p w14:paraId="3C100D00" w14:textId="5E7EEB83" w:rsidR="000D000F" w:rsidRDefault="000D000F">
      <w:pPr>
        <w:pStyle w:val="FootnoteText"/>
      </w:pPr>
      <w:r>
        <w:rPr>
          <w:rStyle w:val="FootnoteReference"/>
        </w:rPr>
        <w:footnoteRef/>
      </w:r>
      <w:r>
        <w:t xml:space="preserve"> </w:t>
      </w:r>
      <w:r w:rsidR="00A6541F">
        <w:t>Nell, E. and Swart, I., 2016. Religion and development: The rise of a bibliography. HTS: Theological Studies, 72(4), pp.1-27.</w:t>
      </w:r>
    </w:p>
  </w:footnote>
  <w:footnote w:id="3">
    <w:p w14:paraId="514110EE" w14:textId="75C02058" w:rsidR="00D20603" w:rsidRDefault="00D20603">
      <w:pPr>
        <w:pStyle w:val="FootnoteText"/>
      </w:pPr>
      <w:r>
        <w:rPr>
          <w:rStyle w:val="FootnoteReference"/>
        </w:rPr>
        <w:footnoteRef/>
      </w:r>
      <w:r>
        <w:t xml:space="preserve"> </w:t>
      </w:r>
      <w:r w:rsidR="00911E3C">
        <w:t>Arweck, E. ed., 2016. Young people's attitudes to religious diversity. Routledge</w:t>
      </w:r>
    </w:p>
  </w:footnote>
  <w:footnote w:id="4">
    <w:p w14:paraId="4B6E3FE8" w14:textId="7F335C21" w:rsidR="00777599" w:rsidRDefault="00777599">
      <w:pPr>
        <w:pStyle w:val="FootnoteText"/>
      </w:pPr>
      <w:r>
        <w:rPr>
          <w:rStyle w:val="FootnoteReference"/>
        </w:rPr>
        <w:footnoteRef/>
      </w:r>
      <w:r>
        <w:t xml:space="preserve"> </w:t>
      </w:r>
      <w:r w:rsidR="007E647B">
        <w:t>Levine, D.H., 2014. Religion and politics in Latin America: The catholic church in Venezuela &amp; Colombia (Vol. 52). Princeton University Press</w:t>
      </w:r>
    </w:p>
  </w:footnote>
  <w:footnote w:id="5">
    <w:p w14:paraId="385AD6C0" w14:textId="7CDE6B86" w:rsidR="00FA3FE1" w:rsidRDefault="00FA3FE1">
      <w:pPr>
        <w:pStyle w:val="FootnoteText"/>
      </w:pPr>
      <w:r>
        <w:rPr>
          <w:rStyle w:val="FootnoteReference"/>
        </w:rPr>
        <w:footnoteRef/>
      </w:r>
      <w:r>
        <w:t xml:space="preserve"> </w:t>
      </w:r>
      <w:r w:rsidR="00EA47CE">
        <w:t>Edge, P.W., 2017. Religion and law: An introduction. Routledge.</w:t>
      </w:r>
    </w:p>
  </w:footnote>
  <w:footnote w:id="6">
    <w:p w14:paraId="6655CC5B" w14:textId="305A33E2" w:rsidR="00EA47CE" w:rsidRDefault="00EA47CE">
      <w:pPr>
        <w:pStyle w:val="FootnoteText"/>
      </w:pPr>
      <w:r>
        <w:rPr>
          <w:rStyle w:val="FootnoteReference"/>
        </w:rPr>
        <w:footnoteRef/>
      </w:r>
      <w:r>
        <w:t xml:space="preserve"> </w:t>
      </w:r>
      <w:r w:rsidR="00620168">
        <w:t>Arweck, E. ed., 2016. Young people's attitudes to religious diversity. Routledge.</w:t>
      </w:r>
    </w:p>
  </w:footnote>
  <w:footnote w:id="7">
    <w:p w14:paraId="0FD27DC7" w14:textId="42B803A1" w:rsidR="00EB6C45" w:rsidRDefault="00EB6C45">
      <w:pPr>
        <w:pStyle w:val="FootnoteText"/>
      </w:pPr>
      <w:r>
        <w:rPr>
          <w:rStyle w:val="FootnoteReference"/>
        </w:rPr>
        <w:footnoteRef/>
      </w:r>
      <w:r>
        <w:t xml:space="preserve"> </w:t>
      </w:r>
      <w:r w:rsidR="00176867">
        <w:t>Levine, D.H., 2014. Religion and politics in Latin America: The catholic church in Venezuela &amp; Colombia (Vol. 52). Princeton University Press.</w:t>
      </w:r>
    </w:p>
  </w:footnote>
  <w:footnote w:id="8">
    <w:p w14:paraId="013C4975" w14:textId="39781F9D" w:rsidR="00031F8B" w:rsidRDefault="00031F8B">
      <w:pPr>
        <w:pStyle w:val="FootnoteText"/>
      </w:pPr>
      <w:r>
        <w:rPr>
          <w:rStyle w:val="FootnoteReference"/>
        </w:rPr>
        <w:footnoteRef/>
      </w:r>
      <w:r>
        <w:t xml:space="preserve"> Locke, K.A., 2016. The Church in Anglican Theology: A Historical, Theological and Ecumenical Exploration. Routledge.</w:t>
      </w:r>
    </w:p>
  </w:footnote>
  <w:footnote w:id="9">
    <w:p w14:paraId="37F2DFE1" w14:textId="3EB53300" w:rsidR="00857319" w:rsidRDefault="00857319">
      <w:pPr>
        <w:pStyle w:val="FootnoteText"/>
      </w:pPr>
      <w:r>
        <w:rPr>
          <w:rStyle w:val="FootnoteReference"/>
        </w:rPr>
        <w:footnoteRef/>
      </w:r>
      <w:r>
        <w:t xml:space="preserve"> Cornelio, J.S., 2016. Being Catholic in the contemporary Philippines: Young people reinterpreting religion. Routledge</w:t>
      </w:r>
    </w:p>
  </w:footnote>
  <w:footnote w:id="10">
    <w:p w14:paraId="3139641E" w14:textId="4C5D6CED" w:rsidR="00A01409" w:rsidRDefault="00542255">
      <w:pPr>
        <w:pStyle w:val="FootnoteText"/>
      </w:pPr>
      <w:r>
        <w:rPr>
          <w:rStyle w:val="FootnoteReference"/>
        </w:rPr>
        <w:footnoteRef/>
      </w:r>
      <w:r>
        <w:t xml:space="preserve"> </w:t>
      </w:r>
      <w:r w:rsidR="00300959">
        <w:t>Burr, N.R., 2015. Critical Bibliography of Religion in America, Volume IV, parts 3, 4, and 5 (Vol. 2033). Princeton University Press.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41D5F" w14:textId="77777777" w:rsidR="00CD0BBF" w:rsidRPr="00CD0BBF" w:rsidRDefault="00245C45" w:rsidP="00205C65">
    <w:pPr>
      <w:pStyle w:val="Header"/>
      <w:tabs>
        <w:tab w:val="clear" w:pos="4513"/>
        <w:tab w:val="left" w:pos="5060"/>
      </w:tabs>
      <w:rPr>
        <w:rFonts w:cstheme="minorHAnsi"/>
      </w:rPr>
    </w:pPr>
    <w:r w:rsidRPr="00CD0BBF">
      <w:rPr>
        <w:rFonts w:cstheme="minorHAnsi"/>
      </w:rPr>
      <w:t xml:space="preserve">Pavlina Balazova </w:t>
    </w:r>
  </w:p>
  <w:p w14:paraId="0F988145" w14:textId="0ABE7D2F" w:rsidR="00245C45" w:rsidRDefault="00CD0BBF" w:rsidP="00205C65">
    <w:pPr>
      <w:pStyle w:val="Header"/>
      <w:tabs>
        <w:tab w:val="clear" w:pos="4513"/>
        <w:tab w:val="left" w:pos="5060"/>
      </w:tabs>
    </w:pPr>
    <w:r w:rsidRPr="00CD0BBF">
      <w:rPr>
        <w:rFonts w:cstheme="minorHAnsi"/>
        <w:color w:val="050505"/>
        <w:highlight w:val="lightGray"/>
        <w:shd w:val="clear" w:color="auto" w:fill="F0F0F0"/>
      </w:rPr>
      <w:t>2319901</w:t>
    </w:r>
    <w:r w:rsidR="00245C45">
      <w:tab/>
      <w:t>19/</w:t>
    </w:r>
    <w:r w:rsidR="00205C65">
      <w:t>11/23</w:t>
    </w:r>
    <w:r w:rsidR="00205C65">
      <w:tab/>
      <w:t>Jane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5B0"/>
    <w:rsid w:val="00031F8B"/>
    <w:rsid w:val="000A48D0"/>
    <w:rsid w:val="000D000F"/>
    <w:rsid w:val="001355DE"/>
    <w:rsid w:val="001551E6"/>
    <w:rsid w:val="00165166"/>
    <w:rsid w:val="00176867"/>
    <w:rsid w:val="001C15B0"/>
    <w:rsid w:val="00205C65"/>
    <w:rsid w:val="00245C45"/>
    <w:rsid w:val="002B44D8"/>
    <w:rsid w:val="00300959"/>
    <w:rsid w:val="003E5BF5"/>
    <w:rsid w:val="00542255"/>
    <w:rsid w:val="00620168"/>
    <w:rsid w:val="006426C5"/>
    <w:rsid w:val="00646B5F"/>
    <w:rsid w:val="00684F79"/>
    <w:rsid w:val="006D6766"/>
    <w:rsid w:val="00702E18"/>
    <w:rsid w:val="00777599"/>
    <w:rsid w:val="007A7476"/>
    <w:rsid w:val="007E647B"/>
    <w:rsid w:val="00857319"/>
    <w:rsid w:val="00911E3C"/>
    <w:rsid w:val="00931375"/>
    <w:rsid w:val="009C4DBF"/>
    <w:rsid w:val="009D7121"/>
    <w:rsid w:val="00A01409"/>
    <w:rsid w:val="00A37A5D"/>
    <w:rsid w:val="00A6541F"/>
    <w:rsid w:val="00AF4865"/>
    <w:rsid w:val="00B23C04"/>
    <w:rsid w:val="00B537E4"/>
    <w:rsid w:val="00CC7B10"/>
    <w:rsid w:val="00CD0BBF"/>
    <w:rsid w:val="00D01BF5"/>
    <w:rsid w:val="00D20603"/>
    <w:rsid w:val="00E04F89"/>
    <w:rsid w:val="00EA47CE"/>
    <w:rsid w:val="00EB0A51"/>
    <w:rsid w:val="00EB6C45"/>
    <w:rsid w:val="00F80038"/>
    <w:rsid w:val="00FA3FE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07DEE"/>
  <w15:chartTrackingRefBased/>
  <w15:docId w15:val="{575DD9BA-E815-4587-88EB-E8B2D8C81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C45"/>
    <w:rPr>
      <w:noProof/>
    </w:rPr>
  </w:style>
  <w:style w:type="paragraph" w:styleId="Footer">
    <w:name w:val="footer"/>
    <w:basedOn w:val="Normal"/>
    <w:link w:val="FooterChar"/>
    <w:uiPriority w:val="99"/>
    <w:unhideWhenUsed/>
    <w:rsid w:val="00245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C45"/>
    <w:rPr>
      <w:noProof/>
    </w:rPr>
  </w:style>
  <w:style w:type="paragraph" w:styleId="FootnoteText">
    <w:name w:val="footnote text"/>
    <w:basedOn w:val="Normal"/>
    <w:link w:val="FootnoteTextChar"/>
    <w:uiPriority w:val="99"/>
    <w:semiHidden/>
    <w:unhideWhenUsed/>
    <w:rsid w:val="006D67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6766"/>
    <w:rPr>
      <w:noProof/>
      <w:sz w:val="20"/>
      <w:szCs w:val="20"/>
    </w:rPr>
  </w:style>
  <w:style w:type="character" w:styleId="FootnoteReference">
    <w:name w:val="footnote reference"/>
    <w:basedOn w:val="DefaultParagraphFont"/>
    <w:uiPriority w:val="99"/>
    <w:semiHidden/>
    <w:unhideWhenUsed/>
    <w:rsid w:val="006D676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BB5ED-0943-40F2-8FD1-16F049AEF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1251</Words>
  <Characters>7133</Characters>
  <Application>Microsoft Office Word</Application>
  <DocSecurity>0</DocSecurity>
  <Lines>59</Lines>
  <Paragraphs>16</Paragraphs>
  <ScaleCrop>false</ScaleCrop>
  <Company/>
  <LinksUpToDate>false</LinksUpToDate>
  <CharactersWithSpaces>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Balazova</dc:creator>
  <cp:keywords/>
  <dc:description/>
  <cp:lastModifiedBy>Jan Balogh</cp:lastModifiedBy>
  <cp:revision>3</cp:revision>
  <dcterms:created xsi:type="dcterms:W3CDTF">2023-11-23T22:53:00Z</dcterms:created>
  <dcterms:modified xsi:type="dcterms:W3CDTF">2023-11-23T23:00:00Z</dcterms:modified>
</cp:coreProperties>
</file>