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C0A9B3" w14:textId="18462549" w:rsidR="00FE6EE1" w:rsidRPr="00DA020D" w:rsidRDefault="00D34D24" w:rsidP="009503A0">
      <w:pPr>
        <w:jc w:val="center"/>
        <w:rPr>
          <w:b/>
          <w:bCs/>
          <w:sz w:val="32"/>
          <w:szCs w:val="28"/>
        </w:rPr>
      </w:pPr>
      <w:r w:rsidRPr="009503A0">
        <w:rPr>
          <w:b/>
          <w:bCs/>
          <w:sz w:val="32"/>
          <w:szCs w:val="28"/>
        </w:rPr>
        <w:t>Module</w:t>
      </w:r>
      <w:r w:rsidR="009503A0">
        <w:rPr>
          <w:b/>
          <w:bCs/>
          <w:sz w:val="32"/>
          <w:szCs w:val="28"/>
        </w:rPr>
        <w:t xml:space="preserve"> Subject</w:t>
      </w:r>
      <w:r w:rsidRPr="009503A0">
        <w:rPr>
          <w:b/>
          <w:bCs/>
          <w:sz w:val="32"/>
          <w:szCs w:val="28"/>
        </w:rPr>
        <w:t>:</w:t>
      </w:r>
      <w:r w:rsidR="00DA020D">
        <w:rPr>
          <w:b/>
          <w:bCs/>
          <w:sz w:val="32"/>
          <w:szCs w:val="28"/>
          <w:lang w:val="bg-BG"/>
        </w:rPr>
        <w:t xml:space="preserve"> </w:t>
      </w:r>
      <w:r w:rsidR="00DA020D">
        <w:rPr>
          <w:b/>
          <w:bCs/>
          <w:sz w:val="32"/>
          <w:szCs w:val="28"/>
        </w:rPr>
        <w:t>Management Accounting</w:t>
      </w:r>
    </w:p>
    <w:p w14:paraId="296FF6E4" w14:textId="2C09F427" w:rsidR="00D34D24" w:rsidRDefault="00D34D24" w:rsidP="009503A0">
      <w:pPr>
        <w:jc w:val="center"/>
        <w:rPr>
          <w:b/>
          <w:bCs/>
          <w:sz w:val="32"/>
          <w:szCs w:val="28"/>
        </w:rPr>
      </w:pPr>
    </w:p>
    <w:p w14:paraId="42190C57" w14:textId="55FB4E6E" w:rsidR="009503A0" w:rsidRDefault="009503A0" w:rsidP="009503A0">
      <w:pPr>
        <w:jc w:val="center"/>
        <w:rPr>
          <w:b/>
          <w:bCs/>
          <w:sz w:val="32"/>
          <w:szCs w:val="28"/>
        </w:rPr>
      </w:pPr>
    </w:p>
    <w:p w14:paraId="24FCB039" w14:textId="77777777" w:rsidR="009503A0" w:rsidRPr="009503A0" w:rsidRDefault="009503A0" w:rsidP="009503A0">
      <w:pPr>
        <w:jc w:val="center"/>
        <w:rPr>
          <w:b/>
          <w:bCs/>
          <w:sz w:val="32"/>
          <w:szCs w:val="28"/>
        </w:rPr>
      </w:pPr>
    </w:p>
    <w:p w14:paraId="339746D1" w14:textId="716F97B8" w:rsidR="00D34D24" w:rsidRPr="009503A0" w:rsidRDefault="00D34D24" w:rsidP="009503A0">
      <w:pPr>
        <w:jc w:val="center"/>
        <w:rPr>
          <w:b/>
          <w:bCs/>
          <w:sz w:val="32"/>
          <w:szCs w:val="28"/>
        </w:rPr>
      </w:pPr>
      <w:r w:rsidRPr="009503A0">
        <w:rPr>
          <w:b/>
          <w:bCs/>
          <w:sz w:val="32"/>
          <w:szCs w:val="28"/>
        </w:rPr>
        <w:t>Student ID:</w:t>
      </w:r>
      <w:r w:rsidR="00DA020D">
        <w:rPr>
          <w:b/>
          <w:bCs/>
          <w:sz w:val="32"/>
          <w:szCs w:val="28"/>
        </w:rPr>
        <w:t xml:space="preserve"> 1813735</w:t>
      </w:r>
    </w:p>
    <w:p w14:paraId="31E58C46" w14:textId="1E65DFA8" w:rsidR="00D34D24" w:rsidRPr="009503A0" w:rsidRDefault="00D34D24" w:rsidP="009503A0">
      <w:pPr>
        <w:jc w:val="center"/>
        <w:rPr>
          <w:b/>
          <w:bCs/>
          <w:sz w:val="32"/>
          <w:szCs w:val="28"/>
        </w:rPr>
      </w:pPr>
      <w:r w:rsidRPr="009503A0">
        <w:rPr>
          <w:b/>
          <w:bCs/>
          <w:sz w:val="32"/>
          <w:szCs w:val="28"/>
        </w:rPr>
        <w:t>Student Name:</w:t>
      </w:r>
      <w:r w:rsidR="00E20333">
        <w:rPr>
          <w:b/>
          <w:bCs/>
          <w:sz w:val="32"/>
          <w:szCs w:val="28"/>
        </w:rPr>
        <w:t xml:space="preserve"> Kalina Koycheva</w:t>
      </w:r>
    </w:p>
    <w:p w14:paraId="4E13CD69" w14:textId="35D905B1" w:rsidR="00D34D24" w:rsidRDefault="00D34D24"/>
    <w:p w14:paraId="61BC2AD8" w14:textId="0AC48E9E" w:rsidR="00D34D24" w:rsidRDefault="00D34D24"/>
    <w:p w14:paraId="319FF753" w14:textId="60E00045" w:rsidR="00D34D24" w:rsidRDefault="00D34D24"/>
    <w:p w14:paraId="0C773E19" w14:textId="5595EF31" w:rsidR="00D34D24" w:rsidRDefault="00D34D24"/>
    <w:p w14:paraId="740607C9" w14:textId="266593D2" w:rsidR="00D34D24" w:rsidRDefault="00D34D24"/>
    <w:p w14:paraId="21E4A50D" w14:textId="5B9C9B51" w:rsidR="00D34D24" w:rsidRDefault="00D34D24"/>
    <w:p w14:paraId="21FF6A17" w14:textId="5E95AAE7" w:rsidR="00D34D24" w:rsidRDefault="00D34D24"/>
    <w:p w14:paraId="2ECA42C0" w14:textId="206F89A2" w:rsidR="00D34D24" w:rsidRDefault="00D34D24"/>
    <w:p w14:paraId="71FFC312" w14:textId="7BEB84B8" w:rsidR="00D34D24" w:rsidRDefault="00D34D24"/>
    <w:p w14:paraId="154F785D" w14:textId="24C94275" w:rsidR="00D34D24" w:rsidRDefault="00D34D24"/>
    <w:p w14:paraId="58073E98" w14:textId="28F940FC" w:rsidR="00D34D24" w:rsidRDefault="00D34D24"/>
    <w:p w14:paraId="7D3ECF5F" w14:textId="6DA668D1" w:rsidR="00D34D24" w:rsidRDefault="00D34D24"/>
    <w:p w14:paraId="24101D21" w14:textId="193A3091" w:rsidR="00D34D24" w:rsidRDefault="00D34D24"/>
    <w:p w14:paraId="6865D947" w14:textId="264D783F" w:rsidR="00D34D24" w:rsidRDefault="00D34D24"/>
    <w:p w14:paraId="050AE19B" w14:textId="7E5D8ED8" w:rsidR="00D34D24" w:rsidRDefault="00D34D24"/>
    <w:p w14:paraId="663E0348" w14:textId="77777777" w:rsidR="009503A0" w:rsidRDefault="009503A0"/>
    <w:p w14:paraId="2969AE8E" w14:textId="565A4631" w:rsidR="00D34D24" w:rsidRDefault="00D34D24"/>
    <w:p w14:paraId="6043A003" w14:textId="1D5E879B" w:rsidR="00D34D24" w:rsidRDefault="00D34D24"/>
    <w:p w14:paraId="4E850A18" w14:textId="60E10AD1" w:rsidR="00D34D24" w:rsidRDefault="00D34D24"/>
    <w:p w14:paraId="5D19078D" w14:textId="2443A622" w:rsidR="00D34D24" w:rsidRDefault="00D34D24"/>
    <w:p w14:paraId="041CDC3A" w14:textId="77777777" w:rsidR="006E5556" w:rsidRDefault="006E5556" w:rsidP="009503A0">
      <w:pPr>
        <w:pStyle w:val="Heading1"/>
      </w:pPr>
      <w:r>
        <w:lastRenderedPageBreak/>
        <w:t>Introduction</w:t>
      </w:r>
    </w:p>
    <w:p w14:paraId="6239624D" w14:textId="77777777" w:rsidR="006E5556" w:rsidRDefault="006E5556" w:rsidP="006E5556">
      <w:r>
        <w:t>According to Gond, Grubnic, Herzig and Moon (2012), the current business venture faces real difficulties due to the elements of the modern business sector. Modern associations need to be deeply involved in case they collide with the elements and the promotion of planning in terms of ranking, and similarly gives a variety of measures in the accounting of the administration. Some of these planning measures are useful in ensuring that supervisors are held accountable for the company's exposure. The financial plan is usually characterized as extended quantitative plans by the administration for the approaching time frame. Others characterize the cost plan as a bunch of projected results that result from organized movement (Moynihan and Lavertu, 2012).</w:t>
      </w:r>
    </w:p>
    <w:p w14:paraId="4E7D1DE1" w14:textId="77777777" w:rsidR="006E5556" w:rsidRDefault="006E5556" w:rsidP="006E5556">
      <w:r>
        <w:t>Financial plans are in most cases both for purposes for which there is a constant conflict over the organization and implementation of evaluations. There are suggestions made by the economic hypothesis that different financial plans should be used for conflicts, something that exceptionally denies some of the confirmations that the association does not do so (Moynihan and Lavertu 2012). It would be extremely critical to see whether it will be possible to use a single cost plan for both ordering and performance evaluations or whether there is a need to invent costs that tend to rank a unique task and make similarly with performance appraisal (Zheng and Sakellariou 2013).</w:t>
      </w:r>
    </w:p>
    <w:p w14:paraId="30F02EE2" w14:textId="77777777" w:rsidR="006E5556" w:rsidRDefault="006E5556" w:rsidP="009503A0">
      <w:pPr>
        <w:pStyle w:val="Heading1"/>
      </w:pPr>
      <w:r>
        <w:t>Overview of Budgeting</w:t>
      </w:r>
    </w:p>
    <w:p w14:paraId="09436E65" w14:textId="77777777" w:rsidR="006E5556" w:rsidRDefault="006E5556" w:rsidP="006E5556">
      <w:r>
        <w:t>The planning cycle collaborates with research measures in two important ways. The main way is that the exchange of data that are accounting and those that are not between those engaged in the tasks is carried out during the cost cycle. The relocated data helps to determine the plan for setting up the company (de Azevedo, de Oliveira, Ensslin, Jungles and Ensslin 2012). The next way is that the costs help to reflect the establishment plan and as such are used for completion as a benchmark for performance evaluation. Additional data are derived from the investigation of deviations and tend to be valuable in determining the subsequent establishment plan (Schick 2014). Financial plans are usually drawn up at each level of association with the expert expenditure plan, which is characterized as a general monetary agreement for a predetermined period, reflecting the objectives and objectives of an association. Within the expert spending plan, there are plans for operating and monetary expenses, with operating expenses demonstrating the organization's agreed transactions along with its operating expenses, while monetary planning shows monetary plans that include hiring, receiving, and cash on board (Arnold, 2014).</w:t>
      </w:r>
    </w:p>
    <w:p w14:paraId="7AEEC772" w14:textId="77777777" w:rsidR="006E5556" w:rsidRDefault="006E5556" w:rsidP="009503A0">
      <w:pPr>
        <w:pStyle w:val="Heading2"/>
      </w:pPr>
      <w:r>
        <w:t>Management planning and costs</w:t>
      </w:r>
    </w:p>
    <w:p w14:paraId="35664771" w14:textId="77777777" w:rsidR="006E5556" w:rsidRDefault="006E5556" w:rsidP="006E5556">
      <w:r>
        <w:t xml:space="preserve">The work that is done through persuasive planning in the administration of any association can best be perceived when it relates to the cost bases of managers. The basis of board costs is to ensure that assets are ideally allocated and that the </w:t>
      </w:r>
      <w:r>
        <w:lastRenderedPageBreak/>
        <w:t>association is positioned with the ultimate goal of remaining productive (Hope and Fraser 2013).</w:t>
      </w:r>
    </w:p>
    <w:p w14:paraId="2FCF8A9A" w14:textId="77777777" w:rsidR="006E5556" w:rsidRDefault="006E5556" w:rsidP="009503A0">
      <w:pPr>
        <w:pStyle w:val="Heading2"/>
      </w:pPr>
      <w:r>
        <w:t>Arrangement as a planning role</w:t>
      </w:r>
    </w:p>
    <w:p w14:paraId="52492E22" w14:textId="00FFB474" w:rsidR="00D34D24" w:rsidRDefault="006E5556" w:rsidP="006E5556">
      <w:r>
        <w:t>Planning is done constantly and is done to take the hierarchical order, which includes goals and objectives, which are then evaluated in a more substantial way. Through the cost plan, the association is able to plan courses through which assets will be acquired or used in order to achieve prices on board (Stergren and Stensaker 2011). In general, planning is seen as a means of assessing performance, but this is not correct, as the financial plan is further central to deciding on a future monetary agreement by assessing future revenue and expenditure assumptions (Mertens and Wilson 2012). . The board accountant is very concerned about the level at which organizational costs are for managers. They will constantly have to come up with an in-depth agreement on the most experienced method in order to obtain the necessary assets to create and how to deliver the items at a significantly more controlled cost. The solitary way that should be possible is by accumulating costs that capture the assets needed to meet the organization's impartial goals, along with potential costs. It is well known that ranking involves inventing both monetary and non-financial natural factors that businesses may not have the ability to control. In administrative accounting, the main concern is to ensure the recognition of the objectives of the presentation (DRURY 2013).</w:t>
      </w:r>
    </w:p>
    <w:p w14:paraId="0E8BF793" w14:textId="77777777" w:rsidR="006E5556" w:rsidRDefault="006E5556" w:rsidP="006E5556">
      <w:r>
        <w:t>At the moment when the state-owned organization TT creates two toy vehicles, an adaptive financial plan is prepared for the hardware division with a point for forecasting the costs for the office in accounting as an element of the level of operation of the company. At this point, accountants verify earlier results that help the office determine the relationship between actions and costs (Bedford 2015). Movement, which is an asset to be exclusively related to costs, is constantly seen as a cost engine. The Council is able to use a cost plan to formally express the objectives and objectives of its presentation in monetary terms over a period of time. The administration constantly needs to use a shared factor to deliver its agreement, which is permanently in dollars. The division of the promotion is relied upon when devising plans that are reduced to the financial plan of the transactions and the cost plans for advertising expenses, which are created at the same time. Similarly, each office in an association is expected to invent its own monetary arrangements (Arnold and Gillenkirch 2015). Coordinating the relative number of exercises of a hierarchical tool is extremely important for arranging the expert expenditure plan. Monetary needs, income plans, resource requirements and agreed needs are appropriately included in the expert financial plan. All the exercises that the directors of the association rely on are similarly coordinated in this cost plan. Upon successful coordination, the supervisor's arrangements are translated in accordance with the set of destinations of the companies.</w:t>
      </w:r>
    </w:p>
    <w:p w14:paraId="2AA58BD5" w14:textId="77777777" w:rsidR="006E5556" w:rsidRDefault="006E5556" w:rsidP="006E5556">
      <w:r>
        <w:t xml:space="preserve">The financial plans are equipped to give directors a much more logical commitment to the ongoing need for consistent compliance with budgetary guidelines. This </w:t>
      </w:r>
      <w:r>
        <w:lastRenderedPageBreak/>
        <w:t>should not be seen as an unnecessary burden on the grounds that if this is not done, then the organization's corporate presence may be threatened by rising costs, which could lead to job losses and redundancies. Planning thus becomes the most useful device that businesses can use to give an approach. Planning offers a course of action that is valuable in stretched business activities, just like everyday tasks. An appropriately coordinated plan of expenses by the company can be useful for the business in terms of achieving its goals and as such become more useful and manage entirely through cash. When drawing up a spending plan, tidying up is one of the first things that comes to mind, as it needs to be paid close attention to.</w:t>
      </w:r>
    </w:p>
    <w:p w14:paraId="2BF24485" w14:textId="77777777" w:rsidR="006E5556" w:rsidRDefault="006E5556" w:rsidP="009503A0">
      <w:pPr>
        <w:pStyle w:val="Heading2"/>
      </w:pPr>
      <w:r>
        <w:t>Performance evaluation as budget work</w:t>
      </w:r>
    </w:p>
    <w:p w14:paraId="6CBA65E8" w14:textId="083B6981" w:rsidR="006E5556" w:rsidRDefault="006E5556" w:rsidP="006E5556">
      <w:r>
        <w:t>The exhibition of each director is evaluated in most cases by evaluating the achievements in the collection of financial plans. Most associations provide rewards for the employee's ability to achieve the goal described in the recurring cost plans, but can sometimes rely halfway on the administrator's exhibition. Spending plans are seen as an extremely useful way for supervisors to learn how best to cope, as identified with achieving their own recently set goals. In the operating expenditure plan, the information functions as a norm for which the results of the supervisor or the hierarchical real unit are considered. At the moment, for example, when standard gaps, the ranking directors at the start will have only the past, for which they measure the current results. There is almost no significant evaluation of the exhibition of the organization or the manager when he is present to past correlations used insofar as this is extremely intriguing.</w:t>
      </w:r>
    </w:p>
    <w:p w14:paraId="62EED682" w14:textId="6DCEF168" w:rsidR="009503A0" w:rsidRDefault="009503A0" w:rsidP="009503A0">
      <w:r>
        <w:t>If performance appraisal is made to quantify the administrator's work capacity rather than his predictive capabilities, unpredictable or wild impacts that are tempting that occur during the spending period must be eliminated (Frezatti, Aguiar, Guerreiro and Gouvea, 2011). Some of the wild climatic factors include changes that are happening in the direction of public authorities, shortcomings, shocks in the work or simply an increase in the cost of raw materials, which is not expected. The part of the evaluation cost plan contains the assistance that the financial plan receives from other components of administrative control. In this way, costs are filled as an extremely important standard used in the evaluation, but still face the disclosure arrangement when providing information on the specific results to be evaluated above the norm. Developed from a financial plan as a method of completing a performance appraisal, it similarly affects people's behavior. Subsequently, the financial plan can be considered successful in terms of the completion of those made by evaluating the performance of the association's presentation or the boss (Arnold and Gillenkirch 2015). It is essential that the performance assessment be taken into account when drawing up the hierarchical financial plan.</w:t>
      </w:r>
    </w:p>
    <w:p w14:paraId="371010B4" w14:textId="77777777" w:rsidR="009503A0" w:rsidRDefault="009503A0" w:rsidP="009503A0"/>
    <w:p w14:paraId="7FA836CE" w14:textId="77777777" w:rsidR="009503A0" w:rsidRDefault="009503A0" w:rsidP="009503A0">
      <w:pPr>
        <w:pStyle w:val="Heading1"/>
      </w:pPr>
      <w:r>
        <w:lastRenderedPageBreak/>
        <w:t>Conclusion</w:t>
      </w:r>
    </w:p>
    <w:p w14:paraId="0F0170B3" w14:textId="2EC16025" w:rsidR="00D34D24" w:rsidRDefault="009503A0" w:rsidP="009503A0">
      <w:r>
        <w:t>Modern associations need to be included as an exception in order to confront the elements and reasons for planning in terms of negotiation, and similarly give a variety of measures in administrative accounting. Some of these planning measures are helpful in ensuring that supervisors are held accountable for the company's performance. There are two important courses through which a cost plan communicates with an activity. The main way is that the exchange of data that are based on accounting and those that are not with those related to the tasks is carried out during the cost cycle.</w:t>
      </w:r>
    </w:p>
    <w:p w14:paraId="4B923399" w14:textId="42D24B59" w:rsidR="009503A0" w:rsidRDefault="009503A0" w:rsidP="009503A0"/>
    <w:p w14:paraId="18A17C36" w14:textId="0626E628" w:rsidR="009503A0" w:rsidRDefault="009503A0" w:rsidP="009503A0"/>
    <w:p w14:paraId="1D584B66" w14:textId="5F514ABD" w:rsidR="009503A0" w:rsidRDefault="009503A0" w:rsidP="009503A0"/>
    <w:p w14:paraId="4CAD27D3" w14:textId="29DDAA76" w:rsidR="009503A0" w:rsidRDefault="009503A0" w:rsidP="009503A0"/>
    <w:p w14:paraId="37E13E6B" w14:textId="572468A2" w:rsidR="009503A0" w:rsidRDefault="009503A0" w:rsidP="009503A0"/>
    <w:p w14:paraId="2ACEFFEC" w14:textId="623CB7E1" w:rsidR="009503A0" w:rsidRDefault="009503A0" w:rsidP="009503A0"/>
    <w:p w14:paraId="4E6726F4" w14:textId="664E2DEA" w:rsidR="009503A0" w:rsidRDefault="009503A0" w:rsidP="009503A0"/>
    <w:p w14:paraId="60444A97" w14:textId="36EE61DE" w:rsidR="009503A0" w:rsidRDefault="009503A0" w:rsidP="009503A0"/>
    <w:p w14:paraId="722D4169" w14:textId="4D334916" w:rsidR="009503A0" w:rsidRDefault="009503A0" w:rsidP="009503A0"/>
    <w:p w14:paraId="4387B938" w14:textId="48D96638" w:rsidR="009503A0" w:rsidRDefault="009503A0" w:rsidP="009503A0"/>
    <w:p w14:paraId="57335A1E" w14:textId="681520B0" w:rsidR="009503A0" w:rsidRDefault="009503A0" w:rsidP="009503A0"/>
    <w:p w14:paraId="0D940071" w14:textId="01E1B63D" w:rsidR="009503A0" w:rsidRDefault="009503A0" w:rsidP="009503A0"/>
    <w:p w14:paraId="4B18E4B4" w14:textId="150A9D1F" w:rsidR="009503A0" w:rsidRDefault="009503A0" w:rsidP="009503A0"/>
    <w:p w14:paraId="533A5C91" w14:textId="00FE0A42" w:rsidR="009503A0" w:rsidRDefault="009503A0" w:rsidP="009503A0"/>
    <w:p w14:paraId="2CDC48D0" w14:textId="19E22E4E" w:rsidR="009503A0" w:rsidRDefault="009503A0" w:rsidP="009503A0"/>
    <w:p w14:paraId="1517240B" w14:textId="33CE7095" w:rsidR="009503A0" w:rsidRDefault="009503A0" w:rsidP="009503A0"/>
    <w:p w14:paraId="11C1D744" w14:textId="546C0057" w:rsidR="009503A0" w:rsidRDefault="009503A0" w:rsidP="009503A0"/>
    <w:p w14:paraId="4E55E761" w14:textId="509A4742" w:rsidR="009503A0" w:rsidRDefault="009503A0" w:rsidP="009503A0"/>
    <w:p w14:paraId="49AC92B5" w14:textId="7C84FA86" w:rsidR="009503A0" w:rsidRDefault="009503A0" w:rsidP="009503A0"/>
    <w:p w14:paraId="148BDF8B" w14:textId="550B8A85" w:rsidR="009503A0" w:rsidRDefault="009503A0" w:rsidP="009503A0"/>
    <w:p w14:paraId="276A9940" w14:textId="3F85E6C5" w:rsidR="009503A0" w:rsidRDefault="009503A0" w:rsidP="009503A0"/>
    <w:p w14:paraId="0EF2E817" w14:textId="0C8B0020" w:rsidR="009503A0" w:rsidRDefault="009503A0" w:rsidP="009503A0">
      <w:pPr>
        <w:pStyle w:val="Heading1"/>
      </w:pPr>
      <w:r>
        <w:lastRenderedPageBreak/>
        <w:t>Reference List</w:t>
      </w:r>
    </w:p>
    <w:p w14:paraId="61B2D29C" w14:textId="77777777" w:rsidR="009503A0" w:rsidRDefault="009503A0" w:rsidP="009503A0"/>
    <w:p w14:paraId="41E8D528" w14:textId="77777777" w:rsidR="009503A0" w:rsidRDefault="009503A0" w:rsidP="009503A0">
      <w:r>
        <w:t>Arnold, M C 2014, ‘The Effect of Superiors' Exogenous Constraints on Budget Negotiations. The Accounting Review, 90(1), 31-57.</w:t>
      </w:r>
    </w:p>
    <w:p w14:paraId="1C46376D" w14:textId="77777777" w:rsidR="009503A0" w:rsidRDefault="009503A0" w:rsidP="009503A0">
      <w:r>
        <w:t xml:space="preserve">Arnold, MC &amp; Gillenkirch, RM 2015, 'Using negotiated budgets for planning and performance evaluation: An experimental study', Accounting, Organizations and Society, vol. 43, pp. 1-16. </w:t>
      </w:r>
    </w:p>
    <w:p w14:paraId="4CC9068C" w14:textId="77777777" w:rsidR="009503A0" w:rsidRDefault="009503A0" w:rsidP="009503A0">
      <w:r>
        <w:t xml:space="preserve">Bedford, D S, 2015, ‘Management control systems across different modes of innovation: Implications for firm performance,’ Management Accounting Research. </w:t>
      </w:r>
    </w:p>
    <w:p w14:paraId="570CFA4E" w14:textId="77777777" w:rsidR="009503A0" w:rsidRDefault="009503A0" w:rsidP="009503A0">
      <w:r>
        <w:t>de Azevedo, RC de Oliveira Lacerda, R T, Ensslin, L, Jungles, AE &amp; Ensslin, S R, 2012, ‘Performance measurement to aid decision making in the budgeting process for apartment-building construction: case study using MCDA-C,’ Journal of Construction Engineering and Management, 139(2), 225-235.</w:t>
      </w:r>
    </w:p>
    <w:p w14:paraId="27EB6D2F" w14:textId="77777777" w:rsidR="009503A0" w:rsidRDefault="009503A0" w:rsidP="009503A0">
      <w:r>
        <w:t>DRURY, C M, 2013, Management and cost accounting. Springer.</w:t>
      </w:r>
    </w:p>
    <w:p w14:paraId="0DC87EAA" w14:textId="77777777" w:rsidR="009503A0" w:rsidRDefault="009503A0" w:rsidP="009503A0">
      <w:r>
        <w:t>Frezatti, F Aguiar, A. B Guerreiro, R &amp; Gouvea, A, 2011 ‘Does management accounting play role in planning process?. Journal of Business Research, 64(3), 242-249.</w:t>
      </w:r>
    </w:p>
    <w:p w14:paraId="5FB00A63" w14:textId="77777777" w:rsidR="009503A0" w:rsidRDefault="009503A0" w:rsidP="009503A0">
      <w:r>
        <w:t>Gond, JP Grubnic, S Herzig, C &amp; Moon J, 2012, ‘Configuring management control systems: Theorizing the integration of strategy and sustainability,’ Management Accounting Research, 23(3), 205-223.</w:t>
      </w:r>
    </w:p>
    <w:p w14:paraId="7F8B4E81" w14:textId="77777777" w:rsidR="009503A0" w:rsidRDefault="009503A0" w:rsidP="009503A0">
      <w:r>
        <w:t>Hope, J &amp; Fraser, R 2013, Beyond budgeting: how managers can break free from the annual performance trap, Harvard Business Press.</w:t>
      </w:r>
    </w:p>
    <w:p w14:paraId="1E4FA333" w14:textId="77777777" w:rsidR="009503A0" w:rsidRDefault="009503A0" w:rsidP="009503A0">
      <w:r>
        <w:t>Leauby, B. A., &amp; Wentzel, K 2012, ‘Linking Management Accounting and Finance: Assessing Student Perceptions,’ Management Accounting Quarterly, 13(2), 14.</w:t>
      </w:r>
    </w:p>
    <w:p w14:paraId="7034AA93" w14:textId="77777777" w:rsidR="009503A0" w:rsidRDefault="009503A0" w:rsidP="009503A0">
      <w:r>
        <w:t>Mertens, DM &amp; Wilson, A T, 2012, Program evaluation theory and practice: A comprehensive guide. Guilford Press.</w:t>
      </w:r>
    </w:p>
    <w:p w14:paraId="2F80BB72" w14:textId="77777777" w:rsidR="009503A0" w:rsidRDefault="009503A0" w:rsidP="009503A0">
      <w:r>
        <w:t>Moynihan, D. P., &amp; Lavertu, S 2012, ‘Does involvement in performance management routines encourage performance information use?’ Evaluating GPRA and PART, Public Administration Review, 72(4), 592-602.</w:t>
      </w:r>
    </w:p>
    <w:p w14:paraId="78A3C992" w14:textId="77777777" w:rsidR="009503A0" w:rsidRDefault="009503A0" w:rsidP="009503A0">
      <w:r>
        <w:t>Schick, A 2014, ‘The metamorphoses of performance budgeting,’ OECD Journal on Budgeting, 13(2), 49-79.</w:t>
      </w:r>
    </w:p>
    <w:p w14:paraId="3E78D8FB" w14:textId="77777777" w:rsidR="009503A0" w:rsidRDefault="009503A0" w:rsidP="009503A0">
      <w:r>
        <w:t>Stergren, K &amp; Stensaker, I 2011, ‘Management control without budgets: a field study of ‘beyond budgeting’in practice,’ European Accounting Review, 20(1), 149-181.</w:t>
      </w:r>
    </w:p>
    <w:p w14:paraId="3D28E13C" w14:textId="77777777" w:rsidR="009503A0" w:rsidRDefault="009503A0" w:rsidP="009503A0">
      <w:r>
        <w:t>Ward, K 2012, ‘Strategic management accounting. Routledge.</w:t>
      </w:r>
    </w:p>
    <w:p w14:paraId="6455A2A5" w14:textId="77777777" w:rsidR="009503A0" w:rsidRDefault="009503A0" w:rsidP="009503A0">
      <w:r>
        <w:lastRenderedPageBreak/>
        <w:t>Zheng, W &amp; Sakellariou, R, 2013, ‘Budget-deadline constrained workflow planning for admission control,’ Journal of grid computing, 11(4), 633-651.</w:t>
      </w:r>
    </w:p>
    <w:p w14:paraId="4B908133" w14:textId="444D8AB4" w:rsidR="009503A0" w:rsidRPr="009503A0" w:rsidRDefault="009503A0" w:rsidP="009503A0">
      <w:r>
        <w:t>Zimmerman, J. L., &amp; Yahya-Zadeh, M. 2011,  Accounting for decision making and control. Issues in Accounting Education, 26(1), 258-259.</w:t>
      </w:r>
    </w:p>
    <w:sectPr w:rsidR="009503A0" w:rsidRPr="009503A0">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573CF8" w14:textId="77777777" w:rsidR="002B4AC4" w:rsidRDefault="002B4AC4" w:rsidP="00D34D24">
      <w:pPr>
        <w:spacing w:after="0" w:line="240" w:lineRule="auto"/>
      </w:pPr>
      <w:r>
        <w:separator/>
      </w:r>
    </w:p>
  </w:endnote>
  <w:endnote w:type="continuationSeparator" w:id="0">
    <w:p w14:paraId="51C0C1BA" w14:textId="77777777" w:rsidR="002B4AC4" w:rsidRDefault="002B4AC4" w:rsidP="00D34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9737018"/>
      <w:docPartObj>
        <w:docPartGallery w:val="Page Numbers (Bottom of Page)"/>
        <w:docPartUnique/>
      </w:docPartObj>
    </w:sdtPr>
    <w:sdtEndPr>
      <w:rPr>
        <w:rStyle w:val="PageNumber"/>
      </w:rPr>
    </w:sdtEndPr>
    <w:sdtContent>
      <w:p w14:paraId="2A66FCF3" w14:textId="22478876" w:rsidR="00D34D24" w:rsidRDefault="00D34D24"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0BF29C" w14:textId="77777777" w:rsidR="00D34D24" w:rsidRDefault="00D34D24" w:rsidP="00D34D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3271648"/>
      <w:docPartObj>
        <w:docPartGallery w:val="Page Numbers (Bottom of Page)"/>
        <w:docPartUnique/>
      </w:docPartObj>
    </w:sdtPr>
    <w:sdtEndPr>
      <w:rPr>
        <w:rStyle w:val="PageNumber"/>
      </w:rPr>
    </w:sdtEndPr>
    <w:sdtContent>
      <w:p w14:paraId="14D5F1C2" w14:textId="6BC9C009" w:rsidR="00D34D24" w:rsidRDefault="00D34D24"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2B77D" w14:textId="77777777" w:rsidR="00D34D24" w:rsidRDefault="00D34D24" w:rsidP="00D34D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3B7C7A" w14:textId="77777777" w:rsidR="002B4AC4" w:rsidRDefault="002B4AC4" w:rsidP="00D34D24">
      <w:pPr>
        <w:spacing w:after="0" w:line="240" w:lineRule="auto"/>
      </w:pPr>
      <w:r>
        <w:separator/>
      </w:r>
    </w:p>
  </w:footnote>
  <w:footnote w:type="continuationSeparator" w:id="0">
    <w:p w14:paraId="38D305FA" w14:textId="77777777" w:rsidR="002B4AC4" w:rsidRDefault="002B4AC4" w:rsidP="00D34D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D24"/>
    <w:rsid w:val="002B4AC4"/>
    <w:rsid w:val="005433BA"/>
    <w:rsid w:val="006E5556"/>
    <w:rsid w:val="007A3D60"/>
    <w:rsid w:val="007E4CD9"/>
    <w:rsid w:val="009503A0"/>
    <w:rsid w:val="00D31962"/>
    <w:rsid w:val="00D34D24"/>
    <w:rsid w:val="00DA020D"/>
    <w:rsid w:val="00E20333"/>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AAD6"/>
  <w15:chartTrackingRefBased/>
  <w15:docId w15:val="{47EE1565-0553-D747-B44A-F3CCD43D7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503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03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4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D24"/>
    <w:rPr>
      <w:rFonts w:ascii="Arial" w:hAnsi="Arial"/>
      <w:szCs w:val="22"/>
    </w:rPr>
  </w:style>
  <w:style w:type="character" w:styleId="PageNumber">
    <w:name w:val="page number"/>
    <w:basedOn w:val="DefaultParagraphFont"/>
    <w:uiPriority w:val="99"/>
    <w:semiHidden/>
    <w:unhideWhenUsed/>
    <w:rsid w:val="00D34D24"/>
  </w:style>
  <w:style w:type="character" w:customStyle="1" w:styleId="Heading1Char">
    <w:name w:val="Heading 1 Char"/>
    <w:basedOn w:val="DefaultParagraphFont"/>
    <w:link w:val="Heading1"/>
    <w:uiPriority w:val="9"/>
    <w:rsid w:val="009503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03A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1849</Words>
  <Characters>10544</Characters>
  <Application>Microsoft Office Word</Application>
  <DocSecurity>0</DocSecurity>
  <Lines>87</Lines>
  <Paragraphs>24</Paragraphs>
  <ScaleCrop>false</ScaleCrop>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Veselina Vurgova</cp:lastModifiedBy>
  <cp:revision>4</cp:revision>
  <dcterms:created xsi:type="dcterms:W3CDTF">2021-01-05T12:43:00Z</dcterms:created>
  <dcterms:modified xsi:type="dcterms:W3CDTF">2021-01-05T17:48:00Z</dcterms:modified>
</cp:coreProperties>
</file>