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32D3A" w14:textId="77777777" w:rsidR="00EC0950" w:rsidRDefault="00EC0950" w:rsidP="00EC0950">
      <w:pPr>
        <w:jc w:val="center"/>
        <w:rPr>
          <w:b/>
          <w:bCs/>
          <w:sz w:val="32"/>
          <w:szCs w:val="32"/>
        </w:rPr>
      </w:pPr>
    </w:p>
    <w:p w14:paraId="09CF4B0F" w14:textId="77777777" w:rsidR="00EC0950" w:rsidRDefault="00EC0950" w:rsidP="00EC0950">
      <w:pPr>
        <w:jc w:val="center"/>
        <w:rPr>
          <w:b/>
          <w:bCs/>
          <w:sz w:val="32"/>
          <w:szCs w:val="32"/>
        </w:rPr>
      </w:pPr>
    </w:p>
    <w:p w14:paraId="5C51AFC2" w14:textId="77777777" w:rsidR="00EC0950" w:rsidRDefault="00EC0950" w:rsidP="00EC0950">
      <w:pPr>
        <w:jc w:val="center"/>
        <w:rPr>
          <w:b/>
          <w:bCs/>
          <w:sz w:val="32"/>
          <w:szCs w:val="32"/>
        </w:rPr>
      </w:pPr>
    </w:p>
    <w:p w14:paraId="0ED64AE9" w14:textId="77777777" w:rsidR="00EC0950" w:rsidRDefault="00EC0950" w:rsidP="00EC0950">
      <w:pPr>
        <w:jc w:val="center"/>
        <w:rPr>
          <w:b/>
          <w:bCs/>
          <w:sz w:val="32"/>
          <w:szCs w:val="32"/>
        </w:rPr>
      </w:pPr>
    </w:p>
    <w:p w14:paraId="58A42EB4" w14:textId="77777777" w:rsidR="00EC0950" w:rsidRDefault="00EC0950" w:rsidP="00EC0950">
      <w:pPr>
        <w:jc w:val="center"/>
        <w:rPr>
          <w:b/>
          <w:bCs/>
          <w:sz w:val="32"/>
          <w:szCs w:val="32"/>
        </w:rPr>
      </w:pPr>
    </w:p>
    <w:p w14:paraId="05722EF1" w14:textId="77777777" w:rsidR="00EC0950" w:rsidRDefault="00EC0950" w:rsidP="00EC0950">
      <w:pPr>
        <w:jc w:val="center"/>
        <w:rPr>
          <w:b/>
          <w:bCs/>
          <w:sz w:val="32"/>
          <w:szCs w:val="32"/>
        </w:rPr>
      </w:pPr>
    </w:p>
    <w:p w14:paraId="1FFE829F" w14:textId="77777777" w:rsidR="00EC0950" w:rsidRDefault="00EC0950" w:rsidP="00EC0950">
      <w:pPr>
        <w:jc w:val="center"/>
        <w:rPr>
          <w:b/>
          <w:bCs/>
          <w:sz w:val="32"/>
          <w:szCs w:val="32"/>
        </w:rPr>
      </w:pPr>
    </w:p>
    <w:p w14:paraId="3AFFF99D" w14:textId="01E5D4CC" w:rsidR="00EC0950" w:rsidRDefault="00EC0950" w:rsidP="00EC0950">
      <w:pPr>
        <w:jc w:val="center"/>
        <w:rPr>
          <w:b/>
          <w:bCs/>
          <w:sz w:val="32"/>
          <w:szCs w:val="32"/>
        </w:rPr>
      </w:pPr>
      <w:r w:rsidRPr="00EC0950">
        <w:rPr>
          <w:b/>
          <w:bCs/>
          <w:sz w:val="32"/>
          <w:szCs w:val="32"/>
        </w:rPr>
        <w:t>How Do Secondary Schools Enable or Constrain Students’ Post-16 Pathways within the Curriculum for Wales? A Capability Approach</w:t>
      </w:r>
      <w:r>
        <w:rPr>
          <w:b/>
          <w:bCs/>
          <w:sz w:val="32"/>
          <w:szCs w:val="32"/>
        </w:rPr>
        <w:t>.</w:t>
      </w:r>
    </w:p>
    <w:p w14:paraId="1DE1F4DE" w14:textId="56B1A864" w:rsidR="00EC0950" w:rsidRPr="00EC0950" w:rsidRDefault="00EC0950" w:rsidP="00EC0950">
      <w:pPr>
        <w:jc w:val="center"/>
        <w:rPr>
          <w:b/>
          <w:bCs/>
          <w:sz w:val="32"/>
          <w:szCs w:val="32"/>
        </w:rPr>
      </w:pPr>
      <w:r>
        <w:rPr>
          <w:b/>
          <w:bCs/>
          <w:sz w:val="32"/>
          <w:szCs w:val="32"/>
        </w:rPr>
        <w:t>Research Plan</w:t>
      </w:r>
    </w:p>
    <w:p w14:paraId="44C8993B" w14:textId="77777777" w:rsidR="00EC0950" w:rsidRDefault="00EC0950">
      <w:pPr>
        <w:rPr>
          <w:b/>
          <w:bCs/>
          <w:sz w:val="32"/>
          <w:szCs w:val="32"/>
        </w:rPr>
      </w:pPr>
    </w:p>
    <w:p w14:paraId="6C5A7599" w14:textId="77777777" w:rsidR="00EC0950" w:rsidRDefault="00EC0950">
      <w:pPr>
        <w:rPr>
          <w:b/>
          <w:bCs/>
          <w:sz w:val="32"/>
          <w:szCs w:val="32"/>
        </w:rPr>
      </w:pPr>
    </w:p>
    <w:p w14:paraId="716876CD" w14:textId="77777777" w:rsidR="00EC0950" w:rsidRDefault="00EC0950">
      <w:pPr>
        <w:rPr>
          <w:b/>
          <w:bCs/>
          <w:sz w:val="32"/>
          <w:szCs w:val="32"/>
        </w:rPr>
      </w:pPr>
    </w:p>
    <w:p w14:paraId="288CFE6D" w14:textId="77777777" w:rsidR="00EC0950" w:rsidRDefault="00EC0950">
      <w:pPr>
        <w:rPr>
          <w:b/>
          <w:bCs/>
          <w:sz w:val="32"/>
          <w:szCs w:val="32"/>
        </w:rPr>
      </w:pPr>
    </w:p>
    <w:p w14:paraId="73198AD6" w14:textId="77777777" w:rsidR="00EC0950" w:rsidRDefault="00EC0950">
      <w:pPr>
        <w:rPr>
          <w:b/>
          <w:bCs/>
          <w:sz w:val="32"/>
          <w:szCs w:val="32"/>
        </w:rPr>
      </w:pPr>
    </w:p>
    <w:p w14:paraId="5AD1DEFD" w14:textId="77777777" w:rsidR="00EC0950" w:rsidRDefault="00EC0950">
      <w:pPr>
        <w:rPr>
          <w:b/>
          <w:bCs/>
          <w:sz w:val="32"/>
          <w:szCs w:val="32"/>
        </w:rPr>
      </w:pPr>
    </w:p>
    <w:p w14:paraId="67D21591" w14:textId="77777777" w:rsidR="00EC0950" w:rsidRDefault="00EC0950">
      <w:pPr>
        <w:rPr>
          <w:b/>
          <w:bCs/>
          <w:sz w:val="32"/>
          <w:szCs w:val="32"/>
        </w:rPr>
      </w:pPr>
    </w:p>
    <w:p w14:paraId="62CDE718" w14:textId="77777777" w:rsidR="00EC0950" w:rsidRDefault="00EC0950">
      <w:pPr>
        <w:rPr>
          <w:b/>
          <w:bCs/>
          <w:sz w:val="32"/>
          <w:szCs w:val="32"/>
        </w:rPr>
      </w:pPr>
    </w:p>
    <w:p w14:paraId="55A6C142" w14:textId="77777777" w:rsidR="00EC0950" w:rsidRDefault="00EC0950">
      <w:pPr>
        <w:rPr>
          <w:b/>
          <w:bCs/>
          <w:sz w:val="32"/>
          <w:szCs w:val="32"/>
        </w:rPr>
      </w:pPr>
    </w:p>
    <w:p w14:paraId="49187205" w14:textId="77777777" w:rsidR="00EC0950" w:rsidRDefault="00EC0950" w:rsidP="00EC0950">
      <w:pPr>
        <w:spacing w:after="0"/>
        <w:rPr>
          <w:rFonts w:cs="Calibri"/>
          <w:sz w:val="28"/>
          <w:szCs w:val="28"/>
        </w:rPr>
      </w:pPr>
    </w:p>
    <w:p w14:paraId="44095DFC" w14:textId="4084FE31" w:rsidR="00EC0950" w:rsidRPr="003932D7" w:rsidRDefault="00EC0950" w:rsidP="00EC0950">
      <w:pPr>
        <w:spacing w:after="0"/>
        <w:rPr>
          <w:rFonts w:cs="Calibri"/>
          <w:sz w:val="28"/>
          <w:szCs w:val="28"/>
        </w:rPr>
      </w:pPr>
      <w:r w:rsidRPr="003932D7">
        <w:rPr>
          <w:rFonts w:cs="Calibri"/>
          <w:sz w:val="28"/>
          <w:szCs w:val="28"/>
        </w:rPr>
        <w:t>Research Design and Management in Education</w:t>
      </w:r>
    </w:p>
    <w:p w14:paraId="366763D7" w14:textId="77777777" w:rsidR="00EC0950" w:rsidRPr="003932D7" w:rsidRDefault="00EC0950" w:rsidP="00EC0950">
      <w:pPr>
        <w:spacing w:after="0"/>
        <w:rPr>
          <w:rFonts w:cs="Calibri"/>
          <w:sz w:val="28"/>
          <w:szCs w:val="28"/>
        </w:rPr>
      </w:pPr>
      <w:r w:rsidRPr="003932D7">
        <w:rPr>
          <w:rFonts w:cs="Calibri"/>
          <w:sz w:val="28"/>
          <w:szCs w:val="28"/>
        </w:rPr>
        <w:t>ECDE7012</w:t>
      </w:r>
    </w:p>
    <w:p w14:paraId="376DFA09" w14:textId="32D9C01A" w:rsidR="00EC0950" w:rsidRPr="003932D7" w:rsidRDefault="00EC0950" w:rsidP="00EC0950">
      <w:pPr>
        <w:spacing w:after="0"/>
        <w:rPr>
          <w:rFonts w:cs="Calibri"/>
          <w:sz w:val="28"/>
          <w:szCs w:val="28"/>
        </w:rPr>
      </w:pPr>
      <w:r w:rsidRPr="003932D7">
        <w:rPr>
          <w:rFonts w:cs="Calibri"/>
          <w:sz w:val="28"/>
          <w:szCs w:val="28"/>
        </w:rPr>
        <w:t xml:space="preserve">Assessment component </w:t>
      </w:r>
      <w:r>
        <w:rPr>
          <w:rFonts w:cs="Calibri"/>
          <w:sz w:val="28"/>
          <w:szCs w:val="28"/>
        </w:rPr>
        <w:t>2</w:t>
      </w:r>
      <w:r w:rsidRPr="003932D7">
        <w:rPr>
          <w:rFonts w:cs="Calibri"/>
          <w:sz w:val="28"/>
          <w:szCs w:val="28"/>
        </w:rPr>
        <w:t xml:space="preserve">  </w:t>
      </w:r>
    </w:p>
    <w:p w14:paraId="1C1C8FFA" w14:textId="4FA2831E" w:rsidR="00EC0950" w:rsidRDefault="00EC0950">
      <w:pPr>
        <w:rPr>
          <w:b/>
          <w:bCs/>
          <w:sz w:val="32"/>
          <w:szCs w:val="32"/>
        </w:rPr>
      </w:pPr>
      <w:r>
        <w:rPr>
          <w:b/>
          <w:bCs/>
          <w:sz w:val="32"/>
          <w:szCs w:val="32"/>
        </w:rPr>
        <w:br w:type="page"/>
      </w:r>
    </w:p>
    <w:p w14:paraId="178EBB29" w14:textId="77777777" w:rsidR="002E1E82" w:rsidRDefault="002E1E82" w:rsidP="00610CAA">
      <w:pPr>
        <w:rPr>
          <w:rFonts w:eastAsia="DengXian Light" w:cs="Times New Roman"/>
          <w:b/>
          <w:bCs/>
          <w:kern w:val="0"/>
          <w:sz w:val="28"/>
          <w:szCs w:val="28"/>
          <w:lang w:val="en-US"/>
          <w14:ligatures w14:val="none"/>
        </w:rPr>
      </w:pPr>
    </w:p>
    <w:p w14:paraId="2314A2D0" w14:textId="77777777" w:rsidR="002E1E82" w:rsidRDefault="002E1E82" w:rsidP="00610CAA">
      <w:pPr>
        <w:rPr>
          <w:rFonts w:eastAsia="DengXian Light" w:cs="Times New Roman"/>
          <w:b/>
          <w:bCs/>
          <w:kern w:val="0"/>
          <w:sz w:val="28"/>
          <w:szCs w:val="28"/>
          <w:lang w:val="en-US"/>
          <w14:ligatures w14:val="none"/>
        </w:rPr>
      </w:pPr>
    </w:p>
    <w:p w14:paraId="24388B89" w14:textId="77777777" w:rsidR="002E1E82" w:rsidRDefault="002E1E82" w:rsidP="00610CAA">
      <w:pPr>
        <w:rPr>
          <w:rFonts w:eastAsia="DengXian Light" w:cs="Times New Roman"/>
          <w:b/>
          <w:bCs/>
          <w:kern w:val="0"/>
          <w:sz w:val="28"/>
          <w:szCs w:val="28"/>
          <w:lang w:val="en-US"/>
          <w14:ligatures w14:val="none"/>
        </w:rPr>
      </w:pPr>
    </w:p>
    <w:p w14:paraId="3E5E168A" w14:textId="69B6C88C" w:rsidR="00610CAA" w:rsidRPr="003932D7" w:rsidRDefault="00610CAA" w:rsidP="00610CAA">
      <w:pPr>
        <w:rPr>
          <w:rFonts w:eastAsia="DengXian Light" w:cs="Times New Roman"/>
          <w:b/>
          <w:bCs/>
          <w:kern w:val="0"/>
          <w:sz w:val="28"/>
          <w:szCs w:val="28"/>
          <w:lang w:val="en-US"/>
          <w14:ligatures w14:val="none"/>
        </w:rPr>
      </w:pPr>
      <w:r w:rsidRPr="003932D7">
        <w:rPr>
          <w:rFonts w:eastAsia="DengXian Light" w:cs="Times New Roman"/>
          <w:b/>
          <w:bCs/>
          <w:kern w:val="0"/>
          <w:sz w:val="28"/>
          <w:szCs w:val="28"/>
          <w:lang w:val="en-US"/>
          <w14:ligatures w14:val="none"/>
        </w:rPr>
        <w:t>Table of Contents</w:t>
      </w:r>
    </w:p>
    <w:p w14:paraId="3A93720B" w14:textId="3C582420" w:rsidR="00610CAA" w:rsidRPr="00C4785B" w:rsidRDefault="002E1E82" w:rsidP="00610CAA">
      <w:pPr>
        <w:pStyle w:val="ListParagraph"/>
        <w:numPr>
          <w:ilvl w:val="0"/>
          <w:numId w:val="2"/>
        </w:numPr>
        <w:spacing w:after="0"/>
        <w:rPr>
          <w:rFonts w:eastAsia="DengXian Light" w:cs="Times New Roman"/>
          <w:kern w:val="0"/>
          <w:sz w:val="28"/>
          <w:szCs w:val="28"/>
          <w:lang w:val="en-US"/>
          <w14:ligatures w14:val="none"/>
        </w:rPr>
      </w:pPr>
      <w:r w:rsidRPr="00C4785B">
        <w:rPr>
          <w:rFonts w:eastAsia="DengXian Light" w:cs="Times New Roman"/>
          <w:kern w:val="0"/>
          <w:sz w:val="28"/>
          <w:szCs w:val="28"/>
          <w:lang w:val="en-US"/>
          <w14:ligatures w14:val="none"/>
        </w:rPr>
        <w:t>Research Context</w:t>
      </w:r>
      <w:r w:rsidR="00610CAA" w:rsidRPr="00C4785B">
        <w:rPr>
          <w:rFonts w:eastAsia="DengXian Light" w:cs="Times New Roman"/>
          <w:kern w:val="0"/>
          <w:sz w:val="28"/>
          <w:szCs w:val="28"/>
          <w:lang w:val="en-US"/>
          <w14:ligatures w14:val="none"/>
        </w:rPr>
        <w:t xml:space="preserve"> (</w:t>
      </w:r>
      <w:r w:rsidR="00610CAA" w:rsidRPr="00C4785B">
        <w:rPr>
          <w:rFonts w:eastAsia="DengXian Light" w:cs="Times New Roman"/>
          <w:i/>
          <w:iCs/>
          <w:kern w:val="0"/>
          <w:sz w:val="28"/>
          <w:szCs w:val="28"/>
          <w:lang w:val="en-US"/>
          <w14:ligatures w14:val="none"/>
        </w:rPr>
        <w:t>3</w:t>
      </w:r>
      <w:r w:rsidR="00610CAA" w:rsidRPr="00C4785B">
        <w:rPr>
          <w:rFonts w:eastAsia="DengXian Light" w:cs="Times New Roman"/>
          <w:kern w:val="0"/>
          <w:sz w:val="28"/>
          <w:szCs w:val="28"/>
          <w:lang w:val="en-US"/>
          <w14:ligatures w14:val="none"/>
        </w:rPr>
        <w:t>)</w:t>
      </w:r>
    </w:p>
    <w:p w14:paraId="458AD588" w14:textId="77777777" w:rsidR="00610CAA" w:rsidRPr="003932D7" w:rsidRDefault="00610CAA" w:rsidP="00610CAA">
      <w:pPr>
        <w:pStyle w:val="ListParagraph"/>
        <w:spacing w:after="0"/>
        <w:ind w:left="1080"/>
        <w:rPr>
          <w:rFonts w:eastAsia="DengXian Light" w:cs="Times New Roman"/>
          <w:kern w:val="0"/>
          <w:sz w:val="28"/>
          <w:szCs w:val="28"/>
          <w:lang w:val="en-US"/>
          <w14:ligatures w14:val="none"/>
        </w:rPr>
      </w:pPr>
    </w:p>
    <w:p w14:paraId="7A2E8B75" w14:textId="5A4655CE" w:rsidR="00610CAA" w:rsidRPr="003932D7" w:rsidRDefault="00610CAA" w:rsidP="00610CAA">
      <w:pPr>
        <w:spacing w:after="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2.0 </w:t>
      </w:r>
      <w:r w:rsidR="002E1E82">
        <w:rPr>
          <w:rFonts w:eastAsia="DengXian Light" w:cs="Times New Roman"/>
          <w:kern w:val="0"/>
          <w:sz w:val="28"/>
          <w:szCs w:val="28"/>
          <w:lang w:val="en-US"/>
          <w14:ligatures w14:val="none"/>
        </w:rPr>
        <w:t>Methodology</w:t>
      </w:r>
    </w:p>
    <w:p w14:paraId="66A90B87" w14:textId="476F777D" w:rsidR="00610CAA" w:rsidRPr="003932D7" w:rsidRDefault="00610CAA" w:rsidP="00610CAA">
      <w:pPr>
        <w:spacing w:after="0"/>
        <w:ind w:left="72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2.1 </w:t>
      </w:r>
      <w:r w:rsidR="00C4785B">
        <w:rPr>
          <w:rFonts w:eastAsia="DengXian Light" w:cs="Times New Roman"/>
          <w:kern w:val="0"/>
          <w:sz w:val="28"/>
          <w:szCs w:val="28"/>
          <w14:ligatures w14:val="none"/>
        </w:rPr>
        <w:t>research Paradigm</w:t>
      </w:r>
      <w:r w:rsidRPr="003932D7">
        <w:rPr>
          <w:rFonts w:eastAsia="DengXian Light" w:cs="Times New Roman"/>
          <w:i/>
          <w:iCs/>
          <w:kern w:val="0"/>
          <w:sz w:val="28"/>
          <w:szCs w:val="28"/>
          <w:lang w:val="en-US"/>
          <w14:ligatures w14:val="none"/>
        </w:rPr>
        <w:t xml:space="preserve"> (</w:t>
      </w:r>
      <w:r>
        <w:rPr>
          <w:rFonts w:eastAsia="DengXian Light" w:cs="Times New Roman"/>
          <w:i/>
          <w:iCs/>
          <w:kern w:val="0"/>
          <w:sz w:val="28"/>
          <w:szCs w:val="28"/>
          <w:lang w:val="en-US"/>
          <w14:ligatures w14:val="none"/>
        </w:rPr>
        <w:t>3</w:t>
      </w:r>
      <w:r w:rsidRPr="003932D7">
        <w:rPr>
          <w:rFonts w:eastAsia="DengXian Light" w:cs="Times New Roman"/>
          <w:i/>
          <w:iCs/>
          <w:kern w:val="0"/>
          <w:sz w:val="28"/>
          <w:szCs w:val="28"/>
          <w:lang w:val="en-US"/>
          <w14:ligatures w14:val="none"/>
        </w:rPr>
        <w:t>)</w:t>
      </w:r>
    </w:p>
    <w:p w14:paraId="7E2C15FA" w14:textId="0F26A345" w:rsidR="00610CAA" w:rsidRPr="003932D7" w:rsidRDefault="00610CAA" w:rsidP="00610CAA">
      <w:pPr>
        <w:spacing w:after="0"/>
        <w:ind w:left="72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2.2 </w:t>
      </w:r>
      <w:r w:rsidR="00C4785B">
        <w:rPr>
          <w:rFonts w:eastAsia="DengXian Light" w:cs="Times New Roman"/>
          <w:kern w:val="0"/>
          <w:sz w:val="28"/>
          <w:szCs w:val="28"/>
          <w14:ligatures w14:val="none"/>
        </w:rPr>
        <w:t>Research Approach</w:t>
      </w:r>
      <w:r w:rsidRPr="003932D7">
        <w:rPr>
          <w:rFonts w:eastAsia="DengXian Light" w:cs="Times New Roman"/>
          <w:i/>
          <w:iCs/>
          <w:kern w:val="0"/>
          <w:sz w:val="28"/>
          <w:szCs w:val="28"/>
          <w:lang w:val="en-US"/>
          <w14:ligatures w14:val="none"/>
        </w:rPr>
        <w:t xml:space="preserve"> (</w:t>
      </w:r>
      <w:r w:rsidR="00C4785B">
        <w:rPr>
          <w:rFonts w:eastAsia="DengXian Light" w:cs="Times New Roman"/>
          <w:i/>
          <w:iCs/>
          <w:kern w:val="0"/>
          <w:sz w:val="28"/>
          <w:szCs w:val="28"/>
          <w:lang w:val="en-US"/>
          <w14:ligatures w14:val="none"/>
        </w:rPr>
        <w:t>4</w:t>
      </w:r>
      <w:r w:rsidRPr="003932D7">
        <w:rPr>
          <w:rFonts w:eastAsia="DengXian Light" w:cs="Times New Roman"/>
          <w:i/>
          <w:iCs/>
          <w:kern w:val="0"/>
          <w:sz w:val="28"/>
          <w:szCs w:val="28"/>
          <w:lang w:val="en-US"/>
          <w14:ligatures w14:val="none"/>
        </w:rPr>
        <w:t>)</w:t>
      </w:r>
    </w:p>
    <w:p w14:paraId="7C541326" w14:textId="691EC6D8" w:rsidR="00610CAA" w:rsidRPr="003932D7" w:rsidRDefault="00610CAA" w:rsidP="00610CAA">
      <w:pPr>
        <w:spacing w:after="0"/>
        <w:ind w:left="72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2.3 </w:t>
      </w:r>
      <w:r w:rsidR="00C4785B">
        <w:rPr>
          <w:rFonts w:eastAsia="DengXian Light" w:cs="Times New Roman"/>
          <w:kern w:val="0"/>
          <w:sz w:val="28"/>
          <w:szCs w:val="28"/>
          <w14:ligatures w14:val="none"/>
        </w:rPr>
        <w:t>Methodological Choice</w:t>
      </w:r>
      <w:r w:rsidRPr="003932D7">
        <w:rPr>
          <w:rFonts w:eastAsia="DengXian Light" w:cs="Times New Roman"/>
          <w:i/>
          <w:iCs/>
          <w:kern w:val="0"/>
          <w:sz w:val="28"/>
          <w:szCs w:val="28"/>
          <w:lang w:val="en-US"/>
          <w14:ligatures w14:val="none"/>
        </w:rPr>
        <w:t xml:space="preserve"> (</w:t>
      </w:r>
      <w:r w:rsidR="00C4785B">
        <w:rPr>
          <w:rFonts w:eastAsia="DengXian Light" w:cs="Times New Roman"/>
          <w:i/>
          <w:iCs/>
          <w:kern w:val="0"/>
          <w:sz w:val="28"/>
          <w:szCs w:val="28"/>
          <w:lang w:val="en-US"/>
          <w14:ligatures w14:val="none"/>
        </w:rPr>
        <w:t>4</w:t>
      </w:r>
      <w:r w:rsidRPr="003932D7">
        <w:rPr>
          <w:rFonts w:eastAsia="DengXian Light" w:cs="Times New Roman"/>
          <w:i/>
          <w:iCs/>
          <w:kern w:val="0"/>
          <w:sz w:val="28"/>
          <w:szCs w:val="28"/>
          <w:lang w:val="en-US"/>
          <w14:ligatures w14:val="none"/>
        </w:rPr>
        <w:t>)</w:t>
      </w:r>
    </w:p>
    <w:p w14:paraId="406F9868" w14:textId="13F8E794" w:rsidR="00610CAA" w:rsidRPr="003932D7" w:rsidRDefault="00610CAA" w:rsidP="00610CAA">
      <w:pPr>
        <w:spacing w:after="0"/>
        <w:ind w:left="72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2.4 </w:t>
      </w:r>
      <w:r w:rsidR="00C4785B">
        <w:rPr>
          <w:rFonts w:eastAsia="DengXian Light" w:cs="Times New Roman"/>
          <w:kern w:val="0"/>
          <w:sz w:val="28"/>
          <w:szCs w:val="28"/>
          <w14:ligatures w14:val="none"/>
        </w:rPr>
        <w:t>Research Strategy</w:t>
      </w:r>
      <w:r w:rsidRPr="003932D7">
        <w:rPr>
          <w:rFonts w:eastAsia="DengXian Light" w:cs="Times New Roman"/>
          <w:b/>
          <w:bCs/>
          <w:kern w:val="0"/>
          <w:sz w:val="28"/>
          <w:szCs w:val="28"/>
          <w14:ligatures w14:val="none"/>
        </w:rPr>
        <w:t xml:space="preserve"> </w:t>
      </w:r>
      <w:r w:rsidRPr="003932D7">
        <w:rPr>
          <w:rFonts w:eastAsia="DengXian Light" w:cs="Times New Roman"/>
          <w:i/>
          <w:iCs/>
          <w:kern w:val="0"/>
          <w:sz w:val="28"/>
          <w:szCs w:val="28"/>
          <w:lang w:val="en-US"/>
          <w14:ligatures w14:val="none"/>
        </w:rPr>
        <w:t>(</w:t>
      </w:r>
      <w:r w:rsidR="00C4785B">
        <w:rPr>
          <w:rFonts w:eastAsia="DengXian Light" w:cs="Times New Roman"/>
          <w:i/>
          <w:iCs/>
          <w:kern w:val="0"/>
          <w:sz w:val="28"/>
          <w:szCs w:val="28"/>
          <w:lang w:val="en-US"/>
          <w14:ligatures w14:val="none"/>
        </w:rPr>
        <w:t>5</w:t>
      </w:r>
      <w:r w:rsidRPr="003932D7">
        <w:rPr>
          <w:rFonts w:eastAsia="DengXian Light" w:cs="Times New Roman"/>
          <w:i/>
          <w:iCs/>
          <w:kern w:val="0"/>
          <w:sz w:val="28"/>
          <w:szCs w:val="28"/>
          <w:lang w:val="en-US"/>
          <w14:ligatures w14:val="none"/>
        </w:rPr>
        <w:t>)</w:t>
      </w:r>
    </w:p>
    <w:p w14:paraId="11B7BA31" w14:textId="77777777" w:rsidR="00610CAA" w:rsidRPr="003932D7" w:rsidRDefault="00610CAA" w:rsidP="00610CAA">
      <w:pPr>
        <w:spacing w:after="0"/>
        <w:ind w:left="720"/>
        <w:rPr>
          <w:rFonts w:eastAsia="DengXian Light" w:cs="Times New Roman"/>
          <w:kern w:val="0"/>
          <w:sz w:val="28"/>
          <w:szCs w:val="28"/>
          <w:lang w:val="en-US"/>
          <w14:ligatures w14:val="none"/>
        </w:rPr>
      </w:pPr>
    </w:p>
    <w:p w14:paraId="506EB0E8" w14:textId="017AE8C3" w:rsidR="00610CAA" w:rsidRPr="003932D7" w:rsidRDefault="00610CAA" w:rsidP="00610CAA">
      <w:pPr>
        <w:spacing w:after="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3.0 </w:t>
      </w:r>
      <w:r w:rsidR="00C4785B">
        <w:rPr>
          <w:rFonts w:eastAsia="DengXian Light" w:cs="Times New Roman"/>
          <w:kern w:val="0"/>
          <w:sz w:val="28"/>
          <w:szCs w:val="28"/>
          <w:lang w:val="en-US"/>
          <w14:ligatures w14:val="none"/>
        </w:rPr>
        <w:t>Research Methods</w:t>
      </w:r>
      <w:r w:rsidR="00342ED5">
        <w:rPr>
          <w:rFonts w:eastAsia="DengXian Light" w:cs="Times New Roman"/>
          <w:kern w:val="0"/>
          <w:sz w:val="28"/>
          <w:szCs w:val="28"/>
          <w:lang w:val="en-US"/>
          <w14:ligatures w14:val="none"/>
        </w:rPr>
        <w:t xml:space="preserve"> </w:t>
      </w:r>
      <w:r w:rsidR="00342ED5" w:rsidRPr="00342ED5">
        <w:rPr>
          <w:rFonts w:eastAsia="DengXian Light" w:cs="Times New Roman"/>
          <w:i/>
          <w:iCs/>
          <w:kern w:val="0"/>
          <w:sz w:val="28"/>
          <w:szCs w:val="28"/>
          <w:lang w:val="en-US"/>
          <w14:ligatures w14:val="none"/>
        </w:rPr>
        <w:t>(6)</w:t>
      </w:r>
    </w:p>
    <w:p w14:paraId="41859C95" w14:textId="36733E66" w:rsidR="00610CAA" w:rsidRPr="003932D7" w:rsidRDefault="00610CAA" w:rsidP="00610CAA">
      <w:pPr>
        <w:spacing w:after="0"/>
        <w:ind w:left="72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3.1 </w:t>
      </w:r>
      <w:r w:rsidR="00C4785B">
        <w:rPr>
          <w:rFonts w:eastAsia="DengXian Light" w:cs="Times New Roman"/>
          <w:kern w:val="0"/>
          <w:sz w:val="28"/>
          <w:szCs w:val="28"/>
          <w14:ligatures w14:val="none"/>
        </w:rPr>
        <w:t>Sample</w:t>
      </w:r>
      <w:r w:rsidRPr="003932D7">
        <w:rPr>
          <w:rFonts w:eastAsia="DengXian Light" w:cs="Times New Roman"/>
          <w:i/>
          <w:iCs/>
          <w:kern w:val="0"/>
          <w:sz w:val="28"/>
          <w:szCs w:val="28"/>
          <w:lang w:val="en-US"/>
          <w14:ligatures w14:val="none"/>
        </w:rPr>
        <w:t xml:space="preserve"> (</w:t>
      </w:r>
      <w:r w:rsidR="00C4785B">
        <w:rPr>
          <w:rFonts w:eastAsia="DengXian Light" w:cs="Times New Roman"/>
          <w:i/>
          <w:iCs/>
          <w:kern w:val="0"/>
          <w:sz w:val="28"/>
          <w:szCs w:val="28"/>
          <w:lang w:val="en-US"/>
          <w14:ligatures w14:val="none"/>
        </w:rPr>
        <w:t>6</w:t>
      </w:r>
      <w:r w:rsidRPr="003932D7">
        <w:rPr>
          <w:rFonts w:eastAsia="DengXian Light" w:cs="Times New Roman"/>
          <w:i/>
          <w:iCs/>
          <w:kern w:val="0"/>
          <w:sz w:val="28"/>
          <w:szCs w:val="28"/>
          <w:lang w:val="en-US"/>
          <w14:ligatures w14:val="none"/>
        </w:rPr>
        <w:t>)</w:t>
      </w:r>
    </w:p>
    <w:p w14:paraId="3DD4D3F9" w14:textId="6882F457" w:rsidR="00610CAA" w:rsidRPr="003932D7" w:rsidRDefault="00610CAA" w:rsidP="00610CAA">
      <w:pPr>
        <w:spacing w:after="0"/>
        <w:ind w:left="72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3.2 </w:t>
      </w:r>
      <w:r w:rsidR="00C4785B">
        <w:rPr>
          <w:rFonts w:eastAsia="DengXian Light" w:cs="Times New Roman"/>
          <w:kern w:val="0"/>
          <w:sz w:val="28"/>
          <w:szCs w:val="28"/>
          <w14:ligatures w14:val="none"/>
        </w:rPr>
        <w:t>Ethical Considerations</w:t>
      </w:r>
      <w:r w:rsidRPr="003932D7">
        <w:rPr>
          <w:rFonts w:eastAsia="DengXian Light" w:cs="Times New Roman"/>
          <w:i/>
          <w:iCs/>
          <w:kern w:val="0"/>
          <w:sz w:val="28"/>
          <w:szCs w:val="28"/>
          <w:lang w:val="en-US"/>
          <w14:ligatures w14:val="none"/>
        </w:rPr>
        <w:t xml:space="preserve"> (</w:t>
      </w:r>
      <w:r w:rsidR="00C4785B">
        <w:rPr>
          <w:rFonts w:eastAsia="DengXian Light" w:cs="Times New Roman"/>
          <w:i/>
          <w:iCs/>
          <w:kern w:val="0"/>
          <w:sz w:val="28"/>
          <w:szCs w:val="28"/>
          <w:lang w:val="en-US"/>
          <w14:ligatures w14:val="none"/>
        </w:rPr>
        <w:t>7</w:t>
      </w:r>
      <w:r w:rsidRPr="003932D7">
        <w:rPr>
          <w:rFonts w:eastAsia="DengXian Light" w:cs="Times New Roman"/>
          <w:i/>
          <w:iCs/>
          <w:kern w:val="0"/>
          <w:sz w:val="28"/>
          <w:szCs w:val="28"/>
          <w:lang w:val="en-US"/>
          <w14:ligatures w14:val="none"/>
        </w:rPr>
        <w:t>)</w:t>
      </w:r>
    </w:p>
    <w:p w14:paraId="28D4DB1D" w14:textId="4275B524" w:rsidR="00610CAA" w:rsidRPr="003932D7" w:rsidRDefault="00610CAA" w:rsidP="00610CAA">
      <w:pPr>
        <w:spacing w:after="0"/>
        <w:ind w:left="72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3.3 </w:t>
      </w:r>
      <w:r w:rsidR="00C4785B">
        <w:rPr>
          <w:rFonts w:eastAsia="DengXian Light" w:cs="Times New Roman"/>
          <w:kern w:val="0"/>
          <w:sz w:val="28"/>
          <w:szCs w:val="28"/>
          <w14:ligatures w14:val="none"/>
        </w:rPr>
        <w:t>Qualitative Methods</w:t>
      </w:r>
      <w:r w:rsidRPr="003932D7">
        <w:rPr>
          <w:rFonts w:eastAsia="DengXian Light" w:cs="Times New Roman"/>
          <w:i/>
          <w:iCs/>
          <w:kern w:val="0"/>
          <w:sz w:val="28"/>
          <w:szCs w:val="28"/>
          <w:lang w:val="en-US"/>
          <w14:ligatures w14:val="none"/>
        </w:rPr>
        <w:t xml:space="preserve"> (</w:t>
      </w:r>
      <w:r w:rsidR="00C4785B">
        <w:rPr>
          <w:rFonts w:eastAsia="DengXian Light" w:cs="Times New Roman"/>
          <w:i/>
          <w:iCs/>
          <w:kern w:val="0"/>
          <w:sz w:val="28"/>
          <w:szCs w:val="28"/>
          <w:lang w:val="en-US"/>
          <w14:ligatures w14:val="none"/>
        </w:rPr>
        <w:t>7</w:t>
      </w:r>
      <w:r w:rsidRPr="003932D7">
        <w:rPr>
          <w:rFonts w:eastAsia="DengXian Light" w:cs="Times New Roman"/>
          <w:i/>
          <w:iCs/>
          <w:kern w:val="0"/>
          <w:sz w:val="28"/>
          <w:szCs w:val="28"/>
          <w:lang w:val="en-US"/>
          <w14:ligatures w14:val="none"/>
        </w:rPr>
        <w:t>)</w:t>
      </w:r>
    </w:p>
    <w:p w14:paraId="08E6B158" w14:textId="1E29021F" w:rsidR="00610CAA" w:rsidRDefault="00610CAA" w:rsidP="00610CAA">
      <w:pPr>
        <w:spacing w:after="0"/>
        <w:ind w:left="720"/>
        <w:rPr>
          <w:rFonts w:eastAsia="DengXian Light" w:cs="Times New Roman"/>
          <w:i/>
          <w:iCs/>
          <w:kern w:val="0"/>
          <w:sz w:val="28"/>
          <w:szCs w:val="28"/>
          <w:lang w:val="en-US"/>
          <w14:ligatures w14:val="none"/>
        </w:rPr>
      </w:pPr>
      <w:r w:rsidRPr="003932D7">
        <w:rPr>
          <w:rFonts w:eastAsia="DengXian Light" w:cs="Times New Roman"/>
          <w:kern w:val="0"/>
          <w:sz w:val="28"/>
          <w:szCs w:val="28"/>
          <w:lang w:val="en-US"/>
          <w14:ligatures w14:val="none"/>
        </w:rPr>
        <w:t xml:space="preserve">3.4 </w:t>
      </w:r>
      <w:r w:rsidR="00C4785B">
        <w:rPr>
          <w:rFonts w:eastAsia="DengXian Light" w:cs="Times New Roman"/>
          <w:kern w:val="0"/>
          <w:sz w:val="28"/>
          <w:szCs w:val="28"/>
          <w14:ligatures w14:val="none"/>
        </w:rPr>
        <w:t>Quantitative Methods</w:t>
      </w:r>
      <w:r w:rsidRPr="003932D7">
        <w:rPr>
          <w:rFonts w:eastAsia="DengXian Light" w:cs="Times New Roman"/>
          <w:kern w:val="0"/>
          <w:sz w:val="28"/>
          <w:szCs w:val="28"/>
          <w14:ligatures w14:val="none"/>
        </w:rPr>
        <w:t xml:space="preserve"> </w:t>
      </w:r>
      <w:r w:rsidRPr="00C4785B">
        <w:rPr>
          <w:rFonts w:eastAsia="DengXian Light" w:cs="Times New Roman"/>
          <w:i/>
          <w:iCs/>
          <w:kern w:val="0"/>
          <w:sz w:val="28"/>
          <w:szCs w:val="28"/>
          <w14:ligatures w14:val="none"/>
        </w:rPr>
        <w:t>(</w:t>
      </w:r>
      <w:r w:rsidR="00C4785B" w:rsidRPr="00C4785B">
        <w:rPr>
          <w:rFonts w:eastAsia="DengXian Light" w:cs="Times New Roman"/>
          <w:i/>
          <w:iCs/>
          <w:kern w:val="0"/>
          <w:sz w:val="28"/>
          <w:szCs w:val="28"/>
          <w:lang w:val="en-US"/>
          <w14:ligatures w14:val="none"/>
        </w:rPr>
        <w:t>9</w:t>
      </w:r>
      <w:r w:rsidRPr="00C4785B">
        <w:rPr>
          <w:rFonts w:eastAsia="DengXian Light" w:cs="Times New Roman"/>
          <w:i/>
          <w:iCs/>
          <w:kern w:val="0"/>
          <w:sz w:val="28"/>
          <w:szCs w:val="28"/>
          <w:lang w:val="en-US"/>
          <w14:ligatures w14:val="none"/>
        </w:rPr>
        <w:t>)</w:t>
      </w:r>
    </w:p>
    <w:p w14:paraId="7B123634" w14:textId="7FB3920F" w:rsidR="00C4785B" w:rsidRPr="00C4785B" w:rsidRDefault="00C4785B" w:rsidP="00610CAA">
      <w:pPr>
        <w:spacing w:after="0"/>
        <w:ind w:left="720"/>
        <w:rPr>
          <w:rFonts w:eastAsia="DengXian Light" w:cs="Times New Roman"/>
          <w:kern w:val="0"/>
          <w:sz w:val="28"/>
          <w:szCs w:val="28"/>
          <w:lang w:val="en-US"/>
          <w14:ligatures w14:val="none"/>
        </w:rPr>
      </w:pPr>
      <w:r>
        <w:rPr>
          <w:rFonts w:eastAsia="DengXian Light" w:cs="Times New Roman"/>
          <w:kern w:val="0"/>
          <w:sz w:val="28"/>
          <w:szCs w:val="28"/>
          <w:lang w:val="en-US"/>
          <w14:ligatures w14:val="none"/>
        </w:rPr>
        <w:t xml:space="preserve">3.5 Document Analysis </w:t>
      </w:r>
      <w:r w:rsidRPr="00C4785B">
        <w:rPr>
          <w:rFonts w:eastAsia="DengXian Light" w:cs="Times New Roman"/>
          <w:i/>
          <w:iCs/>
          <w:kern w:val="0"/>
          <w:sz w:val="28"/>
          <w:szCs w:val="28"/>
          <w:lang w:val="en-US"/>
          <w14:ligatures w14:val="none"/>
        </w:rPr>
        <w:t>(9)</w:t>
      </w:r>
    </w:p>
    <w:p w14:paraId="152E2D3A" w14:textId="77777777" w:rsidR="00610CAA" w:rsidRPr="003932D7" w:rsidRDefault="00610CAA" w:rsidP="00610CAA">
      <w:pPr>
        <w:spacing w:after="0"/>
        <w:ind w:left="720"/>
        <w:rPr>
          <w:rFonts w:eastAsia="DengXian Light" w:cs="Times New Roman"/>
          <w:kern w:val="0"/>
          <w:sz w:val="28"/>
          <w:szCs w:val="28"/>
          <w:lang w:val="en-US"/>
          <w14:ligatures w14:val="none"/>
        </w:rPr>
      </w:pPr>
    </w:p>
    <w:p w14:paraId="11903D64" w14:textId="07849112" w:rsidR="002E1E82" w:rsidRPr="003932D7" w:rsidRDefault="00610CAA" w:rsidP="00610CAA">
      <w:pPr>
        <w:spacing w:after="0"/>
        <w:rPr>
          <w:rFonts w:eastAsia="DengXian" w:cs="Calibri Light"/>
          <w:noProof/>
          <w:sz w:val="28"/>
          <w:szCs w:val="28"/>
          <w:lang w:eastAsia="zh-CN"/>
        </w:rPr>
      </w:pPr>
      <w:r w:rsidRPr="003932D7">
        <w:rPr>
          <w:rFonts w:eastAsia="DengXian" w:cs="Calibri Light"/>
          <w:noProof/>
          <w:sz w:val="28"/>
          <w:szCs w:val="28"/>
          <w:lang w:eastAsia="zh-CN"/>
        </w:rPr>
        <w:t xml:space="preserve">4.0 </w:t>
      </w:r>
      <w:r w:rsidR="00342ED5">
        <w:rPr>
          <w:rFonts w:eastAsia="DengXian" w:cs="Calibri Light"/>
          <w:noProof/>
          <w:sz w:val="28"/>
          <w:szCs w:val="28"/>
          <w:lang w:eastAsia="zh-CN"/>
        </w:rPr>
        <w:t>Data Analysis and Presentation Methods</w:t>
      </w:r>
      <w:r w:rsidRPr="003932D7">
        <w:rPr>
          <w:rFonts w:eastAsia="DengXian" w:cs="Calibri Light"/>
          <w:noProof/>
          <w:sz w:val="28"/>
          <w:szCs w:val="28"/>
          <w:lang w:eastAsia="zh-CN"/>
        </w:rPr>
        <w:t xml:space="preserve"> (</w:t>
      </w:r>
      <w:r w:rsidRPr="003932D7">
        <w:rPr>
          <w:rFonts w:eastAsia="DengXian" w:cs="Calibri Light"/>
          <w:i/>
          <w:iCs/>
          <w:noProof/>
          <w:sz w:val="28"/>
          <w:szCs w:val="28"/>
          <w:lang w:eastAsia="zh-CN"/>
        </w:rPr>
        <w:t>1</w:t>
      </w:r>
      <w:r w:rsidR="00342ED5">
        <w:rPr>
          <w:rFonts w:eastAsia="DengXian" w:cs="Calibri Light"/>
          <w:i/>
          <w:iCs/>
          <w:noProof/>
          <w:sz w:val="28"/>
          <w:szCs w:val="28"/>
          <w:lang w:eastAsia="zh-CN"/>
        </w:rPr>
        <w:t>0</w:t>
      </w:r>
      <w:r w:rsidRPr="003932D7">
        <w:rPr>
          <w:rFonts w:eastAsia="DengXian" w:cs="Calibri Light"/>
          <w:noProof/>
          <w:sz w:val="28"/>
          <w:szCs w:val="28"/>
          <w:lang w:eastAsia="zh-CN"/>
        </w:rPr>
        <w:t>)</w:t>
      </w:r>
    </w:p>
    <w:p w14:paraId="5ABC112C" w14:textId="06BA633F" w:rsidR="002E1E82" w:rsidRPr="003932D7" w:rsidRDefault="00342ED5" w:rsidP="002E1E82">
      <w:pPr>
        <w:spacing w:after="0"/>
        <w:ind w:left="720"/>
        <w:rPr>
          <w:rFonts w:eastAsia="DengXian Light" w:cs="Times New Roman"/>
          <w:kern w:val="0"/>
          <w:sz w:val="28"/>
          <w:szCs w:val="28"/>
          <w:lang w:val="en-US"/>
          <w14:ligatures w14:val="none"/>
        </w:rPr>
      </w:pPr>
      <w:r>
        <w:rPr>
          <w:rFonts w:eastAsia="DengXian Light" w:cs="Times New Roman"/>
          <w:kern w:val="0"/>
          <w:sz w:val="28"/>
          <w:szCs w:val="28"/>
          <w:lang w:val="en-US"/>
          <w14:ligatures w14:val="none"/>
        </w:rPr>
        <w:t>4</w:t>
      </w:r>
      <w:r w:rsidR="002E1E82" w:rsidRPr="003932D7">
        <w:rPr>
          <w:rFonts w:eastAsia="DengXian Light" w:cs="Times New Roman"/>
          <w:kern w:val="0"/>
          <w:sz w:val="28"/>
          <w:szCs w:val="28"/>
          <w:lang w:val="en-US"/>
          <w14:ligatures w14:val="none"/>
        </w:rPr>
        <w:t xml:space="preserve">.1 </w:t>
      </w:r>
      <w:r>
        <w:rPr>
          <w:rFonts w:eastAsia="DengXian Light" w:cs="Times New Roman"/>
          <w:kern w:val="0"/>
          <w:sz w:val="28"/>
          <w:szCs w:val="28"/>
          <w14:ligatures w14:val="none"/>
        </w:rPr>
        <w:t>Qualitative Data Analysis Methods</w:t>
      </w:r>
      <w:r w:rsidR="002E1E82" w:rsidRPr="003932D7">
        <w:rPr>
          <w:rFonts w:eastAsia="DengXian Light" w:cs="Times New Roman"/>
          <w:i/>
          <w:iCs/>
          <w:kern w:val="0"/>
          <w:sz w:val="28"/>
          <w:szCs w:val="28"/>
          <w:lang w:val="en-US"/>
          <w14:ligatures w14:val="none"/>
        </w:rPr>
        <w:t xml:space="preserve"> (</w:t>
      </w:r>
      <w:r>
        <w:rPr>
          <w:rFonts w:eastAsia="DengXian Light" w:cs="Times New Roman"/>
          <w:i/>
          <w:iCs/>
          <w:kern w:val="0"/>
          <w:sz w:val="28"/>
          <w:szCs w:val="28"/>
          <w:lang w:val="en-US"/>
          <w14:ligatures w14:val="none"/>
        </w:rPr>
        <w:t>10</w:t>
      </w:r>
      <w:r w:rsidR="002E1E82" w:rsidRPr="003932D7">
        <w:rPr>
          <w:rFonts w:eastAsia="DengXian Light" w:cs="Times New Roman"/>
          <w:i/>
          <w:iCs/>
          <w:kern w:val="0"/>
          <w:sz w:val="28"/>
          <w:szCs w:val="28"/>
          <w:lang w:val="en-US"/>
          <w14:ligatures w14:val="none"/>
        </w:rPr>
        <w:t>)</w:t>
      </w:r>
    </w:p>
    <w:p w14:paraId="7BEBA065" w14:textId="0F6F590C" w:rsidR="002E1E82" w:rsidRPr="003932D7" w:rsidRDefault="00342ED5" w:rsidP="002E1E82">
      <w:pPr>
        <w:spacing w:after="0"/>
        <w:ind w:left="720"/>
        <w:rPr>
          <w:rFonts w:eastAsia="DengXian Light" w:cs="Times New Roman"/>
          <w:kern w:val="0"/>
          <w:sz w:val="28"/>
          <w:szCs w:val="28"/>
          <w:lang w:val="en-US"/>
          <w14:ligatures w14:val="none"/>
        </w:rPr>
      </w:pPr>
      <w:r>
        <w:rPr>
          <w:rFonts w:eastAsia="DengXian Light" w:cs="Times New Roman"/>
          <w:kern w:val="0"/>
          <w:sz w:val="28"/>
          <w:szCs w:val="28"/>
          <w:lang w:val="en-US"/>
          <w14:ligatures w14:val="none"/>
        </w:rPr>
        <w:t>4</w:t>
      </w:r>
      <w:r w:rsidR="002E1E82" w:rsidRPr="003932D7">
        <w:rPr>
          <w:rFonts w:eastAsia="DengXian Light" w:cs="Times New Roman"/>
          <w:kern w:val="0"/>
          <w:sz w:val="28"/>
          <w:szCs w:val="28"/>
          <w:lang w:val="en-US"/>
          <w14:ligatures w14:val="none"/>
        </w:rPr>
        <w:t xml:space="preserve">.2 </w:t>
      </w:r>
      <w:r w:rsidRPr="00342ED5">
        <w:rPr>
          <w:rFonts w:eastAsia="DengXian Light" w:cs="Times New Roman"/>
          <w:kern w:val="0"/>
          <w:sz w:val="28"/>
          <w:szCs w:val="28"/>
          <w14:ligatures w14:val="none"/>
        </w:rPr>
        <w:t>Qua</w:t>
      </w:r>
      <w:r>
        <w:rPr>
          <w:rFonts w:eastAsia="DengXian Light" w:cs="Times New Roman"/>
          <w:kern w:val="0"/>
          <w:sz w:val="28"/>
          <w:szCs w:val="28"/>
          <w14:ligatures w14:val="none"/>
        </w:rPr>
        <w:t>ntitative</w:t>
      </w:r>
      <w:r w:rsidRPr="00342ED5">
        <w:rPr>
          <w:rFonts w:eastAsia="DengXian Light" w:cs="Times New Roman"/>
          <w:kern w:val="0"/>
          <w:sz w:val="28"/>
          <w:szCs w:val="28"/>
          <w14:ligatures w14:val="none"/>
        </w:rPr>
        <w:t xml:space="preserve"> Data Analysis Methods</w:t>
      </w:r>
      <w:r w:rsidRPr="00342ED5">
        <w:rPr>
          <w:rFonts w:eastAsia="DengXian Light" w:cs="Times New Roman"/>
          <w:i/>
          <w:iCs/>
          <w:kern w:val="0"/>
          <w:sz w:val="28"/>
          <w:szCs w:val="28"/>
          <w:lang w:val="en-US"/>
          <w14:ligatures w14:val="none"/>
        </w:rPr>
        <w:t xml:space="preserve"> </w:t>
      </w:r>
      <w:r w:rsidR="002E1E82" w:rsidRPr="003932D7">
        <w:rPr>
          <w:rFonts w:eastAsia="DengXian Light" w:cs="Times New Roman"/>
          <w:i/>
          <w:iCs/>
          <w:kern w:val="0"/>
          <w:sz w:val="28"/>
          <w:szCs w:val="28"/>
          <w:lang w:val="en-US"/>
          <w14:ligatures w14:val="none"/>
        </w:rPr>
        <w:t>(</w:t>
      </w:r>
      <w:r>
        <w:rPr>
          <w:rFonts w:eastAsia="DengXian Light" w:cs="Times New Roman"/>
          <w:i/>
          <w:iCs/>
          <w:kern w:val="0"/>
          <w:sz w:val="28"/>
          <w:szCs w:val="28"/>
          <w:lang w:val="en-US"/>
          <w14:ligatures w14:val="none"/>
        </w:rPr>
        <w:t>1</w:t>
      </w:r>
      <w:r w:rsidR="008E3830">
        <w:rPr>
          <w:rFonts w:eastAsia="DengXian Light" w:cs="Times New Roman"/>
          <w:i/>
          <w:iCs/>
          <w:kern w:val="0"/>
          <w:sz w:val="28"/>
          <w:szCs w:val="28"/>
          <w:lang w:val="en-US"/>
          <w14:ligatures w14:val="none"/>
        </w:rPr>
        <w:t>2</w:t>
      </w:r>
      <w:r w:rsidR="002E1E82" w:rsidRPr="003932D7">
        <w:rPr>
          <w:rFonts w:eastAsia="DengXian Light" w:cs="Times New Roman"/>
          <w:i/>
          <w:iCs/>
          <w:kern w:val="0"/>
          <w:sz w:val="28"/>
          <w:szCs w:val="28"/>
          <w:lang w:val="en-US"/>
          <w14:ligatures w14:val="none"/>
        </w:rPr>
        <w:t>)</w:t>
      </w:r>
    </w:p>
    <w:p w14:paraId="1975339C" w14:textId="072922DE" w:rsidR="002E1E82" w:rsidRPr="003932D7" w:rsidRDefault="00342ED5" w:rsidP="002E1E82">
      <w:pPr>
        <w:spacing w:after="0"/>
        <w:ind w:left="720"/>
        <w:rPr>
          <w:rFonts w:eastAsia="DengXian Light" w:cs="Times New Roman"/>
          <w:kern w:val="0"/>
          <w:sz w:val="28"/>
          <w:szCs w:val="28"/>
          <w:lang w:val="en-US"/>
          <w14:ligatures w14:val="none"/>
        </w:rPr>
      </w:pPr>
      <w:r>
        <w:rPr>
          <w:rFonts w:eastAsia="DengXian Light" w:cs="Times New Roman"/>
          <w:kern w:val="0"/>
          <w:sz w:val="28"/>
          <w:szCs w:val="28"/>
          <w:lang w:val="en-US"/>
          <w14:ligatures w14:val="none"/>
        </w:rPr>
        <w:t>4</w:t>
      </w:r>
      <w:r w:rsidR="002E1E82" w:rsidRPr="003932D7">
        <w:rPr>
          <w:rFonts w:eastAsia="DengXian Light" w:cs="Times New Roman"/>
          <w:kern w:val="0"/>
          <w:sz w:val="28"/>
          <w:szCs w:val="28"/>
          <w:lang w:val="en-US"/>
          <w14:ligatures w14:val="none"/>
        </w:rPr>
        <w:t xml:space="preserve">.3 </w:t>
      </w:r>
      <w:r>
        <w:rPr>
          <w:rFonts w:eastAsia="DengXian Light" w:cs="Times New Roman"/>
          <w:kern w:val="0"/>
          <w:sz w:val="28"/>
          <w:szCs w:val="28"/>
          <w14:ligatures w14:val="none"/>
        </w:rPr>
        <w:t>Document Data Analysis Methods</w:t>
      </w:r>
      <w:r w:rsidR="002E1E82" w:rsidRPr="003932D7">
        <w:rPr>
          <w:rFonts w:eastAsia="DengXian Light" w:cs="Times New Roman"/>
          <w:i/>
          <w:iCs/>
          <w:kern w:val="0"/>
          <w:sz w:val="28"/>
          <w:szCs w:val="28"/>
          <w:lang w:val="en-US"/>
          <w14:ligatures w14:val="none"/>
        </w:rPr>
        <w:t xml:space="preserve"> (1</w:t>
      </w:r>
      <w:r>
        <w:rPr>
          <w:rFonts w:eastAsia="DengXian Light" w:cs="Times New Roman"/>
          <w:i/>
          <w:iCs/>
          <w:kern w:val="0"/>
          <w:sz w:val="28"/>
          <w:szCs w:val="28"/>
          <w:lang w:val="en-US"/>
          <w14:ligatures w14:val="none"/>
        </w:rPr>
        <w:t>2</w:t>
      </w:r>
      <w:r w:rsidR="002E1E82" w:rsidRPr="003932D7">
        <w:rPr>
          <w:rFonts w:eastAsia="DengXian Light" w:cs="Times New Roman"/>
          <w:i/>
          <w:iCs/>
          <w:kern w:val="0"/>
          <w:sz w:val="28"/>
          <w:szCs w:val="28"/>
          <w:lang w:val="en-US"/>
          <w14:ligatures w14:val="none"/>
        </w:rPr>
        <w:t>)</w:t>
      </w:r>
    </w:p>
    <w:p w14:paraId="4049B752" w14:textId="367AD87E" w:rsidR="002E1E82" w:rsidRDefault="00342ED5" w:rsidP="002E1E82">
      <w:pPr>
        <w:spacing w:after="0"/>
        <w:ind w:left="720"/>
        <w:rPr>
          <w:rFonts w:eastAsia="DengXian Light" w:cs="Times New Roman"/>
          <w:i/>
          <w:iCs/>
          <w:kern w:val="0"/>
          <w:sz w:val="28"/>
          <w:szCs w:val="28"/>
          <w:lang w:val="en-US"/>
          <w14:ligatures w14:val="none"/>
        </w:rPr>
      </w:pPr>
      <w:r>
        <w:rPr>
          <w:rFonts w:eastAsia="DengXian Light" w:cs="Times New Roman"/>
          <w:kern w:val="0"/>
          <w:sz w:val="28"/>
          <w:szCs w:val="28"/>
          <w:lang w:val="en-US"/>
          <w14:ligatures w14:val="none"/>
        </w:rPr>
        <w:t>4</w:t>
      </w:r>
      <w:r w:rsidR="002E1E82" w:rsidRPr="003932D7">
        <w:rPr>
          <w:rFonts w:eastAsia="DengXian Light" w:cs="Times New Roman"/>
          <w:kern w:val="0"/>
          <w:sz w:val="28"/>
          <w:szCs w:val="28"/>
          <w:lang w:val="en-US"/>
          <w14:ligatures w14:val="none"/>
        </w:rPr>
        <w:t xml:space="preserve">.4 </w:t>
      </w:r>
      <w:r>
        <w:rPr>
          <w:rFonts w:eastAsia="DengXian Light" w:cs="Times New Roman"/>
          <w:kern w:val="0"/>
          <w:sz w:val="28"/>
          <w:szCs w:val="28"/>
          <w14:ligatures w14:val="none"/>
        </w:rPr>
        <w:t>Data Presentation Methods</w:t>
      </w:r>
      <w:r w:rsidR="002E1E82" w:rsidRPr="003932D7">
        <w:rPr>
          <w:rFonts w:eastAsia="DengXian Light" w:cs="Times New Roman"/>
          <w:kern w:val="0"/>
          <w:sz w:val="28"/>
          <w:szCs w:val="28"/>
          <w14:ligatures w14:val="none"/>
        </w:rPr>
        <w:t xml:space="preserve"> (</w:t>
      </w:r>
      <w:r w:rsidR="002E1E82" w:rsidRPr="003932D7">
        <w:rPr>
          <w:rFonts w:eastAsia="DengXian Light" w:cs="Times New Roman"/>
          <w:i/>
          <w:iCs/>
          <w:kern w:val="0"/>
          <w:sz w:val="28"/>
          <w:szCs w:val="28"/>
          <w:lang w:val="en-US"/>
          <w14:ligatures w14:val="none"/>
        </w:rPr>
        <w:t>1</w:t>
      </w:r>
      <w:r>
        <w:rPr>
          <w:rFonts w:eastAsia="DengXian Light" w:cs="Times New Roman"/>
          <w:i/>
          <w:iCs/>
          <w:kern w:val="0"/>
          <w:sz w:val="28"/>
          <w:szCs w:val="28"/>
          <w:lang w:val="en-US"/>
          <w14:ligatures w14:val="none"/>
        </w:rPr>
        <w:t>3</w:t>
      </w:r>
      <w:r w:rsidR="002E1E82" w:rsidRPr="003932D7">
        <w:rPr>
          <w:rFonts w:eastAsia="DengXian Light" w:cs="Times New Roman"/>
          <w:i/>
          <w:iCs/>
          <w:kern w:val="0"/>
          <w:sz w:val="28"/>
          <w:szCs w:val="28"/>
          <w:lang w:val="en-US"/>
          <w14:ligatures w14:val="none"/>
        </w:rPr>
        <w:t>)</w:t>
      </w:r>
    </w:p>
    <w:p w14:paraId="58F961B5" w14:textId="77777777" w:rsidR="00342ED5" w:rsidRDefault="00342ED5" w:rsidP="002E1E82">
      <w:pPr>
        <w:spacing w:after="0"/>
        <w:ind w:left="720"/>
        <w:rPr>
          <w:rFonts w:eastAsia="DengXian Light" w:cs="Times New Roman"/>
          <w:i/>
          <w:iCs/>
          <w:kern w:val="0"/>
          <w:sz w:val="28"/>
          <w:szCs w:val="28"/>
          <w:lang w:val="en-US"/>
          <w14:ligatures w14:val="none"/>
        </w:rPr>
      </w:pPr>
    </w:p>
    <w:p w14:paraId="2A7CBFD7" w14:textId="453EC42E" w:rsidR="00342ED5" w:rsidRPr="003932D7" w:rsidRDefault="00342ED5" w:rsidP="00342ED5">
      <w:pPr>
        <w:spacing w:after="0"/>
        <w:rPr>
          <w:rFonts w:eastAsia="DengXian" w:cs="Calibri Light"/>
          <w:noProof/>
          <w:sz w:val="28"/>
          <w:szCs w:val="28"/>
          <w:lang w:eastAsia="zh-CN"/>
        </w:rPr>
      </w:pPr>
      <w:r>
        <w:rPr>
          <w:rFonts w:eastAsia="DengXian" w:cs="Calibri Light"/>
          <w:noProof/>
          <w:sz w:val="28"/>
          <w:szCs w:val="28"/>
          <w:lang w:eastAsia="zh-CN"/>
        </w:rPr>
        <w:t>5</w:t>
      </w:r>
      <w:r w:rsidRPr="003932D7">
        <w:rPr>
          <w:rFonts w:eastAsia="DengXian" w:cs="Calibri Light"/>
          <w:noProof/>
          <w:sz w:val="28"/>
          <w:szCs w:val="28"/>
          <w:lang w:eastAsia="zh-CN"/>
        </w:rPr>
        <w:t xml:space="preserve">.0 </w:t>
      </w:r>
      <w:r>
        <w:rPr>
          <w:rFonts w:eastAsia="DengXian" w:cs="Calibri Light"/>
          <w:noProof/>
          <w:sz w:val="28"/>
          <w:szCs w:val="28"/>
          <w:lang w:eastAsia="zh-CN"/>
        </w:rPr>
        <w:t>Conclusion</w:t>
      </w:r>
      <w:r w:rsidRPr="003932D7">
        <w:rPr>
          <w:rFonts w:eastAsia="DengXian" w:cs="Calibri Light"/>
          <w:noProof/>
          <w:sz w:val="28"/>
          <w:szCs w:val="28"/>
          <w:lang w:eastAsia="zh-CN"/>
        </w:rPr>
        <w:t xml:space="preserve"> (</w:t>
      </w:r>
      <w:r w:rsidRPr="003932D7">
        <w:rPr>
          <w:rFonts w:eastAsia="DengXian" w:cs="Calibri Light"/>
          <w:i/>
          <w:iCs/>
          <w:noProof/>
          <w:sz w:val="28"/>
          <w:szCs w:val="28"/>
          <w:lang w:eastAsia="zh-CN"/>
        </w:rPr>
        <w:t>1</w:t>
      </w:r>
      <w:r>
        <w:rPr>
          <w:rFonts w:eastAsia="DengXian" w:cs="Calibri Light"/>
          <w:i/>
          <w:iCs/>
          <w:noProof/>
          <w:sz w:val="28"/>
          <w:szCs w:val="28"/>
          <w:lang w:eastAsia="zh-CN"/>
        </w:rPr>
        <w:t>3</w:t>
      </w:r>
      <w:r w:rsidRPr="003932D7">
        <w:rPr>
          <w:rFonts w:eastAsia="DengXian" w:cs="Calibri Light"/>
          <w:noProof/>
          <w:sz w:val="28"/>
          <w:szCs w:val="28"/>
          <w:lang w:eastAsia="zh-CN"/>
        </w:rPr>
        <w:t>)</w:t>
      </w:r>
    </w:p>
    <w:p w14:paraId="409BA4C9" w14:textId="77777777" w:rsidR="00342ED5" w:rsidRPr="003932D7" w:rsidRDefault="00342ED5" w:rsidP="002E1E82">
      <w:pPr>
        <w:spacing w:after="0"/>
        <w:ind w:left="720"/>
        <w:rPr>
          <w:rFonts w:eastAsia="DengXian Light" w:cs="Times New Roman"/>
          <w:kern w:val="0"/>
          <w:sz w:val="28"/>
          <w:szCs w:val="28"/>
          <w:lang w:val="en-US"/>
          <w14:ligatures w14:val="none"/>
        </w:rPr>
      </w:pPr>
    </w:p>
    <w:p w14:paraId="6A16F715" w14:textId="77777777" w:rsidR="00610CAA" w:rsidRPr="003932D7" w:rsidRDefault="00610CAA" w:rsidP="00610CAA">
      <w:pPr>
        <w:spacing w:after="0"/>
        <w:rPr>
          <w:rFonts w:eastAsia="DengXian" w:cs="Calibri Light"/>
          <w:noProof/>
          <w:sz w:val="28"/>
          <w:szCs w:val="28"/>
          <w:lang w:eastAsia="zh-CN"/>
        </w:rPr>
      </w:pPr>
    </w:p>
    <w:p w14:paraId="0E11C51C" w14:textId="09D34741" w:rsidR="00610CAA" w:rsidRPr="003932D7" w:rsidRDefault="00610CAA" w:rsidP="00610CAA">
      <w:pPr>
        <w:spacing w:after="0"/>
        <w:rPr>
          <w:rFonts w:eastAsia="DengXian" w:cs="Calibri Light"/>
          <w:noProof/>
          <w:sz w:val="28"/>
          <w:szCs w:val="28"/>
          <w:lang w:eastAsia="zh-CN"/>
        </w:rPr>
      </w:pPr>
      <w:r w:rsidRPr="003932D7">
        <w:rPr>
          <w:rFonts w:eastAsia="DengXian" w:cs="Calibri Light"/>
          <w:noProof/>
          <w:sz w:val="28"/>
          <w:szCs w:val="28"/>
          <w:lang w:eastAsia="zh-CN"/>
        </w:rPr>
        <w:t>References (</w:t>
      </w:r>
      <w:r w:rsidRPr="003932D7">
        <w:rPr>
          <w:rFonts w:eastAsia="DengXian" w:cs="Calibri Light"/>
          <w:i/>
          <w:iCs/>
          <w:noProof/>
          <w:sz w:val="28"/>
          <w:szCs w:val="28"/>
          <w:lang w:eastAsia="zh-CN"/>
        </w:rPr>
        <w:t>1</w:t>
      </w:r>
      <w:r w:rsidR="00EA2303">
        <w:rPr>
          <w:rFonts w:eastAsia="DengXian" w:cs="Calibri Light"/>
          <w:i/>
          <w:iCs/>
          <w:noProof/>
          <w:sz w:val="28"/>
          <w:szCs w:val="28"/>
          <w:lang w:eastAsia="zh-CN"/>
        </w:rPr>
        <w:t>5</w:t>
      </w:r>
      <w:r w:rsidRPr="003932D7">
        <w:rPr>
          <w:rFonts w:eastAsia="DengXian" w:cs="Calibri Light"/>
          <w:noProof/>
          <w:sz w:val="28"/>
          <w:szCs w:val="28"/>
          <w:lang w:eastAsia="zh-CN"/>
        </w:rPr>
        <w:t>)</w:t>
      </w:r>
    </w:p>
    <w:p w14:paraId="4BCB4D65" w14:textId="77777777" w:rsidR="00EC0950" w:rsidRDefault="00EC0950">
      <w:pPr>
        <w:rPr>
          <w:b/>
          <w:bCs/>
          <w:sz w:val="32"/>
          <w:szCs w:val="32"/>
        </w:rPr>
      </w:pPr>
      <w:r>
        <w:rPr>
          <w:b/>
          <w:bCs/>
          <w:sz w:val="32"/>
          <w:szCs w:val="32"/>
        </w:rPr>
        <w:br w:type="page"/>
      </w:r>
    </w:p>
    <w:p w14:paraId="4A7D6BD6" w14:textId="0ECC399F" w:rsidR="001A03EF" w:rsidRPr="00307A53" w:rsidRDefault="00F61A3F" w:rsidP="00307A53">
      <w:pPr>
        <w:spacing w:line="360" w:lineRule="auto"/>
        <w:rPr>
          <w:b/>
          <w:bCs/>
          <w:sz w:val="32"/>
          <w:szCs w:val="32"/>
        </w:rPr>
      </w:pPr>
      <w:r w:rsidRPr="00307A53">
        <w:rPr>
          <w:b/>
          <w:bCs/>
          <w:sz w:val="32"/>
          <w:szCs w:val="32"/>
        </w:rPr>
        <w:lastRenderedPageBreak/>
        <w:t>1.0 Research Context</w:t>
      </w:r>
    </w:p>
    <w:p w14:paraId="4822BF9C" w14:textId="6340D65E" w:rsidR="00F61A3F" w:rsidRPr="00307A53" w:rsidRDefault="008E2BC0" w:rsidP="00307A53">
      <w:pPr>
        <w:spacing w:line="360" w:lineRule="auto"/>
        <w:jc w:val="both"/>
        <w:rPr>
          <w:sz w:val="24"/>
          <w:szCs w:val="24"/>
        </w:rPr>
      </w:pPr>
      <w:r w:rsidRPr="00307A53">
        <w:rPr>
          <w:sz w:val="24"/>
          <w:szCs w:val="24"/>
        </w:rPr>
        <w:t xml:space="preserve">This study </w:t>
      </w:r>
      <w:r w:rsidR="00A6121F" w:rsidRPr="00307A53">
        <w:rPr>
          <w:sz w:val="24"/>
          <w:szCs w:val="24"/>
        </w:rPr>
        <w:t>explores</w:t>
      </w:r>
      <w:r w:rsidRPr="00307A53">
        <w:rPr>
          <w:sz w:val="24"/>
          <w:szCs w:val="24"/>
        </w:rPr>
        <w:t xml:space="preserve"> how secondary schools in Wales enable or constrain students’ access to post-16 pathways, within the context of the Curriculum for Wales (2022). Underpinned by concerns around </w:t>
      </w:r>
      <w:r w:rsidR="00D71B8E" w:rsidRPr="00307A53">
        <w:rPr>
          <w:sz w:val="24"/>
          <w:szCs w:val="24"/>
        </w:rPr>
        <w:t>educational equity</w:t>
      </w:r>
      <w:r w:rsidR="00990968" w:rsidRPr="00307A53">
        <w:rPr>
          <w:sz w:val="24"/>
          <w:szCs w:val="24"/>
        </w:rPr>
        <w:t xml:space="preserve"> (Archer et al., 2023)</w:t>
      </w:r>
      <w:r w:rsidR="00D71B8E" w:rsidRPr="00307A53">
        <w:rPr>
          <w:sz w:val="24"/>
          <w:szCs w:val="24"/>
        </w:rPr>
        <w:t xml:space="preserve"> and </w:t>
      </w:r>
      <w:r w:rsidR="00990968" w:rsidRPr="00307A53">
        <w:rPr>
          <w:sz w:val="24"/>
          <w:szCs w:val="24"/>
        </w:rPr>
        <w:t xml:space="preserve">post-16 disparities (Taylor, 2024) </w:t>
      </w:r>
      <w:r w:rsidRPr="00307A53">
        <w:rPr>
          <w:sz w:val="24"/>
          <w:szCs w:val="24"/>
        </w:rPr>
        <w:t xml:space="preserve">it </w:t>
      </w:r>
      <w:r w:rsidR="00D43EF7" w:rsidRPr="00307A53">
        <w:rPr>
          <w:sz w:val="24"/>
          <w:szCs w:val="24"/>
        </w:rPr>
        <w:t xml:space="preserve">will </w:t>
      </w:r>
      <w:r w:rsidR="00D71B8E" w:rsidRPr="00307A53">
        <w:rPr>
          <w:sz w:val="24"/>
          <w:szCs w:val="24"/>
        </w:rPr>
        <w:t>examine</w:t>
      </w:r>
      <w:r w:rsidRPr="00307A53">
        <w:rPr>
          <w:sz w:val="24"/>
          <w:szCs w:val="24"/>
        </w:rPr>
        <w:t xml:space="preserve"> </w:t>
      </w:r>
      <w:r w:rsidR="001A03EF" w:rsidRPr="00307A53">
        <w:rPr>
          <w:sz w:val="24"/>
          <w:szCs w:val="24"/>
        </w:rPr>
        <w:t xml:space="preserve">how school practices, </w:t>
      </w:r>
      <w:r w:rsidR="00D71B8E" w:rsidRPr="00307A53">
        <w:rPr>
          <w:sz w:val="24"/>
          <w:szCs w:val="24"/>
        </w:rPr>
        <w:t>such as</w:t>
      </w:r>
      <w:r w:rsidR="001A03EF" w:rsidRPr="00307A53">
        <w:rPr>
          <w:sz w:val="24"/>
          <w:szCs w:val="24"/>
        </w:rPr>
        <w:t xml:space="preserve"> curriculum design, career</w:t>
      </w:r>
      <w:r w:rsidRPr="00307A53">
        <w:rPr>
          <w:sz w:val="24"/>
          <w:szCs w:val="24"/>
        </w:rPr>
        <w:t>-</w:t>
      </w:r>
      <w:r w:rsidR="001A03EF" w:rsidRPr="00307A53">
        <w:rPr>
          <w:sz w:val="24"/>
          <w:szCs w:val="24"/>
        </w:rPr>
        <w:t xml:space="preserve">education, and teacher expectations, </w:t>
      </w:r>
      <w:r w:rsidRPr="00307A53">
        <w:rPr>
          <w:sz w:val="24"/>
          <w:szCs w:val="24"/>
        </w:rPr>
        <w:t>influence</w:t>
      </w:r>
      <w:r w:rsidR="001A03EF" w:rsidRPr="00307A53">
        <w:rPr>
          <w:sz w:val="24"/>
          <w:szCs w:val="24"/>
        </w:rPr>
        <w:t xml:space="preserve"> students’ perceptions of, and access to, </w:t>
      </w:r>
      <w:r w:rsidR="00960AED" w:rsidRPr="00307A53">
        <w:rPr>
          <w:sz w:val="24"/>
          <w:szCs w:val="24"/>
        </w:rPr>
        <w:t xml:space="preserve">available </w:t>
      </w:r>
      <w:r w:rsidR="00500C0E">
        <w:rPr>
          <w:sz w:val="24"/>
          <w:szCs w:val="24"/>
        </w:rPr>
        <w:t xml:space="preserve">post-16 </w:t>
      </w:r>
      <w:r w:rsidR="00960AED" w:rsidRPr="00307A53">
        <w:rPr>
          <w:sz w:val="24"/>
          <w:szCs w:val="24"/>
        </w:rPr>
        <w:t>pathways</w:t>
      </w:r>
      <w:r w:rsidR="001A03EF" w:rsidRPr="00307A53">
        <w:rPr>
          <w:sz w:val="24"/>
          <w:szCs w:val="24"/>
        </w:rPr>
        <w:t xml:space="preserve">. Drawing on the Capability Approach (Sen, 1999), the study </w:t>
      </w:r>
      <w:r w:rsidR="00A9273E" w:rsidRPr="00307A53">
        <w:rPr>
          <w:sz w:val="24"/>
          <w:szCs w:val="24"/>
        </w:rPr>
        <w:t xml:space="preserve">will consider </w:t>
      </w:r>
      <w:r w:rsidR="00D71B8E" w:rsidRPr="00307A53">
        <w:rPr>
          <w:sz w:val="24"/>
          <w:szCs w:val="24"/>
        </w:rPr>
        <w:t xml:space="preserve">the genuine </w:t>
      </w:r>
      <w:r w:rsidR="00A9273E" w:rsidRPr="00307A53">
        <w:rPr>
          <w:sz w:val="24"/>
          <w:szCs w:val="24"/>
        </w:rPr>
        <w:t xml:space="preserve">freedom and </w:t>
      </w:r>
      <w:r w:rsidR="00D71B8E" w:rsidRPr="00307A53">
        <w:rPr>
          <w:sz w:val="24"/>
          <w:szCs w:val="24"/>
        </w:rPr>
        <w:t xml:space="preserve">opportunities students have to </w:t>
      </w:r>
      <w:r w:rsidR="001A03EF" w:rsidRPr="00307A53">
        <w:rPr>
          <w:sz w:val="24"/>
          <w:szCs w:val="24"/>
        </w:rPr>
        <w:t xml:space="preserve">pursue </w:t>
      </w:r>
      <w:r w:rsidR="00D71B8E" w:rsidRPr="00307A53">
        <w:rPr>
          <w:sz w:val="24"/>
          <w:szCs w:val="24"/>
        </w:rPr>
        <w:t>futures they have reason to value.</w:t>
      </w:r>
      <w:r w:rsidR="001A03EF" w:rsidRPr="00307A53">
        <w:rPr>
          <w:sz w:val="24"/>
          <w:szCs w:val="24"/>
        </w:rPr>
        <w:t xml:space="preserve"> </w:t>
      </w:r>
    </w:p>
    <w:p w14:paraId="7461316B" w14:textId="77777777" w:rsidR="00404BF8" w:rsidRPr="00307A53" w:rsidRDefault="00404BF8" w:rsidP="00307A53">
      <w:pPr>
        <w:spacing w:line="360" w:lineRule="auto"/>
        <w:jc w:val="both"/>
        <w:rPr>
          <w:sz w:val="24"/>
          <w:szCs w:val="24"/>
        </w:rPr>
      </w:pPr>
    </w:p>
    <w:p w14:paraId="218CCF25" w14:textId="5345A703" w:rsidR="00F61A3F" w:rsidRPr="00307A53" w:rsidRDefault="00F61A3F" w:rsidP="00307A53">
      <w:pPr>
        <w:spacing w:line="360" w:lineRule="auto"/>
        <w:jc w:val="both"/>
        <w:rPr>
          <w:b/>
          <w:bCs/>
          <w:sz w:val="32"/>
          <w:szCs w:val="32"/>
        </w:rPr>
      </w:pPr>
      <w:r w:rsidRPr="00307A53">
        <w:rPr>
          <w:b/>
          <w:bCs/>
          <w:sz w:val="32"/>
          <w:szCs w:val="32"/>
        </w:rPr>
        <w:t>2.0 Methodology</w:t>
      </w:r>
    </w:p>
    <w:p w14:paraId="0A044A10" w14:textId="4BD40B4D" w:rsidR="00F61A3F" w:rsidRPr="00307A53" w:rsidRDefault="00307A53" w:rsidP="00307A53">
      <w:pPr>
        <w:spacing w:line="360" w:lineRule="auto"/>
        <w:jc w:val="both"/>
        <w:rPr>
          <w:b/>
          <w:bCs/>
          <w:sz w:val="28"/>
          <w:szCs w:val="28"/>
        </w:rPr>
      </w:pPr>
      <w:r w:rsidRPr="00307A53">
        <w:rPr>
          <w:b/>
          <w:bCs/>
          <w:sz w:val="28"/>
          <w:szCs w:val="28"/>
        </w:rPr>
        <w:t xml:space="preserve">2.1 </w:t>
      </w:r>
      <w:r w:rsidR="00F61A3F" w:rsidRPr="00307A53">
        <w:rPr>
          <w:b/>
          <w:bCs/>
          <w:sz w:val="28"/>
          <w:szCs w:val="28"/>
        </w:rPr>
        <w:t xml:space="preserve">Research Paradigm </w:t>
      </w:r>
    </w:p>
    <w:p w14:paraId="6199F42B" w14:textId="56D33BEE" w:rsidR="00F61A3F" w:rsidRPr="00307A53" w:rsidRDefault="00F61A3F" w:rsidP="00307A53">
      <w:pPr>
        <w:spacing w:line="360" w:lineRule="auto"/>
        <w:jc w:val="both"/>
        <w:rPr>
          <w:sz w:val="24"/>
          <w:szCs w:val="24"/>
        </w:rPr>
      </w:pPr>
      <w:r w:rsidRPr="00307A53">
        <w:rPr>
          <w:sz w:val="24"/>
          <w:szCs w:val="24"/>
        </w:rPr>
        <w:t xml:space="preserve">Research </w:t>
      </w:r>
      <w:r w:rsidR="00FC1626" w:rsidRPr="00307A53">
        <w:rPr>
          <w:sz w:val="24"/>
          <w:szCs w:val="24"/>
        </w:rPr>
        <w:t>paradigm</w:t>
      </w:r>
      <w:r w:rsidRPr="00307A53">
        <w:rPr>
          <w:sz w:val="24"/>
          <w:szCs w:val="24"/>
        </w:rPr>
        <w:t xml:space="preserve"> refers to the underlying assumptions about how reality (ontology), knowledge (epistemology), and methodology are understood (Cohen et al., 2018). These “</w:t>
      </w:r>
      <w:r w:rsidRPr="00307A53">
        <w:rPr>
          <w:i/>
          <w:iCs/>
          <w:sz w:val="24"/>
          <w:szCs w:val="24"/>
        </w:rPr>
        <w:t>thinking habits</w:t>
      </w:r>
      <w:r w:rsidRPr="00307A53">
        <w:rPr>
          <w:sz w:val="24"/>
          <w:szCs w:val="24"/>
        </w:rPr>
        <w:t xml:space="preserve">” (Thomas, 2021, p.107) shape how research questions are framed, how data is interpreted, and how knowledge is constructed (Hitchcock &amp; Hughes, 1995). </w:t>
      </w:r>
    </w:p>
    <w:p w14:paraId="6A3903D7" w14:textId="291C7BD9" w:rsidR="00F61A3F" w:rsidRPr="00307A53" w:rsidRDefault="00F61A3F" w:rsidP="00307A53">
      <w:pPr>
        <w:spacing w:line="360" w:lineRule="auto"/>
        <w:jc w:val="both"/>
        <w:rPr>
          <w:sz w:val="24"/>
          <w:szCs w:val="24"/>
        </w:rPr>
      </w:pPr>
      <w:r w:rsidRPr="00307A53">
        <w:rPr>
          <w:sz w:val="24"/>
          <w:szCs w:val="24"/>
        </w:rPr>
        <w:t xml:space="preserve">This study is situated within an interpretivist paradigm, informed by a constructivist epistemology (Lincoln &amp; Guba, 1985). Interpretivism assumes that reality is not fixed or objective, but socially constructed through interaction and experience (Denscombe, 2021). Consequently, the research </w:t>
      </w:r>
      <w:r w:rsidR="00FC1626" w:rsidRPr="00307A53">
        <w:rPr>
          <w:sz w:val="24"/>
          <w:szCs w:val="24"/>
        </w:rPr>
        <w:t xml:space="preserve">will </w:t>
      </w:r>
      <w:r w:rsidRPr="00307A53">
        <w:rPr>
          <w:sz w:val="24"/>
          <w:szCs w:val="24"/>
        </w:rPr>
        <w:t xml:space="preserve">assume </w:t>
      </w:r>
      <w:r w:rsidRPr="00307A53">
        <w:rPr>
          <w:i/>
          <w:iCs/>
          <w:sz w:val="24"/>
          <w:szCs w:val="24"/>
        </w:rPr>
        <w:t>multiple realities</w:t>
      </w:r>
      <w:r w:rsidRPr="00307A53">
        <w:rPr>
          <w:sz w:val="24"/>
          <w:szCs w:val="24"/>
        </w:rPr>
        <w:t xml:space="preserve">, </w:t>
      </w:r>
      <w:r w:rsidR="00A65775" w:rsidRPr="00307A53">
        <w:rPr>
          <w:sz w:val="24"/>
          <w:szCs w:val="24"/>
        </w:rPr>
        <w:t xml:space="preserve">which are </w:t>
      </w:r>
      <w:r w:rsidRPr="00307A53">
        <w:rPr>
          <w:sz w:val="24"/>
          <w:szCs w:val="24"/>
        </w:rPr>
        <w:t>shaped by individuals’ social, cultural, and historical contexts (Thomas, 2021, p114). Epistemologically, knowledge will be understood as co-constructed between researcher and participants, rather than discovered as an objective truth (Lincoln &amp; Guba, 1985).</w:t>
      </w:r>
    </w:p>
    <w:p w14:paraId="2855305D" w14:textId="53F92B46" w:rsidR="00F61A3F" w:rsidRPr="00307A53" w:rsidRDefault="00F61A3F" w:rsidP="00307A53">
      <w:pPr>
        <w:spacing w:line="360" w:lineRule="auto"/>
        <w:jc w:val="both"/>
        <w:rPr>
          <w:sz w:val="24"/>
          <w:szCs w:val="24"/>
        </w:rPr>
      </w:pPr>
      <w:r w:rsidRPr="00307A53">
        <w:rPr>
          <w:sz w:val="24"/>
          <w:szCs w:val="24"/>
        </w:rPr>
        <w:t xml:space="preserve">The choice of paradigm is often influenced by the nature of the research problem (Thomas, 2021), and by the researcher’s positionality (Creswell, 2023). It is argued that research can never be totally free from bias (Homes, 2020), particularly in education, which is </w:t>
      </w:r>
      <w:r w:rsidR="005B4277" w:rsidRPr="00307A53">
        <w:rPr>
          <w:sz w:val="24"/>
          <w:szCs w:val="24"/>
        </w:rPr>
        <w:t>subject to</w:t>
      </w:r>
      <w:r w:rsidRPr="00307A53">
        <w:rPr>
          <w:sz w:val="24"/>
          <w:szCs w:val="24"/>
        </w:rPr>
        <w:t xml:space="preserve"> social, cultural, and political </w:t>
      </w:r>
      <w:r w:rsidR="005B4277" w:rsidRPr="00307A53">
        <w:rPr>
          <w:sz w:val="24"/>
          <w:szCs w:val="24"/>
        </w:rPr>
        <w:t>influences</w:t>
      </w:r>
      <w:r w:rsidRPr="00307A53">
        <w:rPr>
          <w:sz w:val="24"/>
          <w:szCs w:val="24"/>
        </w:rPr>
        <w:t xml:space="preserve"> (Cohen et al., 2018). As a practitioner with an interest in equity and post-16 progression, it is recognised that these </w:t>
      </w:r>
      <w:r w:rsidRPr="00307A53">
        <w:rPr>
          <w:sz w:val="24"/>
          <w:szCs w:val="24"/>
        </w:rPr>
        <w:lastRenderedPageBreak/>
        <w:t xml:space="preserve">prior experiences may influence the research process (Hitchcock and Huges, 1995). </w:t>
      </w:r>
      <w:r w:rsidR="004F41B9" w:rsidRPr="00307A53">
        <w:rPr>
          <w:sz w:val="24"/>
          <w:szCs w:val="24"/>
        </w:rPr>
        <w:t>While an</w:t>
      </w:r>
      <w:r w:rsidRPr="00307A53">
        <w:rPr>
          <w:sz w:val="24"/>
          <w:szCs w:val="24"/>
        </w:rPr>
        <w:t xml:space="preserve"> insider perspective </w:t>
      </w:r>
      <w:r w:rsidR="00514363" w:rsidRPr="00307A53">
        <w:rPr>
          <w:sz w:val="24"/>
          <w:szCs w:val="24"/>
        </w:rPr>
        <w:t xml:space="preserve">can </w:t>
      </w:r>
      <w:r w:rsidRPr="00307A53">
        <w:rPr>
          <w:sz w:val="24"/>
          <w:szCs w:val="24"/>
        </w:rPr>
        <w:t xml:space="preserve">enhance contextual understanding, it </w:t>
      </w:r>
      <w:r w:rsidR="00514363" w:rsidRPr="00307A53">
        <w:rPr>
          <w:sz w:val="24"/>
          <w:szCs w:val="24"/>
        </w:rPr>
        <w:t xml:space="preserve">will </w:t>
      </w:r>
      <w:r w:rsidRPr="00307A53">
        <w:rPr>
          <w:sz w:val="24"/>
          <w:szCs w:val="24"/>
        </w:rPr>
        <w:t xml:space="preserve">also require reflexivity to minimise bias (Holmes, 2020). </w:t>
      </w:r>
      <w:r w:rsidR="004F41B9" w:rsidRPr="00307A53">
        <w:rPr>
          <w:sz w:val="24"/>
          <w:szCs w:val="24"/>
        </w:rPr>
        <w:t>Acknowledging</w:t>
      </w:r>
      <w:r w:rsidRPr="00307A53">
        <w:rPr>
          <w:sz w:val="24"/>
          <w:szCs w:val="24"/>
        </w:rPr>
        <w:t xml:space="preserve"> constructivist </w:t>
      </w:r>
      <w:r w:rsidR="004F41B9" w:rsidRPr="00307A53">
        <w:rPr>
          <w:sz w:val="24"/>
          <w:szCs w:val="24"/>
        </w:rPr>
        <w:t>assumptions that knowledge is co-constructed</w:t>
      </w:r>
      <w:r w:rsidRPr="00307A53">
        <w:rPr>
          <w:sz w:val="24"/>
          <w:szCs w:val="24"/>
        </w:rPr>
        <w:t xml:space="preserve"> will support transparency</w:t>
      </w:r>
      <w:r w:rsidR="004F41B9" w:rsidRPr="00307A53">
        <w:rPr>
          <w:sz w:val="24"/>
          <w:szCs w:val="24"/>
        </w:rPr>
        <w:t xml:space="preserve"> </w:t>
      </w:r>
      <w:r w:rsidRPr="00307A53">
        <w:rPr>
          <w:sz w:val="24"/>
          <w:szCs w:val="24"/>
        </w:rPr>
        <w:t xml:space="preserve">(Lincoln &amp; Guba, 1985), </w:t>
      </w:r>
      <w:r w:rsidR="00E42676" w:rsidRPr="00307A53">
        <w:rPr>
          <w:sz w:val="24"/>
          <w:szCs w:val="24"/>
        </w:rPr>
        <w:t>and</w:t>
      </w:r>
      <w:r w:rsidRPr="00307A53">
        <w:rPr>
          <w:sz w:val="24"/>
          <w:szCs w:val="24"/>
        </w:rPr>
        <w:t xml:space="preserve"> ongoing researcher-reflection throughout the study will enhance credibility </w:t>
      </w:r>
      <w:r w:rsidR="008B7195" w:rsidRPr="00307A53">
        <w:rPr>
          <w:sz w:val="24"/>
          <w:szCs w:val="24"/>
        </w:rPr>
        <w:t>and</w:t>
      </w:r>
      <w:r w:rsidRPr="00307A53">
        <w:rPr>
          <w:sz w:val="24"/>
          <w:szCs w:val="24"/>
        </w:rPr>
        <w:t xml:space="preserve"> ethical awareness (Holmes, 2020). </w:t>
      </w:r>
    </w:p>
    <w:p w14:paraId="4BB5500F" w14:textId="43B2EAFE" w:rsidR="00F61A3F" w:rsidRPr="00307A53" w:rsidRDefault="00F61A3F" w:rsidP="00307A53">
      <w:pPr>
        <w:spacing w:line="360" w:lineRule="auto"/>
        <w:jc w:val="both"/>
        <w:rPr>
          <w:sz w:val="24"/>
          <w:szCs w:val="24"/>
        </w:rPr>
      </w:pPr>
      <w:r w:rsidRPr="00307A53">
        <w:rPr>
          <w:sz w:val="24"/>
          <w:szCs w:val="24"/>
        </w:rPr>
        <w:t>Interpretivism has been criticised for its reliance on subjective interpretation and limited generalisability (Basit, 2010). However, a paradigm in which perceptions and meanings “</w:t>
      </w:r>
      <w:r w:rsidRPr="00307A53">
        <w:rPr>
          <w:i/>
          <w:iCs/>
          <w:sz w:val="24"/>
          <w:szCs w:val="24"/>
        </w:rPr>
        <w:t>matter”</w:t>
      </w:r>
      <w:r w:rsidRPr="00307A53">
        <w:rPr>
          <w:sz w:val="24"/>
          <w:szCs w:val="24"/>
        </w:rPr>
        <w:t xml:space="preserve"> (Creswell, 2023, p193) is appropriate to this study’s focus on how students experience and interpret access to post-16 </w:t>
      </w:r>
      <w:r w:rsidR="00D2628F" w:rsidRPr="00307A53">
        <w:rPr>
          <w:sz w:val="24"/>
          <w:szCs w:val="24"/>
        </w:rPr>
        <w:t>pathways</w:t>
      </w:r>
      <w:r w:rsidRPr="00307A53">
        <w:rPr>
          <w:sz w:val="24"/>
          <w:szCs w:val="24"/>
        </w:rPr>
        <w:t xml:space="preserve">. In contrast to </w:t>
      </w:r>
      <w:r w:rsidR="00CC298C">
        <w:rPr>
          <w:sz w:val="24"/>
          <w:szCs w:val="24"/>
        </w:rPr>
        <w:t xml:space="preserve">a </w:t>
      </w:r>
      <w:r w:rsidRPr="00307A53">
        <w:rPr>
          <w:sz w:val="24"/>
          <w:szCs w:val="24"/>
        </w:rPr>
        <w:t>positivist approach, which prioritise</w:t>
      </w:r>
      <w:r w:rsidR="00CC298C">
        <w:rPr>
          <w:sz w:val="24"/>
          <w:szCs w:val="24"/>
        </w:rPr>
        <w:t>s</w:t>
      </w:r>
      <w:r w:rsidRPr="00307A53">
        <w:rPr>
          <w:sz w:val="24"/>
          <w:szCs w:val="24"/>
        </w:rPr>
        <w:t xml:space="preserve"> objectivity and generalisability (Thomas, 2021), an interpretivist perspective acknowledges the subjective nature of human experience, </w:t>
      </w:r>
      <w:r w:rsidR="00D2628F" w:rsidRPr="00307A53">
        <w:rPr>
          <w:sz w:val="24"/>
          <w:szCs w:val="24"/>
        </w:rPr>
        <w:t>thus enabling</w:t>
      </w:r>
      <w:r w:rsidR="00BF1271" w:rsidRPr="00307A53">
        <w:rPr>
          <w:sz w:val="24"/>
          <w:szCs w:val="24"/>
        </w:rPr>
        <w:t xml:space="preserve"> an</w:t>
      </w:r>
      <w:r w:rsidRPr="00307A53">
        <w:rPr>
          <w:sz w:val="24"/>
          <w:szCs w:val="24"/>
        </w:rPr>
        <w:t xml:space="preserve"> in-depth exploration of context</w:t>
      </w:r>
      <w:r w:rsidR="00BF1271" w:rsidRPr="00307A53">
        <w:rPr>
          <w:sz w:val="24"/>
          <w:szCs w:val="24"/>
        </w:rPr>
        <w:t xml:space="preserve">ual </w:t>
      </w:r>
      <w:r w:rsidRPr="00307A53">
        <w:rPr>
          <w:sz w:val="24"/>
          <w:szCs w:val="24"/>
        </w:rPr>
        <w:t xml:space="preserve">educational experiences (Cohen et al., 2018). </w:t>
      </w:r>
      <w:r w:rsidR="004F03F2" w:rsidRPr="00307A53">
        <w:rPr>
          <w:sz w:val="24"/>
          <w:szCs w:val="24"/>
        </w:rPr>
        <w:t xml:space="preserve">This aligns with the research aim to understand, not only available </w:t>
      </w:r>
      <w:r w:rsidR="00CC298C">
        <w:rPr>
          <w:sz w:val="24"/>
          <w:szCs w:val="24"/>
        </w:rPr>
        <w:t xml:space="preserve">post-16 </w:t>
      </w:r>
      <w:r w:rsidR="004F03F2" w:rsidRPr="00307A53">
        <w:rPr>
          <w:sz w:val="24"/>
          <w:szCs w:val="24"/>
        </w:rPr>
        <w:t>options, but also the meanings that individuals attach to their educational experiences and future opportunities</w:t>
      </w:r>
      <w:r w:rsidRPr="00307A53">
        <w:rPr>
          <w:sz w:val="24"/>
          <w:szCs w:val="24"/>
        </w:rPr>
        <w:t xml:space="preserve"> (Nussbaum, 2011). </w:t>
      </w:r>
    </w:p>
    <w:p w14:paraId="05CD1C68" w14:textId="6ECB3898" w:rsidR="00F61A3F" w:rsidRPr="00307A53" w:rsidRDefault="00307A53" w:rsidP="00307A53">
      <w:pPr>
        <w:spacing w:line="360" w:lineRule="auto"/>
        <w:jc w:val="both"/>
        <w:rPr>
          <w:b/>
          <w:bCs/>
          <w:sz w:val="28"/>
          <w:szCs w:val="28"/>
        </w:rPr>
      </w:pPr>
      <w:r w:rsidRPr="00307A53">
        <w:rPr>
          <w:b/>
          <w:bCs/>
          <w:sz w:val="28"/>
          <w:szCs w:val="28"/>
        </w:rPr>
        <w:t xml:space="preserve">2.2 </w:t>
      </w:r>
      <w:r w:rsidR="00F61A3F" w:rsidRPr="00307A53">
        <w:rPr>
          <w:b/>
          <w:bCs/>
          <w:sz w:val="28"/>
          <w:szCs w:val="28"/>
        </w:rPr>
        <w:t>Research Approach</w:t>
      </w:r>
    </w:p>
    <w:p w14:paraId="5223B03E" w14:textId="1151693B" w:rsidR="00E54DE9" w:rsidRPr="00307A53" w:rsidRDefault="00E06B64" w:rsidP="00307A53">
      <w:pPr>
        <w:spacing w:line="360" w:lineRule="auto"/>
        <w:jc w:val="both"/>
        <w:rPr>
          <w:sz w:val="24"/>
          <w:szCs w:val="24"/>
        </w:rPr>
      </w:pPr>
      <w:r w:rsidRPr="00307A53">
        <w:rPr>
          <w:sz w:val="24"/>
          <w:szCs w:val="24"/>
        </w:rPr>
        <w:t>T</w:t>
      </w:r>
      <w:r w:rsidR="00F61A3F" w:rsidRPr="00307A53">
        <w:rPr>
          <w:sz w:val="24"/>
          <w:szCs w:val="24"/>
        </w:rPr>
        <w:t xml:space="preserve">he research approach is dependent upon the nature of the research problem </w:t>
      </w:r>
      <w:r w:rsidR="00E54DE9" w:rsidRPr="00307A53">
        <w:rPr>
          <w:sz w:val="24"/>
          <w:szCs w:val="24"/>
        </w:rPr>
        <w:t xml:space="preserve">(Thomas, 2021) </w:t>
      </w:r>
      <w:r w:rsidR="00F61A3F" w:rsidRPr="00307A53">
        <w:rPr>
          <w:sz w:val="24"/>
          <w:szCs w:val="24"/>
        </w:rPr>
        <w:t xml:space="preserve">and </w:t>
      </w:r>
      <w:r w:rsidR="00E54DE9" w:rsidRPr="00307A53">
        <w:rPr>
          <w:sz w:val="24"/>
          <w:szCs w:val="24"/>
        </w:rPr>
        <w:t xml:space="preserve">by </w:t>
      </w:r>
      <w:r w:rsidR="00F61A3F" w:rsidRPr="00307A53">
        <w:rPr>
          <w:sz w:val="24"/>
          <w:szCs w:val="24"/>
        </w:rPr>
        <w:t xml:space="preserve">what the researcher </w:t>
      </w:r>
      <w:r w:rsidR="008A5D08" w:rsidRPr="00307A53">
        <w:rPr>
          <w:sz w:val="24"/>
          <w:szCs w:val="24"/>
        </w:rPr>
        <w:t>wants to find out</w:t>
      </w:r>
      <w:r w:rsidR="00F61A3F" w:rsidRPr="00307A53">
        <w:rPr>
          <w:sz w:val="24"/>
          <w:szCs w:val="24"/>
        </w:rPr>
        <w:t xml:space="preserve"> (Cohen et al., 2018). In this study, an abductive approach will be adopted. Rather than testing hypotheses (deduction) or generating theory from data (induction), abduction will allow the researcher to move iteratively between data and theory, refining interpretations as new insights emerge (Hofmann et al., 2024).  </w:t>
      </w:r>
      <w:r w:rsidR="008A5D08" w:rsidRPr="00307A53">
        <w:rPr>
          <w:sz w:val="24"/>
          <w:szCs w:val="24"/>
        </w:rPr>
        <w:t>This approach is relevant to the study’s aim to use the Capability Approach (Sen, 1999) to explore how school practices influence both perceived and actual access to post-16 pathways.</w:t>
      </w:r>
    </w:p>
    <w:p w14:paraId="329F16A5" w14:textId="5647CE2C" w:rsidR="00F61A3F" w:rsidRPr="00307A53" w:rsidRDefault="00307A53" w:rsidP="00307A53">
      <w:pPr>
        <w:spacing w:line="360" w:lineRule="auto"/>
        <w:jc w:val="both"/>
        <w:rPr>
          <w:b/>
          <w:bCs/>
          <w:sz w:val="28"/>
          <w:szCs w:val="28"/>
        </w:rPr>
      </w:pPr>
      <w:r w:rsidRPr="00307A53">
        <w:rPr>
          <w:b/>
          <w:bCs/>
          <w:sz w:val="28"/>
          <w:szCs w:val="28"/>
        </w:rPr>
        <w:t xml:space="preserve">2.3 </w:t>
      </w:r>
      <w:r w:rsidR="00F61A3F" w:rsidRPr="00307A53">
        <w:rPr>
          <w:b/>
          <w:bCs/>
          <w:sz w:val="28"/>
          <w:szCs w:val="28"/>
        </w:rPr>
        <w:t xml:space="preserve">Methodological Choice </w:t>
      </w:r>
    </w:p>
    <w:p w14:paraId="1C34929B" w14:textId="087F356F" w:rsidR="00F61A3F" w:rsidRPr="00307A53" w:rsidRDefault="00851E7B" w:rsidP="00307A53">
      <w:pPr>
        <w:spacing w:line="360" w:lineRule="auto"/>
        <w:jc w:val="both"/>
        <w:rPr>
          <w:sz w:val="24"/>
          <w:szCs w:val="24"/>
        </w:rPr>
      </w:pPr>
      <w:r>
        <w:rPr>
          <w:sz w:val="24"/>
          <w:szCs w:val="24"/>
        </w:rPr>
        <w:t>A</w:t>
      </w:r>
      <w:r w:rsidR="00F61A3F" w:rsidRPr="00307A53">
        <w:rPr>
          <w:sz w:val="24"/>
          <w:szCs w:val="24"/>
        </w:rPr>
        <w:t xml:space="preserve"> “</w:t>
      </w:r>
      <w:r w:rsidR="00F61A3F" w:rsidRPr="00307A53">
        <w:rPr>
          <w:i/>
          <w:iCs/>
          <w:sz w:val="24"/>
          <w:szCs w:val="24"/>
        </w:rPr>
        <w:t>qualitative dominant mixed-methods approach</w:t>
      </w:r>
      <w:r w:rsidR="00F61A3F" w:rsidRPr="00307A53">
        <w:rPr>
          <w:sz w:val="24"/>
          <w:szCs w:val="24"/>
        </w:rPr>
        <w:t>” (Creswell and Clark, 2018, p41)</w:t>
      </w:r>
      <w:r>
        <w:rPr>
          <w:sz w:val="24"/>
          <w:szCs w:val="24"/>
        </w:rPr>
        <w:t xml:space="preserve"> will be used</w:t>
      </w:r>
      <w:r w:rsidR="00F61A3F" w:rsidRPr="00307A53">
        <w:rPr>
          <w:sz w:val="24"/>
          <w:szCs w:val="24"/>
        </w:rPr>
        <w:t xml:space="preserve">, combining qualitative and quantitative data to enhance both the depth and breadth of analysis (Yin, 2018). Although mixed methods research is often associated </w:t>
      </w:r>
      <w:r w:rsidR="00F61A3F" w:rsidRPr="00307A53">
        <w:rPr>
          <w:sz w:val="24"/>
          <w:szCs w:val="24"/>
        </w:rPr>
        <w:lastRenderedPageBreak/>
        <w:t>with a pragmatic paradigm (Cohen et al., 2018), th</w:t>
      </w:r>
      <w:r w:rsidR="00C932B4">
        <w:rPr>
          <w:sz w:val="24"/>
          <w:szCs w:val="24"/>
        </w:rPr>
        <w:t>e</w:t>
      </w:r>
      <w:r w:rsidR="00F61A3F" w:rsidRPr="00307A53">
        <w:rPr>
          <w:sz w:val="24"/>
          <w:szCs w:val="24"/>
        </w:rPr>
        <w:t xml:space="preserve"> study </w:t>
      </w:r>
      <w:r w:rsidR="00186CEB">
        <w:rPr>
          <w:sz w:val="24"/>
          <w:szCs w:val="24"/>
        </w:rPr>
        <w:t>will remain</w:t>
      </w:r>
      <w:r w:rsidR="00F61A3F" w:rsidRPr="00307A53">
        <w:rPr>
          <w:sz w:val="24"/>
          <w:szCs w:val="24"/>
        </w:rPr>
        <w:t xml:space="preserve"> interpretivist by prioritising qualitative data. This ensures that participants’ experiences and interpretations of their access to post-16 pathways </w:t>
      </w:r>
      <w:r w:rsidR="00AC591C">
        <w:rPr>
          <w:sz w:val="24"/>
          <w:szCs w:val="24"/>
        </w:rPr>
        <w:t xml:space="preserve">will </w:t>
      </w:r>
      <w:r w:rsidR="00F61A3F" w:rsidRPr="00307A53">
        <w:rPr>
          <w:sz w:val="24"/>
          <w:szCs w:val="24"/>
        </w:rPr>
        <w:t xml:space="preserve">remain the </w:t>
      </w:r>
      <w:r w:rsidR="004739A2">
        <w:rPr>
          <w:sz w:val="24"/>
          <w:szCs w:val="24"/>
        </w:rPr>
        <w:t>primary</w:t>
      </w:r>
      <w:r w:rsidR="00F61A3F" w:rsidRPr="00307A53">
        <w:rPr>
          <w:sz w:val="24"/>
          <w:szCs w:val="24"/>
        </w:rPr>
        <w:t xml:space="preserve"> focus. Quantitative data will play a </w:t>
      </w:r>
      <w:r w:rsidR="00AC591C">
        <w:rPr>
          <w:sz w:val="24"/>
          <w:szCs w:val="24"/>
        </w:rPr>
        <w:t>subsidiary</w:t>
      </w:r>
      <w:r w:rsidR="00F61A3F" w:rsidRPr="00307A53">
        <w:rPr>
          <w:sz w:val="24"/>
          <w:szCs w:val="24"/>
        </w:rPr>
        <w:t xml:space="preserve"> role, </w:t>
      </w:r>
      <w:r w:rsidR="008B1657">
        <w:rPr>
          <w:sz w:val="24"/>
          <w:szCs w:val="24"/>
        </w:rPr>
        <w:t xml:space="preserve">assisting in </w:t>
      </w:r>
      <w:r w:rsidR="00F61A3F" w:rsidRPr="00307A53">
        <w:rPr>
          <w:sz w:val="24"/>
          <w:szCs w:val="24"/>
        </w:rPr>
        <w:t>identif</w:t>
      </w:r>
      <w:r w:rsidR="008B1657">
        <w:rPr>
          <w:sz w:val="24"/>
          <w:szCs w:val="24"/>
        </w:rPr>
        <w:t>ying</w:t>
      </w:r>
      <w:r w:rsidR="00F61A3F" w:rsidRPr="00307A53">
        <w:rPr>
          <w:sz w:val="24"/>
          <w:szCs w:val="24"/>
        </w:rPr>
        <w:t xml:space="preserve"> patterns that </w:t>
      </w:r>
      <w:r w:rsidR="008B1657">
        <w:rPr>
          <w:sz w:val="24"/>
          <w:szCs w:val="24"/>
        </w:rPr>
        <w:t>can</w:t>
      </w:r>
      <w:r w:rsidR="00F61A3F" w:rsidRPr="00307A53">
        <w:rPr>
          <w:sz w:val="24"/>
          <w:szCs w:val="24"/>
        </w:rPr>
        <w:t xml:space="preserve"> contextualise perceptions and experiences (Creswell and Clark, 2018).</w:t>
      </w:r>
    </w:p>
    <w:p w14:paraId="27E915E8" w14:textId="5E35A88D" w:rsidR="00F61A3F" w:rsidRPr="00307A53" w:rsidRDefault="00F61A3F" w:rsidP="00307A53">
      <w:pPr>
        <w:spacing w:line="360" w:lineRule="auto"/>
        <w:jc w:val="both"/>
        <w:rPr>
          <w:sz w:val="24"/>
          <w:szCs w:val="24"/>
        </w:rPr>
      </w:pPr>
      <w:r w:rsidRPr="00307A53">
        <w:rPr>
          <w:sz w:val="24"/>
          <w:szCs w:val="24"/>
        </w:rPr>
        <w:t xml:space="preserve">Basit (2010) proposes that mixed methods is particularly appropriate in educational research, which is inherently complex, due to </w:t>
      </w:r>
      <w:r w:rsidR="00AC6E6E">
        <w:rPr>
          <w:sz w:val="24"/>
          <w:szCs w:val="24"/>
        </w:rPr>
        <w:t>its</w:t>
      </w:r>
      <w:r w:rsidRPr="00307A53">
        <w:rPr>
          <w:sz w:val="24"/>
          <w:szCs w:val="24"/>
        </w:rPr>
        <w:t xml:space="preserve"> focus on </w:t>
      </w:r>
      <w:r w:rsidR="00466EFF" w:rsidRPr="00307A53">
        <w:rPr>
          <w:sz w:val="24"/>
          <w:szCs w:val="24"/>
        </w:rPr>
        <w:t xml:space="preserve">contextual </w:t>
      </w:r>
      <w:r w:rsidRPr="00307A53">
        <w:rPr>
          <w:sz w:val="24"/>
          <w:szCs w:val="24"/>
        </w:rPr>
        <w:t xml:space="preserve">human experiences. This complexity is intensified in a study of post-16 pathways, which, it is argued, is </w:t>
      </w:r>
      <w:r w:rsidR="007A0C7B">
        <w:rPr>
          <w:sz w:val="24"/>
          <w:szCs w:val="24"/>
        </w:rPr>
        <w:t>often influenced</w:t>
      </w:r>
      <w:r w:rsidRPr="00307A53">
        <w:rPr>
          <w:sz w:val="24"/>
          <w:szCs w:val="24"/>
        </w:rPr>
        <w:t xml:space="preserve"> by social, institutional, and personal </w:t>
      </w:r>
      <w:r w:rsidR="007A0C7B">
        <w:rPr>
          <w:sz w:val="24"/>
          <w:szCs w:val="24"/>
        </w:rPr>
        <w:t>factors</w:t>
      </w:r>
      <w:r w:rsidRPr="00307A53">
        <w:rPr>
          <w:sz w:val="24"/>
          <w:szCs w:val="24"/>
        </w:rPr>
        <w:t xml:space="preserve"> (St. Clair et al., 2011; Hart, 2019). A mixed-methods approach will therefore enable these factors to be explored holistically, through a combination of qualitative depth (Simons, 2009) and quantitative breadth (Basit, 2010). </w:t>
      </w:r>
    </w:p>
    <w:p w14:paraId="2137C6BD" w14:textId="05AF652A" w:rsidR="00F61A3F" w:rsidRPr="00307A53" w:rsidRDefault="00F61A3F" w:rsidP="00307A53">
      <w:pPr>
        <w:spacing w:line="360" w:lineRule="auto"/>
        <w:jc w:val="both"/>
        <w:rPr>
          <w:sz w:val="24"/>
          <w:szCs w:val="24"/>
        </w:rPr>
      </w:pPr>
      <w:r w:rsidRPr="00307A53">
        <w:rPr>
          <w:sz w:val="24"/>
          <w:szCs w:val="24"/>
        </w:rPr>
        <w:t>It is asserted that one of the strengths of mixed methods research is its capacity to enhance validity through triangulation of data from multiple sources (Denzin, 2005). It is further argued that “</w:t>
      </w:r>
      <w:r w:rsidRPr="00307A53">
        <w:rPr>
          <w:i/>
          <w:iCs/>
          <w:sz w:val="24"/>
          <w:szCs w:val="24"/>
        </w:rPr>
        <w:t>thematic overlap</w:t>
      </w:r>
      <w:r w:rsidRPr="00307A53">
        <w:rPr>
          <w:sz w:val="24"/>
          <w:szCs w:val="24"/>
        </w:rPr>
        <w:t xml:space="preserve">” </w:t>
      </w:r>
      <w:r w:rsidR="00A62E58" w:rsidRPr="00307A53">
        <w:rPr>
          <w:sz w:val="24"/>
          <w:szCs w:val="24"/>
        </w:rPr>
        <w:t>from</w:t>
      </w:r>
      <w:r w:rsidRPr="00307A53">
        <w:rPr>
          <w:sz w:val="24"/>
          <w:szCs w:val="24"/>
        </w:rPr>
        <w:t xml:space="preserve"> different data sources helps to reinforce the credibility of findings (Braun &amp; Clarke, 2021). However, </w:t>
      </w:r>
      <w:r w:rsidR="00A33A8E">
        <w:rPr>
          <w:sz w:val="24"/>
          <w:szCs w:val="24"/>
        </w:rPr>
        <w:t>this approach</w:t>
      </w:r>
      <w:r w:rsidRPr="00307A53">
        <w:rPr>
          <w:sz w:val="24"/>
          <w:szCs w:val="24"/>
        </w:rPr>
        <w:t xml:space="preserve"> has been criticised for being philosophically inconsistent (Mack, 2005) and analytical complex with the researcher expected to master different methods of analysis (Basit, 2010). In this study, these concerns will be addressed through the prioritisation of qualitative data, with quantitative findings only requi</w:t>
      </w:r>
      <w:r w:rsidR="009B2309">
        <w:rPr>
          <w:sz w:val="24"/>
          <w:szCs w:val="24"/>
        </w:rPr>
        <w:t xml:space="preserve">red </w:t>
      </w:r>
      <w:r w:rsidR="0065522C">
        <w:rPr>
          <w:sz w:val="24"/>
          <w:szCs w:val="24"/>
        </w:rPr>
        <w:t>in a supportive role</w:t>
      </w:r>
      <w:r w:rsidRPr="00307A53">
        <w:rPr>
          <w:sz w:val="24"/>
          <w:szCs w:val="24"/>
        </w:rPr>
        <w:t>.</w:t>
      </w:r>
    </w:p>
    <w:p w14:paraId="73D00C09" w14:textId="6AEF1CFE" w:rsidR="00F61A3F" w:rsidRPr="00307A53" w:rsidRDefault="00307A53" w:rsidP="00307A53">
      <w:pPr>
        <w:spacing w:line="360" w:lineRule="auto"/>
        <w:jc w:val="both"/>
        <w:rPr>
          <w:b/>
          <w:bCs/>
          <w:sz w:val="28"/>
          <w:szCs w:val="28"/>
        </w:rPr>
      </w:pPr>
      <w:r w:rsidRPr="00307A53">
        <w:rPr>
          <w:b/>
          <w:bCs/>
          <w:sz w:val="28"/>
          <w:szCs w:val="28"/>
        </w:rPr>
        <w:t xml:space="preserve">2.4 </w:t>
      </w:r>
      <w:r w:rsidR="00F61A3F" w:rsidRPr="00307A53">
        <w:rPr>
          <w:b/>
          <w:bCs/>
          <w:sz w:val="28"/>
          <w:szCs w:val="28"/>
        </w:rPr>
        <w:t>Research Strategy</w:t>
      </w:r>
    </w:p>
    <w:p w14:paraId="0F6AAB23" w14:textId="19D6569A" w:rsidR="00F61A3F" w:rsidRPr="00307A53" w:rsidRDefault="00F61A3F" w:rsidP="00307A53">
      <w:pPr>
        <w:spacing w:line="360" w:lineRule="auto"/>
        <w:jc w:val="both"/>
        <w:rPr>
          <w:sz w:val="24"/>
          <w:szCs w:val="24"/>
        </w:rPr>
      </w:pPr>
      <w:r w:rsidRPr="00307A53">
        <w:rPr>
          <w:sz w:val="24"/>
          <w:szCs w:val="24"/>
        </w:rPr>
        <w:t xml:space="preserve">To achieve </w:t>
      </w:r>
      <w:r w:rsidR="00585076" w:rsidRPr="00307A53">
        <w:rPr>
          <w:sz w:val="24"/>
          <w:szCs w:val="24"/>
        </w:rPr>
        <w:t>its aim</w:t>
      </w:r>
      <w:r w:rsidRPr="00307A53">
        <w:rPr>
          <w:sz w:val="24"/>
          <w:szCs w:val="24"/>
        </w:rPr>
        <w:t xml:space="preserve">, the study will </w:t>
      </w:r>
      <w:r w:rsidR="008466CD" w:rsidRPr="00307A53">
        <w:rPr>
          <w:sz w:val="24"/>
          <w:szCs w:val="24"/>
        </w:rPr>
        <w:t>adopt</w:t>
      </w:r>
      <w:r w:rsidRPr="00307A53">
        <w:rPr>
          <w:sz w:val="24"/>
          <w:szCs w:val="24"/>
        </w:rPr>
        <w:t xml:space="preserve"> an exploratory, instrumental case study design (Stake, 1995), using “</w:t>
      </w:r>
      <w:r w:rsidRPr="00307A53">
        <w:rPr>
          <w:i/>
          <w:iCs/>
          <w:sz w:val="24"/>
          <w:szCs w:val="24"/>
        </w:rPr>
        <w:t>multi-source data to investigate a bounded system</w:t>
      </w:r>
      <w:r w:rsidRPr="00307A53">
        <w:rPr>
          <w:sz w:val="24"/>
          <w:szCs w:val="24"/>
        </w:rPr>
        <w:t xml:space="preserve">” (Cohen et al., 2011, p289). It is proposed that case-study is appropriate for investigating complex, context-specific phenomena in real-life settings (Yin, 2018), and </w:t>
      </w:r>
      <w:r w:rsidR="00585076" w:rsidRPr="00307A53">
        <w:rPr>
          <w:sz w:val="24"/>
          <w:szCs w:val="24"/>
        </w:rPr>
        <w:t xml:space="preserve">as such, </w:t>
      </w:r>
      <w:r w:rsidRPr="00307A53">
        <w:rPr>
          <w:sz w:val="24"/>
          <w:szCs w:val="24"/>
        </w:rPr>
        <w:t xml:space="preserve">will enable an in-depth exploration of how post-16 pathways are enabled or constrained in a single-school </w:t>
      </w:r>
      <w:r w:rsidR="00585076" w:rsidRPr="00307A53">
        <w:rPr>
          <w:sz w:val="24"/>
          <w:szCs w:val="24"/>
        </w:rPr>
        <w:t>context</w:t>
      </w:r>
      <w:r w:rsidRPr="00307A53">
        <w:rPr>
          <w:sz w:val="24"/>
          <w:szCs w:val="24"/>
        </w:rPr>
        <w:t>, within the Curriculum for Wales</w:t>
      </w:r>
      <w:r w:rsidR="005C1A29">
        <w:rPr>
          <w:sz w:val="24"/>
          <w:szCs w:val="24"/>
        </w:rPr>
        <w:t xml:space="preserve"> (2022)</w:t>
      </w:r>
      <w:r w:rsidRPr="00307A53">
        <w:rPr>
          <w:sz w:val="24"/>
          <w:szCs w:val="24"/>
        </w:rPr>
        <w:t xml:space="preserve">. As an instrumental case (Stake, 1995), the school will not be the focus in itself, but a means through which to examine the wider issue of </w:t>
      </w:r>
      <w:r w:rsidR="00585076" w:rsidRPr="00307A53">
        <w:rPr>
          <w:sz w:val="24"/>
          <w:szCs w:val="24"/>
        </w:rPr>
        <w:t xml:space="preserve">access to </w:t>
      </w:r>
      <w:r w:rsidRPr="00307A53">
        <w:rPr>
          <w:sz w:val="24"/>
          <w:szCs w:val="24"/>
        </w:rPr>
        <w:t xml:space="preserve">post-16 </w:t>
      </w:r>
      <w:r w:rsidR="00585076" w:rsidRPr="00307A53">
        <w:rPr>
          <w:sz w:val="24"/>
          <w:szCs w:val="24"/>
        </w:rPr>
        <w:t>pathways</w:t>
      </w:r>
      <w:r w:rsidRPr="00307A53">
        <w:rPr>
          <w:sz w:val="24"/>
          <w:szCs w:val="24"/>
        </w:rPr>
        <w:t xml:space="preserve">.  </w:t>
      </w:r>
    </w:p>
    <w:p w14:paraId="0A34068E" w14:textId="1789FA07" w:rsidR="00F61A3F" w:rsidRPr="00307A53" w:rsidRDefault="00585076" w:rsidP="00307A53">
      <w:pPr>
        <w:spacing w:line="360" w:lineRule="auto"/>
        <w:jc w:val="both"/>
        <w:rPr>
          <w:sz w:val="24"/>
          <w:szCs w:val="24"/>
        </w:rPr>
      </w:pPr>
      <w:r w:rsidRPr="00307A53">
        <w:rPr>
          <w:sz w:val="24"/>
          <w:szCs w:val="24"/>
        </w:rPr>
        <w:lastRenderedPageBreak/>
        <w:t>Although</w:t>
      </w:r>
      <w:r w:rsidR="00F61A3F" w:rsidRPr="00307A53">
        <w:rPr>
          <w:sz w:val="24"/>
          <w:szCs w:val="24"/>
        </w:rPr>
        <w:t xml:space="preserve"> case studies provide rich, contextual insight and methodological flexibility (Yin, 2018), they have been criticised for limited generalisability and potential researcher subjectivity (Thomas, 2021). These limitations will be mitigated through triangulation across research methods and participants</w:t>
      </w:r>
      <w:r w:rsidRPr="00307A53">
        <w:rPr>
          <w:sz w:val="24"/>
          <w:szCs w:val="24"/>
        </w:rPr>
        <w:t xml:space="preserve"> (Denzin, 2005)</w:t>
      </w:r>
      <w:r w:rsidR="00F61A3F" w:rsidRPr="00307A53">
        <w:rPr>
          <w:sz w:val="24"/>
          <w:szCs w:val="24"/>
        </w:rPr>
        <w:t>, enhancing the credibility and validity of the findings (Braun and Clarke, 20</w:t>
      </w:r>
      <w:r w:rsidR="00F36703">
        <w:rPr>
          <w:sz w:val="24"/>
          <w:szCs w:val="24"/>
        </w:rPr>
        <w:t>06</w:t>
      </w:r>
      <w:r w:rsidR="00F61A3F" w:rsidRPr="00307A53">
        <w:rPr>
          <w:sz w:val="24"/>
          <w:szCs w:val="24"/>
        </w:rPr>
        <w:t>).</w:t>
      </w:r>
    </w:p>
    <w:p w14:paraId="5B5BC6A9" w14:textId="77777777" w:rsidR="00F61A3F" w:rsidRPr="00307A53" w:rsidRDefault="00F61A3F" w:rsidP="00307A53">
      <w:pPr>
        <w:spacing w:line="360" w:lineRule="auto"/>
        <w:jc w:val="both"/>
        <w:rPr>
          <w:b/>
          <w:bCs/>
          <w:sz w:val="24"/>
          <w:szCs w:val="24"/>
        </w:rPr>
      </w:pPr>
    </w:p>
    <w:p w14:paraId="77450716" w14:textId="1C77A355" w:rsidR="00F61A3F" w:rsidRPr="00307A53" w:rsidRDefault="00F61A3F" w:rsidP="00307A53">
      <w:pPr>
        <w:spacing w:line="360" w:lineRule="auto"/>
        <w:jc w:val="both"/>
        <w:rPr>
          <w:b/>
          <w:bCs/>
          <w:sz w:val="32"/>
          <w:szCs w:val="32"/>
        </w:rPr>
      </w:pPr>
      <w:r w:rsidRPr="00307A53">
        <w:rPr>
          <w:b/>
          <w:bCs/>
          <w:sz w:val="32"/>
          <w:szCs w:val="32"/>
        </w:rPr>
        <w:t>3.0 Research Methods</w:t>
      </w:r>
    </w:p>
    <w:p w14:paraId="2E2DD1BA" w14:textId="7BE01CBB" w:rsidR="00F61A3F" w:rsidRPr="00307A53" w:rsidRDefault="00F61A3F" w:rsidP="00307A53">
      <w:pPr>
        <w:spacing w:line="360" w:lineRule="auto"/>
        <w:jc w:val="both"/>
        <w:rPr>
          <w:sz w:val="24"/>
          <w:szCs w:val="24"/>
        </w:rPr>
      </w:pPr>
      <w:r w:rsidRPr="00307A53">
        <w:rPr>
          <w:sz w:val="24"/>
          <w:szCs w:val="24"/>
        </w:rPr>
        <w:t>Informed by the Capability Approach (Sen, 1999), interviews, questionnaires, and document analysis will generate data on individual perceptions, wider patterns, and institutional practices and structures. Data collection will take place over seven weeks within a single-school context.</w:t>
      </w:r>
    </w:p>
    <w:p w14:paraId="2ED3946E" w14:textId="0045B340" w:rsidR="00F61A3F" w:rsidRPr="00307A53" w:rsidRDefault="00307A53" w:rsidP="00307A53">
      <w:pPr>
        <w:spacing w:line="360" w:lineRule="auto"/>
        <w:jc w:val="both"/>
        <w:rPr>
          <w:b/>
          <w:bCs/>
          <w:sz w:val="28"/>
          <w:szCs w:val="28"/>
        </w:rPr>
      </w:pPr>
      <w:r w:rsidRPr="00307A53">
        <w:rPr>
          <w:b/>
          <w:bCs/>
          <w:sz w:val="28"/>
          <w:szCs w:val="28"/>
        </w:rPr>
        <w:t xml:space="preserve">3.1 </w:t>
      </w:r>
      <w:r w:rsidR="00F61A3F" w:rsidRPr="00307A53">
        <w:rPr>
          <w:b/>
          <w:bCs/>
          <w:sz w:val="28"/>
          <w:szCs w:val="28"/>
        </w:rPr>
        <w:t>Sample</w:t>
      </w:r>
    </w:p>
    <w:p w14:paraId="05F1FADC" w14:textId="5D3097EA" w:rsidR="00F61A3F" w:rsidRPr="00307A53" w:rsidRDefault="00F61A3F" w:rsidP="00307A53">
      <w:pPr>
        <w:spacing w:line="360" w:lineRule="auto"/>
        <w:jc w:val="both"/>
        <w:rPr>
          <w:sz w:val="24"/>
          <w:szCs w:val="24"/>
        </w:rPr>
      </w:pPr>
      <w:r w:rsidRPr="00307A53">
        <w:rPr>
          <w:sz w:val="24"/>
          <w:szCs w:val="24"/>
        </w:rPr>
        <w:t xml:space="preserve">It is </w:t>
      </w:r>
      <w:r w:rsidR="00E528E0" w:rsidRPr="00307A53">
        <w:rPr>
          <w:sz w:val="24"/>
          <w:szCs w:val="24"/>
        </w:rPr>
        <w:t>proposed</w:t>
      </w:r>
      <w:r w:rsidRPr="00307A53">
        <w:rPr>
          <w:sz w:val="24"/>
          <w:szCs w:val="24"/>
        </w:rPr>
        <w:t xml:space="preserve"> that the quality of a research study depends not only on the appropriateness of its methodology, but also on the suitability of its sampling strategy (Cohen et al., 2018).</w:t>
      </w:r>
    </w:p>
    <w:p w14:paraId="2F31748F" w14:textId="377B3ED3" w:rsidR="00F61A3F" w:rsidRPr="00307A53" w:rsidRDefault="00F61A3F" w:rsidP="00307A53">
      <w:pPr>
        <w:spacing w:line="360" w:lineRule="auto"/>
        <w:jc w:val="both"/>
        <w:rPr>
          <w:sz w:val="24"/>
          <w:szCs w:val="24"/>
        </w:rPr>
      </w:pPr>
      <w:r w:rsidRPr="00307A53">
        <w:rPr>
          <w:sz w:val="24"/>
          <w:szCs w:val="24"/>
        </w:rPr>
        <w:t>The sample will include students from the school’s student voice forum in Years 9–11 (aged 14–16), selected due to their active engagement with relevant school processes, including subject choices and post-16 planning. They will therefore be well positioned to reflect on available post-16 opportunities.  Although this approach may limit representativeness, as student voice participa</w:t>
      </w:r>
      <w:r w:rsidR="004E56C2">
        <w:rPr>
          <w:sz w:val="24"/>
          <w:szCs w:val="24"/>
        </w:rPr>
        <w:t>tion</w:t>
      </w:r>
      <w:r w:rsidRPr="00307A53">
        <w:rPr>
          <w:sz w:val="24"/>
          <w:szCs w:val="24"/>
        </w:rPr>
        <w:t xml:space="preserve"> may not </w:t>
      </w:r>
      <w:r w:rsidR="004E56C2">
        <w:rPr>
          <w:sz w:val="24"/>
          <w:szCs w:val="24"/>
        </w:rPr>
        <w:t>include</w:t>
      </w:r>
      <w:r w:rsidRPr="00307A53">
        <w:rPr>
          <w:sz w:val="24"/>
          <w:szCs w:val="24"/>
        </w:rPr>
        <w:t xml:space="preserve"> less engaged or marginalised students (Moore, 2022), this will be considered a justifiable trade-off (Denscombe, 2021) as it will minimise disruption to the school day by aligning with established school routines and practices. It will also ensure feasibility for data collection in a short timeframe, while obtaining a range of relevant perspectives</w:t>
      </w:r>
      <w:r w:rsidR="0061725F" w:rsidRPr="00307A53">
        <w:rPr>
          <w:sz w:val="24"/>
          <w:szCs w:val="24"/>
        </w:rPr>
        <w:t xml:space="preserve"> (Cohen et al., 2018).</w:t>
      </w:r>
      <w:r w:rsidRPr="00307A53">
        <w:rPr>
          <w:sz w:val="24"/>
          <w:szCs w:val="24"/>
        </w:rPr>
        <w:t xml:space="preserve"> Staff participants will include teaching staff, middle and senior leaders, and career-mentors who are involved in supporting post-16 transitions. </w:t>
      </w:r>
    </w:p>
    <w:p w14:paraId="175152FD" w14:textId="70F9EA73" w:rsidR="00F61A3F" w:rsidRPr="00307A53" w:rsidRDefault="00F61A3F" w:rsidP="00307A53">
      <w:pPr>
        <w:spacing w:line="360" w:lineRule="auto"/>
        <w:jc w:val="both"/>
        <w:rPr>
          <w:b/>
          <w:bCs/>
          <w:sz w:val="24"/>
          <w:szCs w:val="24"/>
        </w:rPr>
      </w:pPr>
      <w:r w:rsidRPr="00307A53">
        <w:rPr>
          <w:sz w:val="24"/>
          <w:szCs w:val="24"/>
        </w:rPr>
        <w:t xml:space="preserve">A convenience sampling approach will be used for questionnaires, with all eligible participants invited, to maximise participation (Cohen et al., 2018). Purposive, stratified </w:t>
      </w:r>
      <w:r w:rsidRPr="00307A53">
        <w:rPr>
          <w:sz w:val="24"/>
          <w:szCs w:val="24"/>
        </w:rPr>
        <w:lastRenderedPageBreak/>
        <w:t xml:space="preserve">sampling (Denscombe, 2021) will be used for interviews to ensure representation across </w:t>
      </w:r>
      <w:r w:rsidR="00306974">
        <w:rPr>
          <w:sz w:val="24"/>
          <w:szCs w:val="24"/>
        </w:rPr>
        <w:t xml:space="preserve">staff </w:t>
      </w:r>
      <w:r w:rsidRPr="00307A53">
        <w:rPr>
          <w:sz w:val="24"/>
          <w:szCs w:val="24"/>
        </w:rPr>
        <w:t xml:space="preserve">roles and </w:t>
      </w:r>
      <w:r w:rsidR="00306974">
        <w:rPr>
          <w:sz w:val="24"/>
          <w:szCs w:val="24"/>
        </w:rPr>
        <w:t xml:space="preserve">student </w:t>
      </w:r>
      <w:r w:rsidRPr="00307A53">
        <w:rPr>
          <w:sz w:val="24"/>
          <w:szCs w:val="24"/>
        </w:rPr>
        <w:t>year groups.</w:t>
      </w:r>
    </w:p>
    <w:p w14:paraId="25E980DD" w14:textId="24DDD5A5" w:rsidR="00F61A3F" w:rsidRPr="00307A53" w:rsidRDefault="00307A53" w:rsidP="00307A53">
      <w:pPr>
        <w:spacing w:line="360" w:lineRule="auto"/>
        <w:jc w:val="both"/>
        <w:rPr>
          <w:b/>
          <w:bCs/>
          <w:sz w:val="28"/>
          <w:szCs w:val="28"/>
        </w:rPr>
      </w:pPr>
      <w:r w:rsidRPr="00307A53">
        <w:rPr>
          <w:b/>
          <w:bCs/>
          <w:sz w:val="28"/>
          <w:szCs w:val="28"/>
        </w:rPr>
        <w:t xml:space="preserve">3.2 </w:t>
      </w:r>
      <w:r w:rsidR="00F61A3F" w:rsidRPr="00307A53">
        <w:rPr>
          <w:b/>
          <w:bCs/>
          <w:sz w:val="28"/>
          <w:szCs w:val="28"/>
        </w:rPr>
        <w:t>Ethical Considerations</w:t>
      </w:r>
    </w:p>
    <w:p w14:paraId="0A0166AB" w14:textId="10EDACF3" w:rsidR="00F61A3F" w:rsidRPr="00307A53" w:rsidRDefault="00F61A3F" w:rsidP="00307A53">
      <w:pPr>
        <w:spacing w:line="360" w:lineRule="auto"/>
        <w:jc w:val="both"/>
        <w:rPr>
          <w:sz w:val="24"/>
          <w:szCs w:val="24"/>
        </w:rPr>
      </w:pPr>
      <w:r w:rsidRPr="00307A53">
        <w:rPr>
          <w:sz w:val="24"/>
          <w:szCs w:val="24"/>
        </w:rPr>
        <w:t>Ethical considerations will be central to this study. It is emphasised that ethical research requires a balance between the pursuit of knowledge and the protection of participants’ rights (Cohen et al., 2018).</w:t>
      </w:r>
      <w:r w:rsidRPr="00307A53">
        <w:rPr>
          <w:b/>
          <w:bCs/>
          <w:sz w:val="24"/>
          <w:szCs w:val="24"/>
        </w:rPr>
        <w:t xml:space="preserve"> </w:t>
      </w:r>
      <w:r w:rsidRPr="00307A53">
        <w:rPr>
          <w:sz w:val="24"/>
          <w:szCs w:val="24"/>
        </w:rPr>
        <w:t xml:space="preserve">The research will therefore adhere to established ethical frameworks, including BERA (2024), institutional guidance (UWTSD Research Ethics and Integrity policy), and relevant legislation including the </w:t>
      </w:r>
      <w:r w:rsidR="002F7C84" w:rsidRPr="00307A53">
        <w:rPr>
          <w:sz w:val="24"/>
          <w:szCs w:val="24"/>
        </w:rPr>
        <w:t>Children</w:t>
      </w:r>
      <w:r w:rsidR="002F7C84">
        <w:rPr>
          <w:sz w:val="24"/>
          <w:szCs w:val="24"/>
        </w:rPr>
        <w:t>’s</w:t>
      </w:r>
      <w:r w:rsidRPr="00307A53">
        <w:rPr>
          <w:sz w:val="24"/>
          <w:szCs w:val="24"/>
        </w:rPr>
        <w:t xml:space="preserve"> Act (1989) and GDPR (2018), particularly as the study involves participants under the age of 18.</w:t>
      </w:r>
    </w:p>
    <w:p w14:paraId="72CC736D" w14:textId="77777777" w:rsidR="00F61A3F" w:rsidRPr="00307A53" w:rsidRDefault="00F61A3F" w:rsidP="00307A53">
      <w:pPr>
        <w:spacing w:line="360" w:lineRule="auto"/>
        <w:jc w:val="both"/>
        <w:rPr>
          <w:sz w:val="24"/>
          <w:szCs w:val="24"/>
        </w:rPr>
      </w:pPr>
      <w:r w:rsidRPr="00307A53">
        <w:rPr>
          <w:sz w:val="24"/>
          <w:szCs w:val="24"/>
        </w:rPr>
        <w:t xml:space="preserve">Informed consent will be obtained through an opt-in process (Cohen et al., 2018), with parental consent and student assent required for participants under the age of 18 (BERA, 2024). Consistent with BERA (2024), consent will be treated as an ongoing process, with participants reminded of their right to withdraw at any stage. Consideration will be given to power dynamics, as the researcher’s professional role within an educational setting may influence participation (Denscombe, 2021). This will be mitigated through voluntary participation, clear communication, and the use of colour coded cards to signify ongoing assent and ensure that participants are comfortable during data collection. </w:t>
      </w:r>
    </w:p>
    <w:p w14:paraId="2FF894FB" w14:textId="6D59DA54" w:rsidR="00F61A3F" w:rsidRPr="00307A53" w:rsidRDefault="00F61A3F" w:rsidP="00307A53">
      <w:pPr>
        <w:spacing w:line="360" w:lineRule="auto"/>
        <w:jc w:val="both"/>
        <w:rPr>
          <w:sz w:val="24"/>
          <w:szCs w:val="24"/>
        </w:rPr>
      </w:pPr>
      <w:r w:rsidRPr="00307A53">
        <w:rPr>
          <w:sz w:val="24"/>
          <w:szCs w:val="24"/>
        </w:rPr>
        <w:t>Confidentiality and anonymity will be maintained through secure data handling and the use of pseudonyms for interview transcripts (Denscombe, 2021). Disclosure of information will only be provided in cases of safeguarding. While these procedures aim to minimise harm, ethics is recognised as an ongoing, reflexive process (Holmes, 2020), requiring continuous consideration of participants’ wellbeing and researcher positionality throughout the study.</w:t>
      </w:r>
    </w:p>
    <w:p w14:paraId="6E783BD8" w14:textId="1FBF0E9E" w:rsidR="00F61A3F" w:rsidRPr="00307A53" w:rsidRDefault="00307A53" w:rsidP="00307A53">
      <w:pPr>
        <w:spacing w:line="360" w:lineRule="auto"/>
        <w:jc w:val="both"/>
        <w:rPr>
          <w:b/>
          <w:bCs/>
          <w:sz w:val="28"/>
          <w:szCs w:val="28"/>
        </w:rPr>
      </w:pPr>
      <w:r w:rsidRPr="00307A53">
        <w:rPr>
          <w:b/>
          <w:bCs/>
          <w:sz w:val="28"/>
          <w:szCs w:val="28"/>
        </w:rPr>
        <w:t xml:space="preserve">3.3 </w:t>
      </w:r>
      <w:r w:rsidR="00F61A3F" w:rsidRPr="00307A53">
        <w:rPr>
          <w:b/>
          <w:bCs/>
          <w:sz w:val="28"/>
          <w:szCs w:val="28"/>
        </w:rPr>
        <w:t>Qualitative Methods</w:t>
      </w:r>
    </w:p>
    <w:p w14:paraId="159CC56F" w14:textId="2ED3A72E" w:rsidR="00F61A3F" w:rsidRPr="00307A53" w:rsidRDefault="00757BAF" w:rsidP="00307A53">
      <w:pPr>
        <w:spacing w:line="360" w:lineRule="auto"/>
        <w:jc w:val="both"/>
        <w:rPr>
          <w:sz w:val="24"/>
          <w:szCs w:val="24"/>
        </w:rPr>
      </w:pPr>
      <w:r w:rsidRPr="00307A53">
        <w:rPr>
          <w:sz w:val="24"/>
          <w:szCs w:val="24"/>
        </w:rPr>
        <w:t>Qualitative data will be collected through s</w:t>
      </w:r>
      <w:r w:rsidR="00F61A3F" w:rsidRPr="00307A53">
        <w:rPr>
          <w:sz w:val="24"/>
          <w:szCs w:val="24"/>
        </w:rPr>
        <w:t>emi-structured interviews</w:t>
      </w:r>
      <w:r w:rsidRPr="00307A53">
        <w:rPr>
          <w:sz w:val="24"/>
          <w:szCs w:val="24"/>
        </w:rPr>
        <w:t xml:space="preserve">, which will </w:t>
      </w:r>
      <w:r w:rsidR="00F61A3F" w:rsidRPr="00307A53">
        <w:rPr>
          <w:sz w:val="24"/>
          <w:szCs w:val="24"/>
        </w:rPr>
        <w:t>enabl</w:t>
      </w:r>
      <w:r w:rsidRPr="00307A53">
        <w:rPr>
          <w:sz w:val="24"/>
          <w:szCs w:val="24"/>
        </w:rPr>
        <w:t>e an</w:t>
      </w:r>
      <w:r w:rsidR="00F61A3F" w:rsidRPr="00307A53">
        <w:rPr>
          <w:sz w:val="24"/>
          <w:szCs w:val="24"/>
        </w:rPr>
        <w:t xml:space="preserve"> in-depth exploration of participants’ experiences and perceptions (Brinkmann and Kvale, 2018). Interviews are recognised as a flexible tool for data collection (Cohen et al., 2018), as they can generate rich, descriptive data through responsive questioning (Yin, 2018). This flexibility supports deeper engagement with participants, facilitating </w:t>
      </w:r>
      <w:r w:rsidR="00F61A3F" w:rsidRPr="00307A53">
        <w:rPr>
          <w:sz w:val="24"/>
          <w:szCs w:val="24"/>
        </w:rPr>
        <w:lastRenderedPageBreak/>
        <w:t xml:space="preserve">exploration of underlying meanings and motivations (Mack et al., 2005). Furthermore, interviewing reflects an interpretivist </w:t>
      </w:r>
      <w:r w:rsidR="00DB1F35">
        <w:rPr>
          <w:sz w:val="24"/>
          <w:szCs w:val="24"/>
        </w:rPr>
        <w:t>commitment to</w:t>
      </w:r>
      <w:r w:rsidR="00F61A3F" w:rsidRPr="00307A53">
        <w:rPr>
          <w:sz w:val="24"/>
          <w:szCs w:val="24"/>
        </w:rPr>
        <w:t xml:space="preserve"> </w:t>
      </w:r>
      <w:r w:rsidR="00DB1F35">
        <w:rPr>
          <w:sz w:val="24"/>
          <w:szCs w:val="24"/>
        </w:rPr>
        <w:t>understanding</w:t>
      </w:r>
      <w:r w:rsidR="00F61A3F" w:rsidRPr="00307A53">
        <w:rPr>
          <w:sz w:val="24"/>
          <w:szCs w:val="24"/>
        </w:rPr>
        <w:t xml:space="preserve"> socially constructed meanings (Creswell, 2023). However, interviews can be time-consuming</w:t>
      </w:r>
      <w:r w:rsidR="00C81CE5" w:rsidRPr="00307A53">
        <w:rPr>
          <w:sz w:val="24"/>
          <w:szCs w:val="24"/>
        </w:rPr>
        <w:t xml:space="preserve">, requiring </w:t>
      </w:r>
      <w:r w:rsidR="00F61A3F" w:rsidRPr="00307A53">
        <w:rPr>
          <w:sz w:val="24"/>
          <w:szCs w:val="24"/>
        </w:rPr>
        <w:t xml:space="preserve">careful design to minimise researcher bias and ensure questions elicit relevant data (Denscombe, 2021). Interviews will </w:t>
      </w:r>
      <w:r w:rsidR="00A10F58">
        <w:rPr>
          <w:sz w:val="24"/>
          <w:szCs w:val="24"/>
        </w:rPr>
        <w:t xml:space="preserve">therefore </w:t>
      </w:r>
      <w:r w:rsidR="00F61A3F" w:rsidRPr="00307A53">
        <w:rPr>
          <w:sz w:val="24"/>
          <w:szCs w:val="24"/>
        </w:rPr>
        <w:t xml:space="preserve">be audio-recorded to allow for accurate transcription and analysis (Robson &amp; McCartan, 2016). </w:t>
      </w:r>
    </w:p>
    <w:p w14:paraId="3A4EDF75" w14:textId="63ACF6DE" w:rsidR="00F61A3F" w:rsidRPr="00307A53" w:rsidRDefault="00F61A3F" w:rsidP="00307A53">
      <w:pPr>
        <w:spacing w:line="360" w:lineRule="auto"/>
        <w:jc w:val="both"/>
        <w:rPr>
          <w:sz w:val="24"/>
          <w:szCs w:val="24"/>
        </w:rPr>
      </w:pPr>
      <w:r w:rsidRPr="00307A53">
        <w:rPr>
          <w:sz w:val="24"/>
          <w:szCs w:val="24"/>
        </w:rPr>
        <w:t xml:space="preserve">It is proposed that semi-structured interviews are particularly appropriate for small-scale studies (Thomas, 2021). Unlike structured interviews, which rely on predetermined questions, or unstructured interviews, which are participant-led, semi-structured formats allow the researcher to guide discussion while remaining responsive to </w:t>
      </w:r>
      <w:r w:rsidR="00121BB5">
        <w:rPr>
          <w:sz w:val="24"/>
          <w:szCs w:val="24"/>
        </w:rPr>
        <w:t>new</w:t>
      </w:r>
      <w:r w:rsidRPr="00307A53">
        <w:rPr>
          <w:sz w:val="24"/>
          <w:szCs w:val="24"/>
        </w:rPr>
        <w:t xml:space="preserve"> insights (Cohen et al., 2018). An interview schedule will guide discussion through open-ended questions, allowing participants to articulate their perspectives in their own terms, while prompts and probes will be used to deepen responses and maintain focus</w:t>
      </w:r>
      <w:r w:rsidR="00121BB5">
        <w:rPr>
          <w:sz w:val="24"/>
          <w:szCs w:val="24"/>
        </w:rPr>
        <w:t xml:space="preserve"> on the research aims</w:t>
      </w:r>
      <w:r w:rsidRPr="00307A53">
        <w:rPr>
          <w:sz w:val="24"/>
          <w:szCs w:val="24"/>
        </w:rPr>
        <w:t xml:space="preserve"> (Robson &amp; McCartan, 2016). </w:t>
      </w:r>
      <w:r w:rsidR="000E0BC3">
        <w:rPr>
          <w:sz w:val="24"/>
          <w:szCs w:val="24"/>
        </w:rPr>
        <w:t>S</w:t>
      </w:r>
      <w:r w:rsidRPr="00307A53">
        <w:rPr>
          <w:sz w:val="24"/>
          <w:szCs w:val="24"/>
        </w:rPr>
        <w:t xml:space="preserve">emi-structured interviews align with </w:t>
      </w:r>
      <w:r w:rsidR="00121BB5">
        <w:rPr>
          <w:sz w:val="24"/>
          <w:szCs w:val="24"/>
        </w:rPr>
        <w:t>the</w:t>
      </w:r>
      <w:r w:rsidRPr="00307A53">
        <w:rPr>
          <w:sz w:val="24"/>
          <w:szCs w:val="24"/>
        </w:rPr>
        <w:t xml:space="preserve"> abductive approach</w:t>
      </w:r>
      <w:r w:rsidR="00121BB5">
        <w:rPr>
          <w:sz w:val="24"/>
          <w:szCs w:val="24"/>
        </w:rPr>
        <w:t xml:space="preserve"> used in the study</w:t>
      </w:r>
      <w:r w:rsidRPr="00307A53">
        <w:rPr>
          <w:sz w:val="24"/>
          <w:szCs w:val="24"/>
        </w:rPr>
        <w:t xml:space="preserve">, </w:t>
      </w:r>
      <w:r w:rsidR="00121BB5">
        <w:rPr>
          <w:sz w:val="24"/>
          <w:szCs w:val="24"/>
        </w:rPr>
        <w:t xml:space="preserve">as they will </w:t>
      </w:r>
      <w:r w:rsidRPr="00307A53">
        <w:rPr>
          <w:sz w:val="24"/>
          <w:szCs w:val="24"/>
        </w:rPr>
        <w:t>enabl</w:t>
      </w:r>
      <w:r w:rsidR="00121BB5">
        <w:rPr>
          <w:sz w:val="24"/>
          <w:szCs w:val="24"/>
        </w:rPr>
        <w:t>e</w:t>
      </w:r>
      <w:r w:rsidRPr="00307A53">
        <w:rPr>
          <w:sz w:val="24"/>
          <w:szCs w:val="24"/>
        </w:rPr>
        <w:t xml:space="preserve"> </w:t>
      </w:r>
      <w:r w:rsidR="0002405F">
        <w:rPr>
          <w:sz w:val="24"/>
          <w:szCs w:val="24"/>
        </w:rPr>
        <w:t>iteration</w:t>
      </w:r>
      <w:r w:rsidRPr="00307A53">
        <w:rPr>
          <w:sz w:val="24"/>
          <w:szCs w:val="24"/>
        </w:rPr>
        <w:t xml:space="preserve"> between empirical data and theoretical concepts (Mitchell, 2018).</w:t>
      </w:r>
    </w:p>
    <w:p w14:paraId="7EDF64D1" w14:textId="14073B0B" w:rsidR="00F61A3F" w:rsidRPr="00307A53" w:rsidRDefault="00F61A3F" w:rsidP="00307A53">
      <w:pPr>
        <w:spacing w:line="360" w:lineRule="auto"/>
        <w:jc w:val="both"/>
        <w:rPr>
          <w:sz w:val="24"/>
          <w:szCs w:val="24"/>
        </w:rPr>
      </w:pPr>
      <w:r w:rsidRPr="00307A53">
        <w:rPr>
          <w:sz w:val="24"/>
          <w:szCs w:val="24"/>
        </w:rPr>
        <w:t xml:space="preserve">One-to-one interviews with staff participants will </w:t>
      </w:r>
      <w:r w:rsidR="00E40F85" w:rsidRPr="00307A53">
        <w:rPr>
          <w:sz w:val="24"/>
          <w:szCs w:val="24"/>
        </w:rPr>
        <w:t>facilitate in-</w:t>
      </w:r>
      <w:r w:rsidRPr="00307A53">
        <w:rPr>
          <w:sz w:val="24"/>
          <w:szCs w:val="24"/>
        </w:rPr>
        <w:t xml:space="preserve">depth </w:t>
      </w:r>
      <w:r w:rsidR="00E40F85" w:rsidRPr="00307A53">
        <w:rPr>
          <w:sz w:val="24"/>
          <w:szCs w:val="24"/>
        </w:rPr>
        <w:t>responses</w:t>
      </w:r>
      <w:r w:rsidRPr="00307A53">
        <w:rPr>
          <w:sz w:val="24"/>
          <w:szCs w:val="24"/>
        </w:rPr>
        <w:t xml:space="preserve"> </w:t>
      </w:r>
      <w:r w:rsidR="00E40F85" w:rsidRPr="00307A53">
        <w:rPr>
          <w:sz w:val="24"/>
          <w:szCs w:val="24"/>
        </w:rPr>
        <w:t xml:space="preserve">and </w:t>
      </w:r>
      <w:r w:rsidR="005A5E9C">
        <w:rPr>
          <w:sz w:val="24"/>
          <w:szCs w:val="24"/>
        </w:rPr>
        <w:t xml:space="preserve">allow for </w:t>
      </w:r>
      <w:r w:rsidRPr="00307A53">
        <w:rPr>
          <w:sz w:val="24"/>
          <w:szCs w:val="24"/>
        </w:rPr>
        <w:t xml:space="preserve">professional reflection. However, </w:t>
      </w:r>
      <w:r w:rsidR="00E80EFA">
        <w:rPr>
          <w:sz w:val="24"/>
          <w:szCs w:val="24"/>
        </w:rPr>
        <w:t>it is noted that capturing</w:t>
      </w:r>
      <w:r w:rsidRPr="00307A53">
        <w:rPr>
          <w:sz w:val="24"/>
          <w:szCs w:val="24"/>
        </w:rPr>
        <w:t xml:space="preserve"> perspectives</w:t>
      </w:r>
      <w:r w:rsidR="00E80EFA">
        <w:rPr>
          <w:sz w:val="24"/>
          <w:szCs w:val="24"/>
        </w:rPr>
        <w:t xml:space="preserve"> in a professional setting</w:t>
      </w:r>
      <w:r w:rsidRPr="00307A53">
        <w:rPr>
          <w:sz w:val="24"/>
          <w:szCs w:val="24"/>
        </w:rPr>
        <w:t xml:space="preserve"> could introduce self-presentation bias, where participants try to present a more favourable image of themselves (Hobson et al., 2014). To mitigate this, questions will be framed around scenarios, </w:t>
      </w:r>
      <w:r w:rsidR="00E40F85" w:rsidRPr="00307A53">
        <w:rPr>
          <w:sz w:val="24"/>
          <w:szCs w:val="24"/>
        </w:rPr>
        <w:t xml:space="preserve">to </w:t>
      </w:r>
      <w:r w:rsidRPr="00307A53">
        <w:rPr>
          <w:sz w:val="24"/>
          <w:szCs w:val="24"/>
        </w:rPr>
        <w:t>reduc</w:t>
      </w:r>
      <w:r w:rsidR="00E40F85" w:rsidRPr="00307A53">
        <w:rPr>
          <w:sz w:val="24"/>
          <w:szCs w:val="24"/>
        </w:rPr>
        <w:t>e</w:t>
      </w:r>
      <w:r w:rsidRPr="00307A53">
        <w:rPr>
          <w:sz w:val="24"/>
          <w:szCs w:val="24"/>
        </w:rPr>
        <w:t xml:space="preserve"> pressure to give socially desirable responses (</w:t>
      </w:r>
      <w:proofErr w:type="spellStart"/>
      <w:r w:rsidRPr="00307A53">
        <w:rPr>
          <w:sz w:val="24"/>
          <w:szCs w:val="24"/>
        </w:rPr>
        <w:t>Krumpal</w:t>
      </w:r>
      <w:proofErr w:type="spellEnd"/>
      <w:r w:rsidRPr="00307A53">
        <w:rPr>
          <w:sz w:val="24"/>
          <w:szCs w:val="24"/>
        </w:rPr>
        <w:t>, 2013). Establishing a non-judgemental environment will further support openness (Denscombe, 2021).</w:t>
      </w:r>
    </w:p>
    <w:p w14:paraId="5B2B938B" w14:textId="77777777" w:rsidR="00F61A3F" w:rsidRPr="00307A53" w:rsidRDefault="00F61A3F" w:rsidP="00307A53">
      <w:pPr>
        <w:spacing w:line="360" w:lineRule="auto"/>
        <w:jc w:val="both"/>
        <w:rPr>
          <w:sz w:val="24"/>
          <w:szCs w:val="24"/>
        </w:rPr>
      </w:pPr>
      <w:r w:rsidRPr="00307A53">
        <w:rPr>
          <w:sz w:val="24"/>
          <w:szCs w:val="24"/>
        </w:rPr>
        <w:t>Student perceptions will be explored through group interviews, where the researcher maintains a guiding role (Cohen et al., 2018). It is proposed that this format can create a more supportive environment for young participants and help reduce power imbalances (Harwell, 2011), while enabling interaction. However, it is warned that group dynamics could lead to some participants becoming dominant or conforming to their peers (Thomas, 2021). Careful facilitation of discussions will therefore be required to ensure all participants are included equally.</w:t>
      </w:r>
    </w:p>
    <w:p w14:paraId="31C831CF" w14:textId="7EF2A9D4" w:rsidR="00F61A3F" w:rsidRPr="00307A53" w:rsidRDefault="00F61A3F" w:rsidP="00307A53">
      <w:pPr>
        <w:spacing w:line="360" w:lineRule="auto"/>
        <w:jc w:val="both"/>
        <w:rPr>
          <w:sz w:val="24"/>
          <w:szCs w:val="24"/>
        </w:rPr>
      </w:pPr>
      <w:r w:rsidRPr="00307A53">
        <w:rPr>
          <w:sz w:val="24"/>
          <w:szCs w:val="24"/>
        </w:rPr>
        <w:lastRenderedPageBreak/>
        <w:t>Using both individual and group interview formats will support triangulation across participant groups, strengthening the credibility and validity of the findings (Cohen et al., 2018).</w:t>
      </w:r>
    </w:p>
    <w:p w14:paraId="682BA4C5" w14:textId="4EAD3799" w:rsidR="00F61A3F" w:rsidRPr="00307A53" w:rsidRDefault="00307A53" w:rsidP="00307A53">
      <w:pPr>
        <w:spacing w:line="360" w:lineRule="auto"/>
        <w:jc w:val="both"/>
        <w:rPr>
          <w:sz w:val="28"/>
          <w:szCs w:val="28"/>
        </w:rPr>
      </w:pPr>
      <w:r w:rsidRPr="00307A53">
        <w:rPr>
          <w:b/>
          <w:bCs/>
          <w:sz w:val="28"/>
          <w:szCs w:val="28"/>
        </w:rPr>
        <w:t xml:space="preserve">3.4 </w:t>
      </w:r>
      <w:r w:rsidR="00F61A3F" w:rsidRPr="00307A53">
        <w:rPr>
          <w:b/>
          <w:bCs/>
          <w:sz w:val="28"/>
          <w:szCs w:val="28"/>
        </w:rPr>
        <w:t>Quantitative Methods</w:t>
      </w:r>
    </w:p>
    <w:p w14:paraId="6D5CF9D9" w14:textId="32E02737" w:rsidR="00F61A3F" w:rsidRPr="00307A53" w:rsidRDefault="00F61A3F" w:rsidP="00307A53">
      <w:pPr>
        <w:spacing w:line="360" w:lineRule="auto"/>
        <w:jc w:val="both"/>
        <w:rPr>
          <w:sz w:val="24"/>
          <w:szCs w:val="24"/>
        </w:rPr>
      </w:pPr>
      <w:r w:rsidRPr="00307A53">
        <w:rPr>
          <w:sz w:val="24"/>
          <w:szCs w:val="24"/>
        </w:rPr>
        <w:t>A questionnaire will be u</w:t>
      </w:r>
      <w:r w:rsidR="00002ABB">
        <w:rPr>
          <w:sz w:val="24"/>
          <w:szCs w:val="24"/>
        </w:rPr>
        <w:t>tilised</w:t>
      </w:r>
      <w:r w:rsidRPr="00307A53">
        <w:rPr>
          <w:sz w:val="24"/>
          <w:szCs w:val="24"/>
        </w:rPr>
        <w:t xml:space="preserve"> </w:t>
      </w:r>
      <w:r w:rsidR="00230D7B" w:rsidRPr="00307A53">
        <w:rPr>
          <w:sz w:val="24"/>
          <w:szCs w:val="24"/>
        </w:rPr>
        <w:t>to identify</w:t>
      </w:r>
      <w:r w:rsidRPr="00307A53">
        <w:rPr>
          <w:sz w:val="24"/>
          <w:szCs w:val="24"/>
        </w:rPr>
        <w:t xml:space="preserve"> broader patterns across a </w:t>
      </w:r>
      <w:r w:rsidR="00625FAF">
        <w:rPr>
          <w:sz w:val="24"/>
          <w:szCs w:val="24"/>
        </w:rPr>
        <w:t>wider</w:t>
      </w:r>
      <w:r w:rsidRPr="00307A53">
        <w:rPr>
          <w:sz w:val="24"/>
          <w:szCs w:val="24"/>
        </w:rPr>
        <w:t xml:space="preserve"> cohort of participants</w:t>
      </w:r>
      <w:r w:rsidR="00002ABB">
        <w:rPr>
          <w:sz w:val="24"/>
          <w:szCs w:val="24"/>
        </w:rPr>
        <w:t xml:space="preserve"> (</w:t>
      </w:r>
      <w:r w:rsidR="00002ABB" w:rsidRPr="00307A53">
        <w:rPr>
          <w:sz w:val="24"/>
          <w:szCs w:val="24"/>
        </w:rPr>
        <w:t>Robson &amp; McCartan, 2016</w:t>
      </w:r>
      <w:r w:rsidR="00002ABB">
        <w:rPr>
          <w:sz w:val="24"/>
          <w:szCs w:val="24"/>
        </w:rPr>
        <w:t>)</w:t>
      </w:r>
      <w:r w:rsidRPr="00307A53">
        <w:rPr>
          <w:sz w:val="24"/>
          <w:szCs w:val="24"/>
        </w:rPr>
        <w:t xml:space="preserve">. This will </w:t>
      </w:r>
      <w:r w:rsidR="00386F03">
        <w:rPr>
          <w:sz w:val="24"/>
          <w:szCs w:val="24"/>
        </w:rPr>
        <w:t xml:space="preserve">further </w:t>
      </w:r>
      <w:r w:rsidRPr="00307A53">
        <w:rPr>
          <w:sz w:val="24"/>
          <w:szCs w:val="24"/>
        </w:rPr>
        <w:t>support triangulation through “</w:t>
      </w:r>
      <w:r w:rsidRPr="00307A53">
        <w:rPr>
          <w:i/>
          <w:iCs/>
          <w:sz w:val="24"/>
          <w:szCs w:val="24"/>
        </w:rPr>
        <w:t>thematic overlap</w:t>
      </w:r>
      <w:r w:rsidRPr="00307A53">
        <w:rPr>
          <w:sz w:val="24"/>
          <w:szCs w:val="24"/>
        </w:rPr>
        <w:t xml:space="preserve">” across different data sources </w:t>
      </w:r>
      <w:r w:rsidR="00230D7B" w:rsidRPr="00307A53">
        <w:rPr>
          <w:sz w:val="24"/>
          <w:szCs w:val="24"/>
        </w:rPr>
        <w:t xml:space="preserve">(Braun and Clarke, 2021) </w:t>
      </w:r>
      <w:r w:rsidRPr="00307A53">
        <w:rPr>
          <w:sz w:val="24"/>
          <w:szCs w:val="24"/>
        </w:rPr>
        <w:t xml:space="preserve">and </w:t>
      </w:r>
      <w:r w:rsidR="007715B8">
        <w:rPr>
          <w:sz w:val="24"/>
          <w:szCs w:val="24"/>
        </w:rPr>
        <w:t xml:space="preserve">the broader picture will </w:t>
      </w:r>
      <w:r w:rsidRPr="00307A53">
        <w:rPr>
          <w:sz w:val="24"/>
          <w:szCs w:val="24"/>
        </w:rPr>
        <w:t xml:space="preserve">enhance the credibility of the findings (Cohen et al., 2018). </w:t>
      </w:r>
    </w:p>
    <w:p w14:paraId="22E9E355" w14:textId="7F5F3F28" w:rsidR="00F61A3F" w:rsidRPr="00307A53" w:rsidRDefault="00F61A3F" w:rsidP="00307A53">
      <w:pPr>
        <w:spacing w:line="360" w:lineRule="auto"/>
        <w:jc w:val="both"/>
        <w:rPr>
          <w:sz w:val="24"/>
          <w:szCs w:val="24"/>
        </w:rPr>
      </w:pPr>
      <w:r w:rsidRPr="00307A53">
        <w:rPr>
          <w:sz w:val="24"/>
          <w:szCs w:val="24"/>
        </w:rPr>
        <w:t xml:space="preserve">The questionnaire will be administered online using a secure platform </w:t>
      </w:r>
      <w:r w:rsidR="00230D7B" w:rsidRPr="00307A53">
        <w:rPr>
          <w:sz w:val="24"/>
          <w:szCs w:val="24"/>
        </w:rPr>
        <w:t xml:space="preserve">to facilitate </w:t>
      </w:r>
      <w:r w:rsidRPr="00307A53">
        <w:rPr>
          <w:sz w:val="24"/>
          <w:szCs w:val="24"/>
        </w:rPr>
        <w:t xml:space="preserve">ease of distribution within </w:t>
      </w:r>
      <w:r w:rsidR="004B09E7">
        <w:rPr>
          <w:sz w:val="24"/>
          <w:szCs w:val="24"/>
        </w:rPr>
        <w:t>a</w:t>
      </w:r>
      <w:r w:rsidRPr="00307A53">
        <w:rPr>
          <w:sz w:val="24"/>
          <w:szCs w:val="24"/>
        </w:rPr>
        <w:t xml:space="preserve"> school context. </w:t>
      </w:r>
      <w:r w:rsidR="00564179">
        <w:rPr>
          <w:sz w:val="24"/>
          <w:szCs w:val="24"/>
        </w:rPr>
        <w:t xml:space="preserve">Despite concerns relating to </w:t>
      </w:r>
      <w:r w:rsidR="006374AF">
        <w:rPr>
          <w:sz w:val="24"/>
          <w:szCs w:val="24"/>
        </w:rPr>
        <w:t>lower</w:t>
      </w:r>
      <w:r w:rsidR="00564179">
        <w:rPr>
          <w:sz w:val="24"/>
          <w:szCs w:val="24"/>
        </w:rPr>
        <w:t xml:space="preserve"> </w:t>
      </w:r>
      <w:r w:rsidR="006374AF">
        <w:rPr>
          <w:sz w:val="24"/>
          <w:szCs w:val="24"/>
        </w:rPr>
        <w:t>response rates</w:t>
      </w:r>
      <w:r w:rsidR="004B09E7">
        <w:rPr>
          <w:sz w:val="24"/>
          <w:szCs w:val="24"/>
        </w:rPr>
        <w:t xml:space="preserve"> (Thomas, 2021)</w:t>
      </w:r>
      <w:r w:rsidR="006374AF">
        <w:rPr>
          <w:sz w:val="24"/>
          <w:szCs w:val="24"/>
        </w:rPr>
        <w:t>, o</w:t>
      </w:r>
      <w:r w:rsidRPr="00307A53">
        <w:rPr>
          <w:sz w:val="24"/>
          <w:szCs w:val="24"/>
        </w:rPr>
        <w:t xml:space="preserve">nline administration </w:t>
      </w:r>
      <w:r w:rsidR="00230D7B" w:rsidRPr="00307A53">
        <w:rPr>
          <w:sz w:val="24"/>
          <w:szCs w:val="24"/>
        </w:rPr>
        <w:t xml:space="preserve">is considered </w:t>
      </w:r>
      <w:r w:rsidR="004B09E7">
        <w:rPr>
          <w:sz w:val="24"/>
          <w:szCs w:val="24"/>
        </w:rPr>
        <w:t>advantageous as it</w:t>
      </w:r>
      <w:r w:rsidR="00230D7B" w:rsidRPr="00307A53">
        <w:rPr>
          <w:sz w:val="24"/>
          <w:szCs w:val="24"/>
        </w:rPr>
        <w:t xml:space="preserve"> </w:t>
      </w:r>
      <w:r w:rsidRPr="00307A53">
        <w:rPr>
          <w:sz w:val="24"/>
          <w:szCs w:val="24"/>
        </w:rPr>
        <w:t>reduce</w:t>
      </w:r>
      <w:r w:rsidR="004B09E7">
        <w:rPr>
          <w:sz w:val="24"/>
          <w:szCs w:val="24"/>
        </w:rPr>
        <w:t>s</w:t>
      </w:r>
      <w:r w:rsidRPr="00307A53">
        <w:rPr>
          <w:sz w:val="24"/>
          <w:szCs w:val="24"/>
        </w:rPr>
        <w:t xml:space="preserve"> time associated with data entry</w:t>
      </w:r>
      <w:r w:rsidR="00230D7B" w:rsidRPr="00307A53">
        <w:rPr>
          <w:sz w:val="24"/>
          <w:szCs w:val="24"/>
        </w:rPr>
        <w:t xml:space="preserve"> and analysis</w:t>
      </w:r>
      <w:r w:rsidRPr="00307A53">
        <w:rPr>
          <w:sz w:val="24"/>
          <w:szCs w:val="24"/>
        </w:rPr>
        <w:t xml:space="preserve">, </w:t>
      </w:r>
      <w:r w:rsidR="00230D7B" w:rsidRPr="00307A53">
        <w:rPr>
          <w:sz w:val="24"/>
          <w:szCs w:val="24"/>
        </w:rPr>
        <w:t xml:space="preserve">and </w:t>
      </w:r>
      <w:r w:rsidRPr="00307A53">
        <w:rPr>
          <w:sz w:val="24"/>
          <w:szCs w:val="24"/>
        </w:rPr>
        <w:t>support</w:t>
      </w:r>
      <w:r w:rsidR="004B09E7">
        <w:rPr>
          <w:sz w:val="24"/>
          <w:szCs w:val="24"/>
        </w:rPr>
        <w:t>s</w:t>
      </w:r>
      <w:r w:rsidRPr="00307A53">
        <w:rPr>
          <w:sz w:val="24"/>
          <w:szCs w:val="24"/>
        </w:rPr>
        <w:t xml:space="preserve"> anonymity</w:t>
      </w:r>
      <w:r w:rsidR="00230D7B" w:rsidRPr="00307A53">
        <w:rPr>
          <w:sz w:val="24"/>
          <w:szCs w:val="24"/>
        </w:rPr>
        <w:t xml:space="preserve"> </w:t>
      </w:r>
      <w:r w:rsidRPr="00307A53">
        <w:rPr>
          <w:sz w:val="24"/>
          <w:szCs w:val="24"/>
        </w:rPr>
        <w:t xml:space="preserve">(Harwell, 2011). This will be beneficial, due to the time constraints of the study and the need to access </w:t>
      </w:r>
      <w:r w:rsidR="0068391D">
        <w:rPr>
          <w:sz w:val="24"/>
          <w:szCs w:val="24"/>
        </w:rPr>
        <w:t xml:space="preserve">data from </w:t>
      </w:r>
      <w:r w:rsidRPr="00307A53">
        <w:rPr>
          <w:sz w:val="24"/>
          <w:szCs w:val="24"/>
        </w:rPr>
        <w:t>a relatively large group within a short timeframe (Robson &amp; McCartan, 2016).</w:t>
      </w:r>
    </w:p>
    <w:p w14:paraId="01C30422" w14:textId="7581F06C" w:rsidR="00F61A3F" w:rsidRPr="00307A53" w:rsidRDefault="00F61A3F" w:rsidP="00307A53">
      <w:pPr>
        <w:spacing w:line="360" w:lineRule="auto"/>
        <w:jc w:val="both"/>
        <w:rPr>
          <w:sz w:val="24"/>
          <w:szCs w:val="24"/>
        </w:rPr>
      </w:pPr>
      <w:r w:rsidRPr="00307A53">
        <w:rPr>
          <w:sz w:val="24"/>
          <w:szCs w:val="24"/>
        </w:rPr>
        <w:t>A series of closed questions will be used, including multiple-choice and Likert-scale questions, to generate quantifiable data on participants’ perceptions of post-16 pathways. Likert scales are widely used to measure attitudes a</w:t>
      </w:r>
      <w:r w:rsidR="00667677">
        <w:rPr>
          <w:sz w:val="24"/>
          <w:szCs w:val="24"/>
        </w:rPr>
        <w:t>s they</w:t>
      </w:r>
      <w:r w:rsidRPr="00307A53">
        <w:rPr>
          <w:sz w:val="24"/>
          <w:szCs w:val="24"/>
        </w:rPr>
        <w:t xml:space="preserve"> provide a structured, efficient means of capturing trends across large</w:t>
      </w:r>
      <w:r w:rsidR="00647963">
        <w:rPr>
          <w:sz w:val="24"/>
          <w:szCs w:val="24"/>
        </w:rPr>
        <w:t xml:space="preserve">r </w:t>
      </w:r>
      <w:r w:rsidRPr="00307A53">
        <w:rPr>
          <w:sz w:val="24"/>
          <w:szCs w:val="24"/>
        </w:rPr>
        <w:t>groups (Joshi, et al; 2015). However, it is recognised that eliciting scaled response can oversimplify complex views (Cohen et al., 2018), while being prone to several types of bias, including central tendency bias where participant avoid extreme options, and social desirability bias</w:t>
      </w:r>
      <w:r w:rsidR="006C611D" w:rsidRPr="00307A53">
        <w:rPr>
          <w:sz w:val="24"/>
          <w:szCs w:val="24"/>
        </w:rPr>
        <w:t>, where participants provide more favourable responses</w:t>
      </w:r>
      <w:r w:rsidRPr="00307A53">
        <w:rPr>
          <w:sz w:val="24"/>
          <w:szCs w:val="24"/>
        </w:rPr>
        <w:t xml:space="preserve"> (Robson &amp; McCartan, 2016). To address this, </w:t>
      </w:r>
      <w:r w:rsidR="00475247" w:rsidRPr="00307A53">
        <w:rPr>
          <w:sz w:val="24"/>
          <w:szCs w:val="24"/>
        </w:rPr>
        <w:t xml:space="preserve">anonymity will be guaranteed, and </w:t>
      </w:r>
      <w:r w:rsidRPr="00307A53">
        <w:rPr>
          <w:sz w:val="24"/>
          <w:szCs w:val="24"/>
        </w:rPr>
        <w:t xml:space="preserve">a small number of open-ended questions will be included to allow participants to elaborate on </w:t>
      </w:r>
      <w:r w:rsidR="006C611D" w:rsidRPr="00307A53">
        <w:rPr>
          <w:sz w:val="24"/>
          <w:szCs w:val="24"/>
        </w:rPr>
        <w:t xml:space="preserve">their </w:t>
      </w:r>
      <w:r w:rsidRPr="00307A53">
        <w:rPr>
          <w:sz w:val="24"/>
          <w:szCs w:val="24"/>
        </w:rPr>
        <w:t>responses and provide additional information that they may consider relevant.</w:t>
      </w:r>
      <w:r w:rsidR="00475247" w:rsidRPr="00307A53">
        <w:rPr>
          <w:sz w:val="24"/>
          <w:szCs w:val="24"/>
        </w:rPr>
        <w:t xml:space="preserve"> </w:t>
      </w:r>
    </w:p>
    <w:p w14:paraId="31822E12" w14:textId="66E80873" w:rsidR="00F61A3F" w:rsidRPr="00307A53" w:rsidRDefault="00F61A3F" w:rsidP="00307A53">
      <w:pPr>
        <w:spacing w:line="360" w:lineRule="auto"/>
        <w:jc w:val="both"/>
        <w:rPr>
          <w:sz w:val="24"/>
          <w:szCs w:val="24"/>
        </w:rPr>
      </w:pPr>
      <w:r w:rsidRPr="00307A53">
        <w:rPr>
          <w:sz w:val="24"/>
          <w:szCs w:val="24"/>
        </w:rPr>
        <w:t>Although questionnaire</w:t>
      </w:r>
      <w:r w:rsidR="00863C4D">
        <w:rPr>
          <w:sz w:val="24"/>
          <w:szCs w:val="24"/>
        </w:rPr>
        <w:t xml:space="preserve"> data can identify</w:t>
      </w:r>
      <w:r w:rsidRPr="00307A53">
        <w:rPr>
          <w:sz w:val="24"/>
          <w:szCs w:val="24"/>
        </w:rPr>
        <w:t xml:space="preserve"> trends across a wider sample (Joshi, et al., 2015), it is argued that they limit opportunity to probe further or seek clarification, </w:t>
      </w:r>
      <w:r w:rsidR="00E04FA8">
        <w:rPr>
          <w:sz w:val="24"/>
          <w:szCs w:val="24"/>
        </w:rPr>
        <w:t xml:space="preserve">potentially </w:t>
      </w:r>
      <w:r w:rsidRPr="00307A53">
        <w:rPr>
          <w:sz w:val="24"/>
          <w:szCs w:val="24"/>
        </w:rPr>
        <w:t>resulting in</w:t>
      </w:r>
      <w:r w:rsidR="00E04FA8">
        <w:rPr>
          <w:sz w:val="24"/>
          <w:szCs w:val="24"/>
        </w:rPr>
        <w:t xml:space="preserve"> </w:t>
      </w:r>
      <w:r w:rsidRPr="00307A53">
        <w:rPr>
          <w:sz w:val="24"/>
          <w:szCs w:val="24"/>
        </w:rPr>
        <w:t xml:space="preserve">misinterpretation of the responses (Robson &amp; McCartan, 2016). The questionnaire will therefore be piloted beforehand to improve clarity and reliability (Thomas, 2021). </w:t>
      </w:r>
    </w:p>
    <w:p w14:paraId="6A2E3856" w14:textId="2BF619FF" w:rsidR="00F61A3F" w:rsidRPr="00307A53" w:rsidRDefault="00307A53" w:rsidP="00307A53">
      <w:pPr>
        <w:spacing w:line="360" w:lineRule="auto"/>
        <w:jc w:val="both"/>
        <w:rPr>
          <w:b/>
          <w:bCs/>
          <w:sz w:val="28"/>
          <w:szCs w:val="28"/>
        </w:rPr>
      </w:pPr>
      <w:r w:rsidRPr="00307A53">
        <w:rPr>
          <w:b/>
          <w:bCs/>
          <w:sz w:val="28"/>
          <w:szCs w:val="28"/>
        </w:rPr>
        <w:lastRenderedPageBreak/>
        <w:t xml:space="preserve">3.5 </w:t>
      </w:r>
      <w:r w:rsidR="00F61A3F" w:rsidRPr="00307A53">
        <w:rPr>
          <w:b/>
          <w:bCs/>
          <w:sz w:val="28"/>
          <w:szCs w:val="28"/>
        </w:rPr>
        <w:t>Document Analysis</w:t>
      </w:r>
    </w:p>
    <w:p w14:paraId="0A343D3F" w14:textId="2769C8DF" w:rsidR="00F61A3F" w:rsidRPr="00307A53" w:rsidRDefault="00F61A3F" w:rsidP="00307A53">
      <w:pPr>
        <w:spacing w:line="360" w:lineRule="auto"/>
        <w:jc w:val="both"/>
        <w:rPr>
          <w:sz w:val="24"/>
          <w:szCs w:val="24"/>
        </w:rPr>
      </w:pPr>
      <w:r w:rsidRPr="00307A53">
        <w:rPr>
          <w:sz w:val="24"/>
          <w:szCs w:val="24"/>
        </w:rPr>
        <w:t xml:space="preserve">Curriculum </w:t>
      </w:r>
      <w:r w:rsidR="00500158">
        <w:rPr>
          <w:sz w:val="24"/>
          <w:szCs w:val="24"/>
        </w:rPr>
        <w:t>documents</w:t>
      </w:r>
      <w:r w:rsidRPr="00307A53">
        <w:rPr>
          <w:sz w:val="24"/>
          <w:szCs w:val="24"/>
        </w:rPr>
        <w:t xml:space="preserve"> will be examined using qualitative content analysis</w:t>
      </w:r>
      <w:r w:rsidR="00500158">
        <w:rPr>
          <w:sz w:val="24"/>
          <w:szCs w:val="24"/>
        </w:rPr>
        <w:t xml:space="preserve"> to extract relevant data </w:t>
      </w:r>
      <w:r w:rsidRPr="00307A53">
        <w:rPr>
          <w:sz w:val="24"/>
          <w:szCs w:val="24"/>
        </w:rPr>
        <w:t>(</w:t>
      </w:r>
      <w:proofErr w:type="spellStart"/>
      <w:r w:rsidRPr="00307A53">
        <w:rPr>
          <w:sz w:val="24"/>
          <w:szCs w:val="24"/>
        </w:rPr>
        <w:t>Krippendorff</w:t>
      </w:r>
      <w:proofErr w:type="spellEnd"/>
      <w:r w:rsidRPr="00307A53">
        <w:rPr>
          <w:sz w:val="24"/>
          <w:szCs w:val="24"/>
        </w:rPr>
        <w:t xml:space="preserve">, 2018). Document analysis will provide insight into institutional practices alongside interview and questionnaire data. This </w:t>
      </w:r>
      <w:r w:rsidR="007D6761" w:rsidRPr="00307A53">
        <w:rPr>
          <w:sz w:val="24"/>
          <w:szCs w:val="24"/>
        </w:rPr>
        <w:t>will provide</w:t>
      </w:r>
      <w:r w:rsidR="002F5A3E" w:rsidRPr="00307A53">
        <w:rPr>
          <w:sz w:val="24"/>
          <w:szCs w:val="24"/>
        </w:rPr>
        <w:t xml:space="preserve"> insight into</w:t>
      </w:r>
      <w:r w:rsidRPr="00307A53">
        <w:rPr>
          <w:sz w:val="24"/>
          <w:szCs w:val="24"/>
        </w:rPr>
        <w:t xml:space="preserve"> how post-16 pathways are formally p</w:t>
      </w:r>
      <w:r w:rsidR="00901ABF">
        <w:rPr>
          <w:sz w:val="24"/>
          <w:szCs w:val="24"/>
        </w:rPr>
        <w:t>ortrayed</w:t>
      </w:r>
      <w:r w:rsidRPr="00307A53">
        <w:rPr>
          <w:sz w:val="24"/>
          <w:szCs w:val="24"/>
        </w:rPr>
        <w:t xml:space="preserve"> to </w:t>
      </w:r>
      <w:r w:rsidR="002F5A3E" w:rsidRPr="00307A53">
        <w:rPr>
          <w:sz w:val="24"/>
          <w:szCs w:val="24"/>
        </w:rPr>
        <w:t xml:space="preserve">students </w:t>
      </w:r>
      <w:r w:rsidR="007D6761" w:rsidRPr="00307A53">
        <w:rPr>
          <w:sz w:val="24"/>
          <w:szCs w:val="24"/>
        </w:rPr>
        <w:t>while</w:t>
      </w:r>
      <w:r w:rsidRPr="00307A53">
        <w:rPr>
          <w:sz w:val="24"/>
          <w:szCs w:val="24"/>
        </w:rPr>
        <w:t xml:space="preserve"> allow</w:t>
      </w:r>
      <w:r w:rsidR="007D6761" w:rsidRPr="00307A53">
        <w:rPr>
          <w:sz w:val="24"/>
          <w:szCs w:val="24"/>
        </w:rPr>
        <w:t>ing</w:t>
      </w:r>
      <w:r w:rsidRPr="00307A53">
        <w:rPr>
          <w:sz w:val="24"/>
          <w:szCs w:val="24"/>
        </w:rPr>
        <w:t xml:space="preserve"> comparison between different data-sources (Yin, 2018), including policy intent, school</w:t>
      </w:r>
      <w:r w:rsidR="002F5A3E" w:rsidRPr="00307A53">
        <w:rPr>
          <w:sz w:val="24"/>
          <w:szCs w:val="24"/>
        </w:rPr>
        <w:t xml:space="preserve"> practices</w:t>
      </w:r>
      <w:r w:rsidRPr="00307A53">
        <w:rPr>
          <w:sz w:val="24"/>
          <w:szCs w:val="24"/>
        </w:rPr>
        <w:t>, and participant perceptions. This align</w:t>
      </w:r>
      <w:r w:rsidR="00481967">
        <w:rPr>
          <w:sz w:val="24"/>
          <w:szCs w:val="24"/>
        </w:rPr>
        <w:t>s</w:t>
      </w:r>
      <w:r w:rsidRPr="00307A53">
        <w:rPr>
          <w:sz w:val="24"/>
          <w:szCs w:val="24"/>
        </w:rPr>
        <w:t xml:space="preserve"> with the Capability Approach </w:t>
      </w:r>
      <w:r w:rsidR="00481967">
        <w:rPr>
          <w:sz w:val="24"/>
          <w:szCs w:val="24"/>
        </w:rPr>
        <w:t>as it involves exploring</w:t>
      </w:r>
      <w:r w:rsidRPr="00307A53">
        <w:rPr>
          <w:sz w:val="24"/>
          <w:szCs w:val="24"/>
        </w:rPr>
        <w:t xml:space="preserve"> potential</w:t>
      </w:r>
      <w:r w:rsidR="002F5A3E" w:rsidRPr="00307A53">
        <w:rPr>
          <w:sz w:val="24"/>
          <w:szCs w:val="24"/>
        </w:rPr>
        <w:t xml:space="preserve"> institutional</w:t>
      </w:r>
      <w:r w:rsidRPr="00307A53">
        <w:rPr>
          <w:sz w:val="24"/>
          <w:szCs w:val="24"/>
        </w:rPr>
        <w:t xml:space="preserve"> conversion factors that shape access to opportunities (Sen, 1999).</w:t>
      </w:r>
    </w:p>
    <w:p w14:paraId="111E52FC" w14:textId="529063A8" w:rsidR="00F61A3F" w:rsidRPr="00307A53" w:rsidRDefault="00F61A3F" w:rsidP="00307A53">
      <w:pPr>
        <w:spacing w:line="360" w:lineRule="auto"/>
        <w:jc w:val="both"/>
        <w:rPr>
          <w:sz w:val="24"/>
          <w:szCs w:val="24"/>
        </w:rPr>
      </w:pPr>
      <w:r w:rsidRPr="00307A53">
        <w:rPr>
          <w:sz w:val="24"/>
          <w:szCs w:val="24"/>
        </w:rPr>
        <w:t xml:space="preserve">This </w:t>
      </w:r>
      <w:r w:rsidR="00FF4B21" w:rsidRPr="00307A53">
        <w:rPr>
          <w:sz w:val="24"/>
          <w:szCs w:val="24"/>
        </w:rPr>
        <w:t>approach will be primarily qualitative</w:t>
      </w:r>
      <w:r w:rsidRPr="00307A53">
        <w:rPr>
          <w:sz w:val="24"/>
          <w:szCs w:val="24"/>
        </w:rPr>
        <w:t>, with a focus on understanding how post-16 pathways are p</w:t>
      </w:r>
      <w:r w:rsidR="000318AA">
        <w:rPr>
          <w:sz w:val="24"/>
          <w:szCs w:val="24"/>
        </w:rPr>
        <w:t>ortrayed</w:t>
      </w:r>
      <w:r w:rsidRPr="00307A53">
        <w:rPr>
          <w:sz w:val="24"/>
          <w:szCs w:val="24"/>
        </w:rPr>
        <w:t xml:space="preserve"> and communicated within </w:t>
      </w:r>
      <w:r w:rsidR="00FF4B21" w:rsidRPr="00307A53">
        <w:rPr>
          <w:sz w:val="24"/>
          <w:szCs w:val="24"/>
        </w:rPr>
        <w:t>school</w:t>
      </w:r>
      <w:r w:rsidRPr="00307A53">
        <w:rPr>
          <w:sz w:val="24"/>
          <w:szCs w:val="24"/>
        </w:rPr>
        <w:t xml:space="preserve"> documentation. However, quantitative data</w:t>
      </w:r>
      <w:r w:rsidR="00FF4B21" w:rsidRPr="00307A53">
        <w:rPr>
          <w:sz w:val="24"/>
          <w:szCs w:val="24"/>
        </w:rPr>
        <w:t xml:space="preserve">, including </w:t>
      </w:r>
      <w:r w:rsidRPr="00307A53">
        <w:rPr>
          <w:sz w:val="24"/>
          <w:szCs w:val="24"/>
        </w:rPr>
        <w:t>frequency or prominence of particular pathways</w:t>
      </w:r>
      <w:r w:rsidR="00FF4B21" w:rsidRPr="00307A53">
        <w:rPr>
          <w:sz w:val="24"/>
          <w:szCs w:val="24"/>
        </w:rPr>
        <w:t>, will</w:t>
      </w:r>
      <w:r w:rsidRPr="00307A53">
        <w:rPr>
          <w:sz w:val="24"/>
          <w:szCs w:val="24"/>
        </w:rPr>
        <w:t xml:space="preserve"> be incorporated to help to identify patterns</w:t>
      </w:r>
      <w:r w:rsidR="00FF4B21" w:rsidRPr="00307A53">
        <w:rPr>
          <w:sz w:val="24"/>
          <w:szCs w:val="24"/>
        </w:rPr>
        <w:t xml:space="preserve"> (</w:t>
      </w:r>
      <w:proofErr w:type="spellStart"/>
      <w:r w:rsidR="00FF4B21" w:rsidRPr="00307A53">
        <w:rPr>
          <w:sz w:val="24"/>
          <w:szCs w:val="24"/>
        </w:rPr>
        <w:t>Krippendorff</w:t>
      </w:r>
      <w:proofErr w:type="spellEnd"/>
      <w:r w:rsidR="00FF4B21" w:rsidRPr="00307A53">
        <w:rPr>
          <w:sz w:val="24"/>
          <w:szCs w:val="24"/>
        </w:rPr>
        <w:t>, 2018)</w:t>
      </w:r>
      <w:r w:rsidRPr="00307A53">
        <w:rPr>
          <w:sz w:val="24"/>
          <w:szCs w:val="24"/>
        </w:rPr>
        <w:t>. A structured set of guiding questions will be used when extracting data, to ensure consistency, relevance and transparency (Forman, 2007).</w:t>
      </w:r>
    </w:p>
    <w:p w14:paraId="536250C2" w14:textId="178E79CD" w:rsidR="00F61A3F" w:rsidRPr="00307A53" w:rsidRDefault="00F61A3F" w:rsidP="00307A53">
      <w:pPr>
        <w:spacing w:line="360" w:lineRule="auto"/>
        <w:jc w:val="both"/>
        <w:rPr>
          <w:sz w:val="24"/>
          <w:szCs w:val="24"/>
        </w:rPr>
      </w:pPr>
      <w:r w:rsidRPr="00307A53">
        <w:rPr>
          <w:sz w:val="24"/>
          <w:szCs w:val="24"/>
        </w:rPr>
        <w:t xml:space="preserve">While document analysis will </w:t>
      </w:r>
      <w:r w:rsidR="000318AA">
        <w:rPr>
          <w:sz w:val="24"/>
          <w:szCs w:val="24"/>
        </w:rPr>
        <w:t xml:space="preserve">help to </w:t>
      </w:r>
      <w:r w:rsidRPr="00307A53">
        <w:rPr>
          <w:sz w:val="24"/>
          <w:szCs w:val="24"/>
        </w:rPr>
        <w:t xml:space="preserve">provide </w:t>
      </w:r>
      <w:r w:rsidR="000318AA">
        <w:rPr>
          <w:sz w:val="24"/>
          <w:szCs w:val="24"/>
        </w:rPr>
        <w:t>context</w:t>
      </w:r>
      <w:r w:rsidRPr="00307A53">
        <w:rPr>
          <w:sz w:val="24"/>
          <w:szCs w:val="24"/>
        </w:rPr>
        <w:t xml:space="preserve">, </w:t>
      </w:r>
      <w:r w:rsidR="00FB3F9E" w:rsidRPr="00307A53">
        <w:rPr>
          <w:sz w:val="24"/>
          <w:szCs w:val="24"/>
        </w:rPr>
        <w:t>it will be limited in</w:t>
      </w:r>
      <w:r w:rsidRPr="00307A53">
        <w:rPr>
          <w:sz w:val="24"/>
          <w:szCs w:val="24"/>
        </w:rPr>
        <w:t xml:space="preserve"> that it will </w:t>
      </w:r>
      <w:r w:rsidR="00FB3F9E" w:rsidRPr="00307A53">
        <w:rPr>
          <w:sz w:val="24"/>
          <w:szCs w:val="24"/>
        </w:rPr>
        <w:t>only provide data on</w:t>
      </w:r>
      <w:r w:rsidRPr="00307A53">
        <w:rPr>
          <w:sz w:val="24"/>
          <w:szCs w:val="24"/>
        </w:rPr>
        <w:t xml:space="preserve"> intended provision rather than lived experiences of participants (</w:t>
      </w:r>
      <w:r w:rsidR="003315FE">
        <w:rPr>
          <w:sz w:val="24"/>
          <w:szCs w:val="24"/>
        </w:rPr>
        <w:t>Forman, 2007</w:t>
      </w:r>
      <w:r w:rsidRPr="00307A53">
        <w:rPr>
          <w:sz w:val="24"/>
          <w:szCs w:val="24"/>
        </w:rPr>
        <w:t xml:space="preserve">). However, </w:t>
      </w:r>
      <w:r w:rsidR="000318AA">
        <w:rPr>
          <w:sz w:val="24"/>
          <w:szCs w:val="24"/>
        </w:rPr>
        <w:t xml:space="preserve">it is proposed that </w:t>
      </w:r>
      <w:r w:rsidRPr="00307A53">
        <w:rPr>
          <w:sz w:val="24"/>
          <w:szCs w:val="24"/>
        </w:rPr>
        <w:t xml:space="preserve">when combined with </w:t>
      </w:r>
      <w:r w:rsidR="000318AA">
        <w:rPr>
          <w:sz w:val="24"/>
          <w:szCs w:val="24"/>
        </w:rPr>
        <w:t xml:space="preserve">other datasets, including </w:t>
      </w:r>
      <w:r w:rsidRPr="00307A53">
        <w:rPr>
          <w:sz w:val="24"/>
          <w:szCs w:val="24"/>
        </w:rPr>
        <w:t>questionnaire and interview data, it</w:t>
      </w:r>
      <w:r w:rsidR="00FB3F9E" w:rsidRPr="00307A53">
        <w:rPr>
          <w:sz w:val="24"/>
          <w:szCs w:val="24"/>
        </w:rPr>
        <w:t xml:space="preserve"> </w:t>
      </w:r>
      <w:r w:rsidR="000318AA">
        <w:rPr>
          <w:sz w:val="24"/>
          <w:szCs w:val="24"/>
        </w:rPr>
        <w:t>can</w:t>
      </w:r>
      <w:r w:rsidRPr="00307A53">
        <w:rPr>
          <w:sz w:val="24"/>
          <w:szCs w:val="24"/>
        </w:rPr>
        <w:t xml:space="preserve"> contribut</w:t>
      </w:r>
      <w:r w:rsidR="00FB3F9E" w:rsidRPr="00307A53">
        <w:rPr>
          <w:sz w:val="24"/>
          <w:szCs w:val="24"/>
        </w:rPr>
        <w:t>e</w:t>
      </w:r>
      <w:r w:rsidRPr="00307A53">
        <w:rPr>
          <w:sz w:val="24"/>
          <w:szCs w:val="24"/>
        </w:rPr>
        <w:t xml:space="preserve"> to deeper understanding of </w:t>
      </w:r>
      <w:r w:rsidR="000318AA">
        <w:rPr>
          <w:sz w:val="24"/>
          <w:szCs w:val="24"/>
        </w:rPr>
        <w:t>the research problem (</w:t>
      </w:r>
      <w:r w:rsidR="003315FE" w:rsidRPr="003315FE">
        <w:rPr>
          <w:sz w:val="24"/>
          <w:szCs w:val="24"/>
        </w:rPr>
        <w:t>Krippendorff, 2018</w:t>
      </w:r>
      <w:r w:rsidR="000318AA">
        <w:rPr>
          <w:sz w:val="24"/>
          <w:szCs w:val="24"/>
        </w:rPr>
        <w:t xml:space="preserve">). This method will therefore support a comprehensive exploration of </w:t>
      </w:r>
      <w:r w:rsidRPr="00307A53">
        <w:rPr>
          <w:sz w:val="24"/>
          <w:szCs w:val="24"/>
        </w:rPr>
        <w:t>how post-16 opportunities are made available, perceived, and converted into meaningful opportunities</w:t>
      </w:r>
      <w:r w:rsidR="00FF4EBB">
        <w:rPr>
          <w:sz w:val="24"/>
          <w:szCs w:val="24"/>
        </w:rPr>
        <w:t xml:space="preserve"> for students’</w:t>
      </w:r>
      <w:r w:rsidRPr="00307A53">
        <w:rPr>
          <w:sz w:val="24"/>
          <w:szCs w:val="24"/>
        </w:rPr>
        <w:t xml:space="preserve"> (Sen, 1999). </w:t>
      </w:r>
    </w:p>
    <w:p w14:paraId="3266EE37" w14:textId="77777777" w:rsidR="00F61A3F" w:rsidRPr="00307A53" w:rsidRDefault="00F61A3F" w:rsidP="00307A53">
      <w:pPr>
        <w:spacing w:line="360" w:lineRule="auto"/>
        <w:jc w:val="both"/>
        <w:rPr>
          <w:sz w:val="24"/>
          <w:szCs w:val="24"/>
        </w:rPr>
      </w:pPr>
    </w:p>
    <w:p w14:paraId="5E3C24EC" w14:textId="7DA0C065" w:rsidR="00F61A3F" w:rsidRPr="00307A53" w:rsidRDefault="00F04E8E" w:rsidP="00307A53">
      <w:pPr>
        <w:spacing w:line="360" w:lineRule="auto"/>
        <w:jc w:val="both"/>
        <w:rPr>
          <w:b/>
          <w:bCs/>
          <w:sz w:val="32"/>
          <w:szCs w:val="32"/>
        </w:rPr>
      </w:pPr>
      <w:r w:rsidRPr="00307A53">
        <w:rPr>
          <w:b/>
          <w:bCs/>
          <w:sz w:val="32"/>
          <w:szCs w:val="32"/>
        </w:rPr>
        <w:t xml:space="preserve">4.0 </w:t>
      </w:r>
      <w:r w:rsidR="00F61A3F" w:rsidRPr="00307A53">
        <w:rPr>
          <w:b/>
          <w:bCs/>
          <w:sz w:val="32"/>
          <w:szCs w:val="32"/>
        </w:rPr>
        <w:t>Data analysis and presentation methods</w:t>
      </w:r>
    </w:p>
    <w:p w14:paraId="7BE74687" w14:textId="0E03871B" w:rsidR="00F61A3F" w:rsidRPr="00307A53" w:rsidRDefault="00307A53" w:rsidP="00307A53">
      <w:pPr>
        <w:spacing w:line="360" w:lineRule="auto"/>
        <w:jc w:val="both"/>
        <w:rPr>
          <w:b/>
          <w:bCs/>
          <w:sz w:val="28"/>
          <w:szCs w:val="28"/>
        </w:rPr>
      </w:pPr>
      <w:r w:rsidRPr="00307A53">
        <w:rPr>
          <w:b/>
          <w:bCs/>
          <w:sz w:val="28"/>
          <w:szCs w:val="28"/>
        </w:rPr>
        <w:t xml:space="preserve">4.1 </w:t>
      </w:r>
      <w:r w:rsidR="00F61A3F" w:rsidRPr="00307A53">
        <w:rPr>
          <w:b/>
          <w:bCs/>
          <w:sz w:val="28"/>
          <w:szCs w:val="28"/>
        </w:rPr>
        <w:t>Qualitative Data Analysis</w:t>
      </w:r>
      <w:r w:rsidR="00342ED5">
        <w:rPr>
          <w:b/>
          <w:bCs/>
          <w:sz w:val="28"/>
          <w:szCs w:val="28"/>
        </w:rPr>
        <w:t xml:space="preserve"> Methods</w:t>
      </w:r>
    </w:p>
    <w:p w14:paraId="26A1A276" w14:textId="55661D00" w:rsidR="00F61A3F" w:rsidRPr="00307A53" w:rsidRDefault="0086357D" w:rsidP="00307A53">
      <w:pPr>
        <w:spacing w:line="360" w:lineRule="auto"/>
        <w:jc w:val="both"/>
        <w:rPr>
          <w:sz w:val="24"/>
          <w:szCs w:val="24"/>
        </w:rPr>
      </w:pPr>
      <w:r w:rsidRPr="00307A53">
        <w:rPr>
          <w:sz w:val="24"/>
          <w:szCs w:val="24"/>
        </w:rPr>
        <w:t xml:space="preserve">According to </w:t>
      </w:r>
      <w:r w:rsidR="00F61A3F" w:rsidRPr="00307A53">
        <w:rPr>
          <w:sz w:val="24"/>
          <w:szCs w:val="24"/>
        </w:rPr>
        <w:t>Cohen et al. (201</w:t>
      </w:r>
      <w:r w:rsidR="009A5FF7">
        <w:rPr>
          <w:sz w:val="24"/>
          <w:szCs w:val="24"/>
        </w:rPr>
        <w:t>8</w:t>
      </w:r>
      <w:r w:rsidR="00F61A3F" w:rsidRPr="00307A53">
        <w:rPr>
          <w:sz w:val="24"/>
          <w:szCs w:val="24"/>
        </w:rPr>
        <w:t>)</w:t>
      </w:r>
      <w:r w:rsidRPr="00307A53">
        <w:rPr>
          <w:sz w:val="24"/>
          <w:szCs w:val="24"/>
        </w:rPr>
        <w:t xml:space="preserve">, </w:t>
      </w:r>
      <w:r w:rsidR="00F61A3F" w:rsidRPr="00307A53">
        <w:rPr>
          <w:sz w:val="24"/>
          <w:szCs w:val="24"/>
        </w:rPr>
        <w:t xml:space="preserve">there is no single correct way to analyse qualitative data. </w:t>
      </w:r>
      <w:r w:rsidRPr="00307A53">
        <w:rPr>
          <w:sz w:val="24"/>
          <w:szCs w:val="24"/>
        </w:rPr>
        <w:t>A t</w:t>
      </w:r>
      <w:r w:rsidR="00F61A3F" w:rsidRPr="00307A53">
        <w:rPr>
          <w:sz w:val="24"/>
          <w:szCs w:val="24"/>
        </w:rPr>
        <w:t>hematic analysis</w:t>
      </w:r>
      <w:r w:rsidRPr="00307A53">
        <w:rPr>
          <w:sz w:val="24"/>
          <w:szCs w:val="24"/>
        </w:rPr>
        <w:t xml:space="preserve"> </w:t>
      </w:r>
      <w:r w:rsidR="002430E7" w:rsidRPr="00307A53">
        <w:rPr>
          <w:sz w:val="24"/>
          <w:szCs w:val="24"/>
        </w:rPr>
        <w:t>following the six-phase framework outlined by Braun and Clarke (2006)</w:t>
      </w:r>
      <w:r w:rsidR="00031520" w:rsidRPr="00307A53">
        <w:rPr>
          <w:sz w:val="24"/>
          <w:szCs w:val="24"/>
        </w:rPr>
        <w:t xml:space="preserve"> </w:t>
      </w:r>
      <w:r w:rsidRPr="00307A53">
        <w:rPr>
          <w:sz w:val="24"/>
          <w:szCs w:val="24"/>
        </w:rPr>
        <w:t xml:space="preserve">will be used for </w:t>
      </w:r>
      <w:r w:rsidR="00DC501C">
        <w:rPr>
          <w:sz w:val="24"/>
          <w:szCs w:val="24"/>
        </w:rPr>
        <w:t>this study</w:t>
      </w:r>
      <w:r w:rsidRPr="00307A53">
        <w:rPr>
          <w:sz w:val="24"/>
          <w:szCs w:val="24"/>
        </w:rPr>
        <w:t>. A</w:t>
      </w:r>
      <w:r w:rsidR="00F61A3F" w:rsidRPr="00307A53">
        <w:rPr>
          <w:sz w:val="24"/>
          <w:szCs w:val="24"/>
        </w:rPr>
        <w:t xml:space="preserve">lthough time-consuming, </w:t>
      </w:r>
      <w:r w:rsidR="00031520" w:rsidRPr="00307A53">
        <w:rPr>
          <w:sz w:val="24"/>
          <w:szCs w:val="24"/>
        </w:rPr>
        <w:t>thematic analysis is</w:t>
      </w:r>
      <w:r w:rsidR="00F61A3F" w:rsidRPr="00307A53">
        <w:rPr>
          <w:sz w:val="24"/>
          <w:szCs w:val="24"/>
        </w:rPr>
        <w:t xml:space="preserve"> </w:t>
      </w:r>
      <w:r w:rsidR="00F61A3F" w:rsidRPr="00307A53">
        <w:rPr>
          <w:sz w:val="24"/>
          <w:szCs w:val="24"/>
        </w:rPr>
        <w:lastRenderedPageBreak/>
        <w:t xml:space="preserve">recognised as a flexible and effective method for identifying patterns in qualitative research (Creswell, 2018). It is </w:t>
      </w:r>
      <w:r w:rsidRPr="00307A53">
        <w:rPr>
          <w:sz w:val="24"/>
          <w:szCs w:val="24"/>
        </w:rPr>
        <w:t>also</w:t>
      </w:r>
      <w:r w:rsidR="00F61A3F" w:rsidRPr="00307A53">
        <w:rPr>
          <w:sz w:val="24"/>
          <w:szCs w:val="24"/>
        </w:rPr>
        <w:t xml:space="preserve"> suitable for analysing data from semi-structured interviews</w:t>
      </w:r>
      <w:r w:rsidRPr="00307A53">
        <w:rPr>
          <w:sz w:val="24"/>
          <w:szCs w:val="24"/>
        </w:rPr>
        <w:t>,</w:t>
      </w:r>
      <w:r w:rsidR="00F61A3F" w:rsidRPr="00307A53">
        <w:rPr>
          <w:sz w:val="24"/>
          <w:szCs w:val="24"/>
        </w:rPr>
        <w:t xml:space="preserve"> </w:t>
      </w:r>
      <w:r w:rsidR="00390B53" w:rsidRPr="00307A53">
        <w:rPr>
          <w:sz w:val="24"/>
          <w:szCs w:val="24"/>
        </w:rPr>
        <w:t>as it allows</w:t>
      </w:r>
      <w:r w:rsidR="00F61A3F" w:rsidRPr="00307A53">
        <w:rPr>
          <w:sz w:val="24"/>
          <w:szCs w:val="24"/>
        </w:rPr>
        <w:t xml:space="preserve"> for a</w:t>
      </w:r>
      <w:r w:rsidRPr="00307A53">
        <w:rPr>
          <w:sz w:val="24"/>
          <w:szCs w:val="24"/>
        </w:rPr>
        <w:t>n in-depth</w:t>
      </w:r>
      <w:r w:rsidR="00F61A3F" w:rsidRPr="00307A53">
        <w:rPr>
          <w:sz w:val="24"/>
          <w:szCs w:val="24"/>
        </w:rPr>
        <w:t xml:space="preserve"> exploration of participants’ </w:t>
      </w:r>
      <w:r w:rsidRPr="00307A53">
        <w:rPr>
          <w:sz w:val="24"/>
          <w:szCs w:val="24"/>
        </w:rPr>
        <w:t>views</w:t>
      </w:r>
      <w:r w:rsidR="00F61A3F" w:rsidRPr="00307A53">
        <w:rPr>
          <w:sz w:val="24"/>
          <w:szCs w:val="24"/>
        </w:rPr>
        <w:t xml:space="preserve"> (Denscombe, 2017).</w:t>
      </w:r>
      <w:r w:rsidR="00031520" w:rsidRPr="00307A53">
        <w:rPr>
          <w:sz w:val="24"/>
          <w:szCs w:val="24"/>
        </w:rPr>
        <w:t xml:space="preserve"> </w:t>
      </w:r>
      <w:r w:rsidR="00F61A3F" w:rsidRPr="00307A53">
        <w:rPr>
          <w:sz w:val="24"/>
          <w:szCs w:val="24"/>
        </w:rPr>
        <w:t>It is</w:t>
      </w:r>
      <w:r w:rsidR="00031520" w:rsidRPr="00307A53">
        <w:rPr>
          <w:sz w:val="24"/>
          <w:szCs w:val="24"/>
        </w:rPr>
        <w:t xml:space="preserve"> therefore an</w:t>
      </w:r>
      <w:r w:rsidR="00F61A3F" w:rsidRPr="00307A53">
        <w:rPr>
          <w:sz w:val="24"/>
          <w:szCs w:val="24"/>
        </w:rPr>
        <w:t xml:space="preserve"> appropriate </w:t>
      </w:r>
      <w:r w:rsidR="00031520" w:rsidRPr="00307A53">
        <w:rPr>
          <w:sz w:val="24"/>
          <w:szCs w:val="24"/>
        </w:rPr>
        <w:t xml:space="preserve">method </w:t>
      </w:r>
      <w:r w:rsidR="00F61A3F" w:rsidRPr="00307A53">
        <w:rPr>
          <w:sz w:val="24"/>
          <w:szCs w:val="24"/>
        </w:rPr>
        <w:t>for this study</w:t>
      </w:r>
      <w:r w:rsidR="009A5FF7">
        <w:rPr>
          <w:sz w:val="24"/>
          <w:szCs w:val="24"/>
        </w:rPr>
        <w:t xml:space="preserve"> as it</w:t>
      </w:r>
      <w:r w:rsidR="00031520" w:rsidRPr="00307A53">
        <w:rPr>
          <w:sz w:val="24"/>
          <w:szCs w:val="24"/>
        </w:rPr>
        <w:t xml:space="preserve"> will enable</w:t>
      </w:r>
      <w:r w:rsidR="00F61A3F" w:rsidRPr="00307A53">
        <w:rPr>
          <w:sz w:val="24"/>
          <w:szCs w:val="24"/>
        </w:rPr>
        <w:t xml:space="preserve"> the researcher to interpret underlying concepts and </w:t>
      </w:r>
      <w:r w:rsidR="00AB2933">
        <w:rPr>
          <w:sz w:val="24"/>
          <w:szCs w:val="24"/>
        </w:rPr>
        <w:t>themes</w:t>
      </w:r>
      <w:r w:rsidR="009A5FF7">
        <w:rPr>
          <w:sz w:val="24"/>
          <w:szCs w:val="24"/>
        </w:rPr>
        <w:t xml:space="preserve"> in relation to post-16 pathways</w:t>
      </w:r>
      <w:r w:rsidR="00F61A3F" w:rsidRPr="00307A53">
        <w:rPr>
          <w:sz w:val="24"/>
          <w:szCs w:val="24"/>
        </w:rPr>
        <w:t>.</w:t>
      </w:r>
      <w:r w:rsidR="004A2E83" w:rsidRPr="00307A53">
        <w:rPr>
          <w:sz w:val="24"/>
          <w:szCs w:val="24"/>
        </w:rPr>
        <w:t xml:space="preserve"> It also aligns with the study’s abductive approach, where emerging patterns can be interpreted in relation to existing </w:t>
      </w:r>
      <w:r w:rsidR="00390B53" w:rsidRPr="00307A53">
        <w:rPr>
          <w:sz w:val="24"/>
          <w:szCs w:val="24"/>
        </w:rPr>
        <w:t>literature</w:t>
      </w:r>
      <w:r w:rsidR="004A2E83" w:rsidRPr="00307A53">
        <w:rPr>
          <w:sz w:val="24"/>
          <w:szCs w:val="24"/>
        </w:rPr>
        <w:t xml:space="preserve"> (</w:t>
      </w:r>
      <w:r w:rsidR="00390B53" w:rsidRPr="00307A53">
        <w:rPr>
          <w:sz w:val="24"/>
          <w:szCs w:val="24"/>
        </w:rPr>
        <w:t>Hofmann et al., 2024</w:t>
      </w:r>
      <w:r w:rsidR="004A2E83" w:rsidRPr="00307A53">
        <w:rPr>
          <w:sz w:val="24"/>
          <w:szCs w:val="24"/>
        </w:rPr>
        <w:t>).</w:t>
      </w:r>
    </w:p>
    <w:p w14:paraId="21E25DEA" w14:textId="3D65E404" w:rsidR="00F61A3F" w:rsidRPr="00307A53" w:rsidRDefault="000F5112" w:rsidP="00307A53">
      <w:pPr>
        <w:spacing w:line="360" w:lineRule="auto"/>
        <w:jc w:val="both"/>
        <w:rPr>
          <w:sz w:val="24"/>
          <w:szCs w:val="24"/>
        </w:rPr>
      </w:pPr>
      <w:r w:rsidRPr="00307A53">
        <w:rPr>
          <w:sz w:val="24"/>
          <w:szCs w:val="24"/>
        </w:rPr>
        <w:t>I</w:t>
      </w:r>
      <w:r w:rsidR="00F61A3F" w:rsidRPr="00307A53">
        <w:rPr>
          <w:sz w:val="24"/>
          <w:szCs w:val="24"/>
        </w:rPr>
        <w:t>nterviews will be audio-recorded and transcribed verbatim to ensure accuracy and preserve meaning</w:t>
      </w:r>
      <w:r w:rsidRPr="00307A53">
        <w:rPr>
          <w:sz w:val="24"/>
          <w:szCs w:val="24"/>
        </w:rPr>
        <w:t xml:space="preserve"> (Denscombe, 2021)</w:t>
      </w:r>
      <w:r w:rsidR="00F61A3F" w:rsidRPr="00307A53">
        <w:rPr>
          <w:sz w:val="24"/>
          <w:szCs w:val="24"/>
        </w:rPr>
        <w:t xml:space="preserve">. </w:t>
      </w:r>
      <w:r w:rsidR="00B53F54" w:rsidRPr="00307A53">
        <w:rPr>
          <w:sz w:val="24"/>
          <w:szCs w:val="24"/>
        </w:rPr>
        <w:t>In adherence with</w:t>
      </w:r>
      <w:r w:rsidRPr="00307A53">
        <w:rPr>
          <w:sz w:val="24"/>
          <w:szCs w:val="24"/>
        </w:rPr>
        <w:t xml:space="preserve"> </w:t>
      </w:r>
      <w:r w:rsidR="00B53F54" w:rsidRPr="00307A53">
        <w:rPr>
          <w:sz w:val="24"/>
          <w:szCs w:val="24"/>
        </w:rPr>
        <w:t>Braun and Clarke’s framework</w:t>
      </w:r>
      <w:r w:rsidR="00724D1B" w:rsidRPr="00307A53">
        <w:rPr>
          <w:sz w:val="24"/>
          <w:szCs w:val="24"/>
        </w:rPr>
        <w:t xml:space="preserve"> (2006)</w:t>
      </w:r>
      <w:r w:rsidR="00B53F54" w:rsidRPr="00307A53">
        <w:rPr>
          <w:sz w:val="24"/>
          <w:szCs w:val="24"/>
        </w:rPr>
        <w:t>,</w:t>
      </w:r>
      <w:r w:rsidRPr="00307A53">
        <w:rPr>
          <w:sz w:val="24"/>
          <w:szCs w:val="24"/>
        </w:rPr>
        <w:t xml:space="preserve"> a</w:t>
      </w:r>
      <w:r w:rsidR="00F61A3F" w:rsidRPr="00307A53">
        <w:rPr>
          <w:sz w:val="24"/>
          <w:szCs w:val="24"/>
        </w:rPr>
        <w:t xml:space="preserve">nalysis will begin with </w:t>
      </w:r>
      <w:r w:rsidRPr="00307A53">
        <w:rPr>
          <w:sz w:val="24"/>
          <w:szCs w:val="24"/>
        </w:rPr>
        <w:t>familiarisation of the data</w:t>
      </w:r>
      <w:r w:rsidR="00F61A3F" w:rsidRPr="00307A53">
        <w:rPr>
          <w:sz w:val="24"/>
          <w:szCs w:val="24"/>
        </w:rPr>
        <w:t xml:space="preserve"> </w:t>
      </w:r>
      <w:r w:rsidRPr="00307A53">
        <w:rPr>
          <w:sz w:val="24"/>
          <w:szCs w:val="24"/>
        </w:rPr>
        <w:t>through</w:t>
      </w:r>
      <w:r w:rsidR="00F61A3F" w:rsidRPr="00307A53">
        <w:rPr>
          <w:sz w:val="24"/>
          <w:szCs w:val="24"/>
        </w:rPr>
        <w:t xml:space="preserve"> repeated reading of </w:t>
      </w:r>
      <w:r w:rsidRPr="00307A53">
        <w:rPr>
          <w:sz w:val="24"/>
          <w:szCs w:val="24"/>
        </w:rPr>
        <w:t xml:space="preserve">the </w:t>
      </w:r>
      <w:r w:rsidR="00F61A3F" w:rsidRPr="00307A53">
        <w:rPr>
          <w:sz w:val="24"/>
          <w:szCs w:val="24"/>
        </w:rPr>
        <w:t xml:space="preserve">transcripts. This will be followed by systematic coding, where </w:t>
      </w:r>
      <w:r w:rsidRPr="00307A53">
        <w:rPr>
          <w:sz w:val="24"/>
          <w:szCs w:val="24"/>
        </w:rPr>
        <w:t>relevant and interesting</w:t>
      </w:r>
      <w:r w:rsidR="00F61A3F" w:rsidRPr="00307A53">
        <w:rPr>
          <w:sz w:val="24"/>
          <w:szCs w:val="24"/>
        </w:rPr>
        <w:t xml:space="preserve"> features of the data are identified and </w:t>
      </w:r>
      <w:r w:rsidR="00AA5E33">
        <w:rPr>
          <w:sz w:val="24"/>
          <w:szCs w:val="24"/>
        </w:rPr>
        <w:t>labelled</w:t>
      </w:r>
      <w:r w:rsidR="00F61A3F" w:rsidRPr="00307A53">
        <w:rPr>
          <w:sz w:val="24"/>
          <w:szCs w:val="24"/>
        </w:rPr>
        <w:t xml:space="preserve">. </w:t>
      </w:r>
      <w:r w:rsidRPr="00307A53">
        <w:rPr>
          <w:sz w:val="24"/>
          <w:szCs w:val="24"/>
        </w:rPr>
        <w:t>The c</w:t>
      </w:r>
      <w:r w:rsidR="00F61A3F" w:rsidRPr="00307A53">
        <w:rPr>
          <w:sz w:val="24"/>
          <w:szCs w:val="24"/>
        </w:rPr>
        <w:t>odes will then be organised into broader themes, which will be reviewed</w:t>
      </w:r>
      <w:r w:rsidRPr="00307A53">
        <w:rPr>
          <w:sz w:val="24"/>
          <w:szCs w:val="24"/>
        </w:rPr>
        <w:t xml:space="preserve"> </w:t>
      </w:r>
      <w:r w:rsidR="00F61A3F" w:rsidRPr="00307A53">
        <w:rPr>
          <w:sz w:val="24"/>
          <w:szCs w:val="24"/>
        </w:rPr>
        <w:t>and defined in relation to the research questions</w:t>
      </w:r>
      <w:r w:rsidRPr="00307A53">
        <w:rPr>
          <w:sz w:val="24"/>
          <w:szCs w:val="24"/>
        </w:rPr>
        <w:t>, and interpreted through the lens of the Capability Approach (Sen, 1999), with a focus</w:t>
      </w:r>
      <w:r w:rsidR="00F61A3F" w:rsidRPr="00307A53">
        <w:rPr>
          <w:sz w:val="24"/>
          <w:szCs w:val="24"/>
        </w:rPr>
        <w:t xml:space="preserve"> on concepts such as access, opportunity, and constraint. </w:t>
      </w:r>
    </w:p>
    <w:p w14:paraId="415220E3" w14:textId="4782A506" w:rsidR="00543D36" w:rsidRDefault="004A2E83" w:rsidP="00307A53">
      <w:pPr>
        <w:spacing w:line="360" w:lineRule="auto"/>
        <w:jc w:val="both"/>
        <w:rPr>
          <w:sz w:val="24"/>
          <w:szCs w:val="24"/>
        </w:rPr>
      </w:pPr>
      <w:r w:rsidRPr="00307A53">
        <w:rPr>
          <w:sz w:val="24"/>
          <w:szCs w:val="24"/>
        </w:rPr>
        <w:t>Although thematic</w:t>
      </w:r>
      <w:r w:rsidR="00F61A3F" w:rsidRPr="00307A53">
        <w:rPr>
          <w:sz w:val="24"/>
          <w:szCs w:val="24"/>
        </w:rPr>
        <w:t xml:space="preserve"> analysis </w:t>
      </w:r>
      <w:r w:rsidRPr="00307A53">
        <w:rPr>
          <w:sz w:val="24"/>
          <w:szCs w:val="24"/>
        </w:rPr>
        <w:t>is recognised for its</w:t>
      </w:r>
      <w:r w:rsidR="00F61A3F" w:rsidRPr="00307A53">
        <w:rPr>
          <w:sz w:val="24"/>
          <w:szCs w:val="24"/>
        </w:rPr>
        <w:t xml:space="preserve"> flexibility and capacity to generate detailed insights across multiple data sources</w:t>
      </w:r>
      <w:r w:rsidRPr="00307A53">
        <w:rPr>
          <w:sz w:val="24"/>
          <w:szCs w:val="24"/>
        </w:rPr>
        <w:t xml:space="preserve"> (</w:t>
      </w:r>
      <w:r w:rsidR="00316801" w:rsidRPr="00307A53">
        <w:rPr>
          <w:sz w:val="24"/>
          <w:szCs w:val="24"/>
        </w:rPr>
        <w:t>Hofmann et al., 2024</w:t>
      </w:r>
      <w:r w:rsidRPr="00307A53">
        <w:rPr>
          <w:sz w:val="24"/>
          <w:szCs w:val="24"/>
        </w:rPr>
        <w:t>)</w:t>
      </w:r>
      <w:r w:rsidR="00F61A3F" w:rsidRPr="00307A53">
        <w:rPr>
          <w:sz w:val="24"/>
          <w:szCs w:val="24"/>
        </w:rPr>
        <w:t xml:space="preserve">, </w:t>
      </w:r>
      <w:r w:rsidRPr="00307A53">
        <w:rPr>
          <w:sz w:val="24"/>
          <w:szCs w:val="24"/>
        </w:rPr>
        <w:t xml:space="preserve">it </w:t>
      </w:r>
      <w:r w:rsidR="00F61A3F" w:rsidRPr="00307A53">
        <w:rPr>
          <w:sz w:val="24"/>
          <w:szCs w:val="24"/>
        </w:rPr>
        <w:t xml:space="preserve">has been criticised for its subjectivity, as themes are generated through researcher interpretation, which </w:t>
      </w:r>
      <w:r w:rsidR="00F97D75">
        <w:rPr>
          <w:sz w:val="24"/>
          <w:szCs w:val="24"/>
        </w:rPr>
        <w:t>could</w:t>
      </w:r>
      <w:r w:rsidR="00F61A3F" w:rsidRPr="00307A53">
        <w:rPr>
          <w:sz w:val="24"/>
          <w:szCs w:val="24"/>
        </w:rPr>
        <w:t xml:space="preserve"> affect reliability</w:t>
      </w:r>
      <w:r w:rsidRPr="00307A53">
        <w:rPr>
          <w:sz w:val="24"/>
          <w:szCs w:val="24"/>
        </w:rPr>
        <w:t xml:space="preserve"> (</w:t>
      </w:r>
      <w:r w:rsidR="00316801" w:rsidRPr="00307A53">
        <w:rPr>
          <w:sz w:val="24"/>
          <w:szCs w:val="24"/>
        </w:rPr>
        <w:t>Basit, 2010</w:t>
      </w:r>
      <w:r w:rsidRPr="00307A53">
        <w:rPr>
          <w:sz w:val="24"/>
          <w:szCs w:val="24"/>
        </w:rPr>
        <w:t>)</w:t>
      </w:r>
      <w:r w:rsidR="00F61A3F" w:rsidRPr="00307A53">
        <w:rPr>
          <w:sz w:val="24"/>
          <w:szCs w:val="24"/>
        </w:rPr>
        <w:t>. It is also time</w:t>
      </w:r>
      <w:r w:rsidR="0053413C">
        <w:rPr>
          <w:sz w:val="24"/>
          <w:szCs w:val="24"/>
        </w:rPr>
        <w:t xml:space="preserve"> consuming</w:t>
      </w:r>
      <w:r w:rsidR="00F61A3F" w:rsidRPr="00307A53">
        <w:rPr>
          <w:sz w:val="24"/>
          <w:szCs w:val="24"/>
        </w:rPr>
        <w:t>, particularly when working with large datasets</w:t>
      </w:r>
      <w:r w:rsidRPr="00307A53">
        <w:rPr>
          <w:sz w:val="24"/>
          <w:szCs w:val="24"/>
        </w:rPr>
        <w:t xml:space="preserve"> (</w:t>
      </w:r>
      <w:r w:rsidR="00316801" w:rsidRPr="00307A53">
        <w:rPr>
          <w:sz w:val="24"/>
          <w:szCs w:val="24"/>
        </w:rPr>
        <w:t>Cohen et al, 2018</w:t>
      </w:r>
      <w:r w:rsidRPr="00307A53">
        <w:rPr>
          <w:sz w:val="24"/>
          <w:szCs w:val="24"/>
        </w:rPr>
        <w:t>)</w:t>
      </w:r>
      <w:r w:rsidR="00F61A3F" w:rsidRPr="00307A53">
        <w:rPr>
          <w:sz w:val="24"/>
          <w:szCs w:val="24"/>
        </w:rPr>
        <w:t>.</w:t>
      </w:r>
      <w:r w:rsidR="00316801" w:rsidRPr="00307A53">
        <w:rPr>
          <w:sz w:val="24"/>
          <w:szCs w:val="24"/>
        </w:rPr>
        <w:t xml:space="preserve"> </w:t>
      </w:r>
      <w:r w:rsidR="00F44240" w:rsidRPr="00307A53">
        <w:rPr>
          <w:sz w:val="24"/>
          <w:szCs w:val="24"/>
        </w:rPr>
        <w:t xml:space="preserve">To </w:t>
      </w:r>
      <w:r w:rsidR="0053413C">
        <w:rPr>
          <w:sz w:val="24"/>
          <w:szCs w:val="24"/>
        </w:rPr>
        <w:t>address this</w:t>
      </w:r>
      <w:r w:rsidR="00F44240" w:rsidRPr="00307A53">
        <w:rPr>
          <w:sz w:val="24"/>
          <w:szCs w:val="24"/>
        </w:rPr>
        <w:t xml:space="preserve">, </w:t>
      </w:r>
      <w:r w:rsidR="00F61A3F" w:rsidRPr="00307A53">
        <w:rPr>
          <w:sz w:val="24"/>
          <w:szCs w:val="24"/>
        </w:rPr>
        <w:t xml:space="preserve">themes will be continuously reviewed against the original data to ensure consistency. </w:t>
      </w:r>
      <w:r w:rsidR="00F44240" w:rsidRPr="00307A53">
        <w:rPr>
          <w:sz w:val="24"/>
          <w:szCs w:val="24"/>
        </w:rPr>
        <w:t>Furthermore, r</w:t>
      </w:r>
      <w:r w:rsidR="00F61A3F" w:rsidRPr="00307A53">
        <w:rPr>
          <w:sz w:val="24"/>
          <w:szCs w:val="24"/>
        </w:rPr>
        <w:t xml:space="preserve">eflexivity will be maintained throughout the process to </w:t>
      </w:r>
      <w:r w:rsidR="0053413C">
        <w:rPr>
          <w:sz w:val="24"/>
          <w:szCs w:val="24"/>
        </w:rPr>
        <w:t>reflect upon</w:t>
      </w:r>
      <w:r w:rsidR="00F61A3F" w:rsidRPr="00307A53">
        <w:rPr>
          <w:sz w:val="24"/>
          <w:szCs w:val="24"/>
        </w:rPr>
        <w:t xml:space="preserve"> the researcher’s influence on interpretation</w:t>
      </w:r>
      <w:r w:rsidR="00F44240" w:rsidRPr="00307A53">
        <w:rPr>
          <w:sz w:val="24"/>
          <w:szCs w:val="24"/>
        </w:rPr>
        <w:t xml:space="preserve"> of the data</w:t>
      </w:r>
      <w:r w:rsidR="00F61A3F" w:rsidRPr="00307A53">
        <w:rPr>
          <w:sz w:val="24"/>
          <w:szCs w:val="24"/>
        </w:rPr>
        <w:t xml:space="preserve"> (Holmes, 2020). Additionally, manual cross-checking of coded data against transcripts will be undertaken to minimise error. NVivo software will be used to support </w:t>
      </w:r>
      <w:r w:rsidR="00F60726">
        <w:rPr>
          <w:sz w:val="24"/>
          <w:szCs w:val="24"/>
        </w:rPr>
        <w:t xml:space="preserve">the </w:t>
      </w:r>
      <w:proofErr w:type="gramStart"/>
      <w:r w:rsidR="00F60726">
        <w:rPr>
          <w:sz w:val="24"/>
          <w:szCs w:val="24"/>
        </w:rPr>
        <w:t>time-frame</w:t>
      </w:r>
      <w:proofErr w:type="gramEnd"/>
      <w:r w:rsidR="00F60726">
        <w:rPr>
          <w:sz w:val="24"/>
          <w:szCs w:val="24"/>
        </w:rPr>
        <w:t xml:space="preserve"> for </w:t>
      </w:r>
      <w:r w:rsidR="00F61A3F" w:rsidRPr="00307A53">
        <w:rPr>
          <w:sz w:val="24"/>
          <w:szCs w:val="24"/>
        </w:rPr>
        <w:t xml:space="preserve">data </w:t>
      </w:r>
      <w:r w:rsidR="00F44240" w:rsidRPr="00307A53">
        <w:rPr>
          <w:sz w:val="24"/>
          <w:szCs w:val="24"/>
        </w:rPr>
        <w:t>analysis.</w:t>
      </w:r>
      <w:r w:rsidR="00F61A3F" w:rsidRPr="00307A53">
        <w:rPr>
          <w:sz w:val="24"/>
          <w:szCs w:val="24"/>
        </w:rPr>
        <w:t xml:space="preserve"> </w:t>
      </w:r>
      <w:r w:rsidR="00F44240" w:rsidRPr="00307A53">
        <w:rPr>
          <w:sz w:val="24"/>
          <w:szCs w:val="24"/>
        </w:rPr>
        <w:t>H</w:t>
      </w:r>
      <w:r w:rsidR="00F61A3F" w:rsidRPr="00307A53">
        <w:rPr>
          <w:sz w:val="24"/>
          <w:szCs w:val="24"/>
        </w:rPr>
        <w:t xml:space="preserve">owever, it will </w:t>
      </w:r>
      <w:r w:rsidR="00F44240" w:rsidRPr="00307A53">
        <w:rPr>
          <w:sz w:val="24"/>
          <w:szCs w:val="24"/>
        </w:rPr>
        <w:t xml:space="preserve">be used as a supportive tool rather than a </w:t>
      </w:r>
      <w:r w:rsidR="00F61A3F" w:rsidRPr="00307A53">
        <w:rPr>
          <w:sz w:val="24"/>
          <w:szCs w:val="24"/>
        </w:rPr>
        <w:t xml:space="preserve">substitute for </w:t>
      </w:r>
      <w:r w:rsidR="00F44240" w:rsidRPr="00307A53">
        <w:rPr>
          <w:sz w:val="24"/>
          <w:szCs w:val="24"/>
        </w:rPr>
        <w:t>researcher-interpretation.</w:t>
      </w:r>
    </w:p>
    <w:p w14:paraId="1156D4F6" w14:textId="77777777" w:rsidR="00795182" w:rsidRDefault="00795182" w:rsidP="00307A53">
      <w:pPr>
        <w:spacing w:line="360" w:lineRule="auto"/>
        <w:jc w:val="both"/>
        <w:rPr>
          <w:sz w:val="24"/>
          <w:szCs w:val="24"/>
        </w:rPr>
      </w:pPr>
    </w:p>
    <w:p w14:paraId="3D611B92" w14:textId="77777777" w:rsidR="00795182" w:rsidRDefault="00795182" w:rsidP="00307A53">
      <w:pPr>
        <w:spacing w:line="360" w:lineRule="auto"/>
        <w:jc w:val="both"/>
        <w:rPr>
          <w:sz w:val="24"/>
          <w:szCs w:val="24"/>
        </w:rPr>
      </w:pPr>
    </w:p>
    <w:p w14:paraId="23286A59" w14:textId="77777777" w:rsidR="00795182" w:rsidRPr="001F10A4" w:rsidRDefault="00795182" w:rsidP="00307A53">
      <w:pPr>
        <w:spacing w:line="360" w:lineRule="auto"/>
        <w:jc w:val="both"/>
        <w:rPr>
          <w:sz w:val="24"/>
          <w:szCs w:val="24"/>
        </w:rPr>
      </w:pPr>
    </w:p>
    <w:p w14:paraId="29FAB20A" w14:textId="00681825" w:rsidR="00F61A3F" w:rsidRPr="00307A53" w:rsidRDefault="00307A53" w:rsidP="00307A53">
      <w:pPr>
        <w:spacing w:line="360" w:lineRule="auto"/>
        <w:jc w:val="both"/>
        <w:rPr>
          <w:b/>
          <w:bCs/>
          <w:sz w:val="28"/>
          <w:szCs w:val="28"/>
        </w:rPr>
      </w:pPr>
      <w:r w:rsidRPr="00307A53">
        <w:rPr>
          <w:b/>
          <w:bCs/>
          <w:sz w:val="28"/>
          <w:szCs w:val="28"/>
        </w:rPr>
        <w:lastRenderedPageBreak/>
        <w:t xml:space="preserve">4.2 </w:t>
      </w:r>
      <w:r w:rsidR="00F61A3F" w:rsidRPr="00307A53">
        <w:rPr>
          <w:b/>
          <w:bCs/>
          <w:sz w:val="28"/>
          <w:szCs w:val="28"/>
        </w:rPr>
        <w:t>Quantitative Data Analysis</w:t>
      </w:r>
      <w:r w:rsidR="00342ED5">
        <w:rPr>
          <w:b/>
          <w:bCs/>
          <w:sz w:val="28"/>
          <w:szCs w:val="28"/>
        </w:rPr>
        <w:t xml:space="preserve"> Methods</w:t>
      </w:r>
    </w:p>
    <w:p w14:paraId="78AA5E13" w14:textId="22E1B6A7" w:rsidR="00651781" w:rsidRDefault="007B4D2C" w:rsidP="00307A53">
      <w:pPr>
        <w:spacing w:line="360" w:lineRule="auto"/>
        <w:jc w:val="both"/>
        <w:rPr>
          <w:sz w:val="24"/>
          <w:szCs w:val="24"/>
        </w:rPr>
      </w:pPr>
      <w:r>
        <w:rPr>
          <w:sz w:val="24"/>
          <w:szCs w:val="24"/>
        </w:rPr>
        <w:t>A</w:t>
      </w:r>
      <w:r w:rsidR="00F61A3F" w:rsidRPr="00307A53">
        <w:rPr>
          <w:sz w:val="24"/>
          <w:szCs w:val="24"/>
        </w:rPr>
        <w:t xml:space="preserve">s a complementary component within a qualitatively dominant </w:t>
      </w:r>
      <w:r w:rsidR="00B0132B" w:rsidRPr="00307A53">
        <w:rPr>
          <w:sz w:val="24"/>
          <w:szCs w:val="24"/>
        </w:rPr>
        <w:t xml:space="preserve">mixed-methods </w:t>
      </w:r>
      <w:r w:rsidR="00F61A3F" w:rsidRPr="00307A53">
        <w:rPr>
          <w:sz w:val="24"/>
          <w:szCs w:val="24"/>
        </w:rPr>
        <w:t>design</w:t>
      </w:r>
      <w:r w:rsidR="00B0132B" w:rsidRPr="00307A53">
        <w:rPr>
          <w:sz w:val="24"/>
          <w:szCs w:val="24"/>
        </w:rPr>
        <w:t xml:space="preserve"> (Creswell, 2023)</w:t>
      </w:r>
      <w:r>
        <w:rPr>
          <w:sz w:val="24"/>
          <w:szCs w:val="24"/>
        </w:rPr>
        <w:t>, q</w:t>
      </w:r>
      <w:r w:rsidRPr="00307A53">
        <w:rPr>
          <w:sz w:val="24"/>
          <w:szCs w:val="24"/>
        </w:rPr>
        <w:t>uantitative data will be analysed using descriptive statistics</w:t>
      </w:r>
      <w:r>
        <w:rPr>
          <w:sz w:val="24"/>
          <w:szCs w:val="24"/>
        </w:rPr>
        <w:t xml:space="preserve">, which </w:t>
      </w:r>
      <w:r w:rsidR="00F61A3F" w:rsidRPr="00307A53">
        <w:rPr>
          <w:sz w:val="24"/>
          <w:szCs w:val="24"/>
        </w:rPr>
        <w:t>will summarise questionnaire responses through frequencies</w:t>
      </w:r>
      <w:r>
        <w:rPr>
          <w:sz w:val="24"/>
          <w:szCs w:val="24"/>
        </w:rPr>
        <w:t xml:space="preserve"> and </w:t>
      </w:r>
      <w:r w:rsidRPr="00307A53">
        <w:rPr>
          <w:sz w:val="24"/>
          <w:szCs w:val="24"/>
        </w:rPr>
        <w:t>percentages</w:t>
      </w:r>
      <w:r w:rsidR="00BF07F6" w:rsidRPr="00307A53">
        <w:rPr>
          <w:sz w:val="24"/>
          <w:szCs w:val="24"/>
        </w:rPr>
        <w:t>.</w:t>
      </w:r>
      <w:r w:rsidR="00F61A3F" w:rsidRPr="00307A53">
        <w:rPr>
          <w:sz w:val="24"/>
          <w:szCs w:val="24"/>
        </w:rPr>
        <w:t xml:space="preserve"> </w:t>
      </w:r>
      <w:r w:rsidR="00651781" w:rsidRPr="00651781">
        <w:rPr>
          <w:sz w:val="24"/>
          <w:szCs w:val="24"/>
        </w:rPr>
        <w:t>Likert-scale responses will be treated as ordinal data, focussing on distribution patterns rather than more complex statistical testing</w:t>
      </w:r>
      <w:r w:rsidR="00651781">
        <w:rPr>
          <w:sz w:val="24"/>
          <w:szCs w:val="24"/>
        </w:rPr>
        <w:t xml:space="preserve"> (J</w:t>
      </w:r>
      <w:r w:rsidR="00651781" w:rsidRPr="00651781">
        <w:rPr>
          <w:sz w:val="24"/>
          <w:szCs w:val="24"/>
        </w:rPr>
        <w:t>oshi, et al., 2015</w:t>
      </w:r>
      <w:r w:rsidR="00651781">
        <w:rPr>
          <w:sz w:val="24"/>
          <w:szCs w:val="24"/>
        </w:rPr>
        <w:t>)</w:t>
      </w:r>
      <w:r w:rsidR="00651781" w:rsidRPr="00651781">
        <w:rPr>
          <w:sz w:val="24"/>
          <w:szCs w:val="24"/>
        </w:rPr>
        <w:t xml:space="preserve">. </w:t>
      </w:r>
      <w:r>
        <w:rPr>
          <w:sz w:val="24"/>
          <w:szCs w:val="24"/>
        </w:rPr>
        <w:t xml:space="preserve">It is argued that </w:t>
      </w:r>
      <w:r w:rsidR="00651781">
        <w:rPr>
          <w:sz w:val="24"/>
          <w:szCs w:val="24"/>
        </w:rPr>
        <w:t>this</w:t>
      </w:r>
      <w:r>
        <w:rPr>
          <w:sz w:val="24"/>
          <w:szCs w:val="24"/>
        </w:rPr>
        <w:t xml:space="preserve"> </w:t>
      </w:r>
      <w:r w:rsidR="00651781">
        <w:rPr>
          <w:sz w:val="24"/>
          <w:szCs w:val="24"/>
        </w:rPr>
        <w:t>simple</w:t>
      </w:r>
      <w:r>
        <w:rPr>
          <w:sz w:val="24"/>
          <w:szCs w:val="24"/>
        </w:rPr>
        <w:t xml:space="preserve"> analytical</w:t>
      </w:r>
      <w:r w:rsidRPr="007B4D2C">
        <w:rPr>
          <w:sz w:val="24"/>
          <w:szCs w:val="24"/>
        </w:rPr>
        <w:t xml:space="preserve"> approach is appropriate for small-scale research, where the aim is to identify patterns across participants rather than establish causal relationships (Robson &amp; McCartan, 2016).</w:t>
      </w:r>
      <w:r>
        <w:rPr>
          <w:sz w:val="24"/>
          <w:szCs w:val="24"/>
        </w:rPr>
        <w:t xml:space="preserve"> </w:t>
      </w:r>
    </w:p>
    <w:p w14:paraId="5F927E72" w14:textId="3C5DC51F" w:rsidR="002C7F3B" w:rsidRPr="00307A53" w:rsidRDefault="00284A0F" w:rsidP="00307A53">
      <w:pPr>
        <w:spacing w:line="360" w:lineRule="auto"/>
        <w:jc w:val="both"/>
        <w:rPr>
          <w:sz w:val="24"/>
          <w:szCs w:val="24"/>
        </w:rPr>
      </w:pPr>
      <w:r w:rsidRPr="00307A53">
        <w:rPr>
          <w:sz w:val="24"/>
          <w:szCs w:val="24"/>
        </w:rPr>
        <w:t>One of the advantages of</w:t>
      </w:r>
      <w:r w:rsidR="00F61A3F" w:rsidRPr="00307A53">
        <w:rPr>
          <w:sz w:val="24"/>
          <w:szCs w:val="24"/>
        </w:rPr>
        <w:t xml:space="preserve"> descriptive statistics </w:t>
      </w:r>
      <w:r w:rsidRPr="00307A53">
        <w:rPr>
          <w:sz w:val="24"/>
          <w:szCs w:val="24"/>
        </w:rPr>
        <w:t xml:space="preserve">is </w:t>
      </w:r>
      <w:r w:rsidR="00FC697C">
        <w:rPr>
          <w:sz w:val="24"/>
          <w:szCs w:val="24"/>
        </w:rPr>
        <w:t xml:space="preserve">that </w:t>
      </w:r>
      <w:r w:rsidR="00F61A3F" w:rsidRPr="00307A53">
        <w:rPr>
          <w:sz w:val="24"/>
          <w:szCs w:val="24"/>
        </w:rPr>
        <w:t xml:space="preserve">data </w:t>
      </w:r>
      <w:r w:rsidRPr="00307A53">
        <w:rPr>
          <w:sz w:val="24"/>
          <w:szCs w:val="24"/>
        </w:rPr>
        <w:t>can be presented clearly</w:t>
      </w:r>
      <w:r w:rsidR="00F762F3">
        <w:rPr>
          <w:sz w:val="24"/>
          <w:szCs w:val="24"/>
        </w:rPr>
        <w:t>,</w:t>
      </w:r>
      <w:r w:rsidRPr="00307A53">
        <w:rPr>
          <w:sz w:val="24"/>
          <w:szCs w:val="24"/>
        </w:rPr>
        <w:t xml:space="preserve"> helping to</w:t>
      </w:r>
      <w:r w:rsidR="00F61A3F" w:rsidRPr="00307A53">
        <w:rPr>
          <w:sz w:val="24"/>
          <w:szCs w:val="24"/>
        </w:rPr>
        <w:t xml:space="preserve"> facilitate comparison across groups (e.g. by age or gender), providing </w:t>
      </w:r>
      <w:r w:rsidR="00651781">
        <w:rPr>
          <w:sz w:val="24"/>
          <w:szCs w:val="24"/>
        </w:rPr>
        <w:t>an</w:t>
      </w:r>
      <w:r w:rsidR="00F61A3F" w:rsidRPr="00307A53">
        <w:rPr>
          <w:sz w:val="24"/>
          <w:szCs w:val="24"/>
        </w:rPr>
        <w:t xml:space="preserve"> overview of trends that may not be evident from qualitative data alone</w:t>
      </w:r>
      <w:r w:rsidRPr="00307A53">
        <w:rPr>
          <w:sz w:val="24"/>
          <w:szCs w:val="24"/>
        </w:rPr>
        <w:t xml:space="preserve"> (Robson &amp; McCartan, 2016)</w:t>
      </w:r>
      <w:r w:rsidR="00F61A3F" w:rsidRPr="00307A53">
        <w:rPr>
          <w:sz w:val="24"/>
          <w:szCs w:val="24"/>
        </w:rPr>
        <w:t xml:space="preserve">. However, </w:t>
      </w:r>
      <w:r w:rsidRPr="00307A53">
        <w:rPr>
          <w:sz w:val="24"/>
          <w:szCs w:val="24"/>
        </w:rPr>
        <w:t xml:space="preserve">it is important to recognise that this approach is limited in its scope to explain </w:t>
      </w:r>
      <w:r w:rsidR="00F61A3F" w:rsidRPr="00307A53">
        <w:rPr>
          <w:sz w:val="24"/>
          <w:szCs w:val="24"/>
        </w:rPr>
        <w:t xml:space="preserve">underlying reasons behind </w:t>
      </w:r>
      <w:r w:rsidRPr="00307A53">
        <w:rPr>
          <w:sz w:val="24"/>
          <w:szCs w:val="24"/>
        </w:rPr>
        <w:t>responses,</w:t>
      </w:r>
      <w:r w:rsidR="00F61A3F" w:rsidRPr="00307A53">
        <w:rPr>
          <w:sz w:val="24"/>
          <w:szCs w:val="24"/>
        </w:rPr>
        <w:t xml:space="preserve"> or establish </w:t>
      </w:r>
      <w:r w:rsidR="00F762F3">
        <w:rPr>
          <w:sz w:val="24"/>
          <w:szCs w:val="24"/>
        </w:rPr>
        <w:t xml:space="preserve">any </w:t>
      </w:r>
      <w:r w:rsidR="00F61A3F" w:rsidRPr="00307A53">
        <w:rPr>
          <w:sz w:val="24"/>
          <w:szCs w:val="24"/>
        </w:rPr>
        <w:t>statistical significance</w:t>
      </w:r>
      <w:r w:rsidRPr="00307A53">
        <w:rPr>
          <w:sz w:val="24"/>
          <w:szCs w:val="24"/>
        </w:rPr>
        <w:t xml:space="preserve"> (Cohen et al., 2018)</w:t>
      </w:r>
      <w:r w:rsidR="00F61A3F" w:rsidRPr="00307A53">
        <w:rPr>
          <w:sz w:val="24"/>
          <w:szCs w:val="24"/>
        </w:rPr>
        <w:t xml:space="preserve">. </w:t>
      </w:r>
      <w:r w:rsidR="00651781">
        <w:rPr>
          <w:sz w:val="24"/>
          <w:szCs w:val="24"/>
        </w:rPr>
        <w:t xml:space="preserve">Furthermore, it is important to recognise that when analysing scaled responses, </w:t>
      </w:r>
      <w:r w:rsidR="00651781" w:rsidRPr="00651781">
        <w:rPr>
          <w:sz w:val="24"/>
          <w:szCs w:val="24"/>
        </w:rPr>
        <w:t xml:space="preserve">equal intervals between categories cannot be assumed (Muijs, 2011).  </w:t>
      </w:r>
      <w:r w:rsidR="00F61A3F" w:rsidRPr="00307A53">
        <w:rPr>
          <w:sz w:val="24"/>
          <w:szCs w:val="24"/>
        </w:rPr>
        <w:t xml:space="preserve">Additionally, </w:t>
      </w:r>
      <w:r w:rsidRPr="00307A53">
        <w:rPr>
          <w:sz w:val="24"/>
          <w:szCs w:val="24"/>
        </w:rPr>
        <w:t xml:space="preserve">as previously noted, it will be difficult to establish the extent to which responses have been influenced by </w:t>
      </w:r>
      <w:r w:rsidR="00F61A3F" w:rsidRPr="00307A53">
        <w:rPr>
          <w:sz w:val="24"/>
          <w:szCs w:val="24"/>
        </w:rPr>
        <w:t>misinterpretation or social desirability bias</w:t>
      </w:r>
      <w:r w:rsidRPr="00307A53">
        <w:rPr>
          <w:sz w:val="24"/>
          <w:szCs w:val="24"/>
        </w:rPr>
        <w:t xml:space="preserve"> (Robson &amp; McCartan, 2016)</w:t>
      </w:r>
      <w:r w:rsidR="00F61A3F" w:rsidRPr="00307A53">
        <w:rPr>
          <w:sz w:val="24"/>
          <w:szCs w:val="24"/>
        </w:rPr>
        <w:t>.</w:t>
      </w:r>
      <w:r w:rsidRPr="00307A53">
        <w:rPr>
          <w:sz w:val="24"/>
          <w:szCs w:val="24"/>
        </w:rPr>
        <w:t xml:space="preserve"> </w:t>
      </w:r>
      <w:r w:rsidR="00651781">
        <w:rPr>
          <w:sz w:val="24"/>
          <w:szCs w:val="24"/>
        </w:rPr>
        <w:t>However</w:t>
      </w:r>
      <w:r w:rsidRPr="00307A53">
        <w:rPr>
          <w:sz w:val="24"/>
          <w:szCs w:val="24"/>
        </w:rPr>
        <w:t xml:space="preserve">, </w:t>
      </w:r>
      <w:r w:rsidR="00F61A3F" w:rsidRPr="00307A53">
        <w:rPr>
          <w:sz w:val="24"/>
          <w:szCs w:val="24"/>
        </w:rPr>
        <w:t xml:space="preserve">this </w:t>
      </w:r>
      <w:r w:rsidR="00651781">
        <w:rPr>
          <w:sz w:val="24"/>
          <w:szCs w:val="24"/>
        </w:rPr>
        <w:t>analytical approach will</w:t>
      </w:r>
      <w:r w:rsidR="00F61A3F" w:rsidRPr="00307A53">
        <w:rPr>
          <w:sz w:val="24"/>
          <w:szCs w:val="24"/>
        </w:rPr>
        <w:t xml:space="preserve"> provide a practical means of generating quantitative </w:t>
      </w:r>
      <w:r w:rsidRPr="00307A53">
        <w:rPr>
          <w:sz w:val="24"/>
          <w:szCs w:val="24"/>
        </w:rPr>
        <w:t>data</w:t>
      </w:r>
      <w:r w:rsidR="00F61A3F" w:rsidRPr="00307A53">
        <w:rPr>
          <w:sz w:val="24"/>
          <w:szCs w:val="24"/>
        </w:rPr>
        <w:t xml:space="preserve"> to support and contextualise qualitative findings</w:t>
      </w:r>
      <w:r w:rsidRPr="00307A53">
        <w:rPr>
          <w:sz w:val="24"/>
          <w:szCs w:val="24"/>
        </w:rPr>
        <w:t xml:space="preserve"> (Joshi, et al., 2015)</w:t>
      </w:r>
      <w:r w:rsidR="00F61A3F" w:rsidRPr="00307A53">
        <w:rPr>
          <w:sz w:val="24"/>
          <w:szCs w:val="24"/>
        </w:rPr>
        <w:t>.</w:t>
      </w:r>
    </w:p>
    <w:p w14:paraId="1B71B994" w14:textId="43B2D25F" w:rsidR="00F61A3F" w:rsidRPr="00307A53" w:rsidRDefault="00307A53" w:rsidP="00307A53">
      <w:pPr>
        <w:spacing w:line="360" w:lineRule="auto"/>
        <w:jc w:val="both"/>
        <w:rPr>
          <w:b/>
          <w:bCs/>
          <w:sz w:val="28"/>
          <w:szCs w:val="28"/>
        </w:rPr>
      </w:pPr>
      <w:r w:rsidRPr="00307A53">
        <w:rPr>
          <w:b/>
          <w:bCs/>
          <w:sz w:val="28"/>
          <w:szCs w:val="28"/>
        </w:rPr>
        <w:t xml:space="preserve">4.3 </w:t>
      </w:r>
      <w:r w:rsidR="00F61A3F" w:rsidRPr="00307A53">
        <w:rPr>
          <w:b/>
          <w:bCs/>
          <w:sz w:val="28"/>
          <w:szCs w:val="28"/>
        </w:rPr>
        <w:t>Document Analysis</w:t>
      </w:r>
      <w:r w:rsidR="00342ED5">
        <w:rPr>
          <w:b/>
          <w:bCs/>
          <w:sz w:val="28"/>
          <w:szCs w:val="28"/>
        </w:rPr>
        <w:t xml:space="preserve"> Methods</w:t>
      </w:r>
    </w:p>
    <w:p w14:paraId="74E91A82" w14:textId="753312A8" w:rsidR="00F61A3F" w:rsidRPr="00307A53" w:rsidRDefault="00B10048" w:rsidP="00307A53">
      <w:pPr>
        <w:spacing w:line="360" w:lineRule="auto"/>
        <w:jc w:val="both"/>
        <w:rPr>
          <w:sz w:val="24"/>
          <w:szCs w:val="24"/>
        </w:rPr>
      </w:pPr>
      <w:r w:rsidRPr="00307A53">
        <w:rPr>
          <w:sz w:val="24"/>
          <w:szCs w:val="24"/>
        </w:rPr>
        <w:t xml:space="preserve">It is proposed that </w:t>
      </w:r>
      <w:r w:rsidR="009E176E">
        <w:rPr>
          <w:sz w:val="24"/>
          <w:szCs w:val="24"/>
        </w:rPr>
        <w:t xml:space="preserve">as </w:t>
      </w:r>
      <w:r w:rsidRPr="00307A53">
        <w:rPr>
          <w:sz w:val="24"/>
          <w:szCs w:val="24"/>
        </w:rPr>
        <w:t xml:space="preserve">document analysis involves </w:t>
      </w:r>
      <w:r w:rsidR="00F61A3F" w:rsidRPr="00307A53">
        <w:rPr>
          <w:sz w:val="24"/>
          <w:szCs w:val="24"/>
        </w:rPr>
        <w:t>the interpretation of secondary data</w:t>
      </w:r>
      <w:r w:rsidRPr="00307A53">
        <w:rPr>
          <w:sz w:val="24"/>
          <w:szCs w:val="24"/>
        </w:rPr>
        <w:t xml:space="preserve">, </w:t>
      </w:r>
      <w:r w:rsidR="009E176E">
        <w:rPr>
          <w:sz w:val="24"/>
          <w:szCs w:val="24"/>
        </w:rPr>
        <w:t>it</w:t>
      </w:r>
      <w:r w:rsidR="003315FE">
        <w:rPr>
          <w:sz w:val="24"/>
          <w:szCs w:val="24"/>
        </w:rPr>
        <w:t xml:space="preserve"> </w:t>
      </w:r>
      <w:r w:rsidR="00F61A3F" w:rsidRPr="00307A53">
        <w:rPr>
          <w:sz w:val="24"/>
          <w:szCs w:val="24"/>
        </w:rPr>
        <w:t xml:space="preserve">is inherently subjective, </w:t>
      </w:r>
      <w:r w:rsidR="009E176E">
        <w:rPr>
          <w:sz w:val="24"/>
          <w:szCs w:val="24"/>
        </w:rPr>
        <w:t>due to</w:t>
      </w:r>
      <w:r w:rsidR="00F61A3F" w:rsidRPr="00307A53">
        <w:rPr>
          <w:sz w:val="24"/>
          <w:szCs w:val="24"/>
        </w:rPr>
        <w:t xml:space="preserve"> the </w:t>
      </w:r>
      <w:r w:rsidR="003315FE">
        <w:rPr>
          <w:sz w:val="24"/>
          <w:szCs w:val="24"/>
        </w:rPr>
        <w:t xml:space="preserve">“meaning making” of the data not </w:t>
      </w:r>
      <w:r w:rsidR="009E176E">
        <w:rPr>
          <w:sz w:val="24"/>
          <w:szCs w:val="24"/>
        </w:rPr>
        <w:t xml:space="preserve">being </w:t>
      </w:r>
      <w:r w:rsidR="003315FE">
        <w:rPr>
          <w:sz w:val="24"/>
          <w:szCs w:val="24"/>
        </w:rPr>
        <w:t>at the</w:t>
      </w:r>
      <w:r w:rsidR="00F61A3F" w:rsidRPr="00307A53">
        <w:rPr>
          <w:sz w:val="24"/>
          <w:szCs w:val="24"/>
        </w:rPr>
        <w:t xml:space="preserve"> “</w:t>
      </w:r>
      <w:r w:rsidR="00F61A3F" w:rsidRPr="009E176E">
        <w:rPr>
          <w:i/>
          <w:iCs/>
          <w:sz w:val="24"/>
          <w:szCs w:val="24"/>
        </w:rPr>
        <w:t>first level</w:t>
      </w:r>
      <w:r w:rsidR="00F61A3F" w:rsidRPr="00307A53">
        <w:rPr>
          <w:sz w:val="24"/>
          <w:szCs w:val="24"/>
        </w:rPr>
        <w:t>” (Thomas, 2021, p254). In this study, content analysis will be applied</w:t>
      </w:r>
      <w:r w:rsidRPr="00307A53">
        <w:rPr>
          <w:sz w:val="24"/>
          <w:szCs w:val="24"/>
        </w:rPr>
        <w:t xml:space="preserve"> to relevant school documents</w:t>
      </w:r>
      <w:r w:rsidR="00F61A3F" w:rsidRPr="00307A53">
        <w:rPr>
          <w:sz w:val="24"/>
          <w:szCs w:val="24"/>
        </w:rPr>
        <w:t xml:space="preserve"> in two ways. First, a qualitative, thematic approach </w:t>
      </w:r>
      <w:r w:rsidRPr="00307A53">
        <w:rPr>
          <w:sz w:val="24"/>
          <w:szCs w:val="24"/>
        </w:rPr>
        <w:t xml:space="preserve">(Braun and Clarke, 2006) </w:t>
      </w:r>
      <w:r w:rsidR="00F61A3F" w:rsidRPr="00307A53">
        <w:rPr>
          <w:sz w:val="24"/>
          <w:szCs w:val="24"/>
        </w:rPr>
        <w:t xml:space="preserve">will be used to code and interpret how post-16 pathways are </w:t>
      </w:r>
      <w:r w:rsidR="009E176E">
        <w:rPr>
          <w:sz w:val="24"/>
          <w:szCs w:val="24"/>
        </w:rPr>
        <w:t>portrayed</w:t>
      </w:r>
      <w:r w:rsidR="00F61A3F" w:rsidRPr="00307A53">
        <w:rPr>
          <w:sz w:val="24"/>
          <w:szCs w:val="24"/>
        </w:rPr>
        <w:t xml:space="preserve">, with themes informed by </w:t>
      </w:r>
      <w:r w:rsidRPr="00307A53">
        <w:rPr>
          <w:sz w:val="24"/>
          <w:szCs w:val="24"/>
        </w:rPr>
        <w:t>the C</w:t>
      </w:r>
      <w:r w:rsidR="00F61A3F" w:rsidRPr="00307A53">
        <w:rPr>
          <w:sz w:val="24"/>
          <w:szCs w:val="24"/>
        </w:rPr>
        <w:t xml:space="preserve">apability </w:t>
      </w:r>
      <w:r w:rsidRPr="00307A53">
        <w:rPr>
          <w:sz w:val="24"/>
          <w:szCs w:val="24"/>
        </w:rPr>
        <w:t>Approach (Sen, 1999)</w:t>
      </w:r>
      <w:r w:rsidR="00F61A3F" w:rsidRPr="00307A53">
        <w:rPr>
          <w:sz w:val="24"/>
          <w:szCs w:val="24"/>
        </w:rPr>
        <w:t xml:space="preserve"> such as access, opportunity, and constraint. Second</w:t>
      </w:r>
      <w:r w:rsidRPr="00307A53">
        <w:rPr>
          <w:sz w:val="24"/>
          <w:szCs w:val="24"/>
        </w:rPr>
        <w:t>ly</w:t>
      </w:r>
      <w:r w:rsidR="00F61A3F" w:rsidRPr="00307A53">
        <w:rPr>
          <w:sz w:val="24"/>
          <w:szCs w:val="24"/>
        </w:rPr>
        <w:t xml:space="preserve">, quantitative analysis will consider the frequency and emphasis </w:t>
      </w:r>
      <w:r w:rsidR="00F61A3F" w:rsidRPr="00307A53">
        <w:rPr>
          <w:sz w:val="24"/>
          <w:szCs w:val="24"/>
        </w:rPr>
        <w:lastRenderedPageBreak/>
        <w:t xml:space="preserve">of particular themes (e.g. references to career guidance), </w:t>
      </w:r>
      <w:r w:rsidRPr="00307A53">
        <w:rPr>
          <w:sz w:val="24"/>
          <w:szCs w:val="24"/>
        </w:rPr>
        <w:t>to provide</w:t>
      </w:r>
      <w:r w:rsidR="00F61A3F" w:rsidRPr="00307A53">
        <w:rPr>
          <w:sz w:val="24"/>
          <w:szCs w:val="24"/>
        </w:rPr>
        <w:t xml:space="preserve"> an indication of institutional priorities.</w:t>
      </w:r>
    </w:p>
    <w:p w14:paraId="2DAAF2D3" w14:textId="1D39431D" w:rsidR="00F61A3F" w:rsidRPr="00307A53" w:rsidRDefault="00621094" w:rsidP="00307A53">
      <w:pPr>
        <w:spacing w:line="360" w:lineRule="auto"/>
        <w:jc w:val="both"/>
        <w:rPr>
          <w:sz w:val="24"/>
          <w:szCs w:val="24"/>
        </w:rPr>
      </w:pPr>
      <w:r w:rsidRPr="00307A53">
        <w:rPr>
          <w:sz w:val="24"/>
          <w:szCs w:val="24"/>
        </w:rPr>
        <w:t>Document</w:t>
      </w:r>
      <w:r w:rsidR="00F61A3F" w:rsidRPr="00307A53">
        <w:rPr>
          <w:sz w:val="24"/>
          <w:szCs w:val="24"/>
        </w:rPr>
        <w:t xml:space="preserve"> analysis </w:t>
      </w:r>
      <w:r w:rsidRPr="00307A53">
        <w:rPr>
          <w:sz w:val="24"/>
          <w:szCs w:val="24"/>
        </w:rPr>
        <w:t xml:space="preserve">is useful to the study, due to its </w:t>
      </w:r>
      <w:r w:rsidR="00F61A3F" w:rsidRPr="00307A53">
        <w:rPr>
          <w:sz w:val="24"/>
          <w:szCs w:val="24"/>
        </w:rPr>
        <w:t xml:space="preserve">ability to capture formal representations of provision, including both what is explicitly stated and what may be implicitly omitted (Cohen et al., 2018). However, </w:t>
      </w:r>
      <w:r w:rsidRPr="00307A53">
        <w:rPr>
          <w:sz w:val="24"/>
          <w:szCs w:val="24"/>
        </w:rPr>
        <w:t xml:space="preserve">as the documents will be subjectively interpreted, the process is open to researcher-bias (Holmes, 2020). </w:t>
      </w:r>
      <w:r w:rsidR="00F61A3F" w:rsidRPr="00307A53">
        <w:rPr>
          <w:sz w:val="24"/>
          <w:szCs w:val="24"/>
        </w:rPr>
        <w:t xml:space="preserve">To mitigate </w:t>
      </w:r>
      <w:r w:rsidRPr="00307A53">
        <w:rPr>
          <w:sz w:val="24"/>
          <w:szCs w:val="24"/>
        </w:rPr>
        <w:t xml:space="preserve">against </w:t>
      </w:r>
      <w:r w:rsidR="00F61A3F" w:rsidRPr="00307A53">
        <w:rPr>
          <w:sz w:val="24"/>
          <w:szCs w:val="24"/>
        </w:rPr>
        <w:t xml:space="preserve">this, data will be systematically cross-checked against original documents and, where appropriate, verified with </w:t>
      </w:r>
      <w:r w:rsidR="009E176E">
        <w:rPr>
          <w:sz w:val="24"/>
          <w:szCs w:val="24"/>
        </w:rPr>
        <w:t xml:space="preserve">relevant </w:t>
      </w:r>
      <w:r w:rsidR="00F61A3F" w:rsidRPr="00307A53">
        <w:rPr>
          <w:sz w:val="24"/>
          <w:szCs w:val="24"/>
        </w:rPr>
        <w:t xml:space="preserve">staff. When triangulated with other data sources, document analysis </w:t>
      </w:r>
      <w:r w:rsidRPr="00307A53">
        <w:rPr>
          <w:sz w:val="24"/>
          <w:szCs w:val="24"/>
        </w:rPr>
        <w:t xml:space="preserve">can </w:t>
      </w:r>
      <w:r w:rsidR="00F61A3F" w:rsidRPr="00307A53">
        <w:rPr>
          <w:sz w:val="24"/>
          <w:szCs w:val="24"/>
        </w:rPr>
        <w:t>provide contextual insight</w:t>
      </w:r>
      <w:r w:rsidRPr="00307A53">
        <w:rPr>
          <w:sz w:val="24"/>
          <w:szCs w:val="24"/>
        </w:rPr>
        <w:t xml:space="preserve"> into complex phenomenon</w:t>
      </w:r>
      <w:r w:rsidR="00B10048" w:rsidRPr="00307A53">
        <w:rPr>
          <w:sz w:val="24"/>
          <w:szCs w:val="24"/>
        </w:rPr>
        <w:t xml:space="preserve"> (Krippendorff, 2018)</w:t>
      </w:r>
      <w:r w:rsidR="00F61A3F" w:rsidRPr="00307A53">
        <w:rPr>
          <w:sz w:val="24"/>
          <w:szCs w:val="24"/>
        </w:rPr>
        <w:t>.</w:t>
      </w:r>
    </w:p>
    <w:p w14:paraId="40E01B13" w14:textId="5367422E" w:rsidR="002C7F3B" w:rsidRPr="00307A53" w:rsidRDefault="00307A53" w:rsidP="00307A53">
      <w:pPr>
        <w:spacing w:line="360" w:lineRule="auto"/>
        <w:jc w:val="both"/>
        <w:rPr>
          <w:b/>
          <w:bCs/>
          <w:sz w:val="28"/>
          <w:szCs w:val="28"/>
        </w:rPr>
      </w:pPr>
      <w:r w:rsidRPr="00307A53">
        <w:rPr>
          <w:b/>
          <w:bCs/>
          <w:sz w:val="28"/>
          <w:szCs w:val="28"/>
        </w:rPr>
        <w:t xml:space="preserve">4.4 </w:t>
      </w:r>
      <w:r w:rsidR="002C7F3B" w:rsidRPr="00307A53">
        <w:rPr>
          <w:b/>
          <w:bCs/>
          <w:sz w:val="28"/>
          <w:szCs w:val="28"/>
        </w:rPr>
        <w:t>Data Presentation Methods</w:t>
      </w:r>
    </w:p>
    <w:p w14:paraId="4FD959F3" w14:textId="1E7A1C14" w:rsidR="002C7F3B" w:rsidRDefault="002C7F3B" w:rsidP="00307A53">
      <w:pPr>
        <w:spacing w:line="360" w:lineRule="auto"/>
        <w:jc w:val="both"/>
        <w:rPr>
          <w:sz w:val="24"/>
          <w:szCs w:val="24"/>
        </w:rPr>
      </w:pPr>
      <w:r w:rsidRPr="00307A53">
        <w:rPr>
          <w:sz w:val="24"/>
          <w:szCs w:val="24"/>
        </w:rPr>
        <w:t xml:space="preserve">Qualitative findings will be reported narratively, using a thematic structure to present key patterns identified in the data. Extracts from interview transcripts and open-ended questionnaire responses will be included to illustrate themes and </w:t>
      </w:r>
      <w:r w:rsidR="00E603FE" w:rsidRPr="00307A53">
        <w:rPr>
          <w:sz w:val="24"/>
          <w:szCs w:val="24"/>
        </w:rPr>
        <w:t>recall</w:t>
      </w:r>
      <w:r w:rsidRPr="00307A53">
        <w:rPr>
          <w:sz w:val="24"/>
          <w:szCs w:val="24"/>
        </w:rPr>
        <w:t xml:space="preserve"> participants’ voices, enhancing transparency and credibility (Braun &amp; Clarke, 20</w:t>
      </w:r>
      <w:r w:rsidR="00F72E9F">
        <w:rPr>
          <w:sz w:val="24"/>
          <w:szCs w:val="24"/>
        </w:rPr>
        <w:t>21</w:t>
      </w:r>
      <w:r w:rsidRPr="00307A53">
        <w:rPr>
          <w:sz w:val="24"/>
          <w:szCs w:val="24"/>
        </w:rPr>
        <w:t xml:space="preserve">). </w:t>
      </w:r>
      <w:r w:rsidR="0089408A" w:rsidRPr="00307A53">
        <w:rPr>
          <w:sz w:val="24"/>
          <w:szCs w:val="24"/>
        </w:rPr>
        <w:t>Quantitative</w:t>
      </w:r>
      <w:r w:rsidRPr="00307A53">
        <w:rPr>
          <w:sz w:val="24"/>
          <w:szCs w:val="24"/>
        </w:rPr>
        <w:t xml:space="preserve"> data will be presented visually through simple graphical representations, such as bar charts and pie charts, to summarise patterns and facilitate comparison across participant groups</w:t>
      </w:r>
      <w:r w:rsidR="00F72E9F">
        <w:rPr>
          <w:sz w:val="24"/>
          <w:szCs w:val="24"/>
        </w:rPr>
        <w:t xml:space="preserve"> (</w:t>
      </w:r>
      <w:r w:rsidR="00F72E9F" w:rsidRPr="00F72E9F">
        <w:rPr>
          <w:sz w:val="24"/>
          <w:szCs w:val="24"/>
        </w:rPr>
        <w:t>Robson &amp; McCartan, 2016</w:t>
      </w:r>
      <w:r w:rsidR="00F72E9F">
        <w:rPr>
          <w:sz w:val="24"/>
          <w:szCs w:val="24"/>
        </w:rPr>
        <w:t>)</w:t>
      </w:r>
      <w:r w:rsidRPr="00307A53">
        <w:rPr>
          <w:sz w:val="24"/>
          <w:szCs w:val="24"/>
        </w:rPr>
        <w:t xml:space="preserve">. These visual displays </w:t>
      </w:r>
      <w:r w:rsidR="00D10683">
        <w:rPr>
          <w:sz w:val="24"/>
          <w:szCs w:val="24"/>
        </w:rPr>
        <w:t xml:space="preserve">will </w:t>
      </w:r>
      <w:r w:rsidRPr="00307A53">
        <w:rPr>
          <w:sz w:val="24"/>
          <w:szCs w:val="24"/>
        </w:rPr>
        <w:t xml:space="preserve">support clarity and accessibility, enabling </w:t>
      </w:r>
      <w:r w:rsidR="00F72E9F">
        <w:rPr>
          <w:sz w:val="24"/>
          <w:szCs w:val="24"/>
        </w:rPr>
        <w:t>patterns and trends</w:t>
      </w:r>
      <w:r w:rsidRPr="00307A53">
        <w:rPr>
          <w:sz w:val="24"/>
          <w:szCs w:val="24"/>
        </w:rPr>
        <w:t xml:space="preserve"> to be communicated effectively</w:t>
      </w:r>
      <w:r w:rsidR="00F72E9F">
        <w:rPr>
          <w:sz w:val="24"/>
          <w:szCs w:val="24"/>
        </w:rPr>
        <w:t xml:space="preserve"> to different audiences</w:t>
      </w:r>
      <w:r w:rsidRPr="00307A53">
        <w:rPr>
          <w:sz w:val="24"/>
          <w:szCs w:val="24"/>
        </w:rPr>
        <w:t xml:space="preserve"> (Cohen et al., 2018). </w:t>
      </w:r>
      <w:r w:rsidR="0089408A" w:rsidRPr="00307A53">
        <w:rPr>
          <w:sz w:val="24"/>
          <w:szCs w:val="24"/>
        </w:rPr>
        <w:t xml:space="preserve">These approaches will </w:t>
      </w:r>
      <w:r w:rsidRPr="00307A53">
        <w:rPr>
          <w:sz w:val="24"/>
          <w:szCs w:val="24"/>
        </w:rPr>
        <w:t xml:space="preserve">support </w:t>
      </w:r>
      <w:r w:rsidR="0089408A" w:rsidRPr="00307A53">
        <w:rPr>
          <w:sz w:val="24"/>
          <w:szCs w:val="24"/>
        </w:rPr>
        <w:t>a</w:t>
      </w:r>
      <w:r w:rsidRPr="00307A53">
        <w:rPr>
          <w:sz w:val="24"/>
          <w:szCs w:val="24"/>
        </w:rPr>
        <w:t xml:space="preserve"> coherent </w:t>
      </w:r>
      <w:r w:rsidR="00D10683">
        <w:rPr>
          <w:sz w:val="24"/>
          <w:szCs w:val="24"/>
        </w:rPr>
        <w:t xml:space="preserve">and authentic </w:t>
      </w:r>
      <w:r w:rsidRPr="00307A53">
        <w:rPr>
          <w:sz w:val="24"/>
          <w:szCs w:val="24"/>
        </w:rPr>
        <w:t>presentation of findings</w:t>
      </w:r>
      <w:r w:rsidR="0089408A" w:rsidRPr="00307A53">
        <w:rPr>
          <w:sz w:val="24"/>
          <w:szCs w:val="24"/>
        </w:rPr>
        <w:t xml:space="preserve"> (Robson &amp; McCartan, 2016)</w:t>
      </w:r>
      <w:r w:rsidRPr="00307A53">
        <w:rPr>
          <w:sz w:val="24"/>
          <w:szCs w:val="24"/>
        </w:rPr>
        <w:t>.</w:t>
      </w:r>
    </w:p>
    <w:p w14:paraId="1BF75D6B" w14:textId="77777777" w:rsidR="001F10A4" w:rsidRPr="001F10A4" w:rsidRDefault="001F10A4" w:rsidP="00307A53">
      <w:pPr>
        <w:spacing w:line="360" w:lineRule="auto"/>
        <w:jc w:val="both"/>
        <w:rPr>
          <w:sz w:val="24"/>
          <w:szCs w:val="24"/>
        </w:rPr>
      </w:pPr>
    </w:p>
    <w:p w14:paraId="55EC9B69" w14:textId="577FFE5A" w:rsidR="002C7F3B" w:rsidRPr="001F10A4" w:rsidRDefault="00307A53" w:rsidP="00307A53">
      <w:pPr>
        <w:spacing w:line="360" w:lineRule="auto"/>
        <w:jc w:val="both"/>
        <w:rPr>
          <w:b/>
          <w:bCs/>
          <w:sz w:val="32"/>
          <w:szCs w:val="32"/>
        </w:rPr>
      </w:pPr>
      <w:r w:rsidRPr="001F10A4">
        <w:rPr>
          <w:b/>
          <w:bCs/>
          <w:sz w:val="32"/>
          <w:szCs w:val="32"/>
        </w:rPr>
        <w:t xml:space="preserve">5.0 </w:t>
      </w:r>
      <w:r w:rsidR="002C7F3B" w:rsidRPr="001F10A4">
        <w:rPr>
          <w:b/>
          <w:bCs/>
          <w:sz w:val="32"/>
          <w:szCs w:val="32"/>
        </w:rPr>
        <w:t>Conclusion</w:t>
      </w:r>
    </w:p>
    <w:p w14:paraId="7CBC4B28" w14:textId="4D566B9E" w:rsidR="002C7F3B" w:rsidRPr="00307A53" w:rsidRDefault="002C7F3B" w:rsidP="00307A53">
      <w:pPr>
        <w:spacing w:line="360" w:lineRule="auto"/>
        <w:jc w:val="both"/>
        <w:rPr>
          <w:sz w:val="24"/>
          <w:szCs w:val="24"/>
        </w:rPr>
      </w:pPr>
      <w:r w:rsidRPr="00307A53">
        <w:rPr>
          <w:sz w:val="24"/>
          <w:szCs w:val="24"/>
        </w:rPr>
        <w:t xml:space="preserve">The methodological design of this study </w:t>
      </w:r>
      <w:r w:rsidR="00E61517" w:rsidRPr="00307A53">
        <w:rPr>
          <w:sz w:val="24"/>
          <w:szCs w:val="24"/>
        </w:rPr>
        <w:t xml:space="preserve">is not without its limitations. </w:t>
      </w:r>
      <w:r w:rsidRPr="00307A53">
        <w:rPr>
          <w:sz w:val="24"/>
          <w:szCs w:val="24"/>
        </w:rPr>
        <w:t xml:space="preserve"> In terms of reliability, the use of structured</w:t>
      </w:r>
      <w:r w:rsidR="00E216CE" w:rsidRPr="00307A53">
        <w:rPr>
          <w:sz w:val="24"/>
          <w:szCs w:val="24"/>
        </w:rPr>
        <w:t xml:space="preserve"> and semi-structured</w:t>
      </w:r>
      <w:r w:rsidRPr="00307A53">
        <w:rPr>
          <w:sz w:val="24"/>
          <w:szCs w:val="24"/>
        </w:rPr>
        <w:t xml:space="preserve"> tools such as questionnaires and interview schedules </w:t>
      </w:r>
      <w:r w:rsidR="00E216CE" w:rsidRPr="00307A53">
        <w:rPr>
          <w:sz w:val="24"/>
          <w:szCs w:val="24"/>
        </w:rPr>
        <w:t>will support</w:t>
      </w:r>
      <w:r w:rsidRPr="00307A53">
        <w:rPr>
          <w:sz w:val="24"/>
          <w:szCs w:val="24"/>
        </w:rPr>
        <w:t xml:space="preserve"> consistency in data collection</w:t>
      </w:r>
      <w:r w:rsidR="00364315">
        <w:rPr>
          <w:sz w:val="24"/>
          <w:szCs w:val="24"/>
        </w:rPr>
        <w:t xml:space="preserve"> (Cohen et al., 2018)</w:t>
      </w:r>
      <w:r w:rsidRPr="00307A53">
        <w:rPr>
          <w:sz w:val="24"/>
          <w:szCs w:val="24"/>
        </w:rPr>
        <w:t xml:space="preserve">, </w:t>
      </w:r>
      <w:r w:rsidR="00E216CE" w:rsidRPr="00307A53">
        <w:rPr>
          <w:sz w:val="24"/>
          <w:szCs w:val="24"/>
        </w:rPr>
        <w:t>with procedures such as</w:t>
      </w:r>
      <w:r w:rsidRPr="00307A53">
        <w:rPr>
          <w:sz w:val="24"/>
          <w:szCs w:val="24"/>
        </w:rPr>
        <w:t xml:space="preserve"> piloting and systematic coding </w:t>
      </w:r>
      <w:r w:rsidR="00E216CE" w:rsidRPr="00307A53">
        <w:rPr>
          <w:sz w:val="24"/>
          <w:szCs w:val="24"/>
        </w:rPr>
        <w:t>enhancing</w:t>
      </w:r>
      <w:r w:rsidRPr="00307A53">
        <w:rPr>
          <w:sz w:val="24"/>
          <w:szCs w:val="24"/>
        </w:rPr>
        <w:t xml:space="preserve"> </w:t>
      </w:r>
      <w:r w:rsidR="005F4BA0" w:rsidRPr="00307A53">
        <w:rPr>
          <w:sz w:val="24"/>
          <w:szCs w:val="24"/>
        </w:rPr>
        <w:t>reliability</w:t>
      </w:r>
      <w:r w:rsidR="00E61517" w:rsidRPr="00307A53">
        <w:rPr>
          <w:sz w:val="24"/>
          <w:szCs w:val="24"/>
        </w:rPr>
        <w:t xml:space="preserve"> (</w:t>
      </w:r>
      <w:r w:rsidR="00E216CE" w:rsidRPr="00307A53">
        <w:rPr>
          <w:sz w:val="24"/>
          <w:szCs w:val="24"/>
        </w:rPr>
        <w:t>Thomas, 2021</w:t>
      </w:r>
      <w:r w:rsidR="00E61517" w:rsidRPr="00307A53">
        <w:rPr>
          <w:sz w:val="24"/>
          <w:szCs w:val="24"/>
        </w:rPr>
        <w:t>)</w:t>
      </w:r>
      <w:r w:rsidRPr="00307A53">
        <w:rPr>
          <w:sz w:val="24"/>
          <w:szCs w:val="24"/>
        </w:rPr>
        <w:t xml:space="preserve">. </w:t>
      </w:r>
      <w:r w:rsidR="00E61517" w:rsidRPr="00307A53">
        <w:rPr>
          <w:sz w:val="24"/>
          <w:szCs w:val="24"/>
        </w:rPr>
        <w:t>However</w:t>
      </w:r>
      <w:r w:rsidRPr="00307A53">
        <w:rPr>
          <w:sz w:val="24"/>
          <w:szCs w:val="24"/>
        </w:rPr>
        <w:t>, qualitative elements</w:t>
      </w:r>
      <w:r w:rsidR="00E61517" w:rsidRPr="00307A53">
        <w:rPr>
          <w:sz w:val="24"/>
          <w:szCs w:val="24"/>
        </w:rPr>
        <w:t>, including interview and document analysis will be subjectively</w:t>
      </w:r>
      <w:r w:rsidRPr="00307A53">
        <w:rPr>
          <w:sz w:val="24"/>
          <w:szCs w:val="24"/>
        </w:rPr>
        <w:t xml:space="preserve"> interpre</w:t>
      </w:r>
      <w:r w:rsidR="00364315">
        <w:rPr>
          <w:sz w:val="24"/>
          <w:szCs w:val="24"/>
        </w:rPr>
        <w:t>ted</w:t>
      </w:r>
      <w:r w:rsidRPr="00307A53">
        <w:rPr>
          <w:sz w:val="24"/>
          <w:szCs w:val="24"/>
        </w:rPr>
        <w:t xml:space="preserve"> and therefore subject to researcher bias</w:t>
      </w:r>
      <w:r w:rsidR="00E61517" w:rsidRPr="00307A53">
        <w:rPr>
          <w:sz w:val="24"/>
          <w:szCs w:val="24"/>
        </w:rPr>
        <w:t xml:space="preserve"> (Holmes, 2020)</w:t>
      </w:r>
      <w:r w:rsidRPr="00307A53">
        <w:rPr>
          <w:sz w:val="24"/>
          <w:szCs w:val="24"/>
        </w:rPr>
        <w:t>.</w:t>
      </w:r>
      <w:r w:rsidR="008973E7" w:rsidRPr="00307A53">
        <w:rPr>
          <w:sz w:val="24"/>
          <w:szCs w:val="24"/>
        </w:rPr>
        <w:t xml:space="preserve"> </w:t>
      </w:r>
      <w:r w:rsidRPr="00307A53">
        <w:rPr>
          <w:sz w:val="24"/>
          <w:szCs w:val="24"/>
        </w:rPr>
        <w:t xml:space="preserve">Validity </w:t>
      </w:r>
      <w:r w:rsidR="00E216CE" w:rsidRPr="00307A53">
        <w:rPr>
          <w:sz w:val="24"/>
          <w:szCs w:val="24"/>
        </w:rPr>
        <w:lastRenderedPageBreak/>
        <w:t>will be</w:t>
      </w:r>
      <w:r w:rsidRPr="00307A53">
        <w:rPr>
          <w:sz w:val="24"/>
          <w:szCs w:val="24"/>
        </w:rPr>
        <w:t xml:space="preserve"> strengthened through triangulation</w:t>
      </w:r>
      <w:r w:rsidR="00E216CE" w:rsidRPr="00307A53">
        <w:rPr>
          <w:sz w:val="24"/>
          <w:szCs w:val="24"/>
        </w:rPr>
        <w:t xml:space="preserve"> (Cohen et al., 2018)</w:t>
      </w:r>
      <w:r w:rsidRPr="00307A53">
        <w:rPr>
          <w:sz w:val="24"/>
          <w:szCs w:val="24"/>
        </w:rPr>
        <w:t xml:space="preserve">, combining </w:t>
      </w:r>
      <w:r w:rsidR="00E216CE" w:rsidRPr="00307A53">
        <w:rPr>
          <w:sz w:val="24"/>
          <w:szCs w:val="24"/>
        </w:rPr>
        <w:t xml:space="preserve">data from </w:t>
      </w:r>
      <w:r w:rsidRPr="00307A53">
        <w:rPr>
          <w:sz w:val="24"/>
          <w:szCs w:val="24"/>
        </w:rPr>
        <w:t xml:space="preserve">interviews, questionnaires, and document analysis to </w:t>
      </w:r>
      <w:r w:rsidR="00E216CE" w:rsidRPr="00307A53">
        <w:rPr>
          <w:sz w:val="24"/>
          <w:szCs w:val="24"/>
        </w:rPr>
        <w:t>gain</w:t>
      </w:r>
      <w:r w:rsidRPr="00307A53">
        <w:rPr>
          <w:sz w:val="24"/>
          <w:szCs w:val="24"/>
        </w:rPr>
        <w:t xml:space="preserve"> a comprehensive understanding of how </w:t>
      </w:r>
      <w:r w:rsidR="00364315">
        <w:rPr>
          <w:sz w:val="24"/>
          <w:szCs w:val="24"/>
        </w:rPr>
        <w:t xml:space="preserve">post-16 </w:t>
      </w:r>
      <w:r w:rsidRPr="00307A53">
        <w:rPr>
          <w:sz w:val="24"/>
          <w:szCs w:val="24"/>
        </w:rPr>
        <w:t xml:space="preserve">opportunities are </w:t>
      </w:r>
      <w:r w:rsidR="001C0718">
        <w:rPr>
          <w:sz w:val="24"/>
          <w:szCs w:val="24"/>
        </w:rPr>
        <w:t>interpreted and</w:t>
      </w:r>
      <w:r w:rsidRPr="00307A53">
        <w:rPr>
          <w:sz w:val="24"/>
          <w:szCs w:val="24"/>
        </w:rPr>
        <w:t xml:space="preserve"> experienced</w:t>
      </w:r>
      <w:r w:rsidR="001C0718">
        <w:rPr>
          <w:sz w:val="24"/>
          <w:szCs w:val="24"/>
        </w:rPr>
        <w:t xml:space="preserve"> at school-level</w:t>
      </w:r>
      <w:r w:rsidRPr="00307A53">
        <w:rPr>
          <w:sz w:val="24"/>
          <w:szCs w:val="24"/>
        </w:rPr>
        <w:t xml:space="preserve">. </w:t>
      </w:r>
    </w:p>
    <w:p w14:paraId="5E9C2E72" w14:textId="7B97FFDC" w:rsidR="002C7F3B" w:rsidRPr="00307A53" w:rsidRDefault="00323472" w:rsidP="00307A53">
      <w:pPr>
        <w:spacing w:line="360" w:lineRule="auto"/>
        <w:jc w:val="both"/>
        <w:rPr>
          <w:sz w:val="24"/>
          <w:szCs w:val="24"/>
        </w:rPr>
      </w:pPr>
      <w:r w:rsidRPr="00307A53">
        <w:rPr>
          <w:sz w:val="24"/>
          <w:szCs w:val="24"/>
        </w:rPr>
        <w:t xml:space="preserve">As a small-scale, exploratory case study, generalisation will be limited (Thomas, 2021).  However, while the findings may not be statistically </w:t>
      </w:r>
      <w:r w:rsidR="002C7F3B" w:rsidRPr="00307A53">
        <w:rPr>
          <w:sz w:val="24"/>
          <w:szCs w:val="24"/>
        </w:rPr>
        <w:t xml:space="preserve">generalisable, the study </w:t>
      </w:r>
      <w:r w:rsidRPr="00307A53">
        <w:rPr>
          <w:sz w:val="24"/>
          <w:szCs w:val="24"/>
        </w:rPr>
        <w:t xml:space="preserve">could provide analytical generalisability (Yin, 2018), </w:t>
      </w:r>
      <w:r w:rsidR="001C0718">
        <w:rPr>
          <w:sz w:val="24"/>
          <w:szCs w:val="24"/>
        </w:rPr>
        <w:t xml:space="preserve">as it could </w:t>
      </w:r>
      <w:r w:rsidR="00364315">
        <w:rPr>
          <w:sz w:val="24"/>
          <w:szCs w:val="24"/>
        </w:rPr>
        <w:t>produce</w:t>
      </w:r>
      <w:r w:rsidR="001C0718">
        <w:rPr>
          <w:sz w:val="24"/>
          <w:szCs w:val="24"/>
        </w:rPr>
        <w:t xml:space="preserve"> </w:t>
      </w:r>
      <w:r w:rsidRPr="00307A53">
        <w:rPr>
          <w:sz w:val="24"/>
          <w:szCs w:val="24"/>
        </w:rPr>
        <w:t>insights into</w:t>
      </w:r>
      <w:r w:rsidR="00282AD0" w:rsidRPr="00307A53">
        <w:rPr>
          <w:sz w:val="24"/>
          <w:szCs w:val="24"/>
        </w:rPr>
        <w:t xml:space="preserve"> </w:t>
      </w:r>
      <w:r w:rsidR="001C0718">
        <w:rPr>
          <w:sz w:val="24"/>
          <w:szCs w:val="24"/>
        </w:rPr>
        <w:t xml:space="preserve">post-16 progression </w:t>
      </w:r>
      <w:r w:rsidR="00364315">
        <w:rPr>
          <w:sz w:val="24"/>
          <w:szCs w:val="24"/>
        </w:rPr>
        <w:t>that relate to</w:t>
      </w:r>
      <w:r w:rsidR="00282AD0" w:rsidRPr="00307A53">
        <w:rPr>
          <w:sz w:val="24"/>
          <w:szCs w:val="24"/>
        </w:rPr>
        <w:t xml:space="preserve"> similar educational contexts.</w:t>
      </w:r>
      <w:r w:rsidRPr="00307A53">
        <w:rPr>
          <w:sz w:val="24"/>
          <w:szCs w:val="24"/>
        </w:rPr>
        <w:t xml:space="preserve"> </w:t>
      </w:r>
      <w:r w:rsidR="002C7F3B" w:rsidRPr="00307A53">
        <w:rPr>
          <w:sz w:val="24"/>
          <w:szCs w:val="24"/>
        </w:rPr>
        <w:t xml:space="preserve">Overall, the study </w:t>
      </w:r>
      <w:r w:rsidR="00282AD0" w:rsidRPr="00307A53">
        <w:rPr>
          <w:sz w:val="24"/>
          <w:szCs w:val="24"/>
        </w:rPr>
        <w:t xml:space="preserve">focusses on providing </w:t>
      </w:r>
      <w:r w:rsidR="002C7F3B" w:rsidRPr="00307A53">
        <w:rPr>
          <w:sz w:val="24"/>
          <w:szCs w:val="24"/>
        </w:rPr>
        <w:t>dept</w:t>
      </w:r>
      <w:r w:rsidR="00282AD0" w:rsidRPr="00307A53">
        <w:rPr>
          <w:sz w:val="24"/>
          <w:szCs w:val="24"/>
        </w:rPr>
        <w:t xml:space="preserve">h and </w:t>
      </w:r>
      <w:r w:rsidR="002C7F3B" w:rsidRPr="00307A53">
        <w:rPr>
          <w:sz w:val="24"/>
          <w:szCs w:val="24"/>
        </w:rPr>
        <w:t xml:space="preserve">contextual understanding, </w:t>
      </w:r>
      <w:r w:rsidR="00282AD0" w:rsidRPr="00307A53">
        <w:rPr>
          <w:sz w:val="24"/>
          <w:szCs w:val="24"/>
        </w:rPr>
        <w:t>rather than</w:t>
      </w:r>
      <w:r w:rsidR="002C7F3B" w:rsidRPr="00307A53">
        <w:rPr>
          <w:sz w:val="24"/>
          <w:szCs w:val="24"/>
        </w:rPr>
        <w:t xml:space="preserve"> broad</w:t>
      </w:r>
      <w:r w:rsidR="00282AD0" w:rsidRPr="00307A53">
        <w:rPr>
          <w:sz w:val="24"/>
          <w:szCs w:val="24"/>
        </w:rPr>
        <w:t>er</w:t>
      </w:r>
      <w:r w:rsidR="002C7F3B" w:rsidRPr="00307A53">
        <w:rPr>
          <w:sz w:val="24"/>
          <w:szCs w:val="24"/>
        </w:rPr>
        <w:t xml:space="preserve"> generalisation</w:t>
      </w:r>
      <w:r w:rsidR="005F4BA0">
        <w:rPr>
          <w:sz w:val="24"/>
          <w:szCs w:val="24"/>
        </w:rPr>
        <w:t xml:space="preserve"> (Yin, 2018)</w:t>
      </w:r>
      <w:r w:rsidR="002C7F3B" w:rsidRPr="00307A53">
        <w:rPr>
          <w:sz w:val="24"/>
          <w:szCs w:val="24"/>
        </w:rPr>
        <w:t xml:space="preserve">, which </w:t>
      </w:r>
      <w:r w:rsidR="00282AD0" w:rsidRPr="00307A53">
        <w:rPr>
          <w:sz w:val="24"/>
          <w:szCs w:val="24"/>
        </w:rPr>
        <w:t>aligns with</w:t>
      </w:r>
      <w:r w:rsidR="002C7F3B" w:rsidRPr="00307A53">
        <w:rPr>
          <w:sz w:val="24"/>
          <w:szCs w:val="24"/>
        </w:rPr>
        <w:t xml:space="preserve"> its interpretivist</w:t>
      </w:r>
      <w:r w:rsidR="00282AD0" w:rsidRPr="00307A53">
        <w:rPr>
          <w:sz w:val="24"/>
          <w:szCs w:val="24"/>
        </w:rPr>
        <w:t xml:space="preserve"> philosophical position</w:t>
      </w:r>
      <w:r w:rsidR="001C0718">
        <w:rPr>
          <w:sz w:val="24"/>
          <w:szCs w:val="24"/>
        </w:rPr>
        <w:t xml:space="preserve"> (Creswell, 2023)</w:t>
      </w:r>
      <w:r w:rsidR="00282AD0" w:rsidRPr="00307A53">
        <w:rPr>
          <w:sz w:val="24"/>
          <w:szCs w:val="24"/>
        </w:rPr>
        <w:t>.</w:t>
      </w:r>
    </w:p>
    <w:p w14:paraId="4F1E7152" w14:textId="29633005" w:rsidR="002040C6" w:rsidRDefault="002040C6">
      <w:pPr>
        <w:rPr>
          <w:color w:val="EE0000"/>
        </w:rPr>
      </w:pPr>
      <w:r>
        <w:rPr>
          <w:color w:val="EE0000"/>
        </w:rPr>
        <w:br w:type="page"/>
      </w:r>
    </w:p>
    <w:p w14:paraId="5D35F8F2" w14:textId="2DBD6197" w:rsidR="002C7F3B" w:rsidRDefault="002040C6" w:rsidP="00307A53">
      <w:pPr>
        <w:spacing w:line="360" w:lineRule="auto"/>
        <w:jc w:val="both"/>
        <w:rPr>
          <w:b/>
          <w:bCs/>
          <w:sz w:val="24"/>
          <w:szCs w:val="24"/>
        </w:rPr>
      </w:pPr>
      <w:r w:rsidRPr="002040C6">
        <w:rPr>
          <w:b/>
          <w:bCs/>
          <w:sz w:val="24"/>
          <w:szCs w:val="24"/>
        </w:rPr>
        <w:lastRenderedPageBreak/>
        <w:t>References</w:t>
      </w:r>
    </w:p>
    <w:p w14:paraId="0FF1D92B" w14:textId="77777777" w:rsidR="002040C6" w:rsidRPr="002040C6" w:rsidRDefault="002040C6" w:rsidP="002040C6">
      <w:pPr>
        <w:spacing w:line="360" w:lineRule="auto"/>
        <w:jc w:val="both"/>
      </w:pPr>
      <w:r w:rsidRPr="002040C6">
        <w:t>Archer, L., DeWitt, J., Godec, S., Henderson, M., Holmegaard, H., Liu, Q., Macleod, E., Mendick, H., Moote, J. and Watson, E., 2023. ASPIRES3 Main Report: Young People's STEM Trajectories, Age 10-22.</w:t>
      </w:r>
    </w:p>
    <w:p w14:paraId="4C24FDC5" w14:textId="77777777" w:rsidR="002040C6" w:rsidRPr="002040C6" w:rsidRDefault="002040C6" w:rsidP="002040C6">
      <w:pPr>
        <w:spacing w:line="360" w:lineRule="auto"/>
        <w:jc w:val="both"/>
      </w:pPr>
      <w:r w:rsidRPr="002040C6">
        <w:t>Basit, T.N., 2010. Conducting research in educational contexts. Bloomsbury Publishing.</w:t>
      </w:r>
    </w:p>
    <w:p w14:paraId="42283C6B" w14:textId="77777777" w:rsidR="002040C6" w:rsidRPr="002040C6" w:rsidRDefault="002040C6" w:rsidP="002040C6">
      <w:pPr>
        <w:spacing w:line="360" w:lineRule="auto"/>
        <w:jc w:val="both"/>
      </w:pPr>
      <w:r w:rsidRPr="002040C6">
        <w:t xml:space="preserve">Biesta, G., 2010. Pragmatism and the philosophical foundations of mixed methods research. In: A. </w:t>
      </w:r>
      <w:proofErr w:type="spellStart"/>
      <w:r w:rsidRPr="002040C6">
        <w:t>Tashakkori</w:t>
      </w:r>
      <w:proofErr w:type="spellEnd"/>
      <w:r w:rsidRPr="002040C6">
        <w:t xml:space="preserve"> and C. Teddlie, eds. SAGE Handbook of Mixed Methods in Social &amp; </w:t>
      </w:r>
      <w:proofErr w:type="spellStart"/>
      <w:r w:rsidRPr="002040C6">
        <w:t>Behavioral</w:t>
      </w:r>
      <w:proofErr w:type="spellEnd"/>
      <w:r w:rsidRPr="002040C6">
        <w:t xml:space="preserve"> Research. 2nd ed. Thousand Oaks, CA: Sage, pp.95–118.</w:t>
      </w:r>
    </w:p>
    <w:p w14:paraId="1CA2A426" w14:textId="6B8441AB" w:rsidR="002040C6" w:rsidRPr="002040C6" w:rsidRDefault="002040C6" w:rsidP="002040C6">
      <w:pPr>
        <w:spacing w:line="360" w:lineRule="auto"/>
        <w:jc w:val="both"/>
      </w:pPr>
      <w:r w:rsidRPr="002040C6">
        <w:t xml:space="preserve">Braun, V. and Clarke, V., 2021. One size </w:t>
      </w:r>
      <w:proofErr w:type="gramStart"/>
      <w:r w:rsidRPr="002040C6">
        <w:t>fits</w:t>
      </w:r>
      <w:proofErr w:type="gramEnd"/>
      <w:r w:rsidRPr="002040C6">
        <w:t xml:space="preserve"> all? What counts as quality practice in (reflexive) thematic analysis? Qualitative research in psychology, 18(3), pp.328-352.</w:t>
      </w:r>
    </w:p>
    <w:p w14:paraId="26800007" w14:textId="77777777" w:rsidR="002040C6" w:rsidRPr="002040C6" w:rsidRDefault="002040C6" w:rsidP="002040C6">
      <w:pPr>
        <w:spacing w:line="360" w:lineRule="auto"/>
        <w:jc w:val="both"/>
      </w:pPr>
      <w:r w:rsidRPr="002040C6">
        <w:t>Brinkmann, S. and Kvale, S., 2018. Doing interviews.</w:t>
      </w:r>
    </w:p>
    <w:p w14:paraId="178DC531" w14:textId="77777777" w:rsidR="002040C6" w:rsidRPr="002040C6" w:rsidRDefault="002040C6" w:rsidP="002040C6">
      <w:pPr>
        <w:spacing w:line="360" w:lineRule="auto"/>
        <w:jc w:val="both"/>
      </w:pPr>
      <w:r w:rsidRPr="002040C6">
        <w:t>Clarke, V. and Braun, V., 2021. Thematic analysis. The journal of positive psychology, 12(3), pp.297-298.</w:t>
      </w:r>
    </w:p>
    <w:p w14:paraId="34D2A891" w14:textId="77777777" w:rsidR="002040C6" w:rsidRPr="002040C6" w:rsidRDefault="002040C6" w:rsidP="002040C6">
      <w:pPr>
        <w:spacing w:line="360" w:lineRule="auto"/>
        <w:jc w:val="both"/>
      </w:pPr>
      <w:r w:rsidRPr="002040C6">
        <w:t>Cohen, L., Manion, L. and Morrison, K., 2018. Research methods in education. 8th ed. London: Routledge.</w:t>
      </w:r>
    </w:p>
    <w:p w14:paraId="10998C42" w14:textId="77777777" w:rsidR="002040C6" w:rsidRPr="002040C6" w:rsidRDefault="002040C6" w:rsidP="002040C6">
      <w:pPr>
        <w:spacing w:line="360" w:lineRule="auto"/>
        <w:jc w:val="both"/>
      </w:pPr>
      <w:r w:rsidRPr="002040C6">
        <w:t>Creswell, J.W. and Plano Clark, V.L., 2018. Designing and conducting mixed methods research. 3rd ed. Thousand Oaks, CA: Sage.</w:t>
      </w:r>
    </w:p>
    <w:p w14:paraId="6DA681B0" w14:textId="77777777" w:rsidR="002040C6" w:rsidRPr="002040C6" w:rsidRDefault="002040C6" w:rsidP="002040C6">
      <w:pPr>
        <w:spacing w:line="360" w:lineRule="auto"/>
        <w:jc w:val="both"/>
      </w:pPr>
      <w:r w:rsidRPr="002040C6">
        <w:t xml:space="preserve">Creswell, J.W. and Creswell, J.D., 2023. Research design: Qualitative, quantitative, and mixed methods </w:t>
      </w:r>
      <w:proofErr w:type="gramStart"/>
      <w:r w:rsidRPr="002040C6">
        <w:t>approaches</w:t>
      </w:r>
      <w:proofErr w:type="gramEnd"/>
      <w:r w:rsidRPr="002040C6">
        <w:t>. Sage publications.</w:t>
      </w:r>
    </w:p>
    <w:p w14:paraId="27CA223E" w14:textId="77777777" w:rsidR="002040C6" w:rsidRPr="002040C6" w:rsidRDefault="002040C6" w:rsidP="002040C6">
      <w:pPr>
        <w:spacing w:line="360" w:lineRule="auto"/>
        <w:jc w:val="both"/>
      </w:pPr>
      <w:r w:rsidRPr="002040C6">
        <w:t>Denscombe, M., 2021. The good research guide: Research methods for small-scale social research projects. McGraw-Hill Education (UK).</w:t>
      </w:r>
    </w:p>
    <w:p w14:paraId="10906E2E" w14:textId="77777777" w:rsidR="002040C6" w:rsidRPr="002040C6" w:rsidRDefault="002040C6" w:rsidP="002040C6">
      <w:pPr>
        <w:spacing w:line="360" w:lineRule="auto"/>
        <w:jc w:val="both"/>
      </w:pPr>
      <w:r w:rsidRPr="002040C6">
        <w:t>Denzin N.K. and Y.S. Lincoln (2005), eds. Handbook of Qualitative Research. Thousand Oaks, CA: Sage, pp.118–137.</w:t>
      </w:r>
    </w:p>
    <w:p w14:paraId="0FDFA365" w14:textId="77777777" w:rsidR="002040C6" w:rsidRPr="002040C6" w:rsidRDefault="002040C6" w:rsidP="002040C6">
      <w:pPr>
        <w:spacing w:line="360" w:lineRule="auto"/>
        <w:jc w:val="both"/>
      </w:pPr>
      <w:r w:rsidRPr="002040C6">
        <w:t xml:space="preserve">Estyn (2025) Report on Routes into Post-16 education and training Available at: </w:t>
      </w:r>
      <w:hyperlink r:id="rId7" w:history="1">
        <w:r w:rsidRPr="002040C6">
          <w:rPr>
            <w:rStyle w:val="Hyperlink"/>
            <w:color w:val="auto"/>
          </w:rPr>
          <w:t>https://estyn.gov.wales/app/uploads/2025/02/Routes-into-post-16-education-and-training.pdf</w:t>
        </w:r>
      </w:hyperlink>
      <w:r w:rsidRPr="002040C6">
        <w:t xml:space="preserve">  (Accessed 23</w:t>
      </w:r>
      <w:r w:rsidRPr="002040C6">
        <w:rPr>
          <w:vertAlign w:val="superscript"/>
        </w:rPr>
        <w:t>rd</w:t>
      </w:r>
      <w:r w:rsidRPr="002040C6">
        <w:t xml:space="preserve"> March 2026)</w:t>
      </w:r>
    </w:p>
    <w:p w14:paraId="118C1483" w14:textId="77777777" w:rsidR="002040C6" w:rsidRPr="002040C6" w:rsidRDefault="002040C6" w:rsidP="002040C6">
      <w:pPr>
        <w:spacing w:line="360" w:lineRule="auto"/>
        <w:jc w:val="both"/>
      </w:pPr>
      <w:r w:rsidRPr="002040C6">
        <w:t>Forman, J. and Damschroder, L., 2007. Qualitative content analysis.</w:t>
      </w:r>
    </w:p>
    <w:p w14:paraId="45FBAF9E" w14:textId="77777777" w:rsidR="002040C6" w:rsidRPr="002040C6" w:rsidRDefault="002040C6" w:rsidP="002040C6">
      <w:pPr>
        <w:spacing w:line="360" w:lineRule="auto"/>
        <w:jc w:val="both"/>
      </w:pPr>
      <w:r w:rsidRPr="002040C6">
        <w:t>Hart, C.S. (2019) ‘Education, inequality and social justice: A critical analysis applying the Sen–Bourdieu analytical framework’, Policy Futures in Education, 17(5), pp. 582–598.</w:t>
      </w:r>
    </w:p>
    <w:p w14:paraId="638D2BEB" w14:textId="77777777" w:rsidR="002040C6" w:rsidRPr="002040C6" w:rsidRDefault="002040C6" w:rsidP="002040C6">
      <w:pPr>
        <w:spacing w:line="360" w:lineRule="auto"/>
        <w:jc w:val="both"/>
      </w:pPr>
      <w:r w:rsidRPr="002040C6">
        <w:lastRenderedPageBreak/>
        <w:t>Harwell, M.R., 2011. Research design in qualitative/quantitative/mixed methods. The Sage handbook for research in education: Pursuing ideas as the keystone of exemplary inquiry, 2, pp.147-164.</w:t>
      </w:r>
    </w:p>
    <w:p w14:paraId="39DAC950" w14:textId="77777777" w:rsidR="002040C6" w:rsidRPr="002040C6" w:rsidRDefault="002040C6" w:rsidP="002040C6">
      <w:pPr>
        <w:spacing w:line="360" w:lineRule="auto"/>
        <w:jc w:val="both"/>
      </w:pPr>
      <w:r w:rsidRPr="002040C6">
        <w:t>Hitchcock, G. and Hughes, D., 1995. Research and the teacher: A qualitative introduction to school-based research. London: Routledge.</w:t>
      </w:r>
    </w:p>
    <w:p w14:paraId="1969CDF8" w14:textId="77777777" w:rsidR="002040C6" w:rsidRPr="002040C6" w:rsidRDefault="002040C6" w:rsidP="002040C6">
      <w:pPr>
        <w:spacing w:line="360" w:lineRule="auto"/>
        <w:jc w:val="both"/>
      </w:pPr>
      <w:r w:rsidRPr="002040C6">
        <w:t>Hobson, A.J. and Townsend, A., 2014. Interviewing as educational research. Educational Research and Inquiry. Qualitative and Quantitative Approaches, pp.223-238.</w:t>
      </w:r>
    </w:p>
    <w:p w14:paraId="0B0F56A6" w14:textId="77777777" w:rsidR="002040C6" w:rsidRPr="002040C6" w:rsidRDefault="002040C6" w:rsidP="002040C6">
      <w:pPr>
        <w:spacing w:line="360" w:lineRule="auto"/>
        <w:jc w:val="both"/>
      </w:pPr>
      <w:r w:rsidRPr="002040C6">
        <w:t>Hofmann, R., Paavola, S. &amp; Rainis, A. P. (2024). Abductive methodology: opening the mystery of generating theory through qualitative inquiry in practice settings. In S. Spisak (Ed.), ECQI2024: Participation, collaboration and co-creation: Qualitative inquiry across and beyond divides (pp. 74–83). University of Helsinki.</w:t>
      </w:r>
    </w:p>
    <w:p w14:paraId="667BD094" w14:textId="77777777" w:rsidR="002040C6" w:rsidRPr="002040C6" w:rsidRDefault="002040C6" w:rsidP="002040C6">
      <w:pPr>
        <w:spacing w:line="360" w:lineRule="auto"/>
        <w:jc w:val="both"/>
      </w:pPr>
      <w:r w:rsidRPr="002040C6">
        <w:t>Holmes, A.G.D., 2020. Researcher positionality: A consideration of its influence and place in qualitative research. International Journal of Qualitative Methods, 19, pp.1–8.</w:t>
      </w:r>
    </w:p>
    <w:p w14:paraId="36FDB966" w14:textId="77777777" w:rsidR="002040C6" w:rsidRPr="002040C6" w:rsidRDefault="002040C6" w:rsidP="002040C6">
      <w:pPr>
        <w:spacing w:line="360" w:lineRule="auto"/>
        <w:jc w:val="both"/>
      </w:pPr>
      <w:r w:rsidRPr="002040C6">
        <w:t>Joshi, A., Kale, S., Chandel, S. and Pal, D.K., 2015. Likert scale: Explored and explained. British journal of applied science &amp; technology, 7(4), pp.396-403.</w:t>
      </w:r>
    </w:p>
    <w:p w14:paraId="3EBE4CA8" w14:textId="77777777" w:rsidR="002040C6" w:rsidRPr="002040C6" w:rsidRDefault="002040C6" w:rsidP="002040C6">
      <w:pPr>
        <w:spacing w:line="360" w:lineRule="auto"/>
        <w:jc w:val="both"/>
      </w:pPr>
      <w:r w:rsidRPr="002040C6">
        <w:t>Krippendorff, K., 2018. Content analysis: An introduction to its methodology. Sage publications.</w:t>
      </w:r>
    </w:p>
    <w:p w14:paraId="258F9144" w14:textId="77777777" w:rsidR="002040C6" w:rsidRPr="002040C6" w:rsidRDefault="002040C6" w:rsidP="002040C6">
      <w:pPr>
        <w:spacing w:line="360" w:lineRule="auto"/>
        <w:jc w:val="both"/>
      </w:pPr>
      <w:r w:rsidRPr="002040C6">
        <w:t>Lincoln, Y.S. and Guba, E.G., 1985. Naturalistic inquiry. sage.</w:t>
      </w:r>
    </w:p>
    <w:p w14:paraId="0FC49514" w14:textId="77777777" w:rsidR="002040C6" w:rsidRPr="002040C6" w:rsidRDefault="002040C6" w:rsidP="002040C6">
      <w:pPr>
        <w:spacing w:line="360" w:lineRule="auto"/>
        <w:jc w:val="both"/>
      </w:pPr>
      <w:r w:rsidRPr="002040C6">
        <w:t xml:space="preserve">Mack, N., </w:t>
      </w:r>
      <w:proofErr w:type="spellStart"/>
      <w:r w:rsidRPr="002040C6">
        <w:t>Woodsong</w:t>
      </w:r>
      <w:proofErr w:type="spellEnd"/>
      <w:r w:rsidRPr="002040C6">
        <w:t>, C., MacQueen, K.M. and Guest, G., 2005. Qualitative research methods. Family Health International.</w:t>
      </w:r>
    </w:p>
    <w:p w14:paraId="0397DCA9" w14:textId="77777777" w:rsidR="002040C6" w:rsidRPr="002040C6" w:rsidRDefault="002040C6" w:rsidP="002040C6">
      <w:pPr>
        <w:spacing w:line="360" w:lineRule="auto"/>
        <w:jc w:val="both"/>
      </w:pPr>
      <w:r w:rsidRPr="002040C6">
        <w:t>Mitchell, A. (2018). A Review of Mixed Methods, Pragmatism and Abduction Techniques. Electronic Journal of Business Research Methods.</w:t>
      </w:r>
    </w:p>
    <w:p w14:paraId="73F9024D" w14:textId="77777777" w:rsidR="002040C6" w:rsidRPr="002040C6" w:rsidRDefault="002040C6" w:rsidP="002040C6">
      <w:pPr>
        <w:spacing w:line="360" w:lineRule="auto"/>
        <w:jc w:val="both"/>
      </w:pPr>
      <w:r w:rsidRPr="002040C6">
        <w:t>Moore, I., 2022. The effect of student voice on the perception of student agency. International Journal of Educational Research, 112, p.101923.</w:t>
      </w:r>
    </w:p>
    <w:p w14:paraId="32DA4C0B" w14:textId="77777777" w:rsidR="002040C6" w:rsidRPr="002040C6" w:rsidRDefault="002040C6" w:rsidP="002040C6">
      <w:pPr>
        <w:spacing w:line="360" w:lineRule="auto"/>
        <w:jc w:val="both"/>
      </w:pPr>
      <w:r w:rsidRPr="002040C6">
        <w:t xml:space="preserve">Muijs, D. (2011). Doing Quantitative Research in Education with SPSS. Second </w:t>
      </w:r>
      <w:proofErr w:type="spellStart"/>
      <w:r w:rsidRPr="002040C6">
        <w:t>edn</w:t>
      </w:r>
      <w:proofErr w:type="spellEnd"/>
      <w:r w:rsidRPr="002040C6">
        <w:t>. London: Sage.</w:t>
      </w:r>
    </w:p>
    <w:p w14:paraId="7BA41670" w14:textId="77777777" w:rsidR="002040C6" w:rsidRPr="002040C6" w:rsidRDefault="002040C6" w:rsidP="002040C6">
      <w:pPr>
        <w:spacing w:line="360" w:lineRule="auto"/>
        <w:jc w:val="both"/>
      </w:pPr>
      <w:r w:rsidRPr="002040C6">
        <w:t>Nussbaum, M.C. and Capabilities, C., 2011. The human development approach. Creating capabilities. Cambridge, MA: Belknap Press of Harvard</w:t>
      </w:r>
    </w:p>
    <w:p w14:paraId="60FDBBB9" w14:textId="77777777" w:rsidR="002040C6" w:rsidRPr="002040C6" w:rsidRDefault="002040C6" w:rsidP="002040C6">
      <w:pPr>
        <w:spacing w:line="360" w:lineRule="auto"/>
        <w:jc w:val="both"/>
      </w:pPr>
      <w:r w:rsidRPr="002040C6">
        <w:t>Plano Clark, V.L., 2017. Mixed methods research. The Journal of Positive Psychology, 12(3), pp.305-306.</w:t>
      </w:r>
    </w:p>
    <w:p w14:paraId="01179DEC" w14:textId="77777777" w:rsidR="002040C6" w:rsidRPr="002040C6" w:rsidRDefault="002040C6" w:rsidP="002040C6">
      <w:pPr>
        <w:spacing w:line="360" w:lineRule="auto"/>
        <w:jc w:val="both"/>
      </w:pPr>
      <w:r w:rsidRPr="002040C6">
        <w:lastRenderedPageBreak/>
        <w:t>Robson, C. and McCartan, K., 2016. Real world research, 4th ed. Hoboken.</w:t>
      </w:r>
    </w:p>
    <w:p w14:paraId="021227ED" w14:textId="77777777" w:rsidR="002040C6" w:rsidRPr="002040C6" w:rsidRDefault="002040C6" w:rsidP="002040C6">
      <w:pPr>
        <w:spacing w:line="360" w:lineRule="auto"/>
        <w:jc w:val="both"/>
      </w:pPr>
      <w:r w:rsidRPr="002040C6">
        <w:t>Sen, A., 1999. Freedom. Development, Oxford University Press, Oxford.</w:t>
      </w:r>
    </w:p>
    <w:p w14:paraId="0D9263A1" w14:textId="77777777" w:rsidR="002040C6" w:rsidRPr="002040C6" w:rsidRDefault="002040C6" w:rsidP="002040C6">
      <w:pPr>
        <w:spacing w:line="360" w:lineRule="auto"/>
        <w:jc w:val="both"/>
      </w:pPr>
      <w:r w:rsidRPr="002040C6">
        <w:t>Scotland, J., 2012. Exploring the philosophical underpinnings of research: Relating ontology and epistemology to the methodology and methods of the scientific, interpretive, and critical research paradigms. English Language Teaching, 5(9), pp.9–16.</w:t>
      </w:r>
    </w:p>
    <w:p w14:paraId="4404BCC3" w14:textId="77777777" w:rsidR="002040C6" w:rsidRPr="002040C6" w:rsidRDefault="002040C6" w:rsidP="002040C6">
      <w:pPr>
        <w:spacing w:line="360" w:lineRule="auto"/>
        <w:jc w:val="both"/>
      </w:pPr>
      <w:r w:rsidRPr="002040C6">
        <w:t>Simons, H., 2009. Case study research in practice. London: Sage.</w:t>
      </w:r>
    </w:p>
    <w:p w14:paraId="04CA68E9" w14:textId="77777777" w:rsidR="002040C6" w:rsidRPr="002040C6" w:rsidRDefault="002040C6" w:rsidP="002040C6">
      <w:pPr>
        <w:spacing w:line="360" w:lineRule="auto"/>
        <w:jc w:val="both"/>
      </w:pPr>
      <w:r w:rsidRPr="002040C6">
        <w:t>Stake, R.E., 1995. The art of case study research. Thousand Oaks, CA: Sage.</w:t>
      </w:r>
    </w:p>
    <w:p w14:paraId="64276931" w14:textId="77777777" w:rsidR="002040C6" w:rsidRPr="002040C6" w:rsidRDefault="002040C6" w:rsidP="002040C6">
      <w:pPr>
        <w:spacing w:line="360" w:lineRule="auto"/>
        <w:jc w:val="both"/>
      </w:pPr>
      <w:r w:rsidRPr="002040C6">
        <w:t>St Clair, R. and Benjamin, A., 2011. Performing desires: The dilemma of aspirations and educational attainment. British educational research journal, 37(3), pp.501-517.</w:t>
      </w:r>
    </w:p>
    <w:p w14:paraId="56FB5FA1" w14:textId="77777777" w:rsidR="002040C6" w:rsidRPr="002040C6" w:rsidRDefault="002040C6" w:rsidP="002040C6">
      <w:pPr>
        <w:spacing w:line="360" w:lineRule="auto"/>
        <w:jc w:val="both"/>
      </w:pPr>
      <w:r w:rsidRPr="002040C6">
        <w:t>Thomas, G., 2021. How to do your research project: A guide for students. 3rd ed. London: Sage.</w:t>
      </w:r>
    </w:p>
    <w:p w14:paraId="049093BC" w14:textId="77777777" w:rsidR="002040C6" w:rsidRPr="002040C6" w:rsidRDefault="002040C6" w:rsidP="002040C6">
      <w:pPr>
        <w:spacing w:line="360" w:lineRule="auto"/>
        <w:jc w:val="both"/>
      </w:pPr>
      <w:r w:rsidRPr="002040C6">
        <w:t xml:space="preserve">Welsh Government, 2022. Curriculum for Wales: Guidance. Cardiff: Welsh Government. Available online at: </w:t>
      </w:r>
      <w:hyperlink r:id="rId8" w:history="1">
        <w:r w:rsidRPr="002040C6">
          <w:rPr>
            <w:rStyle w:val="Hyperlink"/>
            <w:color w:val="auto"/>
          </w:rPr>
          <w:t>https://hwb.gov.wales/curriculum-for-wales</w:t>
        </w:r>
      </w:hyperlink>
      <w:r w:rsidRPr="002040C6">
        <w:t xml:space="preserve"> (Accessed 21 March. 2026).</w:t>
      </w:r>
    </w:p>
    <w:p w14:paraId="39804A85" w14:textId="77777777" w:rsidR="002040C6" w:rsidRPr="002040C6" w:rsidRDefault="002040C6" w:rsidP="002040C6">
      <w:pPr>
        <w:spacing w:line="360" w:lineRule="auto"/>
        <w:jc w:val="both"/>
      </w:pPr>
      <w:r w:rsidRPr="002040C6">
        <w:t>Yin, R.K., 2018. Case study research and applications: Design and methods. 6th ed. Thousand Oaks, CA: Sage</w:t>
      </w:r>
    </w:p>
    <w:p w14:paraId="27F628B2" w14:textId="77777777" w:rsidR="002040C6" w:rsidRPr="002040C6" w:rsidRDefault="002040C6" w:rsidP="00307A53">
      <w:pPr>
        <w:spacing w:line="360" w:lineRule="auto"/>
        <w:jc w:val="both"/>
        <w:rPr>
          <w:sz w:val="24"/>
          <w:szCs w:val="24"/>
        </w:rPr>
      </w:pPr>
    </w:p>
    <w:sectPr w:rsidR="002040C6" w:rsidRPr="002040C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1AA7B3" w14:textId="77777777" w:rsidR="00F1602A" w:rsidRDefault="00F1602A" w:rsidP="00D034DE">
      <w:pPr>
        <w:spacing w:after="0" w:line="240" w:lineRule="auto"/>
      </w:pPr>
      <w:r>
        <w:separator/>
      </w:r>
    </w:p>
  </w:endnote>
  <w:endnote w:type="continuationSeparator" w:id="0">
    <w:p w14:paraId="2C244AAB" w14:textId="77777777" w:rsidR="00F1602A" w:rsidRDefault="00F1602A" w:rsidP="00D03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3292802"/>
      <w:docPartObj>
        <w:docPartGallery w:val="Page Numbers (Bottom of Page)"/>
        <w:docPartUnique/>
      </w:docPartObj>
    </w:sdtPr>
    <w:sdtEndPr>
      <w:rPr>
        <w:noProof/>
      </w:rPr>
    </w:sdtEndPr>
    <w:sdtContent>
      <w:p w14:paraId="4B8AA9C8" w14:textId="5786CCCA" w:rsidR="00D034DE" w:rsidRDefault="00D034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C15DAD" w14:textId="77777777" w:rsidR="00D034DE" w:rsidRDefault="00D03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9A76C2" w14:textId="77777777" w:rsidR="00F1602A" w:rsidRDefault="00F1602A" w:rsidP="00D034DE">
      <w:pPr>
        <w:spacing w:after="0" w:line="240" w:lineRule="auto"/>
      </w:pPr>
      <w:r>
        <w:separator/>
      </w:r>
    </w:p>
  </w:footnote>
  <w:footnote w:type="continuationSeparator" w:id="0">
    <w:p w14:paraId="395989CB" w14:textId="77777777" w:rsidR="00F1602A" w:rsidRDefault="00F1602A" w:rsidP="00D034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36D8F"/>
    <w:multiLevelType w:val="multilevel"/>
    <w:tmpl w:val="E47ADEFA"/>
    <w:lvl w:ilvl="0">
      <w:start w:val="1"/>
      <w:numFmt w:val="decimal"/>
      <w:lvlText w:val="%1.0"/>
      <w:lvlJc w:val="left"/>
      <w:pPr>
        <w:ind w:left="360" w:hanging="360"/>
      </w:pPr>
      <w:rPr>
        <w:rFonts w:hint="default"/>
        <w:sz w:val="28"/>
        <w:szCs w:val="28"/>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96E43E3"/>
    <w:multiLevelType w:val="multilevel"/>
    <w:tmpl w:val="1B025C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492696">
    <w:abstractNumId w:val="1"/>
  </w:num>
  <w:num w:numId="2" w16cid:durableId="16136319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3BA"/>
    <w:rsid w:val="00002ABB"/>
    <w:rsid w:val="00004B9C"/>
    <w:rsid w:val="00007A48"/>
    <w:rsid w:val="0002405F"/>
    <w:rsid w:val="000279AD"/>
    <w:rsid w:val="00031520"/>
    <w:rsid w:val="000318AA"/>
    <w:rsid w:val="00075EF8"/>
    <w:rsid w:val="000E004B"/>
    <w:rsid w:val="000E0BC3"/>
    <w:rsid w:val="000F0BEE"/>
    <w:rsid w:val="000F5112"/>
    <w:rsid w:val="000F7762"/>
    <w:rsid w:val="00121BB5"/>
    <w:rsid w:val="00167A0A"/>
    <w:rsid w:val="00186CEB"/>
    <w:rsid w:val="001909E4"/>
    <w:rsid w:val="001A03EF"/>
    <w:rsid w:val="001A4770"/>
    <w:rsid w:val="001C0718"/>
    <w:rsid w:val="001F10A4"/>
    <w:rsid w:val="002040C6"/>
    <w:rsid w:val="00230D7B"/>
    <w:rsid w:val="002430E7"/>
    <w:rsid w:val="00282AD0"/>
    <w:rsid w:val="00284A0F"/>
    <w:rsid w:val="002C7F3B"/>
    <w:rsid w:val="002E1E82"/>
    <w:rsid w:val="002F5A3E"/>
    <w:rsid w:val="002F7C84"/>
    <w:rsid w:val="00306974"/>
    <w:rsid w:val="00307A53"/>
    <w:rsid w:val="00316801"/>
    <w:rsid w:val="00323472"/>
    <w:rsid w:val="003315FE"/>
    <w:rsid w:val="00342ED5"/>
    <w:rsid w:val="003505B2"/>
    <w:rsid w:val="00356D8D"/>
    <w:rsid w:val="00364315"/>
    <w:rsid w:val="00386F03"/>
    <w:rsid w:val="00390B53"/>
    <w:rsid w:val="00404BF8"/>
    <w:rsid w:val="00434008"/>
    <w:rsid w:val="00444E9A"/>
    <w:rsid w:val="00452A55"/>
    <w:rsid w:val="00466EFF"/>
    <w:rsid w:val="004739A2"/>
    <w:rsid w:val="00473E1B"/>
    <w:rsid w:val="00475247"/>
    <w:rsid w:val="00481967"/>
    <w:rsid w:val="004A2E83"/>
    <w:rsid w:val="004B09E7"/>
    <w:rsid w:val="004B2B9B"/>
    <w:rsid w:val="004E56C2"/>
    <w:rsid w:val="004F03F2"/>
    <w:rsid w:val="004F20C6"/>
    <w:rsid w:val="004F41B9"/>
    <w:rsid w:val="00500158"/>
    <w:rsid w:val="00500C0E"/>
    <w:rsid w:val="00514363"/>
    <w:rsid w:val="0053413C"/>
    <w:rsid w:val="00543D36"/>
    <w:rsid w:val="00564179"/>
    <w:rsid w:val="00585076"/>
    <w:rsid w:val="005A1E7B"/>
    <w:rsid w:val="005A5E9C"/>
    <w:rsid w:val="005B4277"/>
    <w:rsid w:val="005C1A29"/>
    <w:rsid w:val="005C5FBF"/>
    <w:rsid w:val="005F4BA0"/>
    <w:rsid w:val="005F5B66"/>
    <w:rsid w:val="00610CAA"/>
    <w:rsid w:val="0061725F"/>
    <w:rsid w:val="00621094"/>
    <w:rsid w:val="00625FAF"/>
    <w:rsid w:val="006374AF"/>
    <w:rsid w:val="00647963"/>
    <w:rsid w:val="00651781"/>
    <w:rsid w:val="0065522C"/>
    <w:rsid w:val="006576B5"/>
    <w:rsid w:val="00667677"/>
    <w:rsid w:val="0068391D"/>
    <w:rsid w:val="0068583A"/>
    <w:rsid w:val="00694F77"/>
    <w:rsid w:val="006C611D"/>
    <w:rsid w:val="00723DEA"/>
    <w:rsid w:val="00724D1B"/>
    <w:rsid w:val="00726801"/>
    <w:rsid w:val="00737209"/>
    <w:rsid w:val="0075486E"/>
    <w:rsid w:val="00757BAF"/>
    <w:rsid w:val="007715B8"/>
    <w:rsid w:val="00783CDF"/>
    <w:rsid w:val="0078447A"/>
    <w:rsid w:val="00795182"/>
    <w:rsid w:val="0079555D"/>
    <w:rsid w:val="007A0C7B"/>
    <w:rsid w:val="007A2461"/>
    <w:rsid w:val="007B4D2C"/>
    <w:rsid w:val="007C11F7"/>
    <w:rsid w:val="007D6761"/>
    <w:rsid w:val="007F1031"/>
    <w:rsid w:val="007F790C"/>
    <w:rsid w:val="008249A6"/>
    <w:rsid w:val="008466CD"/>
    <w:rsid w:val="00851E7B"/>
    <w:rsid w:val="0086357D"/>
    <w:rsid w:val="00863C4D"/>
    <w:rsid w:val="008713BA"/>
    <w:rsid w:val="00884FFE"/>
    <w:rsid w:val="0089408A"/>
    <w:rsid w:val="008973E7"/>
    <w:rsid w:val="008A5D08"/>
    <w:rsid w:val="008B1657"/>
    <w:rsid w:val="008B7195"/>
    <w:rsid w:val="008C6B6B"/>
    <w:rsid w:val="008E2BC0"/>
    <w:rsid w:val="008E3830"/>
    <w:rsid w:val="00901ABF"/>
    <w:rsid w:val="00960AED"/>
    <w:rsid w:val="00990968"/>
    <w:rsid w:val="009A37CB"/>
    <w:rsid w:val="009A5FF7"/>
    <w:rsid w:val="009B2309"/>
    <w:rsid w:val="009E176E"/>
    <w:rsid w:val="00A104F3"/>
    <w:rsid w:val="00A10F58"/>
    <w:rsid w:val="00A12B91"/>
    <w:rsid w:val="00A31FBF"/>
    <w:rsid w:val="00A33A8E"/>
    <w:rsid w:val="00A56279"/>
    <w:rsid w:val="00A6121F"/>
    <w:rsid w:val="00A62E58"/>
    <w:rsid w:val="00A65775"/>
    <w:rsid w:val="00A9273E"/>
    <w:rsid w:val="00AA5E33"/>
    <w:rsid w:val="00AB2933"/>
    <w:rsid w:val="00AC3085"/>
    <w:rsid w:val="00AC591C"/>
    <w:rsid w:val="00AC6E6E"/>
    <w:rsid w:val="00AE11EF"/>
    <w:rsid w:val="00B0132B"/>
    <w:rsid w:val="00B10048"/>
    <w:rsid w:val="00B306D1"/>
    <w:rsid w:val="00B53F54"/>
    <w:rsid w:val="00BF07F6"/>
    <w:rsid w:val="00BF1271"/>
    <w:rsid w:val="00C1545C"/>
    <w:rsid w:val="00C20F98"/>
    <w:rsid w:val="00C2676F"/>
    <w:rsid w:val="00C4785B"/>
    <w:rsid w:val="00C526E3"/>
    <w:rsid w:val="00C654EA"/>
    <w:rsid w:val="00C70AD6"/>
    <w:rsid w:val="00C81CE5"/>
    <w:rsid w:val="00C932B4"/>
    <w:rsid w:val="00CC298C"/>
    <w:rsid w:val="00CE275A"/>
    <w:rsid w:val="00D034DE"/>
    <w:rsid w:val="00D10683"/>
    <w:rsid w:val="00D2628F"/>
    <w:rsid w:val="00D43EF7"/>
    <w:rsid w:val="00D71B8E"/>
    <w:rsid w:val="00D75FF1"/>
    <w:rsid w:val="00DB1F35"/>
    <w:rsid w:val="00DC501C"/>
    <w:rsid w:val="00E04FA8"/>
    <w:rsid w:val="00E06B64"/>
    <w:rsid w:val="00E216CE"/>
    <w:rsid w:val="00E32C83"/>
    <w:rsid w:val="00E40F85"/>
    <w:rsid w:val="00E42676"/>
    <w:rsid w:val="00E528E0"/>
    <w:rsid w:val="00E54DE9"/>
    <w:rsid w:val="00E603FE"/>
    <w:rsid w:val="00E61517"/>
    <w:rsid w:val="00E800A5"/>
    <w:rsid w:val="00E80EFA"/>
    <w:rsid w:val="00EA2303"/>
    <w:rsid w:val="00EC0950"/>
    <w:rsid w:val="00F04E8E"/>
    <w:rsid w:val="00F1602A"/>
    <w:rsid w:val="00F36703"/>
    <w:rsid w:val="00F44240"/>
    <w:rsid w:val="00F60726"/>
    <w:rsid w:val="00F61A3F"/>
    <w:rsid w:val="00F63B6D"/>
    <w:rsid w:val="00F72E9F"/>
    <w:rsid w:val="00F762F3"/>
    <w:rsid w:val="00F81BB8"/>
    <w:rsid w:val="00F96B57"/>
    <w:rsid w:val="00F97D75"/>
    <w:rsid w:val="00FB3F9E"/>
    <w:rsid w:val="00FC1626"/>
    <w:rsid w:val="00FC697C"/>
    <w:rsid w:val="00FF4B21"/>
    <w:rsid w:val="00FF4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D8D7D"/>
  <w15:chartTrackingRefBased/>
  <w15:docId w15:val="{C03FEF81-1F42-463F-B4CB-C816B00F1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13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3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3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3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3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3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3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3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3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3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3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3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3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3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3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3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3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3BA"/>
    <w:rPr>
      <w:rFonts w:eastAsiaTheme="majorEastAsia" w:cstheme="majorBidi"/>
      <w:color w:val="272727" w:themeColor="text1" w:themeTint="D8"/>
    </w:rPr>
  </w:style>
  <w:style w:type="paragraph" w:styleId="Title">
    <w:name w:val="Title"/>
    <w:basedOn w:val="Normal"/>
    <w:next w:val="Normal"/>
    <w:link w:val="TitleChar"/>
    <w:uiPriority w:val="10"/>
    <w:qFormat/>
    <w:rsid w:val="008713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3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3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3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3BA"/>
    <w:pPr>
      <w:spacing w:before="160"/>
      <w:jc w:val="center"/>
    </w:pPr>
    <w:rPr>
      <w:i/>
      <w:iCs/>
      <w:color w:val="404040" w:themeColor="text1" w:themeTint="BF"/>
    </w:rPr>
  </w:style>
  <w:style w:type="character" w:customStyle="1" w:styleId="QuoteChar">
    <w:name w:val="Quote Char"/>
    <w:basedOn w:val="DefaultParagraphFont"/>
    <w:link w:val="Quote"/>
    <w:uiPriority w:val="29"/>
    <w:rsid w:val="008713BA"/>
    <w:rPr>
      <w:i/>
      <w:iCs/>
      <w:color w:val="404040" w:themeColor="text1" w:themeTint="BF"/>
    </w:rPr>
  </w:style>
  <w:style w:type="paragraph" w:styleId="ListParagraph">
    <w:name w:val="List Paragraph"/>
    <w:basedOn w:val="Normal"/>
    <w:uiPriority w:val="34"/>
    <w:qFormat/>
    <w:rsid w:val="008713BA"/>
    <w:pPr>
      <w:ind w:left="720"/>
      <w:contextualSpacing/>
    </w:pPr>
  </w:style>
  <w:style w:type="character" w:styleId="IntenseEmphasis">
    <w:name w:val="Intense Emphasis"/>
    <w:basedOn w:val="DefaultParagraphFont"/>
    <w:uiPriority w:val="21"/>
    <w:qFormat/>
    <w:rsid w:val="008713BA"/>
    <w:rPr>
      <w:i/>
      <w:iCs/>
      <w:color w:val="0F4761" w:themeColor="accent1" w:themeShade="BF"/>
    </w:rPr>
  </w:style>
  <w:style w:type="paragraph" w:styleId="IntenseQuote">
    <w:name w:val="Intense Quote"/>
    <w:basedOn w:val="Normal"/>
    <w:next w:val="Normal"/>
    <w:link w:val="IntenseQuoteChar"/>
    <w:uiPriority w:val="30"/>
    <w:qFormat/>
    <w:rsid w:val="008713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3BA"/>
    <w:rPr>
      <w:i/>
      <w:iCs/>
      <w:color w:val="0F4761" w:themeColor="accent1" w:themeShade="BF"/>
    </w:rPr>
  </w:style>
  <w:style w:type="character" w:styleId="IntenseReference">
    <w:name w:val="Intense Reference"/>
    <w:basedOn w:val="DefaultParagraphFont"/>
    <w:uiPriority w:val="32"/>
    <w:qFormat/>
    <w:rsid w:val="008713BA"/>
    <w:rPr>
      <w:b/>
      <w:bCs/>
      <w:smallCaps/>
      <w:color w:val="0F4761" w:themeColor="accent1" w:themeShade="BF"/>
      <w:spacing w:val="5"/>
    </w:rPr>
  </w:style>
  <w:style w:type="character" w:styleId="Hyperlink">
    <w:name w:val="Hyperlink"/>
    <w:basedOn w:val="DefaultParagraphFont"/>
    <w:uiPriority w:val="99"/>
    <w:unhideWhenUsed/>
    <w:rsid w:val="002040C6"/>
    <w:rPr>
      <w:color w:val="467886" w:themeColor="hyperlink"/>
      <w:u w:val="single"/>
    </w:rPr>
  </w:style>
  <w:style w:type="character" w:styleId="UnresolvedMention">
    <w:name w:val="Unresolved Mention"/>
    <w:basedOn w:val="DefaultParagraphFont"/>
    <w:uiPriority w:val="99"/>
    <w:semiHidden/>
    <w:unhideWhenUsed/>
    <w:rsid w:val="002040C6"/>
    <w:rPr>
      <w:color w:val="605E5C"/>
      <w:shd w:val="clear" w:color="auto" w:fill="E1DFDD"/>
    </w:rPr>
  </w:style>
  <w:style w:type="paragraph" w:styleId="Header">
    <w:name w:val="header"/>
    <w:basedOn w:val="Normal"/>
    <w:link w:val="HeaderChar"/>
    <w:uiPriority w:val="99"/>
    <w:unhideWhenUsed/>
    <w:rsid w:val="00D034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4DE"/>
  </w:style>
  <w:style w:type="paragraph" w:styleId="Footer">
    <w:name w:val="footer"/>
    <w:basedOn w:val="Normal"/>
    <w:link w:val="FooterChar"/>
    <w:uiPriority w:val="99"/>
    <w:unhideWhenUsed/>
    <w:rsid w:val="00D034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 TargetMode="External"/><Relationship Id="rId3" Type="http://schemas.openxmlformats.org/officeDocument/2006/relationships/settings" Target="settings.xml"/><Relationship Id="rId7" Type="http://schemas.openxmlformats.org/officeDocument/2006/relationships/hyperlink" Target="https://estyn.gov.wales/app/uploads/2025/02/Routes-into-post-16-education-and-training.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422</TotalTime>
  <Pages>17</Pages>
  <Words>4636</Words>
  <Characters>26427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Bamsey (1450105)</dc:creator>
  <cp:keywords/>
  <dc:description/>
  <cp:lastModifiedBy>Joanna Bamsey (1450105)</cp:lastModifiedBy>
  <cp:revision>158</cp:revision>
  <dcterms:created xsi:type="dcterms:W3CDTF">2026-04-06T13:11:00Z</dcterms:created>
  <dcterms:modified xsi:type="dcterms:W3CDTF">2026-04-23T17:18:00Z</dcterms:modified>
</cp:coreProperties>
</file>