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23A02" w14:textId="77777777" w:rsidR="001E6C05" w:rsidRDefault="001E6C05">
      <w:pPr>
        <w:spacing w:line="480" w:lineRule="auto"/>
        <w:ind w:firstLine="720"/>
        <w:rPr>
          <w:rFonts w:ascii="Times New Roman" w:eastAsia="Times New Roman" w:hAnsi="Times New Roman" w:cs="Times New Roman"/>
          <w:sz w:val="24"/>
          <w:szCs w:val="24"/>
        </w:rPr>
      </w:pPr>
    </w:p>
    <w:p w14:paraId="2AA23A03" w14:textId="77777777" w:rsidR="001E6C05" w:rsidRDefault="001E6C05">
      <w:pPr>
        <w:spacing w:line="480" w:lineRule="auto"/>
        <w:ind w:firstLine="720"/>
        <w:rPr>
          <w:rFonts w:ascii="Times New Roman" w:eastAsia="Times New Roman" w:hAnsi="Times New Roman" w:cs="Times New Roman"/>
          <w:sz w:val="24"/>
          <w:szCs w:val="24"/>
        </w:rPr>
      </w:pPr>
    </w:p>
    <w:p w14:paraId="2AA23A04" w14:textId="77777777" w:rsidR="001E6C05" w:rsidRDefault="001E6C05">
      <w:pPr>
        <w:spacing w:line="480" w:lineRule="auto"/>
        <w:ind w:firstLine="720"/>
        <w:rPr>
          <w:rFonts w:ascii="Times New Roman" w:eastAsia="Times New Roman" w:hAnsi="Times New Roman" w:cs="Times New Roman"/>
          <w:sz w:val="24"/>
          <w:szCs w:val="24"/>
        </w:rPr>
      </w:pPr>
    </w:p>
    <w:p w14:paraId="2AA23A05" w14:textId="77777777" w:rsidR="001E6C05" w:rsidRDefault="001E6C05">
      <w:pPr>
        <w:spacing w:line="480" w:lineRule="auto"/>
        <w:ind w:firstLine="720"/>
        <w:rPr>
          <w:rFonts w:ascii="Times New Roman" w:eastAsia="Times New Roman" w:hAnsi="Times New Roman" w:cs="Times New Roman"/>
          <w:sz w:val="24"/>
          <w:szCs w:val="24"/>
        </w:rPr>
      </w:pPr>
    </w:p>
    <w:p w14:paraId="2AA23A06" w14:textId="77777777" w:rsidR="001E6C05" w:rsidRDefault="001E6C05">
      <w:pPr>
        <w:spacing w:line="480" w:lineRule="auto"/>
        <w:ind w:firstLine="720"/>
        <w:rPr>
          <w:rFonts w:ascii="Times New Roman" w:eastAsia="Times New Roman" w:hAnsi="Times New Roman" w:cs="Times New Roman"/>
          <w:sz w:val="24"/>
          <w:szCs w:val="24"/>
        </w:rPr>
      </w:pPr>
    </w:p>
    <w:p w14:paraId="2AA23A07" w14:textId="77777777" w:rsidR="001E6C05" w:rsidRDefault="00AE7817">
      <w:pPr>
        <w:spacing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Diversity Hotel &amp; Spa Expansion Intercultural Competence Report: A Focus on Leadership and Cultural Intelligence</w:t>
      </w:r>
    </w:p>
    <w:p w14:paraId="2AA23A0A" w14:textId="77777777" w:rsidR="001E6C05" w:rsidRDefault="001E6C05">
      <w:pPr>
        <w:spacing w:line="480" w:lineRule="auto"/>
        <w:ind w:firstLine="720"/>
        <w:jc w:val="center"/>
        <w:rPr>
          <w:rFonts w:ascii="Times New Roman" w:eastAsia="Times New Roman" w:hAnsi="Times New Roman" w:cs="Times New Roman"/>
          <w:sz w:val="24"/>
          <w:szCs w:val="24"/>
        </w:rPr>
      </w:pPr>
    </w:p>
    <w:p w14:paraId="2AA23A0B" w14:textId="77777777" w:rsidR="001E6C05" w:rsidRDefault="001E6C05">
      <w:pPr>
        <w:spacing w:line="480" w:lineRule="auto"/>
        <w:ind w:firstLine="720"/>
        <w:jc w:val="center"/>
        <w:rPr>
          <w:rFonts w:ascii="Times New Roman" w:eastAsia="Times New Roman" w:hAnsi="Times New Roman" w:cs="Times New Roman"/>
          <w:sz w:val="24"/>
          <w:szCs w:val="24"/>
        </w:rPr>
      </w:pPr>
    </w:p>
    <w:p w14:paraId="2AA23A0C" w14:textId="22CE30B9" w:rsidR="001E6C05" w:rsidRDefault="00493A94" w:rsidP="00493A94">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Izabela Filipek</w:t>
      </w:r>
    </w:p>
    <w:p w14:paraId="2AA23A0D" w14:textId="5BCEDC3A" w:rsidR="001E6C05" w:rsidRDefault="00AE7817" w:rsidP="009E5F19">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5D2CB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27725">
        <w:rPr>
          <w:rFonts w:ascii="Times New Roman" w:eastAsia="Times New Roman" w:hAnsi="Times New Roman" w:cs="Times New Roman"/>
          <w:sz w:val="24"/>
          <w:szCs w:val="24"/>
        </w:rPr>
        <w:t>BMIH 5003</w:t>
      </w:r>
    </w:p>
    <w:p w14:paraId="2AA23A0E" w14:textId="344E46DF" w:rsidR="001E6C05" w:rsidRDefault="00927725" w:rsidP="009E5F19">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Giulia </w:t>
      </w:r>
      <w:proofErr w:type="spellStart"/>
      <w:r>
        <w:rPr>
          <w:rFonts w:ascii="Times New Roman" w:eastAsia="Times New Roman" w:hAnsi="Times New Roman" w:cs="Times New Roman"/>
          <w:sz w:val="24"/>
          <w:szCs w:val="24"/>
        </w:rPr>
        <w:t>Chifari</w:t>
      </w:r>
      <w:proofErr w:type="spellEnd"/>
    </w:p>
    <w:p w14:paraId="2AA23A10" w14:textId="5075B35D" w:rsidR="001E6C05" w:rsidRDefault="00AE7817" w:rsidP="009E5F19">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sidR="00A51E03">
        <w:rPr>
          <w:rFonts w:ascii="Times New Roman" w:eastAsia="Times New Roman" w:hAnsi="Times New Roman" w:cs="Times New Roman"/>
          <w:sz w:val="24"/>
          <w:szCs w:val="24"/>
        </w:rPr>
        <w:t>: 08/11/2023</w:t>
      </w:r>
    </w:p>
    <w:p w14:paraId="2AA23A11" w14:textId="77777777" w:rsidR="001E6C05" w:rsidRDefault="001E6C05">
      <w:pPr>
        <w:spacing w:line="480" w:lineRule="auto"/>
        <w:ind w:firstLine="720"/>
        <w:rPr>
          <w:rFonts w:ascii="Times New Roman" w:eastAsia="Times New Roman" w:hAnsi="Times New Roman" w:cs="Times New Roman"/>
          <w:sz w:val="24"/>
          <w:szCs w:val="24"/>
        </w:rPr>
      </w:pPr>
    </w:p>
    <w:p w14:paraId="2AA23A12" w14:textId="77777777" w:rsidR="001E6C05" w:rsidRDefault="001E6C05">
      <w:pPr>
        <w:spacing w:line="480" w:lineRule="auto"/>
        <w:ind w:firstLine="720"/>
        <w:rPr>
          <w:rFonts w:ascii="Times New Roman" w:eastAsia="Times New Roman" w:hAnsi="Times New Roman" w:cs="Times New Roman"/>
          <w:sz w:val="24"/>
          <w:szCs w:val="24"/>
        </w:rPr>
      </w:pPr>
    </w:p>
    <w:p w14:paraId="2AA23A13" w14:textId="77777777" w:rsidR="001E6C05" w:rsidRDefault="001E6C05">
      <w:pPr>
        <w:spacing w:line="480" w:lineRule="auto"/>
        <w:ind w:firstLine="720"/>
        <w:rPr>
          <w:rFonts w:ascii="Times New Roman" w:eastAsia="Times New Roman" w:hAnsi="Times New Roman" w:cs="Times New Roman"/>
          <w:sz w:val="24"/>
          <w:szCs w:val="24"/>
        </w:rPr>
      </w:pPr>
    </w:p>
    <w:p w14:paraId="2AA23A14" w14:textId="77777777" w:rsidR="001E6C05" w:rsidRDefault="001E6C05">
      <w:pPr>
        <w:keepNext/>
        <w:keepLines/>
        <w:pBdr>
          <w:top w:val="nil"/>
          <w:left w:val="nil"/>
          <w:bottom w:val="nil"/>
          <w:right w:val="nil"/>
          <w:between w:val="nil"/>
        </w:pBdr>
        <w:spacing w:before="240" w:after="0" w:line="480" w:lineRule="auto"/>
        <w:rPr>
          <w:rFonts w:ascii="Times New Roman" w:eastAsia="Times New Roman" w:hAnsi="Times New Roman" w:cs="Times New Roman"/>
          <w:color w:val="2E75B5"/>
          <w:sz w:val="24"/>
          <w:szCs w:val="24"/>
        </w:rPr>
      </w:pPr>
    </w:p>
    <w:p w14:paraId="2AA23A15" w14:textId="77777777" w:rsidR="001E6C05" w:rsidRDefault="001E6C05">
      <w:pPr>
        <w:keepNext/>
        <w:keepLines/>
        <w:pBdr>
          <w:top w:val="nil"/>
          <w:left w:val="nil"/>
          <w:bottom w:val="nil"/>
          <w:right w:val="nil"/>
          <w:between w:val="nil"/>
        </w:pBdr>
        <w:spacing w:before="240" w:after="0" w:line="480" w:lineRule="auto"/>
        <w:rPr>
          <w:rFonts w:ascii="Times New Roman" w:eastAsia="Times New Roman" w:hAnsi="Times New Roman" w:cs="Times New Roman"/>
          <w:color w:val="2E75B5"/>
          <w:sz w:val="24"/>
          <w:szCs w:val="24"/>
        </w:rPr>
      </w:pPr>
    </w:p>
    <w:p w14:paraId="2AA23A16" w14:textId="77777777" w:rsidR="001E6C05" w:rsidRDefault="00AE7817">
      <w:pPr>
        <w:keepNext/>
        <w:keepLines/>
        <w:pBdr>
          <w:top w:val="nil"/>
          <w:left w:val="nil"/>
          <w:bottom w:val="nil"/>
          <w:right w:val="nil"/>
          <w:between w:val="nil"/>
        </w:pBdr>
        <w:spacing w:before="240" w:after="0" w:line="480" w:lineRule="auto"/>
        <w:rPr>
          <w:rFonts w:ascii="Times New Roman" w:eastAsia="Times New Roman" w:hAnsi="Times New Roman" w:cs="Times New Roman"/>
          <w:color w:val="2E75B5"/>
          <w:sz w:val="24"/>
          <w:szCs w:val="24"/>
        </w:rPr>
      </w:pPr>
      <w:r>
        <w:rPr>
          <w:rFonts w:ascii="Times New Roman" w:eastAsia="Times New Roman" w:hAnsi="Times New Roman" w:cs="Times New Roman"/>
          <w:color w:val="2E75B5"/>
          <w:sz w:val="24"/>
          <w:szCs w:val="24"/>
        </w:rPr>
        <w:t>Table of Contents</w:t>
      </w:r>
    </w:p>
    <w:sdt>
      <w:sdtPr>
        <w:id w:val="144167191"/>
        <w:docPartObj>
          <w:docPartGallery w:val="Table of Contents"/>
          <w:docPartUnique/>
        </w:docPartObj>
      </w:sdtPr>
      <w:sdtEndPr/>
      <w:sdtContent>
        <w:p w14:paraId="2AA23A17" w14:textId="77777777" w:rsidR="001E6C05" w:rsidRDefault="00AE7817">
          <w:pPr>
            <w:pBdr>
              <w:top w:val="nil"/>
              <w:left w:val="nil"/>
              <w:bottom w:val="nil"/>
              <w:right w:val="nil"/>
              <w:between w:val="nil"/>
            </w:pBdr>
            <w:tabs>
              <w:tab w:val="right" w:leader="dot" w:pos="9350"/>
            </w:tabs>
            <w:spacing w:after="100" w:line="48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30j0zll">
            <w:r>
              <w:rPr>
                <w:rFonts w:ascii="Times New Roman" w:eastAsia="Times New Roman" w:hAnsi="Times New Roman" w:cs="Times New Roman"/>
                <w:b/>
                <w:color w:val="000000"/>
                <w:sz w:val="24"/>
                <w:szCs w:val="24"/>
              </w:rPr>
              <w:t>Diversity Hotel &amp; Spa Expansion Intercultural Competence Report</w:t>
            </w:r>
          </w:hyperlink>
          <w:hyperlink w:anchor="_30j0zll">
            <w:r>
              <w:rPr>
                <w:rFonts w:ascii="Times New Roman" w:eastAsia="Times New Roman" w:hAnsi="Times New Roman" w:cs="Times New Roman"/>
                <w:color w:val="000000"/>
                <w:sz w:val="24"/>
                <w:szCs w:val="24"/>
              </w:rPr>
              <w:tab/>
              <w:t>3</w:t>
            </w:r>
          </w:hyperlink>
        </w:p>
        <w:p w14:paraId="2AA23A18"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bookmarkStart w:id="0" w:name="_gjdgxs" w:colFirst="0" w:colLast="0"/>
        <w:bookmarkEnd w:id="0"/>
        <w:p w14:paraId="2AA23A19"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r>
            <w:fldChar w:fldCharType="begin"/>
          </w:r>
          <w:r>
            <w:instrText>HYPERLINK \l "_3znysh7" \h</w:instrText>
          </w:r>
          <w:r>
            <w:fldChar w:fldCharType="separate"/>
          </w:r>
          <w:r>
            <w:rPr>
              <w:rFonts w:ascii="Times New Roman" w:eastAsia="Times New Roman" w:hAnsi="Times New Roman" w:cs="Times New Roman"/>
              <w:b/>
              <w:color w:val="000000"/>
              <w:sz w:val="24"/>
              <w:szCs w:val="24"/>
            </w:rPr>
            <w:t>Japan’s culture overview</w:t>
          </w:r>
          <w:r>
            <w:rPr>
              <w:rFonts w:ascii="Times New Roman" w:eastAsia="Times New Roman" w:hAnsi="Times New Roman" w:cs="Times New Roman"/>
              <w:b/>
              <w:color w:val="000000"/>
              <w:sz w:val="24"/>
              <w:szCs w:val="24"/>
            </w:rPr>
            <w:fldChar w:fldCharType="end"/>
          </w:r>
          <w:hyperlink w:anchor="_3znysh7">
            <w:r>
              <w:rPr>
                <w:rFonts w:ascii="Times New Roman" w:eastAsia="Times New Roman" w:hAnsi="Times New Roman" w:cs="Times New Roman"/>
                <w:color w:val="000000"/>
                <w:sz w:val="24"/>
                <w:szCs w:val="24"/>
              </w:rPr>
              <w:tab/>
              <w:t>3</w:t>
            </w:r>
          </w:hyperlink>
        </w:p>
        <w:p w14:paraId="2AA23A1A"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b/>
                <w:color w:val="000000"/>
                <w:sz w:val="24"/>
                <w:szCs w:val="24"/>
              </w:rPr>
              <w:t>GLOBE country analysis</w:t>
            </w:r>
          </w:hyperlink>
          <w:hyperlink w:anchor="_2et92p0">
            <w:r>
              <w:rPr>
                <w:rFonts w:ascii="Times New Roman" w:eastAsia="Times New Roman" w:hAnsi="Times New Roman" w:cs="Times New Roman"/>
                <w:color w:val="000000"/>
                <w:sz w:val="24"/>
                <w:szCs w:val="24"/>
              </w:rPr>
              <w:tab/>
              <w:t>4</w:t>
            </w:r>
          </w:hyperlink>
        </w:p>
        <w:p w14:paraId="2AA23A1B"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b/>
                <w:color w:val="000000"/>
                <w:sz w:val="24"/>
                <w:szCs w:val="24"/>
              </w:rPr>
              <w:t>Cultural intelligence and sensitivity</w:t>
            </w:r>
          </w:hyperlink>
          <w:hyperlink w:anchor="_tyjcwt">
            <w:r>
              <w:rPr>
                <w:rFonts w:ascii="Times New Roman" w:eastAsia="Times New Roman" w:hAnsi="Times New Roman" w:cs="Times New Roman"/>
                <w:color w:val="000000"/>
                <w:sz w:val="24"/>
                <w:szCs w:val="24"/>
              </w:rPr>
              <w:tab/>
              <w:t>5</w:t>
            </w:r>
          </w:hyperlink>
        </w:p>
        <w:p w14:paraId="2AA23A1C"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b/>
                <w:color w:val="000000"/>
                <w:sz w:val="24"/>
                <w:szCs w:val="24"/>
              </w:rPr>
              <w:t>Conclusion</w:t>
            </w:r>
          </w:hyperlink>
          <w:hyperlink w:anchor="_3dy6vkm">
            <w:r>
              <w:rPr>
                <w:rFonts w:ascii="Times New Roman" w:eastAsia="Times New Roman" w:hAnsi="Times New Roman" w:cs="Times New Roman"/>
                <w:color w:val="000000"/>
                <w:sz w:val="24"/>
                <w:szCs w:val="24"/>
              </w:rPr>
              <w:tab/>
              <w:t>6</w:t>
            </w:r>
          </w:hyperlink>
        </w:p>
        <w:p w14:paraId="2AA23A1D"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b/>
                <w:color w:val="000000"/>
                <w:sz w:val="24"/>
                <w:szCs w:val="24"/>
              </w:rPr>
              <w:t>Recommendations</w:t>
            </w:r>
          </w:hyperlink>
          <w:hyperlink w:anchor="_1t3h5sf">
            <w:r>
              <w:rPr>
                <w:rFonts w:ascii="Times New Roman" w:eastAsia="Times New Roman" w:hAnsi="Times New Roman" w:cs="Times New Roman"/>
                <w:color w:val="000000"/>
                <w:sz w:val="24"/>
                <w:szCs w:val="24"/>
              </w:rPr>
              <w:tab/>
              <w:t>6</w:t>
            </w:r>
          </w:hyperlink>
        </w:p>
        <w:p w14:paraId="2AA23A1E" w14:textId="77777777" w:rsidR="001E6C05" w:rsidRDefault="00AE7817">
          <w:pPr>
            <w:pBdr>
              <w:top w:val="nil"/>
              <w:left w:val="nil"/>
              <w:bottom w:val="nil"/>
              <w:right w:val="nil"/>
              <w:between w:val="nil"/>
            </w:pBdr>
            <w:tabs>
              <w:tab w:val="right" w:leader="dot" w:pos="9350"/>
            </w:tabs>
            <w:spacing w:after="100" w:line="480" w:lineRule="auto"/>
            <w:ind w:left="220"/>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b/>
                <w:color w:val="000000"/>
                <w:sz w:val="24"/>
                <w:szCs w:val="24"/>
              </w:rPr>
              <w:t>Reference List</w:t>
            </w:r>
          </w:hyperlink>
          <w:hyperlink w:anchor="_4d34og8">
            <w:r>
              <w:rPr>
                <w:rFonts w:ascii="Times New Roman" w:eastAsia="Times New Roman" w:hAnsi="Times New Roman" w:cs="Times New Roman"/>
                <w:color w:val="000000"/>
                <w:sz w:val="24"/>
                <w:szCs w:val="24"/>
              </w:rPr>
              <w:tab/>
              <w:t>8</w:t>
            </w:r>
          </w:hyperlink>
        </w:p>
        <w:p w14:paraId="2AA23A1F" w14:textId="77777777" w:rsidR="001E6C05" w:rsidRDefault="00AE7817">
          <w:pPr>
            <w:spacing w:line="480" w:lineRule="auto"/>
            <w:rPr>
              <w:rFonts w:ascii="Times New Roman" w:eastAsia="Times New Roman" w:hAnsi="Times New Roman" w:cs="Times New Roman"/>
              <w:sz w:val="24"/>
              <w:szCs w:val="24"/>
            </w:rPr>
          </w:pPr>
          <w:r>
            <w:fldChar w:fldCharType="end"/>
          </w:r>
        </w:p>
      </w:sdtContent>
    </w:sdt>
    <w:p w14:paraId="2AA23A20" w14:textId="77777777" w:rsidR="001E6C05" w:rsidRDefault="001E6C05">
      <w:pPr>
        <w:pStyle w:val="Heading1"/>
        <w:spacing w:line="480" w:lineRule="auto"/>
        <w:jc w:val="center"/>
        <w:rPr>
          <w:rFonts w:ascii="Times New Roman" w:eastAsia="Times New Roman" w:hAnsi="Times New Roman" w:cs="Times New Roman"/>
          <w:color w:val="000000"/>
          <w:sz w:val="24"/>
          <w:szCs w:val="24"/>
        </w:rPr>
      </w:pPr>
      <w:bookmarkStart w:id="1" w:name="_30j0zll" w:colFirst="0" w:colLast="0"/>
      <w:bookmarkEnd w:id="1"/>
    </w:p>
    <w:p w14:paraId="2AA23A21" w14:textId="77777777" w:rsidR="001E6C05" w:rsidRDefault="001E6C05"/>
    <w:p w14:paraId="2AA23A22" w14:textId="77777777" w:rsidR="001E6C05" w:rsidRDefault="001E6C05"/>
    <w:p w14:paraId="2AA23A23" w14:textId="77777777" w:rsidR="001E6C05" w:rsidRDefault="001E6C05">
      <w:pPr>
        <w:pStyle w:val="Heading1"/>
        <w:spacing w:line="480" w:lineRule="auto"/>
        <w:rPr>
          <w:rFonts w:ascii="Times New Roman" w:eastAsia="Times New Roman" w:hAnsi="Times New Roman" w:cs="Times New Roman"/>
          <w:b/>
          <w:color w:val="000000"/>
          <w:sz w:val="24"/>
          <w:szCs w:val="24"/>
        </w:rPr>
      </w:pPr>
    </w:p>
    <w:p w14:paraId="2AA23A24" w14:textId="77777777" w:rsidR="001E6C05" w:rsidRDefault="001E6C05"/>
    <w:p w14:paraId="2AA23A25" w14:textId="77777777" w:rsidR="001E6C05" w:rsidRDefault="001E6C05"/>
    <w:p w14:paraId="2AA23A26" w14:textId="77777777" w:rsidR="001E6C05" w:rsidRDefault="00AE7817">
      <w:pPr>
        <w:pStyle w:val="Heading1"/>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Diversity Hotel &amp; Spa Expansion Intercultural Competence Report</w:t>
      </w:r>
    </w:p>
    <w:p w14:paraId="2AA23A27"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Introduction</w:t>
      </w:r>
    </w:p>
    <w:p w14:paraId="2AA23A28" w14:textId="77777777" w:rsidR="001E6C05" w:rsidRDefault="00AE7817" w:rsidP="00D548E1">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diligence requires a comprehensive analysis of local customs and cultural complexities when venturing into a new country, acknowledging their essential role in defining societal standards. This prerequisite is fundamental in the hospitality business, where seamless integration into the host culture is critical to the success of facilities like hotels (Qiu et al., 2020). As the Diversity Hotel &amp; Spa has expanded to a new international territory, Japan, this report will explore Japan's varied landscape. U</w:t>
      </w:r>
      <w:r>
        <w:rPr>
          <w:rFonts w:ascii="Times New Roman" w:eastAsia="Times New Roman" w:hAnsi="Times New Roman" w:cs="Times New Roman"/>
          <w:sz w:val="24"/>
          <w:szCs w:val="24"/>
        </w:rPr>
        <w:t xml:space="preserve">sing the cultural components of the GLOBE Project, this report will investigate and highlight the leadership approaches most relevant to the Japanese cultural setting. Furthermore, it will critically examine the importance of cultural sensitivity and intelligence in the hotel industry, clarifying the tremendous influence such competencies may have on guests and overall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The report will also outline recommendations, which will assist leaders in arranging a training program compatible w</w:t>
      </w:r>
      <w:r>
        <w:rPr>
          <w:rFonts w:ascii="Times New Roman" w:eastAsia="Times New Roman" w:hAnsi="Times New Roman" w:cs="Times New Roman"/>
          <w:sz w:val="24"/>
          <w:szCs w:val="24"/>
        </w:rPr>
        <w:t>ith Japan's cultural fabric, fostering an environment of understanding and excellence.</w:t>
      </w:r>
    </w:p>
    <w:p w14:paraId="2AA23A29"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Japan’s culture overview</w:t>
      </w:r>
    </w:p>
    <w:p w14:paraId="2AA23A2A" w14:textId="77777777" w:rsidR="001E6C05" w:rsidRDefault="00AE7817" w:rsidP="002A4B88">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diverse set of values and practices distinguishes Japan's culture and customs. Respect for hierarchy and authority is a prominent characteristic of Japanese society, which can influence communication styles and decision-making processes in a hotel setting (Brown et al. 2006). Punctuality and dependability are highly valued in Japanese culture, with punctuality regarded as a show of respect. Gift-giving and hospitality are also essential in Japan, with gift-giving considered a vital aspect of relationship </w:t>
      </w:r>
      <w:r>
        <w:rPr>
          <w:rFonts w:ascii="Times New Roman" w:eastAsia="Times New Roman" w:hAnsi="Times New Roman" w:cs="Times New Roman"/>
          <w:sz w:val="24"/>
          <w:szCs w:val="24"/>
        </w:rPr>
        <w:t xml:space="preserve">building and hospitality highly valued. Finally, Japanese culture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intricacy and quality, accentuating ongoing improvement and refinement.</w:t>
      </w:r>
    </w:p>
    <w:p w14:paraId="2AA23A2B"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lastRenderedPageBreak/>
        <w:t>GLOBE country analysis</w:t>
      </w:r>
    </w:p>
    <w:p w14:paraId="2AA23A2C" w14:textId="68F925B1" w:rsidR="001E6C05" w:rsidRDefault="00AE7817" w:rsidP="00E1030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Drawing from the “Global Leadership and Organizational Behavior Effectiveness” (GLOBE) Project's cultural dimensions, various leadership factors are highly valued in Japan. One of these factors is the importance of hierarchical order and deference to authority, as shown by a </w:t>
      </w:r>
      <w:proofErr w:type="gramStart"/>
      <w:r>
        <w:rPr>
          <w:rFonts w:ascii="Times New Roman" w:eastAsia="Times New Roman" w:hAnsi="Times New Roman" w:cs="Times New Roman"/>
          <w:sz w:val="24"/>
          <w:szCs w:val="24"/>
        </w:rPr>
        <w:t>high Power</w:t>
      </w:r>
      <w:proofErr w:type="gramEnd"/>
      <w:r>
        <w:rPr>
          <w:rFonts w:ascii="Times New Roman" w:eastAsia="Times New Roman" w:hAnsi="Times New Roman" w:cs="Times New Roman"/>
          <w:sz w:val="24"/>
          <w:szCs w:val="24"/>
        </w:rPr>
        <w:t xml:space="preserve"> Distance Index (PDI) (House et al. 2004). Japan falls under the Confucian Asia cluster, and from the GLOBE project analysis, it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therefore, no surprise that the leadership styles preferred in Japan are the team-oriented style, which "highly values team cohesiveness and a common purpose or goals," and the group protective style that "focuses on the safety and security of the individual and the group" (House et al. 2004). These preferences of the leadership styles are showcased in the figure bel</w:t>
      </w:r>
      <w:r>
        <w:rPr>
          <w:rFonts w:ascii="Times New Roman" w:eastAsia="Times New Roman" w:hAnsi="Times New Roman" w:cs="Times New Roman"/>
          <w:sz w:val="24"/>
          <w:szCs w:val="24"/>
        </w:rPr>
        <w:t xml:space="preserve">ow. Collectivism triumphs over individualism, </w:t>
      </w:r>
      <w:r w:rsidR="002A4B88">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Japanese society's cohesion. Long-Term Orientation is also visible, </w:t>
      </w:r>
      <w:r w:rsidR="002A4B88">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perseverance and a propensity to invest in long-term relationships.  </w:t>
      </w:r>
    </w:p>
    <w:p w14:paraId="2AA23A2D" w14:textId="77777777" w:rsidR="001E6C05" w:rsidRDefault="00AE781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AA23A4A" wp14:editId="2AA23A4B">
            <wp:extent cx="2877942" cy="27994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43162" t="28681" r="21580" b="10351"/>
                    <a:stretch>
                      <a:fillRect/>
                    </a:stretch>
                  </pic:blipFill>
                  <pic:spPr>
                    <a:xfrm>
                      <a:off x="0" y="0"/>
                      <a:ext cx="2877942" cy="2799453"/>
                    </a:xfrm>
                    <a:prstGeom prst="rect">
                      <a:avLst/>
                    </a:prstGeom>
                    <a:ln/>
                  </pic:spPr>
                </pic:pic>
              </a:graphicData>
            </a:graphic>
          </wp:inline>
        </w:drawing>
      </w:r>
    </w:p>
    <w:p w14:paraId="2AA23A2E" w14:textId="77777777" w:rsidR="001E6C05" w:rsidRDefault="00AE781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Ranking of societal clusters using relative country cluster scores (Dickson et al., 2012: 443)</w:t>
      </w:r>
    </w:p>
    <w:p w14:paraId="2AA23A2F"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lastRenderedPageBreak/>
        <w:t>Cultural intelligence and sensitivity</w:t>
      </w:r>
    </w:p>
    <w:p w14:paraId="2AA23A30" w14:textId="77777777" w:rsidR="001E6C05" w:rsidRDefault="00AE7817" w:rsidP="00D548E1">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 aforementioned particular customs and cultures in Japan, the imperative of cultural intelligence and sensitivity within Diversity Hotel &amp; Spa in Japan cannot be overstated. Rooted in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that effective intercultural interactions are foundational to success in this global business landscape, cultural intelligence and sensitivity are not mere luxuries but strategic imperatives. Cultural intelligence, often called CQ, denotes an individual's capability to function effectively in culturally diverse</w:t>
      </w:r>
      <w:r>
        <w:rPr>
          <w:rFonts w:ascii="Times New Roman" w:eastAsia="Times New Roman" w:hAnsi="Times New Roman" w:cs="Times New Roman"/>
          <w:sz w:val="24"/>
          <w:szCs w:val="24"/>
        </w:rPr>
        <w:t xml:space="preserve"> settings, encompassing understanding and adapting to cultural norms, values,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(Li, 2020). See Figure 2 below on the cultural intelligence factors. On the other hand, sensitivity involves an acute awareness and respect for the nuances of diverse cultures. </w:t>
      </w:r>
    </w:p>
    <w:p w14:paraId="2AA23A31" w14:textId="77777777" w:rsidR="001E6C05" w:rsidRDefault="00AE7817">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AA23A4C" wp14:editId="2AA23A4D">
            <wp:extent cx="5943600" cy="1644013"/>
            <wp:effectExtent l="0" t="0" r="0" b="0"/>
            <wp:docPr id="2" name="image2.png" descr="Socsci 10 00312 g001"/>
            <wp:cNvGraphicFramePr/>
            <a:graphic xmlns:a="http://schemas.openxmlformats.org/drawingml/2006/main">
              <a:graphicData uri="http://schemas.openxmlformats.org/drawingml/2006/picture">
                <pic:pic xmlns:pic="http://schemas.openxmlformats.org/drawingml/2006/picture">
                  <pic:nvPicPr>
                    <pic:cNvPr id="0" name="image2.png" descr="Socsci 10 00312 g001"/>
                    <pic:cNvPicPr preferRelativeResize="0"/>
                  </pic:nvPicPr>
                  <pic:blipFill>
                    <a:blip r:embed="rId8"/>
                    <a:srcRect/>
                    <a:stretch>
                      <a:fillRect/>
                    </a:stretch>
                  </pic:blipFill>
                  <pic:spPr>
                    <a:xfrm>
                      <a:off x="0" y="0"/>
                      <a:ext cx="5943600" cy="1644013"/>
                    </a:xfrm>
                    <a:prstGeom prst="rect">
                      <a:avLst/>
                    </a:prstGeom>
                    <a:ln/>
                  </pic:spPr>
                </pic:pic>
              </a:graphicData>
            </a:graphic>
          </wp:inline>
        </w:drawing>
      </w:r>
    </w:p>
    <w:p w14:paraId="2AA23A32" w14:textId="77777777" w:rsidR="001E6C05" w:rsidRDefault="00AE781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Four-dimensional model of cultural intelligence (</w:t>
      </w:r>
      <w:proofErr w:type="spellStart"/>
      <w:r>
        <w:rPr>
          <w:rFonts w:ascii="Times New Roman" w:eastAsia="Times New Roman" w:hAnsi="Times New Roman" w:cs="Times New Roman"/>
          <w:sz w:val="24"/>
          <w:szCs w:val="24"/>
        </w:rPr>
        <w:t>Wawrosz</w:t>
      </w:r>
      <w:proofErr w:type="spellEnd"/>
      <w:r>
        <w:rPr>
          <w:rFonts w:ascii="Times New Roman" w:eastAsia="Times New Roman" w:hAnsi="Times New Roman" w:cs="Times New Roman"/>
          <w:sz w:val="24"/>
          <w:szCs w:val="24"/>
        </w:rPr>
        <w:t xml:space="preserve"> et al., 2021: 5). </w:t>
      </w:r>
    </w:p>
    <w:p w14:paraId="2AA23A33" w14:textId="77777777" w:rsidR="001E6C05" w:rsidRDefault="00AE7817" w:rsidP="005D2CB0">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 product of the hotel sector is hospitality, and the visitor experience is significant (Lam et al. 2021). Cultural intelligence improves communication by ensuring personnel can perceive and respond to guests' demands in culturally appropriate ways. It includes comprehending communication styles, nonverbal clues, contextual appropriateness, and language skills. Guests who feel understood and valued are more likely to be pleased with their stay, resulting in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feedback and repeat business.</w:t>
      </w:r>
    </w:p>
    <w:p w14:paraId="2AA23A34" w14:textId="77777777" w:rsidR="001E6C05" w:rsidRDefault="00AE7817" w:rsidP="005D2CB0">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Cultural sensitivity is critical in avoiding unintended cultural blunders in this new environment (Madon et al., 2023). Misinterpretations or insensitivity to cultural differences can result in misunderstandings, discomfort, or even </w:t>
      </w:r>
      <w:proofErr w:type="gramStart"/>
      <w:r>
        <w:rPr>
          <w:rFonts w:ascii="Times New Roman" w:eastAsia="Times New Roman" w:hAnsi="Times New Roman" w:cs="Times New Roman"/>
          <w:sz w:val="24"/>
          <w:szCs w:val="24"/>
        </w:rPr>
        <w:t>insult</w:t>
      </w:r>
      <w:proofErr w:type="gramEnd"/>
      <w:r>
        <w:rPr>
          <w:rFonts w:ascii="Times New Roman" w:eastAsia="Times New Roman" w:hAnsi="Times New Roman" w:cs="Times New Roman"/>
          <w:sz w:val="24"/>
          <w:szCs w:val="24"/>
        </w:rPr>
        <w:t xml:space="preserve"> (Li, 2020). Avoiding such blunders is not only a matter of cultural respect in a service-oriented industry like hospitality, where establishing a welcome atmosphere is vital, but it is also a commercial imperative to retain the hotel's reputation (Yang et al., 2022). As a result, cultural </w:t>
      </w:r>
      <w:proofErr w:type="gramStart"/>
      <w:r>
        <w:rPr>
          <w:rFonts w:ascii="Times New Roman" w:eastAsia="Times New Roman" w:hAnsi="Times New Roman" w:cs="Times New Roman"/>
          <w:sz w:val="24"/>
          <w:szCs w:val="24"/>
        </w:rPr>
        <w:t>intelligence</w:t>
      </w:r>
      <w:proofErr w:type="gramEnd"/>
      <w:r>
        <w:rPr>
          <w:rFonts w:ascii="Times New Roman" w:eastAsia="Times New Roman" w:hAnsi="Times New Roman" w:cs="Times New Roman"/>
          <w:sz w:val="24"/>
          <w:szCs w:val="24"/>
        </w:rPr>
        <w:t xml:space="preserve"> and sensitivity act as bridges between cultures, generating a sense of inclusion and acceptance. Diversity Hotel &amp; Spa in Japan's hotel workforce comprises people from various cultural backgrounds, and </w:t>
      </w:r>
      <w:r>
        <w:rPr>
          <w:rFonts w:ascii="Times New Roman" w:eastAsia="Times New Roman" w:hAnsi="Times New Roman" w:cs="Times New Roman"/>
          <w:sz w:val="24"/>
          <w:szCs w:val="24"/>
        </w:rPr>
        <w:t>creating an environment where cultural differences are acknowledged and celebrated is critical to creating a positive workplace culture and improving employee morale and teamwork.</w:t>
      </w:r>
    </w:p>
    <w:p w14:paraId="2AA23A35"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t>Conclusion</w:t>
      </w:r>
    </w:p>
    <w:p w14:paraId="2AA23A36" w14:textId="77777777" w:rsidR="001E6C05" w:rsidRDefault="00AE7817" w:rsidP="005D2CB0">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global hospitality market,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seek unique and authentic experiences. Therefore, this hotel must demonstrate cultural intelligence and sensitivity to gain a competitive edge. By doing so, guests will be increasingly drawn to the hotel, going beyond the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approach</w:t>
      </w:r>
      <w:proofErr w:type="gramEnd"/>
      <w:r>
        <w:rPr>
          <w:rFonts w:ascii="Times New Roman" w:eastAsia="Times New Roman" w:hAnsi="Times New Roman" w:cs="Times New Roman"/>
          <w:sz w:val="24"/>
          <w:szCs w:val="24"/>
        </w:rPr>
        <w:t xml:space="preserve"> and offering a culturally immersive experience (Lam et al. 2021). It will attract a diverse clientele and contribute to the hotel's brand differentiation.</w:t>
      </w:r>
    </w:p>
    <w:p w14:paraId="2AA23A37" w14:textId="77777777" w:rsidR="001E6C05" w:rsidRDefault="00AE7817">
      <w:pPr>
        <w:pStyle w:val="Heading2"/>
        <w:spacing w:line="480" w:lineRule="auto"/>
        <w:rPr>
          <w:rFonts w:ascii="Times New Roman" w:eastAsia="Times New Roman" w:hAnsi="Times New Roman" w:cs="Times New Roman"/>
          <w:b/>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t>Recommendations</w:t>
      </w:r>
    </w:p>
    <w:p w14:paraId="2AA23A38" w14:textId="77777777" w:rsidR="001E6C05" w:rsidRDefault="00AE7817" w:rsidP="005D2CB0">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recommendations would be helpful in this context in preparation for the upcoming training session for the Diversity Hotel &amp; Spa's expansion into Japan and are as follows:</w:t>
      </w:r>
    </w:p>
    <w:p w14:paraId="2AA23A39" w14:textId="77777777" w:rsidR="001E6C05" w:rsidRDefault="00AE7817" w:rsidP="005D2CB0">
      <w:pPr>
        <w:numPr>
          <w:ilvl w:val="1"/>
          <w:numId w:val="1"/>
        </w:numPr>
        <w:pBdr>
          <w:top w:val="nil"/>
          <w:left w:val="nil"/>
          <w:bottom w:val="nil"/>
          <w:right w:val="nil"/>
          <w:between w:val="nil"/>
        </w:pBdr>
        <w:spacing w:after="0" w:line="480" w:lineRule="auto"/>
        <w:jc w:val="both"/>
        <w:rPr>
          <w:color w:val="000000"/>
          <w:sz w:val="24"/>
          <w:szCs w:val="24"/>
        </w:rPr>
      </w:pPr>
      <w:r>
        <w:rPr>
          <w:rFonts w:ascii="Times New Roman" w:eastAsia="Times New Roman" w:hAnsi="Times New Roman" w:cs="Times New Roman"/>
          <w:color w:val="000000"/>
          <w:sz w:val="24"/>
          <w:szCs w:val="24"/>
        </w:rPr>
        <w:t xml:space="preserve">Extensive cultural training programs are recommended due to their usefulness in educating hotel workers on the complexities of Japanese customs, communication styles, and hospitality expectations. As elucidated by Li (2020), a well-rounded </w:t>
      </w:r>
      <w:r>
        <w:rPr>
          <w:rFonts w:ascii="Times New Roman" w:eastAsia="Times New Roman" w:hAnsi="Times New Roman" w:cs="Times New Roman"/>
          <w:color w:val="000000"/>
          <w:sz w:val="24"/>
          <w:szCs w:val="24"/>
        </w:rPr>
        <w:lastRenderedPageBreak/>
        <w:t>cultural training project will provide workers with the necessary skills to connect with guests and traverse the nuances of Japanese society.</w:t>
      </w:r>
    </w:p>
    <w:p w14:paraId="2AA23A3A" w14:textId="77777777" w:rsidR="001E6C05" w:rsidRDefault="00AE7817" w:rsidP="005D2CB0">
      <w:pPr>
        <w:numPr>
          <w:ilvl w:val="1"/>
          <w:numId w:val="1"/>
        </w:numPr>
        <w:pBdr>
          <w:top w:val="nil"/>
          <w:left w:val="nil"/>
          <w:bottom w:val="nil"/>
          <w:right w:val="nil"/>
          <w:between w:val="nil"/>
        </w:pBdr>
        <w:spacing w:after="0" w:line="480" w:lineRule="auto"/>
        <w:jc w:val="both"/>
        <w:rPr>
          <w:color w:val="000000"/>
          <w:sz w:val="24"/>
          <w:szCs w:val="24"/>
        </w:rPr>
      </w:pPr>
      <w:r>
        <w:rPr>
          <w:rFonts w:ascii="Times New Roman" w:eastAsia="Times New Roman" w:hAnsi="Times New Roman" w:cs="Times New Roman"/>
          <w:color w:val="000000"/>
          <w:sz w:val="24"/>
          <w:szCs w:val="24"/>
        </w:rPr>
        <w:t xml:space="preserve">It is critical to </w:t>
      </w:r>
      <w:proofErr w:type="spellStart"/>
      <w:r>
        <w:rPr>
          <w:rFonts w:ascii="Times New Roman" w:eastAsia="Times New Roman" w:hAnsi="Times New Roman" w:cs="Times New Roman"/>
          <w:color w:val="000000"/>
          <w:sz w:val="24"/>
          <w:szCs w:val="24"/>
        </w:rPr>
        <w:t>emphasise</w:t>
      </w:r>
      <w:proofErr w:type="spellEnd"/>
      <w:r>
        <w:rPr>
          <w:rFonts w:ascii="Times New Roman" w:eastAsia="Times New Roman" w:hAnsi="Times New Roman" w:cs="Times New Roman"/>
          <w:color w:val="000000"/>
          <w:sz w:val="24"/>
          <w:szCs w:val="24"/>
        </w:rPr>
        <w:t xml:space="preserve"> adopting adaptive leadership styles within the hotel's managerial framework. Leaders should use a collaborative approach consistent with the collectivist nature of Japanese society, as this will help build a sense of collective responsibility and harmony within the hotel staff. The hotel may build a management culture that connects positively with personnel and visitors by integrating leadership tactics that resonate with Japanese cultural preferences.</w:t>
      </w:r>
    </w:p>
    <w:p w14:paraId="2AA23A3B" w14:textId="77777777" w:rsidR="001E6C05" w:rsidRDefault="00AE7817" w:rsidP="005D2CB0">
      <w:pPr>
        <w:numPr>
          <w:ilvl w:val="1"/>
          <w:numId w:val="1"/>
        </w:numPr>
        <w:pBdr>
          <w:top w:val="nil"/>
          <w:left w:val="nil"/>
          <w:bottom w:val="nil"/>
          <w:right w:val="nil"/>
          <w:between w:val="nil"/>
        </w:pBdr>
        <w:spacing w:line="480" w:lineRule="auto"/>
        <w:jc w:val="both"/>
        <w:rPr>
          <w:color w:val="000000"/>
          <w:sz w:val="24"/>
          <w:szCs w:val="24"/>
        </w:rPr>
      </w:pPr>
      <w:r>
        <w:rPr>
          <w:rFonts w:ascii="Times New Roman" w:eastAsia="Times New Roman" w:hAnsi="Times New Roman" w:cs="Times New Roman"/>
          <w:color w:val="000000"/>
          <w:sz w:val="24"/>
          <w:szCs w:val="24"/>
        </w:rPr>
        <w:t xml:space="preserve">Furthermore, it is critical to incorporate cross-cultural communication tools into daily operations (Kamal </w:t>
      </w:r>
      <w:proofErr w:type="spellStart"/>
      <w:r>
        <w:rPr>
          <w:rFonts w:ascii="Times New Roman" w:eastAsia="Times New Roman" w:hAnsi="Times New Roman" w:cs="Times New Roman"/>
          <w:color w:val="000000"/>
          <w:sz w:val="24"/>
          <w:szCs w:val="24"/>
        </w:rPr>
        <w:t>Abdien</w:t>
      </w:r>
      <w:proofErr w:type="spellEnd"/>
      <w:r>
        <w:rPr>
          <w:rFonts w:ascii="Times New Roman" w:eastAsia="Times New Roman" w:hAnsi="Times New Roman" w:cs="Times New Roman"/>
          <w:color w:val="000000"/>
          <w:sz w:val="24"/>
          <w:szCs w:val="24"/>
        </w:rPr>
        <w:t xml:space="preserve"> et al. 2019). This plan involves practical steps such as multilingual assistance, cultural awareness items in guest rooms, and regular staff training on efficient international communication. These technologies act as cultural bridges, promoting smooth communication and ensuring guests feel welcomed and fully understood during their stay.</w:t>
      </w:r>
    </w:p>
    <w:p w14:paraId="2AA23A3C" w14:textId="77777777" w:rsidR="001E6C05" w:rsidRDefault="00AE7817" w:rsidP="005D2CB0">
      <w:pPr>
        <w:spacing w:line="48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recommendations comprise a complete approach for cultivating a culturally knowledgeable and sensitive atmosphere within Diversity Hotel &amp; Spa's new venture in Japan. By applying the </w:t>
      </w:r>
      <w:proofErr w:type="gramStart"/>
      <w:r>
        <w:rPr>
          <w:rFonts w:ascii="Times New Roman" w:eastAsia="Times New Roman" w:hAnsi="Times New Roman" w:cs="Times New Roman"/>
          <w:sz w:val="24"/>
          <w:szCs w:val="24"/>
        </w:rPr>
        <w:t>aforementioned guidelines</w:t>
      </w:r>
      <w:proofErr w:type="gramEnd"/>
      <w:r>
        <w:rPr>
          <w:rFonts w:ascii="Times New Roman" w:eastAsia="Times New Roman" w:hAnsi="Times New Roman" w:cs="Times New Roman"/>
          <w:sz w:val="24"/>
          <w:szCs w:val="24"/>
        </w:rPr>
        <w:t>, the hotel will not be able to traverse the difficulties of the Japanese market effectively. Still, it will also be able to establish itself as a beacon of cultural inclusion and quality in the international hospitality arena.</w:t>
      </w:r>
    </w:p>
    <w:p w14:paraId="2AA23A3D" w14:textId="77777777" w:rsidR="001E6C05" w:rsidRDefault="001E6C05">
      <w:pPr>
        <w:spacing w:line="480" w:lineRule="auto"/>
        <w:rPr>
          <w:rFonts w:ascii="Times New Roman" w:eastAsia="Times New Roman" w:hAnsi="Times New Roman" w:cs="Times New Roman"/>
          <w:sz w:val="24"/>
          <w:szCs w:val="24"/>
        </w:rPr>
      </w:pPr>
    </w:p>
    <w:p w14:paraId="2AA23A3E" w14:textId="77777777" w:rsidR="001E6C05" w:rsidRDefault="001E6C05">
      <w:pPr>
        <w:spacing w:line="480" w:lineRule="auto"/>
        <w:ind w:firstLine="720"/>
        <w:jc w:val="center"/>
        <w:rPr>
          <w:rFonts w:ascii="Times New Roman" w:eastAsia="Times New Roman" w:hAnsi="Times New Roman" w:cs="Times New Roman"/>
          <w:sz w:val="24"/>
          <w:szCs w:val="24"/>
        </w:rPr>
      </w:pPr>
    </w:p>
    <w:p w14:paraId="2AA23A3F" w14:textId="77777777" w:rsidR="001E6C05" w:rsidRDefault="00AE7817">
      <w:pPr>
        <w:pStyle w:val="Heading2"/>
        <w:spacing w:line="480" w:lineRule="auto"/>
        <w:jc w:val="center"/>
        <w:rPr>
          <w:rFonts w:ascii="Times New Roman" w:eastAsia="Times New Roman" w:hAnsi="Times New Roman" w:cs="Times New Roman"/>
          <w:b/>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lastRenderedPageBreak/>
        <w:t>Reference List</w:t>
      </w:r>
    </w:p>
    <w:p w14:paraId="2AA23A40"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J. and Brown, J., 2006. China, Japan, Korea: Culture and Customs. Ju Brown.</w:t>
      </w:r>
    </w:p>
    <w:p w14:paraId="2AA23A41"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Dickson, M., </w:t>
      </w:r>
      <w:proofErr w:type="spellStart"/>
      <w:r>
        <w:rPr>
          <w:rFonts w:ascii="Times New Roman" w:eastAsia="Times New Roman" w:hAnsi="Times New Roman" w:cs="Times New Roman"/>
          <w:sz w:val="24"/>
          <w:szCs w:val="24"/>
        </w:rPr>
        <w:t>Lelchook</w:t>
      </w:r>
      <w:proofErr w:type="spellEnd"/>
      <w:r>
        <w:rPr>
          <w:rFonts w:ascii="Times New Roman" w:eastAsia="Times New Roman" w:hAnsi="Times New Roman" w:cs="Times New Roman"/>
          <w:sz w:val="24"/>
          <w:szCs w:val="24"/>
        </w:rPr>
        <w:t xml:space="preserve">, A.M., de Luque, M.S. and Hanges, P., 2012. Project GLOBE: Global leadership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education.</w:t>
      </w:r>
    </w:p>
    <w:p w14:paraId="2AA23A42"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House, R.J., Hanges, P.J., Javidan, M., Dorfman, P.W. and Gupta, V. eds., 2004. Culture, leadership,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The GLOBE study of 62 societies. Sage publications.</w:t>
      </w:r>
    </w:p>
    <w:p w14:paraId="2AA23A43"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Kamal </w:t>
      </w:r>
      <w:proofErr w:type="spellStart"/>
      <w:r>
        <w:rPr>
          <w:rFonts w:ascii="Times New Roman" w:eastAsia="Times New Roman" w:hAnsi="Times New Roman" w:cs="Times New Roman"/>
          <w:sz w:val="24"/>
          <w:szCs w:val="24"/>
        </w:rPr>
        <w:t>Abdien</w:t>
      </w:r>
      <w:proofErr w:type="spellEnd"/>
      <w:r>
        <w:rPr>
          <w:rFonts w:ascii="Times New Roman" w:eastAsia="Times New Roman" w:hAnsi="Times New Roman" w:cs="Times New Roman"/>
          <w:sz w:val="24"/>
          <w:szCs w:val="24"/>
        </w:rPr>
        <w:t>, M. and Jacob, M., 2019. Cross-cultural training and cultural intelligence of hospitality students: a case study in Egypt and Spain. Journal of Teaching in Travel &amp; Tourism, 19(3), pp.191-215.</w:t>
      </w:r>
    </w:p>
    <w:p w14:paraId="2AA23A44"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Lam, R., Cheung, C. and Lugosi, P., 2021. The impacts of cultural and emotional intelligence on hotel guest satisfaction: Asian and </w:t>
      </w:r>
      <w:proofErr w:type="spellStart"/>
      <w:r>
        <w:rPr>
          <w:rFonts w:ascii="Times New Roman" w:eastAsia="Times New Roman" w:hAnsi="Times New Roman" w:cs="Times New Roman"/>
          <w:sz w:val="24"/>
          <w:szCs w:val="24"/>
        </w:rPr>
        <w:t>non-Asian</w:t>
      </w:r>
      <w:proofErr w:type="spellEnd"/>
      <w:r>
        <w:rPr>
          <w:rFonts w:ascii="Times New Roman" w:eastAsia="Times New Roman" w:hAnsi="Times New Roman" w:cs="Times New Roman"/>
          <w:sz w:val="24"/>
          <w:szCs w:val="24"/>
        </w:rPr>
        <w:t xml:space="preserve"> perceptions of staff capabilities. Journal of China Tourism Research, 17(3), pp.455-477.</w:t>
      </w:r>
    </w:p>
    <w:p w14:paraId="2AA23A45"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M., 2020. An examination of two major constructs of cross-cultural competence: Cultural intelligence and intercultural competence. Personality and individual differences, 164, p.110105.</w:t>
      </w:r>
    </w:p>
    <w:p w14:paraId="2AA23A46"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Madon, H. and Sekhon, K.K., 2023. Language and culture. JOURNAL OF COMMUNICATION, 3(1). </w:t>
      </w:r>
      <w:hyperlink r:id="rId9">
        <w:r>
          <w:rPr>
            <w:rFonts w:ascii="Times New Roman" w:eastAsia="Times New Roman" w:hAnsi="Times New Roman" w:cs="Times New Roman"/>
            <w:color w:val="0563C1"/>
            <w:sz w:val="24"/>
            <w:szCs w:val="24"/>
            <w:u w:val="single"/>
          </w:rPr>
          <w:t>https://doi.org/10.33093/jclc.2023.3.1.6</w:t>
        </w:r>
      </w:hyperlink>
      <w:r>
        <w:rPr>
          <w:rFonts w:ascii="Times New Roman" w:eastAsia="Times New Roman" w:hAnsi="Times New Roman" w:cs="Times New Roman"/>
          <w:sz w:val="24"/>
          <w:szCs w:val="24"/>
        </w:rPr>
        <w:t xml:space="preserve"> </w:t>
      </w:r>
    </w:p>
    <w:p w14:paraId="2AA23A47" w14:textId="77777777" w:rsidR="001E6C05" w:rsidRDefault="00AE7817" w:rsidP="005D2CB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Qiu, D., Lin, P.M., Feng, S.Y., Peng, K.L. and Fan, D., 2020. The future of Airbnb in China: industry perspective from hospitality leaders. Tourism Review, 75(4), pp.609-624. </w:t>
      </w:r>
    </w:p>
    <w:p w14:paraId="2AA23A48" w14:textId="77777777" w:rsidR="001E6C05" w:rsidRDefault="00AE7817" w:rsidP="005D2CB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Wawrosz</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Jurásek</w:t>
      </w:r>
      <w:proofErr w:type="spellEnd"/>
      <w:r>
        <w:rPr>
          <w:rFonts w:ascii="Times New Roman" w:eastAsia="Times New Roman" w:hAnsi="Times New Roman" w:cs="Times New Roman"/>
          <w:sz w:val="24"/>
          <w:szCs w:val="24"/>
        </w:rPr>
        <w:t xml:space="preserve">, M., 2021. Developing intercultural efficiency: The relationship between cultural intelligence and self-efficacy. Social Sciences, 10(8), p.312. </w:t>
      </w:r>
      <w:hyperlink r:id="rId10">
        <w:r>
          <w:rPr>
            <w:rFonts w:ascii="Times New Roman" w:eastAsia="Times New Roman" w:hAnsi="Times New Roman" w:cs="Times New Roman"/>
            <w:color w:val="0563C1"/>
            <w:sz w:val="24"/>
            <w:szCs w:val="24"/>
            <w:u w:val="single"/>
          </w:rPr>
          <w:t>https://doi.org/10.3390/socsci10080312</w:t>
        </w:r>
      </w:hyperlink>
      <w:r>
        <w:rPr>
          <w:rFonts w:ascii="Times New Roman" w:eastAsia="Times New Roman" w:hAnsi="Times New Roman" w:cs="Times New Roman"/>
          <w:sz w:val="24"/>
          <w:szCs w:val="24"/>
        </w:rPr>
        <w:t xml:space="preserve"> </w:t>
      </w:r>
    </w:p>
    <w:p w14:paraId="2AA23A49" w14:textId="77777777" w:rsidR="001E6C05" w:rsidRDefault="00AE7817">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H., Cheung, C. and Li, W., 2022. Intercultural communication competency practices in the hotel industry. Journal of China Tourism Research, 18(1), pp.162-184. </w:t>
      </w:r>
      <w:hyperlink r:id="rId11">
        <w:r>
          <w:rPr>
            <w:rFonts w:ascii="Times New Roman" w:eastAsia="Times New Roman" w:hAnsi="Times New Roman" w:cs="Times New Roman"/>
            <w:color w:val="0563C1"/>
            <w:sz w:val="24"/>
            <w:szCs w:val="24"/>
            <w:u w:val="single"/>
          </w:rPr>
          <w:t>https://doi.org/10.1080/19388160.2020.1807432</w:t>
        </w:r>
      </w:hyperlink>
      <w:r>
        <w:rPr>
          <w:rFonts w:ascii="Times New Roman" w:eastAsia="Times New Roman" w:hAnsi="Times New Roman" w:cs="Times New Roman"/>
          <w:sz w:val="24"/>
          <w:szCs w:val="24"/>
        </w:rPr>
        <w:t xml:space="preserve"> </w:t>
      </w:r>
    </w:p>
    <w:sectPr w:rsidR="001E6C05">
      <w:head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23A53" w14:textId="77777777" w:rsidR="00AE7817" w:rsidRDefault="00AE7817">
      <w:pPr>
        <w:spacing w:after="0" w:line="240" w:lineRule="auto"/>
      </w:pPr>
      <w:r>
        <w:separator/>
      </w:r>
    </w:p>
  </w:endnote>
  <w:endnote w:type="continuationSeparator" w:id="0">
    <w:p w14:paraId="2AA23A55" w14:textId="77777777" w:rsidR="00AE7817" w:rsidRDefault="00AE7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23A4F" w14:textId="77777777" w:rsidR="00AE7817" w:rsidRDefault="00AE7817">
      <w:pPr>
        <w:spacing w:after="0" w:line="240" w:lineRule="auto"/>
      </w:pPr>
      <w:r>
        <w:separator/>
      </w:r>
    </w:p>
  </w:footnote>
  <w:footnote w:type="continuationSeparator" w:id="0">
    <w:p w14:paraId="2AA23A51" w14:textId="77777777" w:rsidR="00AE7817" w:rsidRDefault="00AE7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23A4E" w14:textId="2C559D4D" w:rsidR="001E6C05" w:rsidRDefault="00AE7817">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INTERCULTURAL COMPETENCE REPORT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10306">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766A7"/>
    <w:multiLevelType w:val="multilevel"/>
    <w:tmpl w:val="A42EE4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63997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C05"/>
    <w:rsid w:val="001E6C05"/>
    <w:rsid w:val="002A4B88"/>
    <w:rsid w:val="00493A94"/>
    <w:rsid w:val="005D2CB0"/>
    <w:rsid w:val="00927725"/>
    <w:rsid w:val="009E5F19"/>
    <w:rsid w:val="00A51E03"/>
    <w:rsid w:val="00AE7817"/>
    <w:rsid w:val="00D548E1"/>
    <w:rsid w:val="00E10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23A02"/>
  <w15:docId w15:val="{A7E012E8-997E-4CBC-BEEB-5F14F0F9A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9388160.2020.1807432" TargetMode="External"/><Relationship Id="rId5" Type="http://schemas.openxmlformats.org/officeDocument/2006/relationships/footnotes" Target="footnotes.xml"/><Relationship Id="rId10" Type="http://schemas.openxmlformats.org/officeDocument/2006/relationships/hyperlink" Target="https://doi.org/10.3390/socsci10080312" TargetMode="External"/><Relationship Id="rId4" Type="http://schemas.openxmlformats.org/officeDocument/2006/relationships/webSettings" Target="webSettings.xml"/><Relationship Id="rId9" Type="http://schemas.openxmlformats.org/officeDocument/2006/relationships/hyperlink" Target="https://doi.org/10.33093/jclc.2023.3.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9</Pages>
  <Words>1594</Words>
  <Characters>9090</Characters>
  <Application>Microsoft Office Word</Application>
  <DocSecurity>0</DocSecurity>
  <Lines>75</Lines>
  <Paragraphs>21</Paragraphs>
  <ScaleCrop>false</ScaleCrop>
  <Company/>
  <LinksUpToDate>false</LinksUpToDate>
  <CharactersWithSpaces>10663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Izabela Filipek</cp:lastModifiedBy>
  <cp:revision>10</cp:revision>
  <dcterms:created xsi:type="dcterms:W3CDTF">2023-11-08T12:32:00Z</dcterms:created>
  <dcterms:modified xsi:type="dcterms:W3CDTF">2023-11-08T12:42:00Z</dcterms:modified>
</cp:coreProperties>
</file>