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15D248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27B2">
              <w:rPr>
                <w:rFonts w:ascii="Times New Roman" w:hAnsi="Times New Roman" w:cs="Times New Roman"/>
                <w:b/>
                <w:color w:val="auto"/>
                <w:sz w:val="48"/>
              </w:rPr>
              <w:t xml:space="preserve">Victoria Kelly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A7A5A4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27B2">
              <w:rPr>
                <w:rFonts w:ascii="Times New Roman" w:hAnsi="Times New Roman" w:cs="Times New Roman"/>
                <w:b/>
                <w:color w:val="auto"/>
                <w:sz w:val="48"/>
              </w:rPr>
              <w:t xml:space="preserve"> Vicky.kelly@conwy.gov.uk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7FF648C" w:rsidR="0085230E" w:rsidRPr="005D3F07" w:rsidRDefault="00AA27B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2320028</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243319C9"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Adult safeguarding is largely underpinned by Part 7 of the Social Services and Well-being (Wales) Act 2014 (SSWBA 2014) and the Wales Safeguarding Procedures (2019). Section 126 of the SSWBA 2014 refers to an ‘adult at risk’ as an adult who is:</w:t>
            </w:r>
            <w:r>
              <w:rPr>
                <w:rStyle w:val="eop"/>
                <w:rFonts w:ascii="Arial" w:hAnsi="Arial" w:cs="Arial"/>
                <w:color w:val="000000"/>
              </w:rPr>
              <w:t> </w:t>
            </w:r>
          </w:p>
          <w:p w14:paraId="5770F462"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w:t>
            </w:r>
            <w:r>
              <w:rPr>
                <w:rStyle w:val="normaltextrun"/>
                <w:rFonts w:ascii="Arial" w:hAnsi="Arial" w:cs="Arial"/>
                <w:i/>
                <w:iCs/>
                <w:color w:val="000000"/>
              </w:rPr>
              <w:t>(a)is experiencing or is at risk of abuse or neglect,</w:t>
            </w:r>
            <w:r>
              <w:rPr>
                <w:rStyle w:val="eop"/>
                <w:rFonts w:ascii="Arial" w:hAnsi="Arial" w:cs="Arial"/>
                <w:color w:val="000000"/>
              </w:rPr>
              <w:t> </w:t>
            </w:r>
          </w:p>
          <w:p w14:paraId="235C2E91"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rPr>
              <w:t>(b)has needs for care and support (whether or not the authority is meeting any of those needs), and</w:t>
            </w:r>
            <w:r>
              <w:rPr>
                <w:rStyle w:val="eop"/>
                <w:rFonts w:ascii="Arial" w:hAnsi="Arial" w:cs="Arial"/>
                <w:color w:val="000000"/>
              </w:rPr>
              <w:t> </w:t>
            </w:r>
          </w:p>
          <w:p w14:paraId="227337C9"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rPr>
              <w:t xml:space="preserve">(c)as a result of those needs is unable to protect himself or herself against the abuse or neglect or the risk of it” </w:t>
            </w:r>
            <w:r>
              <w:rPr>
                <w:rStyle w:val="normaltextrun"/>
                <w:rFonts w:ascii="Arial" w:hAnsi="Arial" w:cs="Arial"/>
                <w:color w:val="000000"/>
              </w:rPr>
              <w:t>(SSWBA 2014, Section 126 (1))</w:t>
            </w:r>
            <w:r>
              <w:rPr>
                <w:rStyle w:val="eop"/>
                <w:rFonts w:ascii="Arial" w:hAnsi="Arial" w:cs="Arial"/>
                <w:color w:val="000000"/>
              </w:rPr>
              <w:t> </w:t>
            </w:r>
          </w:p>
          <w:p w14:paraId="392FDBF5"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7C1619D8"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‘At risk’ means that actual abuse does not need to have occurred, but enables early intervention and prevention to safeguard adults, a key principle within the Social Services and Wellbeing (Wales) 2014 (SSWBA, 2014).  Additionally, the SSWBA 2014 and Wales Safeguarding Procedures 2019, abolished the previously used term ‘vulnerable adults’ (Welsh Government, 2010) for ‘adult at risk’ as this refers to the adults circumstances, rather than their characteristic. </w:t>
            </w:r>
            <w:r>
              <w:rPr>
                <w:rStyle w:val="eop"/>
                <w:rFonts w:ascii="Arial" w:hAnsi="Arial" w:cs="Arial"/>
                <w:color w:val="000000"/>
              </w:rPr>
              <w:t> </w:t>
            </w:r>
          </w:p>
          <w:p w14:paraId="76EA7D7C"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1CDCEE5E"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Duties within the SSWBA 2014, include adopting a person-centred approach and respecting the views and rights of individuals. The SSWBA 2014 states that when exercising functions under the act, there must be due regards to the United Nations Principles of Older Persons (1991). Part 7 of the SSWBA 2014 incorporates rights included in the European Convention of Human Rights which is given effect by the Human Rights Act (1998); further legislation that promotes the rights of adults also includes the Mental Capacity Act (2005). There is additional legislation recognised in Wales Safeguarding Procedures, 2019 designed to protect adults from more recently recognised forms of abuse such as Domestic Abuse (Violence against Women, Domestic Abuse and Sexual Violence (Wales) Act 2015 and the Modern Slavery Act 2015.</w:t>
            </w:r>
            <w:r>
              <w:rPr>
                <w:rStyle w:val="eop"/>
                <w:rFonts w:ascii="Arial" w:hAnsi="Arial" w:cs="Arial"/>
                <w:color w:val="000000"/>
              </w:rPr>
              <w:t> </w:t>
            </w:r>
          </w:p>
          <w:p w14:paraId="62B14A69"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46809C2D"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xml:space="preserve">It is emphasised that ‘Safeguarding is everybody’s responsibility’ (Welsh Government, 2017). If there is concern that an adult is experiencing or at risk of harm this must be reported to the Local Authority by relevant partners as outlined in Section 128 of the SSWBA 2014. </w:t>
            </w:r>
            <w:r>
              <w:rPr>
                <w:rStyle w:val="eop"/>
                <w:rFonts w:ascii="Arial" w:hAnsi="Arial" w:cs="Arial"/>
                <w:color w:val="000000"/>
              </w:rPr>
              <w:t> </w:t>
            </w:r>
          </w:p>
          <w:p w14:paraId="4EF431C1"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xml:space="preserve">He Local Authority have a duty to; </w:t>
            </w:r>
            <w:r>
              <w:rPr>
                <w:rStyle w:val="eop"/>
                <w:rFonts w:ascii="Arial" w:hAnsi="Arial" w:cs="Arial"/>
                <w:color w:val="000000"/>
              </w:rPr>
              <w:t> </w:t>
            </w:r>
          </w:p>
          <w:p w14:paraId="092596ED" w14:textId="77777777" w:rsidR="00AA27B2" w:rsidRDefault="00AA27B2" w:rsidP="00AA27B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21BC576"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rPr>
              <w:t>“</w:t>
            </w:r>
            <w:r>
              <w:rPr>
                <w:rStyle w:val="normaltextrun"/>
                <w:rFonts w:ascii="Arial" w:hAnsi="Arial" w:cs="Arial"/>
                <w:i/>
                <w:iCs/>
                <w:color w:val="000000"/>
              </w:rPr>
              <w:t>(a)make (or cause to be made) whatever enquiries it thinks necessary to enable it to decide whether any action should be taken (whether under this Act or otherwise) and, if so, what and by whom, and</w:t>
            </w:r>
            <w:r>
              <w:rPr>
                <w:rStyle w:val="eop"/>
                <w:rFonts w:ascii="Arial" w:hAnsi="Arial" w:cs="Arial"/>
                <w:color w:val="000000"/>
              </w:rPr>
              <w:t> </w:t>
            </w:r>
          </w:p>
          <w:p w14:paraId="7E72FEA7" w14:textId="1B089999" w:rsidR="00AA27B2" w:rsidRDefault="00AA27B2" w:rsidP="00AA27B2">
            <w:pPr>
              <w:pStyle w:val="paragraph"/>
              <w:shd w:val="clear" w:color="auto" w:fill="FFFFFF"/>
              <w:spacing w:before="0" w:beforeAutospacing="0" w:after="0" w:afterAutospacing="0"/>
              <w:textAlignment w:val="baseline"/>
              <w:rPr>
                <w:rStyle w:val="eop"/>
                <w:rFonts w:ascii="Arial" w:hAnsi="Arial" w:cs="Arial"/>
                <w:color w:val="000000"/>
              </w:rPr>
            </w:pPr>
            <w:r>
              <w:rPr>
                <w:rStyle w:val="normaltextrun"/>
                <w:rFonts w:ascii="Arial" w:hAnsi="Arial" w:cs="Arial"/>
                <w:i/>
                <w:iCs/>
                <w:color w:val="000000"/>
              </w:rPr>
              <w:t xml:space="preserve">(b)decide whether any such action should be taken” </w:t>
            </w:r>
            <w:r>
              <w:rPr>
                <w:rStyle w:val="normaltextrun"/>
                <w:rFonts w:ascii="Arial" w:hAnsi="Arial" w:cs="Arial"/>
                <w:color w:val="000000"/>
              </w:rPr>
              <w:t>(SSWBA 2014, S.126 (2))</w:t>
            </w:r>
            <w:r>
              <w:rPr>
                <w:rStyle w:val="eop"/>
                <w:rFonts w:ascii="Arial" w:hAnsi="Arial" w:cs="Arial"/>
                <w:color w:val="000000"/>
              </w:rPr>
              <w:t> </w:t>
            </w:r>
          </w:p>
          <w:p w14:paraId="33F93E27" w14:textId="10971F03" w:rsidR="00AA27B2" w:rsidRDefault="00AA27B2" w:rsidP="00AA27B2">
            <w:pPr>
              <w:pStyle w:val="paragraph"/>
              <w:shd w:val="clear" w:color="auto" w:fill="FFFFFF"/>
              <w:spacing w:before="0" w:beforeAutospacing="0" w:after="0" w:afterAutospacing="0"/>
              <w:textAlignment w:val="baseline"/>
              <w:rPr>
                <w:rStyle w:val="eop"/>
                <w:rFonts w:ascii="Arial" w:hAnsi="Arial" w:cs="Arial"/>
                <w:color w:val="000000"/>
              </w:rPr>
            </w:pPr>
          </w:p>
          <w:p w14:paraId="108D7B54"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p>
          <w:p w14:paraId="1CA0551E" w14:textId="77777777" w:rsidR="00AA27B2" w:rsidRDefault="00AA27B2" w:rsidP="00AA27B2">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rPr>
              <w:t>Good practice states that enquiries should be completed within seven working days of receiving the referral and where this is not possible, the reasons must be documented (Welsh Government, 2016). If such enquiries are impeded, an Adult Protection and Support Orders enables an authorised officer to fulfil this duty. Furthermore, S.134 of the SSWBA 2014,</w:t>
            </w:r>
            <w:r>
              <w:rPr>
                <w:rStyle w:val="normaltextrun"/>
                <w:rFonts w:ascii="Arial" w:hAnsi="Arial" w:cs="Arial"/>
                <w:color w:val="222222"/>
              </w:rPr>
              <w:t xml:space="preserve"> </w:t>
            </w:r>
            <w:r>
              <w:rPr>
                <w:rStyle w:val="normaltextrun"/>
                <w:rFonts w:ascii="Arial" w:hAnsi="Arial" w:cs="Arial"/>
              </w:rPr>
              <w:t>requires that regional Safeguarding Adult Boards are in place, with functions that include ensuring the effective coordination of services and good practice for adults who may be at risk of harm.</w:t>
            </w:r>
            <w:r>
              <w:rPr>
                <w:rStyle w:val="eop"/>
                <w:rFonts w:ascii="Arial" w:hAnsi="Arial" w:cs="Arial"/>
              </w:rPr>
              <w:t> </w:t>
            </w:r>
          </w:p>
          <w:p w14:paraId="1677C674" w14:textId="77777777" w:rsidR="00AA27B2" w:rsidRDefault="00AA27B2" w:rsidP="00AA27B2">
            <w:pPr>
              <w:pStyle w:val="paragraph"/>
              <w:spacing w:before="0" w:beforeAutospacing="0" w:after="0" w:afterAutospacing="0"/>
              <w:textAlignment w:val="baseline"/>
              <w:rPr>
                <w:rStyle w:val="normaltextrun"/>
                <w:rFonts w:ascii="Aptos" w:hAnsi="Aptos" w:cs="Segoe UI"/>
              </w:rPr>
            </w:pPr>
          </w:p>
          <w:p w14:paraId="4DEE2176" w14:textId="0B069466" w:rsidR="00AA27B2" w:rsidRDefault="00AA27B2" w:rsidP="00AA27B2">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478 words </w:t>
            </w:r>
            <w:r>
              <w:rPr>
                <w:rStyle w:val="eop"/>
                <w:rFonts w:ascii="Aptos" w:hAnsi="Aptos" w:cs="Segoe UI"/>
              </w:rPr>
              <w:t> </w:t>
            </w: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03BD6D93" w14:textId="56AD433A" w:rsidR="007A628F" w:rsidRPr="008B28E7" w:rsidRDefault="007A628F" w:rsidP="00AA27B2">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Pr="00AA27B2" w:rsidRDefault="00FC0334" w:rsidP="00FC0334">
            <w:pPr>
              <w:jc w:val="both"/>
              <w:rPr>
                <w:b/>
                <w:sz w:val="24"/>
                <w:szCs w:val="24"/>
              </w:rPr>
            </w:pPr>
            <w:r w:rsidRPr="00AA27B2">
              <w:rPr>
                <w:b/>
                <w:sz w:val="24"/>
                <w:szCs w:val="24"/>
              </w:rPr>
              <w:t>Reflect on the difference between safeguarding in adult</w:t>
            </w:r>
            <w:r w:rsidR="00C63CAB" w:rsidRPr="00AA27B2">
              <w:rPr>
                <w:b/>
                <w:sz w:val="24"/>
                <w:szCs w:val="24"/>
              </w:rPr>
              <w:t>s’</w:t>
            </w:r>
            <w:r w:rsidRPr="00AA27B2">
              <w:rPr>
                <w:b/>
                <w:sz w:val="24"/>
                <w:szCs w:val="24"/>
              </w:rPr>
              <w:t xml:space="preserve"> and children</w:t>
            </w:r>
            <w:r w:rsidR="007A628F" w:rsidRPr="00AA27B2">
              <w:rPr>
                <w:b/>
                <w:sz w:val="24"/>
                <w:szCs w:val="24"/>
              </w:rPr>
              <w:t>’s</w:t>
            </w:r>
            <w:r w:rsidRPr="00AA27B2">
              <w:rPr>
                <w:b/>
                <w:sz w:val="24"/>
                <w:szCs w:val="24"/>
              </w:rPr>
              <w:t xml:space="preserve"> work</w:t>
            </w:r>
          </w:p>
          <w:p w14:paraId="4CABE426" w14:textId="32F5C6C1" w:rsidR="00FC0334" w:rsidRDefault="00FC0334" w:rsidP="00FC0334">
            <w:pPr>
              <w:jc w:val="both"/>
              <w:rPr>
                <w:sz w:val="24"/>
                <w:szCs w:val="24"/>
              </w:rPr>
            </w:pPr>
          </w:p>
          <w:p w14:paraId="11C01008" w14:textId="2C4B4F7A" w:rsidR="00AA27B2" w:rsidRDefault="00AA27B2" w:rsidP="00AA27B2">
            <w:pPr>
              <w:pStyle w:val="paragraph"/>
              <w:spacing w:before="0" w:beforeAutospacing="0" w:after="0" w:afterAutospacing="0"/>
              <w:textAlignment w:val="baseline"/>
              <w:rPr>
                <w:rStyle w:val="eop"/>
                <w:rFonts w:ascii="Aptos" w:hAnsi="Aptos" w:cs="Segoe UI"/>
              </w:rPr>
            </w:pPr>
            <w:r>
              <w:rPr>
                <w:rStyle w:val="normaltextrun"/>
                <w:rFonts w:ascii="Aptos" w:hAnsi="Aptos" w:cs="Segoe UI"/>
                <w:lang w:val="en-US"/>
              </w:rPr>
              <w:t xml:space="preserve">Children and adults have differing needs and vulnerabilities, as such distinct approaches and consideration to the situation is required. </w:t>
            </w:r>
            <w:r>
              <w:rPr>
                <w:rStyle w:val="eop"/>
                <w:rFonts w:ascii="Aptos" w:hAnsi="Aptos" w:cs="Segoe UI"/>
              </w:rPr>
              <w:t> </w:t>
            </w:r>
          </w:p>
          <w:p w14:paraId="6034C965" w14:textId="77777777" w:rsidR="00AA27B2" w:rsidRDefault="00AA27B2" w:rsidP="00AA27B2">
            <w:pPr>
              <w:pStyle w:val="paragraph"/>
              <w:spacing w:before="0" w:beforeAutospacing="0" w:after="0" w:afterAutospacing="0"/>
              <w:textAlignment w:val="baseline"/>
              <w:rPr>
                <w:rFonts w:ascii="Segoe UI" w:hAnsi="Segoe UI" w:cs="Segoe UI"/>
                <w:sz w:val="18"/>
                <w:szCs w:val="18"/>
              </w:rPr>
            </w:pPr>
          </w:p>
          <w:p w14:paraId="59A10FCA" w14:textId="77777777" w:rsidR="00AA27B2" w:rsidRDefault="00AA27B2" w:rsidP="00AA27B2">
            <w:pPr>
              <w:pStyle w:val="paragraph"/>
              <w:spacing w:before="0" w:beforeAutospacing="0" w:after="0" w:afterAutospacing="0"/>
              <w:textAlignment w:val="baseline"/>
              <w:rPr>
                <w:rStyle w:val="normaltextrun"/>
                <w:rFonts w:ascii="Aptos" w:hAnsi="Aptos" w:cs="Segoe UI"/>
                <w:lang w:val="en-US"/>
              </w:rPr>
            </w:pPr>
            <w:r>
              <w:rPr>
                <w:rStyle w:val="normaltextrun"/>
                <w:rFonts w:ascii="Aptos" w:hAnsi="Aptos" w:cs="Segoe UI"/>
                <w:lang w:val="en-US"/>
              </w:rPr>
              <w:t xml:space="preserve">The key difference is that adults are presumed to have capacity and autonomy to make their own decisions, unless they are deemed not to have capacity for some reason such as poor mental health or a learning disability. The Mental Capacity Act 2005 (MCA, 2005) states that; </w:t>
            </w:r>
          </w:p>
          <w:p w14:paraId="7083102B" w14:textId="77777777" w:rsidR="00AA27B2" w:rsidRDefault="00AA27B2" w:rsidP="00AA27B2">
            <w:pPr>
              <w:pStyle w:val="paragraph"/>
              <w:spacing w:before="0" w:beforeAutospacing="0" w:after="0" w:afterAutospacing="0"/>
              <w:textAlignment w:val="baseline"/>
              <w:rPr>
                <w:rStyle w:val="normaltextrun"/>
                <w:rFonts w:ascii="Aptos" w:hAnsi="Aptos" w:cs="Segoe UI"/>
                <w:lang w:val="en-US"/>
              </w:rPr>
            </w:pPr>
          </w:p>
          <w:p w14:paraId="4609CC01" w14:textId="77777777" w:rsidR="00AA27B2" w:rsidRDefault="00AA27B2" w:rsidP="00AA27B2">
            <w:pPr>
              <w:pStyle w:val="paragraph"/>
              <w:spacing w:before="0" w:beforeAutospacing="0" w:after="0" w:afterAutospacing="0"/>
              <w:textAlignment w:val="baseline"/>
              <w:rPr>
                <w:rStyle w:val="normaltextrun"/>
                <w:rFonts w:ascii="Arial" w:hAnsi="Arial" w:cs="Arial"/>
                <w:i/>
                <w:iCs/>
                <w:color w:val="222222"/>
                <w:lang w:val="en-US"/>
              </w:rPr>
            </w:pPr>
            <w:r>
              <w:rPr>
                <w:rStyle w:val="normaltextrun"/>
                <w:rFonts w:ascii="Aptos" w:hAnsi="Aptos" w:cs="Segoe UI"/>
                <w:lang w:val="en-US"/>
              </w:rPr>
              <w:t>“</w:t>
            </w:r>
            <w:r>
              <w:rPr>
                <w:rStyle w:val="normaltextrun"/>
                <w:rFonts w:ascii="Arial" w:hAnsi="Arial" w:cs="Arial"/>
                <w:i/>
                <w:iCs/>
                <w:color w:val="222222"/>
                <w:lang w:val="en-US"/>
              </w:rPr>
              <w:t xml:space="preserve">A person is not to be treated as unable to make a decision merely because he makes an unwise decision”. </w:t>
            </w:r>
          </w:p>
          <w:p w14:paraId="3F87BF44" w14:textId="77777777" w:rsidR="00AA27B2" w:rsidRDefault="00AA27B2" w:rsidP="00AA27B2">
            <w:pPr>
              <w:pStyle w:val="paragraph"/>
              <w:spacing w:before="0" w:beforeAutospacing="0" w:after="0" w:afterAutospacing="0"/>
              <w:textAlignment w:val="baseline"/>
              <w:rPr>
                <w:rStyle w:val="normaltextrun"/>
                <w:rFonts w:ascii="Arial" w:hAnsi="Arial" w:cs="Arial"/>
                <w:i/>
                <w:iCs/>
                <w:color w:val="222222"/>
                <w:lang w:val="en-US"/>
              </w:rPr>
            </w:pPr>
          </w:p>
          <w:p w14:paraId="1033BAA8" w14:textId="249D3F07" w:rsidR="00AA27B2" w:rsidRDefault="00AA27B2" w:rsidP="00AA27B2">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lang w:val="en-US"/>
              </w:rPr>
              <w:t xml:space="preserve">Therefore, safeguarding adults often involves balancing their right to make choices with the need to protect them from harm. This requires careful assessment of their mental capacity and ensuring that interventions are the least restrictive option. Safeguarding adults primarily focusses on protecting individuals who are at risk of abuse or neglect due to their care and support needs. The SSWBA underpins the importance of a centered person approach and respecting the rights of individuals. The Codes of Professional Practice embed this principle and ensure that the individual has a voice and can work with individuals to decide their care needs. If an adult is deemed capacitous, they are not obliged to accept the care and support being offered to them. Any care and support must be consented to. </w:t>
            </w:r>
            <w:r>
              <w:rPr>
                <w:rStyle w:val="eop"/>
                <w:rFonts w:ascii="Aptos" w:hAnsi="Aptos" w:cs="Segoe UI"/>
              </w:rPr>
              <w:t> </w:t>
            </w:r>
          </w:p>
          <w:p w14:paraId="34703713" w14:textId="6BFE7DC3" w:rsidR="00AA27B2" w:rsidRDefault="00AA27B2" w:rsidP="00AA27B2">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bookmarkStart w:id="0" w:name="_GoBack"/>
            <w:bookmarkEnd w:id="0"/>
            <w:r>
              <w:rPr>
                <w:rStyle w:val="eop"/>
                <w:rFonts w:ascii="Arial" w:hAnsi="Arial" w:cs="Arial"/>
                <w:color w:val="222222"/>
              </w:rPr>
              <w:t> </w:t>
            </w:r>
          </w:p>
          <w:p w14:paraId="4FFD96BD" w14:textId="2650059F" w:rsidR="00AA27B2" w:rsidRDefault="00AA27B2" w:rsidP="00AA27B2">
            <w:pPr>
              <w:pStyle w:val="paragraph"/>
              <w:spacing w:before="0" w:beforeAutospacing="0" w:after="0" w:afterAutospacing="0"/>
              <w:textAlignment w:val="baseline"/>
              <w:rPr>
                <w:rStyle w:val="eop"/>
                <w:rFonts w:ascii="Aptos" w:hAnsi="Aptos" w:cs="Segoe UI"/>
              </w:rPr>
            </w:pPr>
            <w:r>
              <w:rPr>
                <w:rStyle w:val="normaltextrun"/>
                <w:rFonts w:ascii="Aptos" w:hAnsi="Aptos" w:cs="Segoe UI"/>
                <w:lang w:val="en-US"/>
              </w:rPr>
              <w:t xml:space="preserve">In contrast, The Children Act 1989 and subsequent legislation emphasise that the childs welfare is the priority and any care and support must be done in the child's best interests. This is the guiding principle of children's safeguarding legislation. </w:t>
            </w:r>
            <w:r>
              <w:rPr>
                <w:rStyle w:val="eop"/>
                <w:rFonts w:ascii="Aptos" w:hAnsi="Aptos" w:cs="Segoe UI"/>
              </w:rPr>
              <w:t> </w:t>
            </w:r>
          </w:p>
          <w:p w14:paraId="66F45DDB" w14:textId="77777777" w:rsidR="00AA27B2" w:rsidRDefault="00AA27B2" w:rsidP="00AA27B2">
            <w:pPr>
              <w:pStyle w:val="paragraph"/>
              <w:spacing w:before="0" w:beforeAutospacing="0" w:after="0" w:afterAutospacing="0"/>
              <w:textAlignment w:val="baseline"/>
              <w:rPr>
                <w:rFonts w:ascii="Segoe UI" w:hAnsi="Segoe UI" w:cs="Segoe UI"/>
                <w:sz w:val="18"/>
                <w:szCs w:val="18"/>
              </w:rPr>
            </w:pPr>
          </w:p>
          <w:p w14:paraId="4E8CAB66" w14:textId="2FA159B9" w:rsidR="00AA27B2" w:rsidRDefault="00AA27B2" w:rsidP="00AA27B2">
            <w:pPr>
              <w:pStyle w:val="paragraph"/>
              <w:spacing w:before="0" w:beforeAutospacing="0" w:after="0" w:afterAutospacing="0"/>
              <w:textAlignment w:val="baseline"/>
              <w:rPr>
                <w:rStyle w:val="eop"/>
                <w:rFonts w:ascii="Aptos" w:hAnsi="Aptos" w:cs="Segoe UI"/>
              </w:rPr>
            </w:pPr>
            <w:r>
              <w:rPr>
                <w:rStyle w:val="normaltextrun"/>
                <w:rFonts w:ascii="Aptos" w:hAnsi="Aptos" w:cs="Segoe UI"/>
                <w:lang w:val="en-US"/>
              </w:rPr>
              <w:t>As with adult safeguarding, the voice of the child plays a central role in assessment and decision making, understanding the child’s lived experience is key. Children are generally considered more vulnerable due to their dependency on caregivers, age and developmental stage. When assessing the risk in children’s safeguarding the practitioner must consider the impact of the abuse or neglect now and in the future as childhood trauma impacts later adult life. Children will be assessed for Gillick competence, on weather they are able to fully understand and make a decision about their own lives. However, the decision will need to be in their best interests and they do not have the autonomy that adults do to make unwise decisions if it means putting themselves at harm and action is likely to be taken by Social Services. Safeguarding children involves more proactive measures, such as early intervention and family support to prevent the current harm and minimise the impact on the child's future. Child Protection Social Workers work to a statutory framework of protection, set in legislature to provide services that protect children and support families, whilst for adults safeguarding primarily focuses on responding to specific concerns that put an individual at risk of neglect or abuse and ensuring support is coordinated on a multi-agency level. </w:t>
            </w:r>
            <w:r>
              <w:rPr>
                <w:rStyle w:val="eop"/>
                <w:rFonts w:ascii="Aptos" w:hAnsi="Aptos" w:cs="Segoe UI"/>
              </w:rPr>
              <w:t> </w:t>
            </w:r>
          </w:p>
          <w:p w14:paraId="5BFBCB7F" w14:textId="77777777" w:rsidR="00AA27B2" w:rsidRDefault="00AA27B2" w:rsidP="00AA27B2">
            <w:pPr>
              <w:pStyle w:val="paragraph"/>
              <w:spacing w:before="0" w:beforeAutospacing="0" w:after="0" w:afterAutospacing="0"/>
              <w:textAlignment w:val="baseline"/>
              <w:rPr>
                <w:rFonts w:ascii="Segoe UI" w:hAnsi="Segoe UI" w:cs="Segoe UI"/>
                <w:sz w:val="18"/>
                <w:szCs w:val="18"/>
              </w:rPr>
            </w:pPr>
          </w:p>
          <w:p w14:paraId="059840A0" w14:textId="77777777" w:rsidR="00AA27B2" w:rsidRDefault="00AA27B2" w:rsidP="00AA27B2">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lang w:val="en-US"/>
              </w:rPr>
              <w:t xml:space="preserve">To conclude; safeguarding children and adults aims to protect the vulnerable individuals from actual or risk of neglect or abuse, the approaches differ due to the differences in their vulnerabilities, needs, consent and legal frameworks. </w:t>
            </w:r>
            <w:r>
              <w:rPr>
                <w:rStyle w:val="eop"/>
                <w:rFonts w:ascii="Aptos" w:hAnsi="Aptos" w:cs="Segoe UI"/>
              </w:rPr>
              <w:t> </w:t>
            </w:r>
          </w:p>
          <w:p w14:paraId="4B8F9FFA" w14:textId="77777777" w:rsidR="00AA27B2" w:rsidRDefault="00AA27B2" w:rsidP="00AA27B2">
            <w:pPr>
              <w:pStyle w:val="paragraph"/>
              <w:spacing w:before="0" w:beforeAutospacing="0" w:after="0" w:afterAutospacing="0"/>
              <w:textAlignment w:val="baseline"/>
              <w:rPr>
                <w:rStyle w:val="normaltextrun"/>
                <w:rFonts w:ascii="Aptos" w:hAnsi="Aptos" w:cs="Segoe UI"/>
              </w:rPr>
            </w:pPr>
          </w:p>
          <w:p w14:paraId="3CF3E210" w14:textId="0945886E" w:rsidR="00AA27B2" w:rsidRDefault="00AA27B2" w:rsidP="00AA27B2">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503 words </w:t>
            </w:r>
            <w:r>
              <w:rPr>
                <w:rStyle w:val="eop"/>
                <w:rFonts w:ascii="Aptos" w:hAnsi="Aptos" w:cs="Segoe UI"/>
              </w:rPr>
              <w:t> </w:t>
            </w:r>
          </w:p>
          <w:p w14:paraId="08760B3D" w14:textId="77777777" w:rsidR="00FC0334" w:rsidRPr="006108C9" w:rsidRDefault="00FC0334" w:rsidP="00AA27B2">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2BFDCFC" w:rsidR="00A5656A" w:rsidRDefault="00A5656A">
    <w:pPr>
      <w:pStyle w:val="Footer"/>
      <w:jc w:val="right"/>
    </w:pPr>
    <w:r>
      <w:fldChar w:fldCharType="begin"/>
    </w:r>
    <w:r>
      <w:instrText xml:space="preserve"> PAGE   \* MERGEFORMAT </w:instrText>
    </w:r>
    <w:r>
      <w:fldChar w:fldCharType="separate"/>
    </w:r>
    <w:r w:rsidR="00AA27B2">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27B2"/>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AA27B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AA27B2"/>
  </w:style>
  <w:style w:type="character" w:customStyle="1" w:styleId="eop">
    <w:name w:val="eop"/>
    <w:basedOn w:val="DefaultParagraphFont"/>
    <w:rsid w:val="00AA2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362400">
      <w:bodyDiv w:val="1"/>
      <w:marLeft w:val="0"/>
      <w:marRight w:val="0"/>
      <w:marTop w:val="0"/>
      <w:marBottom w:val="0"/>
      <w:divBdr>
        <w:top w:val="none" w:sz="0" w:space="0" w:color="auto"/>
        <w:left w:val="none" w:sz="0" w:space="0" w:color="auto"/>
        <w:bottom w:val="none" w:sz="0" w:space="0" w:color="auto"/>
        <w:right w:val="none" w:sz="0" w:space="0" w:color="auto"/>
      </w:divBdr>
      <w:divsChild>
        <w:div w:id="793672934">
          <w:marLeft w:val="0"/>
          <w:marRight w:val="0"/>
          <w:marTop w:val="0"/>
          <w:marBottom w:val="0"/>
          <w:divBdr>
            <w:top w:val="none" w:sz="0" w:space="0" w:color="auto"/>
            <w:left w:val="none" w:sz="0" w:space="0" w:color="auto"/>
            <w:bottom w:val="none" w:sz="0" w:space="0" w:color="auto"/>
            <w:right w:val="none" w:sz="0" w:space="0" w:color="auto"/>
          </w:divBdr>
        </w:div>
        <w:div w:id="754471697">
          <w:marLeft w:val="0"/>
          <w:marRight w:val="0"/>
          <w:marTop w:val="0"/>
          <w:marBottom w:val="0"/>
          <w:divBdr>
            <w:top w:val="none" w:sz="0" w:space="0" w:color="auto"/>
            <w:left w:val="none" w:sz="0" w:space="0" w:color="auto"/>
            <w:bottom w:val="none" w:sz="0" w:space="0" w:color="auto"/>
            <w:right w:val="none" w:sz="0" w:space="0" w:color="auto"/>
          </w:divBdr>
        </w:div>
        <w:div w:id="1438988182">
          <w:marLeft w:val="0"/>
          <w:marRight w:val="0"/>
          <w:marTop w:val="0"/>
          <w:marBottom w:val="0"/>
          <w:divBdr>
            <w:top w:val="none" w:sz="0" w:space="0" w:color="auto"/>
            <w:left w:val="none" w:sz="0" w:space="0" w:color="auto"/>
            <w:bottom w:val="none" w:sz="0" w:space="0" w:color="auto"/>
            <w:right w:val="none" w:sz="0" w:space="0" w:color="auto"/>
          </w:divBdr>
        </w:div>
        <w:div w:id="221478603">
          <w:marLeft w:val="0"/>
          <w:marRight w:val="0"/>
          <w:marTop w:val="0"/>
          <w:marBottom w:val="0"/>
          <w:divBdr>
            <w:top w:val="none" w:sz="0" w:space="0" w:color="auto"/>
            <w:left w:val="none" w:sz="0" w:space="0" w:color="auto"/>
            <w:bottom w:val="none" w:sz="0" w:space="0" w:color="auto"/>
            <w:right w:val="none" w:sz="0" w:space="0" w:color="auto"/>
          </w:divBdr>
        </w:div>
        <w:div w:id="1391534193">
          <w:marLeft w:val="0"/>
          <w:marRight w:val="0"/>
          <w:marTop w:val="0"/>
          <w:marBottom w:val="0"/>
          <w:divBdr>
            <w:top w:val="none" w:sz="0" w:space="0" w:color="auto"/>
            <w:left w:val="none" w:sz="0" w:space="0" w:color="auto"/>
            <w:bottom w:val="none" w:sz="0" w:space="0" w:color="auto"/>
            <w:right w:val="none" w:sz="0" w:space="0" w:color="auto"/>
          </w:divBdr>
        </w:div>
        <w:div w:id="323630624">
          <w:marLeft w:val="0"/>
          <w:marRight w:val="0"/>
          <w:marTop w:val="0"/>
          <w:marBottom w:val="0"/>
          <w:divBdr>
            <w:top w:val="none" w:sz="0" w:space="0" w:color="auto"/>
            <w:left w:val="none" w:sz="0" w:space="0" w:color="auto"/>
            <w:bottom w:val="none" w:sz="0" w:space="0" w:color="auto"/>
            <w:right w:val="none" w:sz="0" w:space="0" w:color="auto"/>
          </w:divBdr>
        </w:div>
        <w:div w:id="2056734122">
          <w:marLeft w:val="0"/>
          <w:marRight w:val="0"/>
          <w:marTop w:val="0"/>
          <w:marBottom w:val="0"/>
          <w:divBdr>
            <w:top w:val="none" w:sz="0" w:space="0" w:color="auto"/>
            <w:left w:val="none" w:sz="0" w:space="0" w:color="auto"/>
            <w:bottom w:val="none" w:sz="0" w:space="0" w:color="auto"/>
            <w:right w:val="none" w:sz="0" w:space="0" w:color="auto"/>
          </w:divBdr>
        </w:div>
        <w:div w:id="633759800">
          <w:marLeft w:val="0"/>
          <w:marRight w:val="0"/>
          <w:marTop w:val="0"/>
          <w:marBottom w:val="0"/>
          <w:divBdr>
            <w:top w:val="none" w:sz="0" w:space="0" w:color="auto"/>
            <w:left w:val="none" w:sz="0" w:space="0" w:color="auto"/>
            <w:bottom w:val="none" w:sz="0" w:space="0" w:color="auto"/>
            <w:right w:val="none" w:sz="0" w:space="0" w:color="auto"/>
          </w:divBdr>
        </w:div>
        <w:div w:id="1182666685">
          <w:marLeft w:val="0"/>
          <w:marRight w:val="0"/>
          <w:marTop w:val="0"/>
          <w:marBottom w:val="0"/>
          <w:divBdr>
            <w:top w:val="none" w:sz="0" w:space="0" w:color="auto"/>
            <w:left w:val="none" w:sz="0" w:space="0" w:color="auto"/>
            <w:bottom w:val="none" w:sz="0" w:space="0" w:color="auto"/>
            <w:right w:val="none" w:sz="0" w:space="0" w:color="auto"/>
          </w:divBdr>
        </w:div>
        <w:div w:id="1240871275">
          <w:marLeft w:val="0"/>
          <w:marRight w:val="0"/>
          <w:marTop w:val="0"/>
          <w:marBottom w:val="0"/>
          <w:divBdr>
            <w:top w:val="none" w:sz="0" w:space="0" w:color="auto"/>
            <w:left w:val="none" w:sz="0" w:space="0" w:color="auto"/>
            <w:bottom w:val="none" w:sz="0" w:space="0" w:color="auto"/>
            <w:right w:val="none" w:sz="0" w:space="0" w:color="auto"/>
          </w:divBdr>
        </w:div>
        <w:div w:id="1875191557">
          <w:marLeft w:val="0"/>
          <w:marRight w:val="0"/>
          <w:marTop w:val="0"/>
          <w:marBottom w:val="0"/>
          <w:divBdr>
            <w:top w:val="none" w:sz="0" w:space="0" w:color="auto"/>
            <w:left w:val="none" w:sz="0" w:space="0" w:color="auto"/>
            <w:bottom w:val="none" w:sz="0" w:space="0" w:color="auto"/>
            <w:right w:val="none" w:sz="0" w:space="0" w:color="auto"/>
          </w:divBdr>
        </w:div>
        <w:div w:id="2064910009">
          <w:marLeft w:val="0"/>
          <w:marRight w:val="0"/>
          <w:marTop w:val="0"/>
          <w:marBottom w:val="0"/>
          <w:divBdr>
            <w:top w:val="none" w:sz="0" w:space="0" w:color="auto"/>
            <w:left w:val="none" w:sz="0" w:space="0" w:color="auto"/>
            <w:bottom w:val="none" w:sz="0" w:space="0" w:color="auto"/>
            <w:right w:val="none" w:sz="0" w:space="0" w:color="auto"/>
          </w:divBdr>
        </w:div>
        <w:div w:id="69545459">
          <w:marLeft w:val="0"/>
          <w:marRight w:val="0"/>
          <w:marTop w:val="0"/>
          <w:marBottom w:val="0"/>
          <w:divBdr>
            <w:top w:val="none" w:sz="0" w:space="0" w:color="auto"/>
            <w:left w:val="none" w:sz="0" w:space="0" w:color="auto"/>
            <w:bottom w:val="none" w:sz="0" w:space="0" w:color="auto"/>
            <w:right w:val="none" w:sz="0" w:space="0" w:color="auto"/>
          </w:divBdr>
        </w:div>
        <w:div w:id="1313369138">
          <w:marLeft w:val="0"/>
          <w:marRight w:val="0"/>
          <w:marTop w:val="0"/>
          <w:marBottom w:val="0"/>
          <w:divBdr>
            <w:top w:val="none" w:sz="0" w:space="0" w:color="auto"/>
            <w:left w:val="none" w:sz="0" w:space="0" w:color="auto"/>
            <w:bottom w:val="none" w:sz="0" w:space="0" w:color="auto"/>
            <w:right w:val="none" w:sz="0" w:space="0" w:color="auto"/>
          </w:divBdr>
        </w:div>
        <w:div w:id="1460293754">
          <w:marLeft w:val="0"/>
          <w:marRight w:val="0"/>
          <w:marTop w:val="0"/>
          <w:marBottom w:val="0"/>
          <w:divBdr>
            <w:top w:val="none" w:sz="0" w:space="0" w:color="auto"/>
            <w:left w:val="none" w:sz="0" w:space="0" w:color="auto"/>
            <w:bottom w:val="none" w:sz="0" w:space="0" w:color="auto"/>
            <w:right w:val="none" w:sz="0" w:space="0" w:color="auto"/>
          </w:divBdr>
        </w:div>
        <w:div w:id="24840280">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4852029">
      <w:bodyDiv w:val="1"/>
      <w:marLeft w:val="0"/>
      <w:marRight w:val="0"/>
      <w:marTop w:val="0"/>
      <w:marBottom w:val="0"/>
      <w:divBdr>
        <w:top w:val="none" w:sz="0" w:space="0" w:color="auto"/>
        <w:left w:val="none" w:sz="0" w:space="0" w:color="auto"/>
        <w:bottom w:val="none" w:sz="0" w:space="0" w:color="auto"/>
        <w:right w:val="none" w:sz="0" w:space="0" w:color="auto"/>
      </w:divBdr>
      <w:divsChild>
        <w:div w:id="642740525">
          <w:marLeft w:val="0"/>
          <w:marRight w:val="0"/>
          <w:marTop w:val="0"/>
          <w:marBottom w:val="0"/>
          <w:divBdr>
            <w:top w:val="none" w:sz="0" w:space="0" w:color="auto"/>
            <w:left w:val="none" w:sz="0" w:space="0" w:color="auto"/>
            <w:bottom w:val="none" w:sz="0" w:space="0" w:color="auto"/>
            <w:right w:val="none" w:sz="0" w:space="0" w:color="auto"/>
          </w:divBdr>
        </w:div>
        <w:div w:id="1672374041">
          <w:marLeft w:val="0"/>
          <w:marRight w:val="0"/>
          <w:marTop w:val="0"/>
          <w:marBottom w:val="0"/>
          <w:divBdr>
            <w:top w:val="none" w:sz="0" w:space="0" w:color="auto"/>
            <w:left w:val="none" w:sz="0" w:space="0" w:color="auto"/>
            <w:bottom w:val="none" w:sz="0" w:space="0" w:color="auto"/>
            <w:right w:val="none" w:sz="0" w:space="0" w:color="auto"/>
          </w:divBdr>
        </w:div>
        <w:div w:id="1526093995">
          <w:marLeft w:val="0"/>
          <w:marRight w:val="0"/>
          <w:marTop w:val="0"/>
          <w:marBottom w:val="0"/>
          <w:divBdr>
            <w:top w:val="none" w:sz="0" w:space="0" w:color="auto"/>
            <w:left w:val="none" w:sz="0" w:space="0" w:color="auto"/>
            <w:bottom w:val="none" w:sz="0" w:space="0" w:color="auto"/>
            <w:right w:val="none" w:sz="0" w:space="0" w:color="auto"/>
          </w:divBdr>
        </w:div>
        <w:div w:id="726756873">
          <w:marLeft w:val="0"/>
          <w:marRight w:val="0"/>
          <w:marTop w:val="0"/>
          <w:marBottom w:val="0"/>
          <w:divBdr>
            <w:top w:val="none" w:sz="0" w:space="0" w:color="auto"/>
            <w:left w:val="none" w:sz="0" w:space="0" w:color="auto"/>
            <w:bottom w:val="none" w:sz="0" w:space="0" w:color="auto"/>
            <w:right w:val="none" w:sz="0" w:space="0" w:color="auto"/>
          </w:divBdr>
        </w:div>
        <w:div w:id="99229366">
          <w:marLeft w:val="0"/>
          <w:marRight w:val="0"/>
          <w:marTop w:val="0"/>
          <w:marBottom w:val="0"/>
          <w:divBdr>
            <w:top w:val="none" w:sz="0" w:space="0" w:color="auto"/>
            <w:left w:val="none" w:sz="0" w:space="0" w:color="auto"/>
            <w:bottom w:val="none" w:sz="0" w:space="0" w:color="auto"/>
            <w:right w:val="none" w:sz="0" w:space="0" w:color="auto"/>
          </w:divBdr>
        </w:div>
        <w:div w:id="739329300">
          <w:marLeft w:val="0"/>
          <w:marRight w:val="0"/>
          <w:marTop w:val="0"/>
          <w:marBottom w:val="0"/>
          <w:divBdr>
            <w:top w:val="none" w:sz="0" w:space="0" w:color="auto"/>
            <w:left w:val="none" w:sz="0" w:space="0" w:color="auto"/>
            <w:bottom w:val="none" w:sz="0" w:space="0" w:color="auto"/>
            <w:right w:val="none" w:sz="0" w:space="0" w:color="auto"/>
          </w:divBdr>
        </w:div>
        <w:div w:id="836310741">
          <w:marLeft w:val="0"/>
          <w:marRight w:val="0"/>
          <w:marTop w:val="0"/>
          <w:marBottom w:val="0"/>
          <w:divBdr>
            <w:top w:val="none" w:sz="0" w:space="0" w:color="auto"/>
            <w:left w:val="none" w:sz="0" w:space="0" w:color="auto"/>
            <w:bottom w:val="none" w:sz="0" w:space="0" w:color="auto"/>
            <w:right w:val="none" w:sz="0" w:space="0" w:color="auto"/>
          </w:divBdr>
        </w:div>
        <w:div w:id="2052073383">
          <w:marLeft w:val="0"/>
          <w:marRight w:val="0"/>
          <w:marTop w:val="0"/>
          <w:marBottom w:val="0"/>
          <w:divBdr>
            <w:top w:val="none" w:sz="0" w:space="0" w:color="auto"/>
            <w:left w:val="none" w:sz="0" w:space="0" w:color="auto"/>
            <w:bottom w:val="none" w:sz="0" w:space="0" w:color="auto"/>
            <w:right w:val="none" w:sz="0" w:space="0" w:color="auto"/>
          </w:divBdr>
        </w:div>
        <w:div w:id="115646017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3F8DF9F132A447A5E545790A0A586F" ma:contentTypeVersion="20" ma:contentTypeDescription="Create a new document." ma:contentTypeScope="" ma:versionID="51f00956e467a37847fd64665d3f7cef">
  <xsd:schema xmlns:xsd="http://www.w3.org/2001/XMLSchema" xmlns:xs="http://www.w3.org/2001/XMLSchema" xmlns:p="http://schemas.microsoft.com/office/2006/metadata/properties" xmlns:ns1="http://schemas.microsoft.com/sharepoint/v3" xmlns:ns3="9481dbcd-0824-48c4-a2f9-cc1216665c37" xmlns:ns4="e71aa994-3b1c-4bfd-b3ef-c1e913b87b17" targetNamespace="http://schemas.microsoft.com/office/2006/metadata/properties" ma:root="true" ma:fieldsID="a6d78d646cf54682966f89d5d49e9ab7" ns1:_="" ns3:_="" ns4:_="">
    <xsd:import namespace="http://schemas.microsoft.com/sharepoint/v3"/>
    <xsd:import namespace="9481dbcd-0824-48c4-a2f9-cc1216665c37"/>
    <xsd:import namespace="e71aa994-3b1c-4bfd-b3ef-c1e913b87b17"/>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element ref="ns3:MediaServiceLocation"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81dbcd-0824-48c4-a2f9-cc1216665c3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_activity" ma:index="26" nillable="true" ma:displayName="_activity" ma:hidden="true" ma:internalName="_activity">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a994-3b1c-4bfd-b3ef-c1e913b87b1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9481dbcd-0824-48c4-a2f9-cc1216665c3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C140892E-351D-4941-A37E-CB3FD23DE2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81dbcd-0824-48c4-a2f9-cc1216665c37"/>
    <ds:schemaRef ds:uri="e71aa994-3b1c-4bfd-b3ef-c1e913b87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F6E60-EEFC-479E-93C8-9EC54867076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e71aa994-3b1c-4bfd-b3ef-c1e913b87b17"/>
    <ds:schemaRef ds:uri="9481dbcd-0824-48c4-a2f9-cc1216665c37"/>
    <ds:schemaRef ds:uri="http://www.w3.org/XML/1998/namespace"/>
    <ds:schemaRef ds:uri="http://purl.org/dc/dcmitype/"/>
  </ds:schemaRefs>
</ds:datastoreItem>
</file>

<file path=customXml/itemProps4.xml><?xml version="1.0" encoding="utf-8"?>
<ds:datastoreItem xmlns:ds="http://schemas.openxmlformats.org/officeDocument/2006/customXml" ds:itemID="{92AFF4F5-FE0C-447D-833F-9BB693A71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1155</Words>
  <Characters>6215</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Kelly</cp:lastModifiedBy>
  <cp:revision>2</cp:revision>
  <cp:lastPrinted>2020-02-11T19:20:00Z</cp:lastPrinted>
  <dcterms:created xsi:type="dcterms:W3CDTF">2025-02-22T22:24:00Z</dcterms:created>
  <dcterms:modified xsi:type="dcterms:W3CDTF">2025-02-22T22:24:00Z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0x0101002A3F8DF9F132A447A5E545790A0A586F</vt:lpwstr>
  </property>
</Properties>
</file>