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9CBA" w14:textId="331D0FCE" w:rsidR="00394A78" w:rsidRPr="00B32BD8" w:rsidRDefault="00394A78" w:rsidP="00394A78">
      <w:pPr>
        <w:spacing w:before="100" w:beforeAutospacing="1" w:after="100" w:afterAutospacing="1" w:line="360" w:lineRule="auto"/>
        <w:jc w:val="both"/>
        <w:outlineLvl w:val="1"/>
        <w:rPr>
          <w:b/>
          <w:bCs/>
          <w:color w:val="70AD47" w:themeColor="accent6"/>
          <w:sz w:val="28"/>
          <w:szCs w:val="28"/>
        </w:rPr>
      </w:pPr>
    </w:p>
    <w:p w14:paraId="1A3175CF" w14:textId="2C5416FA" w:rsidR="00B578C2" w:rsidRPr="00B32BD8" w:rsidRDefault="00E250B2" w:rsidP="00394A78">
      <w:pPr>
        <w:spacing w:before="100" w:beforeAutospacing="1" w:after="100" w:afterAutospacing="1" w:line="360" w:lineRule="auto"/>
        <w:jc w:val="both"/>
        <w:outlineLvl w:val="1"/>
        <w:rPr>
          <w:rFonts w:ascii="Arial" w:eastAsia="Times New Roman" w:hAnsi="Arial" w:cs="Arial"/>
          <w:b/>
          <w:bCs/>
          <w:color w:val="70AD47" w:themeColor="accent6"/>
          <w:kern w:val="0"/>
          <w:lang w:eastAsia="en-GB"/>
          <w14:ligatures w14:val="none"/>
        </w:rPr>
      </w:pPr>
      <w:r>
        <w:rPr>
          <w:rFonts w:ascii="Arial" w:eastAsia="Times New Roman" w:hAnsi="Arial" w:cs="Arial"/>
          <w:b/>
          <w:bCs/>
          <w:noProof/>
          <w:color w:val="70AD47" w:themeColor="accent6"/>
          <w:kern w:val="0"/>
          <w:lang w:eastAsia="en-GB"/>
          <w14:ligatures w14:val="none"/>
        </w:rPr>
        <w:drawing>
          <wp:inline distT="0" distB="0" distL="0" distR="0" wp14:anchorId="09161DC8" wp14:editId="27D8341D">
            <wp:extent cx="3429000" cy="1133475"/>
            <wp:effectExtent l="0" t="0" r="0" b="9525"/>
            <wp:docPr id="1697711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29000" cy="1133475"/>
                    </a:xfrm>
                    <a:prstGeom prst="rect">
                      <a:avLst/>
                    </a:prstGeom>
                    <a:noFill/>
                  </pic:spPr>
                </pic:pic>
              </a:graphicData>
            </a:graphic>
          </wp:inline>
        </w:drawing>
      </w:r>
    </w:p>
    <w:p w14:paraId="2B776307" w14:textId="77777777" w:rsidR="00394A78" w:rsidRPr="00B32BD8" w:rsidRDefault="00394A78" w:rsidP="00394A78">
      <w:pPr>
        <w:spacing w:before="100" w:beforeAutospacing="1" w:after="100" w:afterAutospacing="1" w:line="360" w:lineRule="auto"/>
        <w:jc w:val="both"/>
        <w:outlineLvl w:val="1"/>
        <w:rPr>
          <w:rFonts w:ascii="Arial" w:eastAsia="Times New Roman" w:hAnsi="Arial" w:cs="Arial"/>
          <w:b/>
          <w:bCs/>
          <w:color w:val="70AD47" w:themeColor="accent6"/>
          <w:kern w:val="0"/>
          <w:lang w:eastAsia="en-GB"/>
          <w14:ligatures w14:val="none"/>
        </w:rPr>
      </w:pPr>
    </w:p>
    <w:tbl>
      <w:tblPr>
        <w:tblpPr w:leftFromText="180" w:rightFromText="180" w:vertAnchor="page" w:horzAnchor="margin" w:tblpY="6251"/>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41"/>
      </w:tblGrid>
      <w:tr w:rsidR="00D97A3D" w:rsidRPr="00B32BD8" w14:paraId="05BF2F08" w14:textId="77777777" w:rsidTr="00D97A3D">
        <w:trPr>
          <w:trHeight w:val="496"/>
        </w:trPr>
        <w:tc>
          <w:tcPr>
            <w:tcW w:w="7541" w:type="dxa"/>
            <w:tcBorders>
              <w:top w:val="single" w:sz="4" w:space="0" w:color="auto"/>
              <w:left w:val="single" w:sz="4" w:space="0" w:color="auto"/>
              <w:bottom w:val="single" w:sz="4" w:space="0" w:color="auto"/>
              <w:right w:val="single" w:sz="4" w:space="0" w:color="auto"/>
            </w:tcBorders>
            <w:shd w:val="pct15" w:color="auto" w:fill="auto"/>
            <w:hideMark/>
          </w:tcPr>
          <w:p w14:paraId="145E6E6E" w14:textId="77777777" w:rsidR="00D97A3D" w:rsidRPr="00D97A3D" w:rsidRDefault="00D97A3D" w:rsidP="00D97A3D">
            <w:pPr>
              <w:spacing w:before="120" w:after="120" w:line="240" w:lineRule="auto"/>
              <w:rPr>
                <w:rFonts w:ascii="Arial" w:eastAsia="Times New Roman" w:hAnsi="Arial" w:cs="Arial"/>
                <w:b/>
                <w:color w:val="000000" w:themeColor="text1"/>
                <w:kern w:val="0"/>
                <w14:ligatures w14:val="none"/>
              </w:rPr>
            </w:pPr>
            <w:r w:rsidRPr="00D97A3D">
              <w:rPr>
                <w:rFonts w:ascii="Arial" w:eastAsia="Times New Roman" w:hAnsi="Arial" w:cs="Arial"/>
                <w:b/>
                <w:color w:val="000000" w:themeColor="text1"/>
                <w:kern w:val="0"/>
                <w14:ligatures w14:val="none"/>
              </w:rPr>
              <w:t>Student name: Evaristo Freite De Melo   /     Student ID 2129710</w:t>
            </w:r>
          </w:p>
        </w:tc>
      </w:tr>
      <w:tr w:rsidR="00D97A3D" w:rsidRPr="00B32BD8" w14:paraId="395193D1" w14:textId="77777777" w:rsidTr="00D97A3D">
        <w:trPr>
          <w:trHeight w:val="506"/>
        </w:trPr>
        <w:tc>
          <w:tcPr>
            <w:tcW w:w="7541" w:type="dxa"/>
            <w:tcBorders>
              <w:top w:val="single" w:sz="4" w:space="0" w:color="auto"/>
              <w:left w:val="single" w:sz="4" w:space="0" w:color="auto"/>
              <w:bottom w:val="single" w:sz="4" w:space="0" w:color="auto"/>
              <w:right w:val="single" w:sz="4" w:space="0" w:color="auto"/>
            </w:tcBorders>
            <w:shd w:val="pct15" w:color="auto" w:fill="auto"/>
            <w:hideMark/>
          </w:tcPr>
          <w:p w14:paraId="127BFACF" w14:textId="77777777" w:rsidR="00D97A3D" w:rsidRPr="00D97A3D" w:rsidRDefault="00D97A3D" w:rsidP="00D97A3D">
            <w:pPr>
              <w:spacing w:before="120" w:after="120" w:line="240" w:lineRule="auto"/>
              <w:rPr>
                <w:rFonts w:ascii="Arial" w:eastAsia="Times New Roman" w:hAnsi="Arial" w:cs="Arial"/>
                <w:b/>
                <w:color w:val="000000" w:themeColor="text1"/>
                <w:kern w:val="0"/>
                <w14:ligatures w14:val="none"/>
              </w:rPr>
            </w:pPr>
            <w:r w:rsidRPr="00D97A3D">
              <w:rPr>
                <w:rFonts w:ascii="Arial" w:eastAsia="Times New Roman" w:hAnsi="Arial" w:cs="Arial"/>
                <w:b/>
                <w:color w:val="000000" w:themeColor="text1"/>
                <w:kern w:val="0"/>
                <w14:ligatures w14:val="none"/>
              </w:rPr>
              <w:t>Programme: Master Of Business Administration</w:t>
            </w:r>
          </w:p>
        </w:tc>
      </w:tr>
      <w:tr w:rsidR="00D97A3D" w:rsidRPr="00B32BD8" w14:paraId="6FDD9E5D" w14:textId="77777777" w:rsidTr="00D97A3D">
        <w:trPr>
          <w:trHeight w:val="496"/>
        </w:trPr>
        <w:tc>
          <w:tcPr>
            <w:tcW w:w="7541" w:type="dxa"/>
            <w:tcBorders>
              <w:top w:val="single" w:sz="4" w:space="0" w:color="auto"/>
              <w:left w:val="single" w:sz="4" w:space="0" w:color="auto"/>
              <w:bottom w:val="single" w:sz="4" w:space="0" w:color="auto"/>
              <w:right w:val="single" w:sz="4" w:space="0" w:color="auto"/>
            </w:tcBorders>
            <w:shd w:val="pct15" w:color="auto" w:fill="auto"/>
            <w:hideMark/>
          </w:tcPr>
          <w:p w14:paraId="09A090BF" w14:textId="77777777" w:rsidR="00D97A3D" w:rsidRPr="00D97A3D" w:rsidRDefault="00D97A3D" w:rsidP="00D97A3D">
            <w:pPr>
              <w:spacing w:before="120" w:after="120" w:line="240" w:lineRule="auto"/>
              <w:rPr>
                <w:rFonts w:ascii="Arial" w:eastAsia="Times New Roman" w:hAnsi="Arial" w:cs="Arial"/>
                <w:b/>
                <w:color w:val="000000" w:themeColor="text1"/>
                <w:kern w:val="0"/>
                <w14:ligatures w14:val="none"/>
              </w:rPr>
            </w:pPr>
            <w:r w:rsidRPr="00D97A3D">
              <w:rPr>
                <w:rFonts w:ascii="Arial" w:eastAsia="Times New Roman" w:hAnsi="Arial" w:cs="Arial"/>
                <w:b/>
                <w:color w:val="000000" w:themeColor="text1"/>
                <w:kern w:val="0"/>
                <w14:ligatures w14:val="none"/>
              </w:rPr>
              <w:t>Module: International Business Concepts</w:t>
            </w:r>
          </w:p>
        </w:tc>
      </w:tr>
      <w:tr w:rsidR="00D97A3D" w:rsidRPr="00B32BD8" w14:paraId="4778C41A" w14:textId="77777777" w:rsidTr="00D97A3D">
        <w:trPr>
          <w:trHeight w:val="496"/>
        </w:trPr>
        <w:tc>
          <w:tcPr>
            <w:tcW w:w="7541" w:type="dxa"/>
            <w:tcBorders>
              <w:top w:val="single" w:sz="4" w:space="0" w:color="auto"/>
              <w:left w:val="single" w:sz="4" w:space="0" w:color="auto"/>
              <w:bottom w:val="single" w:sz="4" w:space="0" w:color="auto"/>
              <w:right w:val="single" w:sz="4" w:space="0" w:color="auto"/>
            </w:tcBorders>
            <w:shd w:val="pct15" w:color="auto" w:fill="auto"/>
            <w:hideMark/>
          </w:tcPr>
          <w:p w14:paraId="241151B8" w14:textId="77777777" w:rsidR="00D97A3D" w:rsidRPr="00D97A3D" w:rsidRDefault="00D97A3D" w:rsidP="00D97A3D">
            <w:pPr>
              <w:spacing w:before="120" w:after="120" w:line="240" w:lineRule="auto"/>
              <w:rPr>
                <w:rFonts w:ascii="Arial" w:eastAsia="Times New Roman" w:hAnsi="Arial" w:cs="Arial"/>
                <w:b/>
                <w:color w:val="000000" w:themeColor="text1"/>
                <w:kern w:val="0"/>
                <w14:ligatures w14:val="none"/>
              </w:rPr>
            </w:pPr>
            <w:r w:rsidRPr="00D97A3D">
              <w:rPr>
                <w:rFonts w:ascii="Arial" w:eastAsia="Times New Roman" w:hAnsi="Arial" w:cs="Arial"/>
                <w:b/>
                <w:color w:val="000000" w:themeColor="text1"/>
                <w:kern w:val="0"/>
                <w14:ligatures w14:val="none"/>
              </w:rPr>
              <w:t>Module code: LCMB7034</w:t>
            </w:r>
          </w:p>
        </w:tc>
      </w:tr>
      <w:tr w:rsidR="00D97A3D" w:rsidRPr="00B32BD8" w14:paraId="71C789C3" w14:textId="77777777" w:rsidTr="00D97A3D">
        <w:trPr>
          <w:trHeight w:val="496"/>
        </w:trPr>
        <w:tc>
          <w:tcPr>
            <w:tcW w:w="7541" w:type="dxa"/>
            <w:tcBorders>
              <w:top w:val="single" w:sz="4" w:space="0" w:color="auto"/>
              <w:left w:val="single" w:sz="4" w:space="0" w:color="auto"/>
              <w:bottom w:val="single" w:sz="4" w:space="0" w:color="auto"/>
              <w:right w:val="single" w:sz="4" w:space="0" w:color="auto"/>
            </w:tcBorders>
            <w:shd w:val="pct15" w:color="auto" w:fill="auto"/>
            <w:hideMark/>
          </w:tcPr>
          <w:p w14:paraId="7F08057D" w14:textId="77777777" w:rsidR="00D97A3D" w:rsidRPr="00D97A3D" w:rsidRDefault="00D97A3D" w:rsidP="00D97A3D">
            <w:pPr>
              <w:spacing w:before="120" w:after="120" w:line="240" w:lineRule="auto"/>
              <w:rPr>
                <w:rFonts w:ascii="Arial" w:eastAsia="Times New Roman" w:hAnsi="Arial" w:cs="Arial"/>
                <w:b/>
                <w:color w:val="000000" w:themeColor="text1"/>
                <w:kern w:val="0"/>
                <w14:ligatures w14:val="none"/>
              </w:rPr>
            </w:pPr>
            <w:r w:rsidRPr="00D97A3D">
              <w:rPr>
                <w:rFonts w:ascii="Arial" w:eastAsia="Times New Roman" w:hAnsi="Arial" w:cs="Arial"/>
                <w:b/>
                <w:color w:val="000000" w:themeColor="text1"/>
                <w:kern w:val="0"/>
                <w14:ligatures w14:val="none"/>
              </w:rPr>
              <w:t>Lecturer: Babar Syde</w:t>
            </w:r>
          </w:p>
        </w:tc>
      </w:tr>
      <w:tr w:rsidR="00D97A3D" w:rsidRPr="00B32BD8" w14:paraId="1A04053F" w14:textId="77777777" w:rsidTr="00D97A3D">
        <w:trPr>
          <w:trHeight w:val="506"/>
        </w:trPr>
        <w:tc>
          <w:tcPr>
            <w:tcW w:w="7541" w:type="dxa"/>
            <w:tcBorders>
              <w:top w:val="single" w:sz="4" w:space="0" w:color="auto"/>
              <w:left w:val="single" w:sz="4" w:space="0" w:color="auto"/>
              <w:bottom w:val="single" w:sz="4" w:space="0" w:color="auto"/>
              <w:right w:val="single" w:sz="4" w:space="0" w:color="auto"/>
            </w:tcBorders>
            <w:shd w:val="pct15" w:color="auto" w:fill="auto"/>
            <w:hideMark/>
          </w:tcPr>
          <w:p w14:paraId="0EFCF9B3" w14:textId="77777777" w:rsidR="00D97A3D" w:rsidRPr="00D97A3D" w:rsidRDefault="00D97A3D" w:rsidP="00D97A3D">
            <w:pPr>
              <w:spacing w:before="120" w:after="120" w:line="240" w:lineRule="auto"/>
              <w:rPr>
                <w:rFonts w:ascii="Arial" w:eastAsia="Times New Roman" w:hAnsi="Arial" w:cs="Arial"/>
                <w:b/>
                <w:color w:val="000000" w:themeColor="text1"/>
                <w:kern w:val="0"/>
                <w14:ligatures w14:val="none"/>
              </w:rPr>
            </w:pPr>
            <w:r w:rsidRPr="00D97A3D">
              <w:rPr>
                <w:rFonts w:ascii="Arial" w:eastAsia="Times New Roman" w:hAnsi="Arial" w:cs="Arial"/>
                <w:b/>
                <w:color w:val="000000" w:themeColor="text1"/>
                <w:kern w:val="0"/>
                <w14:ligatures w14:val="none"/>
              </w:rPr>
              <w:t>Assignment Title: Report</w:t>
            </w:r>
          </w:p>
        </w:tc>
      </w:tr>
    </w:tbl>
    <w:p w14:paraId="2187459F" w14:textId="77777777"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103D65D1" w14:textId="77777777"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7380495C" w14:textId="77777777"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49FDE5C0" w14:textId="77777777"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0E87C889" w14:textId="77777777"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46763F4E" w14:textId="77777777"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38DF7CFE" w14:textId="41A08935"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354DA856" w14:textId="70AB5370"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4D0841D5" w14:textId="7EFFDFDD"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359B2726" w14:textId="1ABE1893"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6D5FE6C4" w14:textId="1154E0CF"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088C995D" w14:textId="5027E915"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11216198" w14:textId="1504583C"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3382C79F" w14:textId="00A97B36"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5DA407F2" w14:textId="77777777" w:rsidR="00D97A3D" w:rsidRDefault="00484D7C"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                                            </w:t>
      </w:r>
    </w:p>
    <w:p w14:paraId="1E12E7FC" w14:textId="77777777" w:rsidR="00D97A3D" w:rsidRDefault="00D97A3D"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6920DBCB" w14:textId="77777777" w:rsidR="00D97A3D" w:rsidRDefault="00D97A3D"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1812CA7A" w14:textId="77777777" w:rsidR="00D97A3D" w:rsidRDefault="00D97A3D"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0C125B74" w14:textId="77777777" w:rsidR="00D97A3D" w:rsidRDefault="00D97A3D"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5C326BC1" w14:textId="77777777" w:rsidR="00D97A3D" w:rsidRDefault="00D97A3D"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5C8DCDDB" w14:textId="33198291" w:rsidR="00394A78" w:rsidRDefault="00D97A3D"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                                           </w:t>
      </w:r>
      <w:r w:rsidR="00484D7C">
        <w:rPr>
          <w:rFonts w:ascii="Arial" w:eastAsia="Times New Roman" w:hAnsi="Arial" w:cs="Arial"/>
          <w:b/>
          <w:bCs/>
          <w:kern w:val="0"/>
          <w:lang w:eastAsia="en-GB"/>
          <w14:ligatures w14:val="none"/>
        </w:rPr>
        <w:t xml:space="preserve">   </w:t>
      </w:r>
      <w:r w:rsidR="007A7511">
        <w:rPr>
          <w:rFonts w:ascii="Arial" w:eastAsia="Times New Roman" w:hAnsi="Arial" w:cs="Arial"/>
          <w:b/>
          <w:bCs/>
          <w:kern w:val="0"/>
          <w:lang w:eastAsia="en-GB"/>
          <w14:ligatures w14:val="none"/>
        </w:rPr>
        <w:t xml:space="preserve"> </w:t>
      </w:r>
      <w:r w:rsidR="007A7511" w:rsidRPr="00092129">
        <w:rPr>
          <w:rFonts w:ascii="Arial" w:eastAsia="Times New Roman" w:hAnsi="Arial" w:cs="Arial"/>
          <w:b/>
          <w:bCs/>
          <w:i/>
          <w:iCs/>
          <w:kern w:val="0"/>
          <w:sz w:val="36"/>
          <w:szCs w:val="36"/>
          <w:lang w:eastAsia="en-GB"/>
          <w14:ligatures w14:val="none"/>
        </w:rPr>
        <w:t>T</w:t>
      </w:r>
      <w:r w:rsidR="007A7511" w:rsidRPr="00551B47">
        <w:rPr>
          <w:rFonts w:ascii="Arial" w:eastAsia="Times New Roman" w:hAnsi="Arial" w:cs="Arial"/>
          <w:kern w:val="0"/>
          <w:lang w:eastAsia="en-GB"/>
          <w14:ligatures w14:val="none"/>
        </w:rPr>
        <w:t>able of Contents</w:t>
      </w:r>
    </w:p>
    <w:p w14:paraId="3C3E1101" w14:textId="41F850B9" w:rsidR="008527F9" w:rsidRDefault="008527F9"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35EFB779" w14:textId="295A0964" w:rsidR="00AD4B15" w:rsidRPr="00E13AD2" w:rsidRDefault="002C0A8D" w:rsidP="00E13AD2">
      <w:pPr>
        <w:pStyle w:val="ListParagraph"/>
        <w:numPr>
          <w:ilvl w:val="0"/>
          <w:numId w:val="15"/>
        </w:numPr>
        <w:spacing w:before="100" w:beforeAutospacing="1" w:after="100" w:afterAutospacing="1" w:line="360" w:lineRule="auto"/>
        <w:jc w:val="both"/>
        <w:outlineLvl w:val="1"/>
        <w:rPr>
          <w:rFonts w:ascii="Arial" w:eastAsia="Cambria" w:hAnsi="Arial" w:cs="Arial"/>
        </w:rPr>
      </w:pPr>
      <w:r w:rsidRPr="00E13AD2">
        <w:rPr>
          <w:rFonts w:ascii="Arial" w:eastAsia="Cambria" w:hAnsi="Arial" w:cs="Arial"/>
        </w:rPr>
        <w:t>Title</w:t>
      </w:r>
    </w:p>
    <w:p w14:paraId="25918971" w14:textId="5AEA2FD9" w:rsidR="002C0A8D" w:rsidRPr="00E13AD2" w:rsidRDefault="007A153D" w:rsidP="00E13AD2">
      <w:pPr>
        <w:pStyle w:val="ListParagraph"/>
        <w:numPr>
          <w:ilvl w:val="0"/>
          <w:numId w:val="15"/>
        </w:numPr>
        <w:spacing w:before="100" w:beforeAutospacing="1" w:after="100" w:afterAutospacing="1" w:line="360" w:lineRule="auto"/>
        <w:jc w:val="both"/>
        <w:outlineLvl w:val="1"/>
        <w:rPr>
          <w:rFonts w:ascii="Arial" w:eastAsia="Cambria" w:hAnsi="Arial" w:cs="Arial"/>
        </w:rPr>
      </w:pPr>
      <w:r w:rsidRPr="00E13AD2">
        <w:rPr>
          <w:rFonts w:ascii="Arial" w:eastAsia="Cambria" w:hAnsi="Arial" w:cs="Arial"/>
        </w:rPr>
        <w:t>Introduction</w:t>
      </w:r>
    </w:p>
    <w:p w14:paraId="10412CFA" w14:textId="14056BF8" w:rsidR="007A153D" w:rsidRPr="00E13AD2" w:rsidRDefault="007A153D" w:rsidP="00E13AD2">
      <w:pPr>
        <w:pStyle w:val="ListParagraph"/>
        <w:numPr>
          <w:ilvl w:val="0"/>
          <w:numId w:val="15"/>
        </w:numPr>
        <w:spacing w:before="100" w:beforeAutospacing="1" w:after="100" w:afterAutospacing="1" w:line="360" w:lineRule="auto"/>
        <w:jc w:val="both"/>
        <w:outlineLvl w:val="1"/>
        <w:rPr>
          <w:rFonts w:ascii="Arial" w:eastAsia="Cambria" w:hAnsi="Arial" w:cs="Arial"/>
        </w:rPr>
      </w:pPr>
      <w:r w:rsidRPr="00E13AD2">
        <w:rPr>
          <w:rFonts w:ascii="Arial" w:eastAsia="Cambria" w:hAnsi="Arial" w:cs="Arial"/>
        </w:rPr>
        <w:t>Benefits and challenges</w:t>
      </w:r>
    </w:p>
    <w:p w14:paraId="337D4BC7" w14:textId="7BDB7117" w:rsidR="000A056E" w:rsidRPr="00E13AD2" w:rsidRDefault="000A056E" w:rsidP="00E13AD2">
      <w:pPr>
        <w:pStyle w:val="ListParagraph"/>
        <w:numPr>
          <w:ilvl w:val="0"/>
          <w:numId w:val="15"/>
        </w:numPr>
        <w:spacing w:before="100" w:beforeAutospacing="1" w:after="100" w:afterAutospacing="1" w:line="360" w:lineRule="auto"/>
        <w:jc w:val="both"/>
        <w:outlineLvl w:val="1"/>
        <w:rPr>
          <w:rFonts w:ascii="Arial" w:eastAsia="Cambria" w:hAnsi="Arial" w:cs="Arial"/>
        </w:rPr>
      </w:pPr>
      <w:r w:rsidRPr="00E13AD2">
        <w:rPr>
          <w:rFonts w:ascii="Arial" w:eastAsia="Cambria" w:hAnsi="Arial" w:cs="Arial"/>
        </w:rPr>
        <w:t>Critically discuss how the OLI factors (Ownership, Location and Internalisation)</w:t>
      </w:r>
    </w:p>
    <w:p w14:paraId="6D96F10D" w14:textId="42C8C221" w:rsidR="009457D8" w:rsidRPr="00E13AD2" w:rsidRDefault="009457D8" w:rsidP="00E13AD2">
      <w:pPr>
        <w:pStyle w:val="ListParagraph"/>
        <w:numPr>
          <w:ilvl w:val="0"/>
          <w:numId w:val="15"/>
        </w:numPr>
        <w:spacing w:before="100" w:beforeAutospacing="1" w:after="100" w:afterAutospacing="1" w:line="360" w:lineRule="auto"/>
        <w:jc w:val="both"/>
        <w:outlineLvl w:val="1"/>
        <w:rPr>
          <w:rFonts w:ascii="Arial" w:eastAsia="Cambria" w:hAnsi="Arial" w:cs="Arial"/>
        </w:rPr>
      </w:pPr>
      <w:r w:rsidRPr="00E13AD2">
        <w:rPr>
          <w:rFonts w:ascii="Arial" w:eastAsia="Cambria" w:hAnsi="Arial" w:cs="Arial"/>
        </w:rPr>
        <w:t>Conduct a critical evaluation</w:t>
      </w:r>
    </w:p>
    <w:p w14:paraId="681AECC0" w14:textId="004B7B03" w:rsidR="00880101" w:rsidRPr="00E13AD2" w:rsidRDefault="00880101" w:rsidP="00E13AD2">
      <w:pPr>
        <w:pStyle w:val="ListParagraph"/>
        <w:numPr>
          <w:ilvl w:val="0"/>
          <w:numId w:val="15"/>
        </w:numPr>
        <w:spacing w:before="100" w:beforeAutospacing="1" w:after="100" w:afterAutospacing="1" w:line="360" w:lineRule="auto"/>
        <w:jc w:val="both"/>
        <w:outlineLvl w:val="1"/>
        <w:rPr>
          <w:rFonts w:ascii="Arial" w:eastAsia="Cambria" w:hAnsi="Arial" w:cs="Arial"/>
        </w:rPr>
      </w:pPr>
      <w:r w:rsidRPr="00E13AD2">
        <w:rPr>
          <w:rFonts w:ascii="Arial" w:eastAsia="Cambria" w:hAnsi="Arial" w:cs="Arial"/>
        </w:rPr>
        <w:t>Critically discuss and recommendations</w:t>
      </w:r>
    </w:p>
    <w:p w14:paraId="6D5BE9D6" w14:textId="3DA53C70" w:rsidR="00E13AD2" w:rsidRPr="00E13AD2" w:rsidRDefault="00E13AD2" w:rsidP="00E13AD2">
      <w:pPr>
        <w:pStyle w:val="ListParagraph"/>
        <w:numPr>
          <w:ilvl w:val="0"/>
          <w:numId w:val="15"/>
        </w:numPr>
        <w:spacing w:before="100" w:beforeAutospacing="1" w:after="100" w:afterAutospacing="1" w:line="360" w:lineRule="auto"/>
        <w:jc w:val="both"/>
        <w:outlineLvl w:val="1"/>
        <w:rPr>
          <w:rFonts w:ascii="Arial" w:eastAsia="Cambria" w:hAnsi="Arial" w:cs="Arial"/>
        </w:rPr>
      </w:pPr>
      <w:r w:rsidRPr="00E13AD2">
        <w:rPr>
          <w:rFonts w:ascii="Arial" w:eastAsia="Cambria" w:hAnsi="Arial" w:cs="Arial"/>
        </w:rPr>
        <w:t>Conclusion</w:t>
      </w:r>
    </w:p>
    <w:p w14:paraId="3AD6A348" w14:textId="116CD622" w:rsidR="00E13AD2" w:rsidRPr="00E13AD2" w:rsidRDefault="00E13AD2" w:rsidP="00E13AD2">
      <w:pPr>
        <w:pStyle w:val="ListParagraph"/>
        <w:numPr>
          <w:ilvl w:val="0"/>
          <w:numId w:val="15"/>
        </w:numPr>
        <w:spacing w:before="100" w:beforeAutospacing="1" w:after="100" w:afterAutospacing="1" w:line="360" w:lineRule="auto"/>
        <w:jc w:val="both"/>
        <w:outlineLvl w:val="1"/>
        <w:rPr>
          <w:rFonts w:ascii="Arial" w:eastAsia="Cambria" w:hAnsi="Arial" w:cs="Arial"/>
        </w:rPr>
      </w:pPr>
      <w:r w:rsidRPr="00E13AD2">
        <w:rPr>
          <w:rFonts w:ascii="Arial" w:eastAsia="Cambria" w:hAnsi="Arial" w:cs="Arial"/>
        </w:rPr>
        <w:t>References</w:t>
      </w:r>
    </w:p>
    <w:p w14:paraId="49BEA9D1" w14:textId="79DDF452" w:rsidR="0066225D" w:rsidRDefault="0066225D" w:rsidP="00AD4B15">
      <w:pPr>
        <w:pStyle w:val="ListParagraph"/>
        <w:spacing w:before="100" w:beforeAutospacing="1" w:after="100" w:afterAutospacing="1" w:line="360" w:lineRule="auto"/>
        <w:jc w:val="both"/>
        <w:outlineLvl w:val="1"/>
        <w:rPr>
          <w:rFonts w:ascii="Arial" w:eastAsia="Cambria" w:hAnsi="Arial" w:cs="Arial"/>
        </w:rPr>
      </w:pPr>
    </w:p>
    <w:p w14:paraId="792E1F5F" w14:textId="77777777" w:rsidR="00D264C7" w:rsidRPr="005B62B7" w:rsidRDefault="00D264C7" w:rsidP="00B805FE">
      <w:pPr>
        <w:pStyle w:val="ListParagraph"/>
        <w:spacing w:before="100" w:beforeAutospacing="1" w:after="100" w:afterAutospacing="1" w:line="360" w:lineRule="auto"/>
        <w:jc w:val="both"/>
        <w:outlineLvl w:val="1"/>
        <w:rPr>
          <w:rFonts w:ascii="Arial" w:eastAsia="Cambria" w:hAnsi="Arial" w:cs="Arial"/>
        </w:rPr>
      </w:pPr>
    </w:p>
    <w:p w14:paraId="55803AB1" w14:textId="39CEFE6C"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6544A80C" w14:textId="306FF5D1"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29AF6D09" w14:textId="13FABFB2"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16D3FB77" w14:textId="35EBAAD7"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321CAAAC" w14:textId="551F15E0"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0B9CFF10" w14:textId="3A28E3CD"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72F12A26" w14:textId="37BE19E4"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58356755" w14:textId="56BE04F8"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4990CBEB" w14:textId="5F820EC9"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3BE7560E" w14:textId="104D6369"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266851BA" w14:textId="0E286BFF"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1B43E7A9" w14:textId="2E9C3719" w:rsidR="00394A78" w:rsidRPr="00572CD7" w:rsidRDefault="00B21F47" w:rsidP="00394A78">
      <w:pPr>
        <w:spacing w:before="100" w:beforeAutospacing="1" w:after="100" w:afterAutospacing="1" w:line="360" w:lineRule="auto"/>
        <w:jc w:val="both"/>
        <w:outlineLvl w:val="1"/>
        <w:rPr>
          <w:rFonts w:ascii="Algerian" w:eastAsia="Times New Roman" w:hAnsi="Algerian" w:cs="Arial"/>
          <w:b/>
          <w:bCs/>
          <w:i/>
          <w:iCs/>
          <w:kern w:val="0"/>
          <w:sz w:val="28"/>
          <w:szCs w:val="28"/>
          <w:lang w:eastAsia="en-GB"/>
          <w14:ligatures w14:val="none"/>
        </w:rPr>
      </w:pPr>
      <w:r>
        <w:rPr>
          <w:rFonts w:ascii="Arial" w:eastAsia="Times New Roman" w:hAnsi="Arial" w:cs="Arial"/>
          <w:b/>
          <w:bCs/>
          <w:kern w:val="0"/>
          <w:lang w:eastAsia="en-GB"/>
          <w14:ligatures w14:val="none"/>
        </w:rPr>
        <w:t xml:space="preserve">                       </w:t>
      </w:r>
      <w:r w:rsidR="003C456B" w:rsidRPr="00AB0803">
        <w:rPr>
          <w:rFonts w:ascii="Algerian" w:eastAsia="Times New Roman" w:hAnsi="Algerian" w:cs="Arial"/>
          <w:b/>
          <w:bCs/>
          <w:i/>
          <w:iCs/>
          <w:kern w:val="0"/>
          <w:sz w:val="36"/>
          <w:szCs w:val="36"/>
          <w:lang w:eastAsia="en-GB"/>
          <w14:ligatures w14:val="none"/>
        </w:rPr>
        <w:t>E</w:t>
      </w:r>
      <w:r w:rsidR="003C456B" w:rsidRPr="00572CD7">
        <w:rPr>
          <w:rFonts w:ascii="Algerian" w:eastAsia="Times New Roman" w:hAnsi="Algerian" w:cs="Arial"/>
          <w:b/>
          <w:bCs/>
          <w:i/>
          <w:iCs/>
          <w:kern w:val="0"/>
          <w:sz w:val="28"/>
          <w:szCs w:val="28"/>
          <w:lang w:eastAsia="en-GB"/>
          <w14:ligatures w14:val="none"/>
        </w:rPr>
        <w:t xml:space="preserve">xxonMobil </w:t>
      </w:r>
      <w:r w:rsidR="00B57F91" w:rsidRPr="00572CD7">
        <w:rPr>
          <w:rFonts w:ascii="Algerian" w:eastAsia="Times New Roman" w:hAnsi="Algerian" w:cs="Arial"/>
          <w:b/>
          <w:bCs/>
          <w:i/>
          <w:iCs/>
          <w:kern w:val="0"/>
          <w:sz w:val="28"/>
          <w:szCs w:val="28"/>
          <w:lang w:eastAsia="en-GB"/>
          <w14:ligatures w14:val="none"/>
        </w:rPr>
        <w:t>Report</w:t>
      </w:r>
    </w:p>
    <w:p w14:paraId="22BB9F3F" w14:textId="065D32E3" w:rsidR="00394A78" w:rsidRDefault="00394A78"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53F185A0" w14:textId="1F065504" w:rsidR="0066225D" w:rsidRDefault="0059602E"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Pr>
          <w:rFonts w:ascii="Arial" w:eastAsia="Times New Roman" w:hAnsi="Arial" w:cs="Arial"/>
          <w:b/>
          <w:bCs/>
          <w:noProof/>
          <w:kern w:val="0"/>
          <w:lang w:eastAsia="en-GB"/>
          <w14:ligatures w14:val="none"/>
        </w:rPr>
        <w:drawing>
          <wp:anchor distT="0" distB="0" distL="114300" distR="114300" simplePos="0" relativeHeight="251658240" behindDoc="0" locked="0" layoutInCell="1" allowOverlap="1" wp14:anchorId="4D415F46" wp14:editId="30F2ACF5">
            <wp:simplePos x="0" y="0"/>
            <wp:positionH relativeFrom="margin">
              <wp:align>right</wp:align>
            </wp:positionH>
            <wp:positionV relativeFrom="paragraph">
              <wp:posOffset>0</wp:posOffset>
            </wp:positionV>
            <wp:extent cx="3752850" cy="1600200"/>
            <wp:effectExtent l="0" t="0" r="0" b="0"/>
            <wp:wrapSquare wrapText="bothSides"/>
            <wp:docPr id="11819407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52850" cy="1600200"/>
                    </a:xfrm>
                    <a:prstGeom prst="rect">
                      <a:avLst/>
                    </a:prstGeom>
                    <a:noFill/>
                  </pic:spPr>
                </pic:pic>
              </a:graphicData>
            </a:graphic>
            <wp14:sizeRelH relativeFrom="margin">
              <wp14:pctWidth>0</wp14:pctWidth>
            </wp14:sizeRelH>
          </wp:anchor>
        </w:drawing>
      </w:r>
    </w:p>
    <w:p w14:paraId="7C1BA1BA" w14:textId="632DDC8C" w:rsidR="00F544E1" w:rsidRDefault="00F544E1"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32AA917A" w14:textId="206A09CA" w:rsidR="00F544E1" w:rsidRDefault="00F544E1"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7910C1EF" w14:textId="77777777" w:rsidR="00F544E1" w:rsidRDefault="00F544E1"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2471CB5E" w14:textId="77777777" w:rsidR="00F544E1" w:rsidRDefault="00F544E1"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042C4572" w14:textId="77777777" w:rsidR="00F544E1" w:rsidRDefault="00F544E1"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423E2C0F" w14:textId="628BA812" w:rsidR="009E180F" w:rsidRPr="009E180F" w:rsidRDefault="009E180F"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9E180F">
        <w:rPr>
          <w:rFonts w:ascii="Arial" w:eastAsia="Times New Roman" w:hAnsi="Arial" w:cs="Arial"/>
          <w:b/>
          <w:bCs/>
          <w:i/>
          <w:iCs/>
          <w:kern w:val="0"/>
          <w:sz w:val="36"/>
          <w:szCs w:val="36"/>
          <w:lang w:eastAsia="en-GB"/>
          <w14:ligatures w14:val="none"/>
        </w:rPr>
        <w:t>I</w:t>
      </w:r>
      <w:r w:rsidRPr="00EC045C">
        <w:rPr>
          <w:rFonts w:ascii="Arial" w:eastAsia="Times New Roman" w:hAnsi="Arial" w:cs="Arial"/>
          <w:kern w:val="0"/>
          <w:lang w:eastAsia="en-GB"/>
          <w14:ligatures w14:val="none"/>
        </w:rPr>
        <w:t>ntroduction</w:t>
      </w:r>
    </w:p>
    <w:p w14:paraId="6EC401DB" w14:textId="605A5647" w:rsidR="009E180F" w:rsidRPr="009E180F" w:rsidRDefault="009E180F" w:rsidP="00394A78">
      <w:pPr>
        <w:spacing w:before="100" w:beforeAutospacing="1" w:after="100" w:afterAutospacing="1" w:line="360" w:lineRule="auto"/>
        <w:jc w:val="both"/>
        <w:rPr>
          <w:rFonts w:ascii="Arial" w:eastAsia="Times New Roman" w:hAnsi="Arial" w:cs="Arial"/>
          <w:kern w:val="0"/>
          <w:lang w:eastAsia="en-GB"/>
          <w14:ligatures w14:val="none"/>
        </w:rPr>
      </w:pPr>
      <w:r w:rsidRPr="009E180F">
        <w:rPr>
          <w:rFonts w:ascii="Arial" w:eastAsia="Times New Roman" w:hAnsi="Arial" w:cs="Arial"/>
          <w:kern w:val="0"/>
          <w:lang w:eastAsia="en-GB"/>
          <w14:ligatures w14:val="none"/>
        </w:rPr>
        <w:t>ExxonMobil is one of the world’s largest publicly traded oil and gas companies, with a global presence spanning exploration, production, refining, and chemical manufacturing. Headquartered in the United States, the company operates in over 50 countries, making it a prominent multinational corporation (Exxon Mobil Corporation, 2025). The internationalisation of ExxonMobil allows it to access diverse hydrocarbon resources, spread operational risks, and leverage advanced technology across multiple regions. Emerging economies, such as Guyana, have become strategically important due to substantial untapped oil reserves, favourable investment conditions, and growth potential in energy markets. However, expanding into these markets presents complex challenges, including political risk, regulatory compliance, cultural differences, and community engagement requirements. This report critically examines the benefits and challenges of ExxonMobil’s international operations, analysing its multinational status, market entry strategies through the lens of the OLI framework, cultural considerations, and necessary adjustments to Standard Operating Procedures (SOPs) to enhance success and sustainability in an emerging market context.</w:t>
      </w:r>
    </w:p>
    <w:p w14:paraId="7FA4DB6A" w14:textId="77777777" w:rsidR="009E180F" w:rsidRPr="008F0931" w:rsidRDefault="009E180F" w:rsidP="00394A78">
      <w:pPr>
        <w:spacing w:before="100" w:beforeAutospacing="1" w:after="100" w:afterAutospacing="1" w:line="360" w:lineRule="auto"/>
        <w:jc w:val="both"/>
        <w:outlineLvl w:val="2"/>
        <w:rPr>
          <w:rFonts w:ascii="Arial" w:eastAsia="Times New Roman" w:hAnsi="Arial" w:cs="Arial"/>
          <w:b/>
          <w:bCs/>
          <w:kern w:val="0"/>
          <w:lang w:eastAsia="en-GB"/>
          <w14:ligatures w14:val="none"/>
        </w:rPr>
      </w:pPr>
    </w:p>
    <w:p w14:paraId="1285569D" w14:textId="77777777" w:rsidR="00045CF5" w:rsidRDefault="00045CF5" w:rsidP="00394A78">
      <w:pPr>
        <w:spacing w:before="100" w:beforeAutospacing="1" w:after="100" w:afterAutospacing="1" w:line="360" w:lineRule="auto"/>
        <w:jc w:val="both"/>
        <w:outlineLvl w:val="2"/>
        <w:rPr>
          <w:rFonts w:ascii="Arial" w:eastAsia="Times New Roman" w:hAnsi="Arial" w:cs="Arial"/>
          <w:b/>
          <w:bCs/>
          <w:kern w:val="0"/>
          <w:lang w:eastAsia="en-GB"/>
          <w14:ligatures w14:val="none"/>
        </w:rPr>
      </w:pPr>
    </w:p>
    <w:p w14:paraId="5048C939" w14:textId="77777777" w:rsidR="00045CF5" w:rsidRDefault="00045CF5" w:rsidP="00394A78">
      <w:pPr>
        <w:spacing w:before="100" w:beforeAutospacing="1" w:after="100" w:afterAutospacing="1" w:line="360" w:lineRule="auto"/>
        <w:jc w:val="both"/>
        <w:outlineLvl w:val="2"/>
        <w:rPr>
          <w:rFonts w:ascii="Arial" w:eastAsia="Times New Roman" w:hAnsi="Arial" w:cs="Arial"/>
          <w:b/>
          <w:bCs/>
          <w:kern w:val="0"/>
          <w:lang w:eastAsia="en-GB"/>
          <w14:ligatures w14:val="none"/>
        </w:rPr>
      </w:pPr>
    </w:p>
    <w:p w14:paraId="61415ED4" w14:textId="135C6607" w:rsidR="000A2290" w:rsidRPr="00EC045C" w:rsidRDefault="000A2290" w:rsidP="00394A78">
      <w:pPr>
        <w:spacing w:before="100" w:beforeAutospacing="1" w:after="100" w:afterAutospacing="1" w:line="360" w:lineRule="auto"/>
        <w:jc w:val="both"/>
        <w:outlineLvl w:val="2"/>
        <w:rPr>
          <w:rFonts w:ascii="Arial" w:eastAsia="Times New Roman" w:hAnsi="Arial" w:cs="Arial"/>
          <w:kern w:val="0"/>
          <w:lang w:eastAsia="en-GB"/>
          <w14:ligatures w14:val="none"/>
        </w:rPr>
      </w:pPr>
      <w:r w:rsidRPr="00092129">
        <w:rPr>
          <w:rFonts w:ascii="Arial" w:eastAsia="Times New Roman" w:hAnsi="Arial" w:cs="Arial"/>
          <w:b/>
          <w:bCs/>
          <w:i/>
          <w:iCs/>
          <w:kern w:val="0"/>
          <w:sz w:val="36"/>
          <w:szCs w:val="36"/>
          <w:lang w:eastAsia="en-GB"/>
          <w14:ligatures w14:val="none"/>
        </w:rPr>
        <w:t>C</w:t>
      </w:r>
      <w:r w:rsidRPr="00EC045C">
        <w:rPr>
          <w:rFonts w:ascii="Arial" w:eastAsia="Times New Roman" w:hAnsi="Arial" w:cs="Arial"/>
          <w:kern w:val="0"/>
          <w:lang w:eastAsia="en-GB"/>
          <w14:ligatures w14:val="none"/>
        </w:rPr>
        <w:t>ompany Overview and Current State</w:t>
      </w:r>
    </w:p>
    <w:p w14:paraId="23DFE753" w14:textId="70A9264A" w:rsidR="000A2290" w:rsidRPr="000A2290" w:rsidRDefault="000A2290" w:rsidP="00394A78">
      <w:pPr>
        <w:spacing w:before="100" w:beforeAutospacing="1" w:after="100" w:afterAutospacing="1" w:line="360" w:lineRule="auto"/>
        <w:jc w:val="both"/>
        <w:rPr>
          <w:rFonts w:ascii="Arial" w:eastAsia="Times New Roman" w:hAnsi="Arial" w:cs="Arial"/>
          <w:kern w:val="0"/>
          <w:lang w:eastAsia="en-GB"/>
          <w14:ligatures w14:val="none"/>
        </w:rPr>
      </w:pPr>
      <w:r w:rsidRPr="000A2290">
        <w:rPr>
          <w:rFonts w:ascii="Arial" w:eastAsia="Times New Roman" w:hAnsi="Arial" w:cs="Arial"/>
          <w:kern w:val="0"/>
          <w:lang w:eastAsia="en-GB"/>
          <w14:ligatures w14:val="none"/>
        </w:rPr>
        <w:t xml:space="preserve">ExxonMobil Corporation is one of the world’s largest publicly traded oil and gas companies, headquartered in Irving, Texas. The company was formed in 1999 through the merger of Exxon and Mobil, two major successors of John D. Rockefeller’s Standard Oil (ExxonMobil, 2024). With operations in over 60 countries, ExxonMobil engages in the exploration, production, refining, and distribution of petroleum, natural gas, and petrochemical products. The firm is vertically integrated, maintaining control across the entire value </w:t>
      </w:r>
      <w:r w:rsidR="00C83247" w:rsidRPr="008F0931">
        <w:rPr>
          <w:rFonts w:ascii="Arial" w:eastAsia="Times New Roman" w:hAnsi="Arial" w:cs="Arial"/>
          <w:kern w:val="0"/>
          <w:lang w:eastAsia="en-GB"/>
          <w14:ligatures w14:val="none"/>
        </w:rPr>
        <w:t>chain from</w:t>
      </w:r>
      <w:r w:rsidRPr="000A2290">
        <w:rPr>
          <w:rFonts w:ascii="Arial" w:eastAsia="Times New Roman" w:hAnsi="Arial" w:cs="Arial"/>
          <w:kern w:val="0"/>
          <w:lang w:eastAsia="en-GB"/>
          <w14:ligatures w14:val="none"/>
        </w:rPr>
        <w:t xml:space="preserve"> upstream exploration and extraction to downstream refining and marketing.</w:t>
      </w:r>
    </w:p>
    <w:p w14:paraId="5FBA1BBD" w14:textId="0F50D948" w:rsidR="000A2290" w:rsidRPr="000A2290" w:rsidRDefault="000A2290" w:rsidP="00394A78">
      <w:pPr>
        <w:spacing w:before="100" w:beforeAutospacing="1" w:after="100" w:afterAutospacing="1" w:line="360" w:lineRule="auto"/>
        <w:jc w:val="both"/>
        <w:rPr>
          <w:rFonts w:ascii="Arial" w:eastAsia="Times New Roman" w:hAnsi="Arial" w:cs="Arial"/>
          <w:kern w:val="0"/>
          <w:lang w:eastAsia="en-GB"/>
          <w14:ligatures w14:val="none"/>
        </w:rPr>
      </w:pPr>
      <w:r w:rsidRPr="000A2290">
        <w:rPr>
          <w:rFonts w:ascii="Arial" w:eastAsia="Times New Roman" w:hAnsi="Arial" w:cs="Arial"/>
          <w:kern w:val="0"/>
          <w:lang w:eastAsia="en-GB"/>
          <w14:ligatures w14:val="none"/>
        </w:rPr>
        <w:t xml:space="preserve">In recent years, ExxonMobil has faced a rapidly changing global energy landscape, influenced by factors such as climate change, regulatory pressures, and the global shift toward renewable energy. Historically, the company’s strategy was heavily focused on fossil fuels; however, increasing environmental concerns and stakeholder activism have pushed ExxonMobil to reassess its long-term sustainability. The company has begun diversifying its portfolio through investments in carbon capture, hydrogen, and biofuels technologies (ExxonMobil, 2024). Despite these initiatives, ExxonMobil continues to derive </w:t>
      </w:r>
      <w:r w:rsidR="00C83247" w:rsidRPr="008F0931">
        <w:rPr>
          <w:rFonts w:ascii="Arial" w:eastAsia="Times New Roman" w:hAnsi="Arial" w:cs="Arial"/>
          <w:kern w:val="0"/>
          <w:lang w:eastAsia="en-GB"/>
          <w14:ligatures w14:val="none"/>
        </w:rPr>
        <w:t>most of</w:t>
      </w:r>
      <w:r w:rsidRPr="000A2290">
        <w:rPr>
          <w:rFonts w:ascii="Arial" w:eastAsia="Times New Roman" w:hAnsi="Arial" w:cs="Arial"/>
          <w:kern w:val="0"/>
          <w:lang w:eastAsia="en-GB"/>
          <w14:ligatures w14:val="none"/>
        </w:rPr>
        <w:t xml:space="preserve"> its revenue from oil and gas production, highlighting the challenge of balancing profitability with environmental responsibility.</w:t>
      </w:r>
    </w:p>
    <w:p w14:paraId="01C71188" w14:textId="77777777" w:rsidR="000A2290" w:rsidRPr="000A2290" w:rsidRDefault="000A2290" w:rsidP="00394A78">
      <w:pPr>
        <w:spacing w:before="100" w:beforeAutospacing="1" w:after="100" w:afterAutospacing="1" w:line="360" w:lineRule="auto"/>
        <w:jc w:val="both"/>
        <w:rPr>
          <w:rFonts w:ascii="Arial" w:eastAsia="Times New Roman" w:hAnsi="Arial" w:cs="Arial"/>
          <w:kern w:val="0"/>
          <w:lang w:eastAsia="en-GB"/>
          <w14:ligatures w14:val="none"/>
        </w:rPr>
      </w:pPr>
      <w:r w:rsidRPr="000A2290">
        <w:rPr>
          <w:rFonts w:ascii="Arial" w:eastAsia="Times New Roman" w:hAnsi="Arial" w:cs="Arial"/>
          <w:kern w:val="0"/>
          <w:lang w:eastAsia="en-GB"/>
          <w14:ligatures w14:val="none"/>
        </w:rPr>
        <w:t>Financially, ExxonMobil remains strong, benefiting from high oil prices and disciplined cost management. In 2023, the company reported revenues exceeding $344 billion, driven by rising global energy demand and refining margins (ExxonMobil, 2024). Its focus on operational efficiency and technological innovation has helped maintain competitiveness in a volatile market. ExxonMobil has also emphasized shareholder value through dividend payments and share buybacks, reinforcing its reputation as a stable investment.</w:t>
      </w:r>
    </w:p>
    <w:p w14:paraId="4CF84926" w14:textId="77777777" w:rsidR="000A2290" w:rsidRPr="000A2290" w:rsidRDefault="000A2290" w:rsidP="00394A78">
      <w:pPr>
        <w:spacing w:before="100" w:beforeAutospacing="1" w:after="100" w:afterAutospacing="1" w:line="360" w:lineRule="auto"/>
        <w:jc w:val="both"/>
        <w:rPr>
          <w:rFonts w:ascii="Arial" w:eastAsia="Times New Roman" w:hAnsi="Arial" w:cs="Arial"/>
          <w:kern w:val="0"/>
          <w:lang w:eastAsia="en-GB"/>
          <w14:ligatures w14:val="none"/>
        </w:rPr>
      </w:pPr>
      <w:r w:rsidRPr="000A2290">
        <w:rPr>
          <w:rFonts w:ascii="Arial" w:eastAsia="Times New Roman" w:hAnsi="Arial" w:cs="Arial"/>
          <w:kern w:val="0"/>
          <w:lang w:eastAsia="en-GB"/>
          <w14:ligatures w14:val="none"/>
        </w:rPr>
        <w:t>From a strategic perspective, ExxonMobil’s global operations are supported by its emphasis on research and development (R&amp;D). The company invests heavily in advanced technologies aimed at improving energy efficiency and reducing carbon emissions. For instance, it is one of the leading investors in carbon capture and storage (CCS) projects, recognizing the need for sustainable solutions within the fossil fuel industry. Furthermore, ExxonMobil has partnered with academic institutions and technology firms to explore low-emission fuel alternatives and enhance energy transition efforts (Reuters, 2024).</w:t>
      </w:r>
    </w:p>
    <w:p w14:paraId="6C1B203B" w14:textId="77777777" w:rsidR="000A2290" w:rsidRPr="000A2290" w:rsidRDefault="000A2290" w:rsidP="00394A78">
      <w:pPr>
        <w:spacing w:before="100" w:beforeAutospacing="1" w:after="100" w:afterAutospacing="1" w:line="360" w:lineRule="auto"/>
        <w:jc w:val="both"/>
        <w:rPr>
          <w:rFonts w:ascii="Arial" w:eastAsia="Times New Roman" w:hAnsi="Arial" w:cs="Arial"/>
          <w:kern w:val="0"/>
          <w:lang w:eastAsia="en-GB"/>
          <w14:ligatures w14:val="none"/>
        </w:rPr>
      </w:pPr>
      <w:r w:rsidRPr="000A2290">
        <w:rPr>
          <w:rFonts w:ascii="Arial" w:eastAsia="Times New Roman" w:hAnsi="Arial" w:cs="Arial"/>
          <w:kern w:val="0"/>
          <w:lang w:eastAsia="en-GB"/>
          <w14:ligatures w14:val="none"/>
        </w:rPr>
        <w:lastRenderedPageBreak/>
        <w:t>However, ExxonMobil’s environmental performance has attracted criticism. Environmental groups and stakeholders have challenged its climate policies, alleging insufficient progress toward decarbonization. The company has been under pressure from both investors and governments to align its operations with the Paris Agreement’s goals. In response, ExxonMobil has set a target to achieve net-zero greenhouse gas emissions from operated assets by 2050 (ExxonMobil, 2024). While this represents a significant strategic shift, critics argue that its commitments lack the pace and transparency required for meaningful change (Reuters, 2024).</w:t>
      </w:r>
    </w:p>
    <w:p w14:paraId="67B057B7" w14:textId="77777777" w:rsidR="000A2290" w:rsidRPr="000A2290" w:rsidRDefault="000A2290" w:rsidP="00394A78">
      <w:pPr>
        <w:spacing w:before="100" w:beforeAutospacing="1" w:after="100" w:afterAutospacing="1" w:line="360" w:lineRule="auto"/>
        <w:jc w:val="both"/>
        <w:rPr>
          <w:rFonts w:ascii="Arial" w:eastAsia="Times New Roman" w:hAnsi="Arial" w:cs="Arial"/>
          <w:kern w:val="0"/>
          <w:lang w:eastAsia="en-GB"/>
          <w14:ligatures w14:val="none"/>
        </w:rPr>
      </w:pPr>
      <w:r w:rsidRPr="000A2290">
        <w:rPr>
          <w:rFonts w:ascii="Arial" w:eastAsia="Times New Roman" w:hAnsi="Arial" w:cs="Arial"/>
          <w:kern w:val="0"/>
          <w:lang w:eastAsia="en-GB"/>
          <w14:ligatures w14:val="none"/>
        </w:rPr>
        <w:t>In conclusion, ExxonMobil remains a dominant force in the global energy sector, balancing profitability with growing sustainability expectations. The company’s strong financial foundation, extensive global presence, and ongoing investments in technology position it for continued relevance in a transitioning energy market. Nonetheless, the firm faces significant challenges as it navigates the global push for renewable energy and environmental accountability. Its long-term success will depend on its ability to innovate, diversify energy sources, and adapt to evolving stakeholder and regulatory demands.</w:t>
      </w:r>
    </w:p>
    <w:p w14:paraId="267C217B" w14:textId="77777777" w:rsidR="00DC3341" w:rsidRPr="00120F2F" w:rsidRDefault="00684E87" w:rsidP="00DC3341">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092129">
        <w:rPr>
          <w:rFonts w:ascii="Arial" w:eastAsia="Times New Roman" w:hAnsi="Arial" w:cs="Arial"/>
          <w:b/>
          <w:bCs/>
          <w:i/>
          <w:iCs/>
          <w:kern w:val="36"/>
          <w:sz w:val="36"/>
          <w:szCs w:val="36"/>
          <w:lang w:eastAsia="en-GB"/>
          <w14:ligatures w14:val="none"/>
        </w:rPr>
        <w:t>E</w:t>
      </w:r>
      <w:r w:rsidRPr="00120F2F">
        <w:rPr>
          <w:rFonts w:ascii="Arial" w:eastAsia="Times New Roman" w:hAnsi="Arial" w:cs="Arial"/>
          <w:kern w:val="36"/>
          <w:lang w:eastAsia="en-GB"/>
          <w14:ligatures w14:val="none"/>
        </w:rPr>
        <w:t xml:space="preserve">xxonMobil Benefits and challenges of international operations </w:t>
      </w:r>
    </w:p>
    <w:p w14:paraId="0A8E2B3B" w14:textId="7BA7B8CD" w:rsidR="000A5D7E" w:rsidRPr="00212123" w:rsidRDefault="00212123" w:rsidP="00212123">
      <w:pPr>
        <w:spacing w:before="100" w:beforeAutospacing="1" w:after="100" w:afterAutospacing="1" w:line="360" w:lineRule="auto"/>
        <w:jc w:val="both"/>
        <w:outlineLvl w:val="0"/>
        <w:rPr>
          <w:rFonts w:ascii="Arial" w:eastAsia="Times New Roman" w:hAnsi="Arial" w:cs="Arial"/>
          <w:b/>
          <w:bCs/>
          <w:kern w:val="36"/>
          <w:lang w:eastAsia="en-GB"/>
          <w14:ligatures w14:val="none"/>
        </w:rPr>
      </w:pPr>
      <w:r w:rsidRPr="00212123">
        <w:rPr>
          <w:rFonts w:ascii="Arial" w:eastAsia="Times New Roman" w:hAnsi="Arial" w:cs="Arial"/>
          <w:b/>
          <w:bCs/>
          <w:kern w:val="0"/>
          <w:lang w:eastAsia="en-GB"/>
          <w14:ligatures w14:val="none"/>
        </w:rPr>
        <w:t>a</w:t>
      </w:r>
      <w:r>
        <w:rPr>
          <w:rFonts w:ascii="Arial" w:eastAsia="Times New Roman" w:hAnsi="Arial" w:cs="Arial"/>
          <w:kern w:val="0"/>
          <w:lang w:eastAsia="en-GB"/>
          <w14:ligatures w14:val="none"/>
        </w:rPr>
        <w:t>)</w:t>
      </w:r>
      <w:r w:rsidRPr="00212123">
        <w:rPr>
          <w:rFonts w:ascii="Arial" w:eastAsia="Times New Roman" w:hAnsi="Arial" w:cs="Arial"/>
          <w:kern w:val="0"/>
          <w:lang w:eastAsia="en-GB"/>
          <w14:ligatures w14:val="none"/>
        </w:rPr>
        <w:t xml:space="preserve"> Why</w:t>
      </w:r>
      <w:r w:rsidR="000A5D7E" w:rsidRPr="00212123">
        <w:rPr>
          <w:rFonts w:ascii="Arial" w:eastAsia="Times New Roman" w:hAnsi="Arial" w:cs="Arial"/>
          <w:kern w:val="0"/>
          <w:lang w:eastAsia="en-GB"/>
          <w14:ligatures w14:val="none"/>
        </w:rPr>
        <w:t xml:space="preserve"> ExxonMobil Can Be Designated a Multinational Corporation</w:t>
      </w:r>
    </w:p>
    <w:p w14:paraId="0B1D2EEF" w14:textId="5BA8FEC8" w:rsidR="000A5D7E" w:rsidRPr="000A5D7E" w:rsidRDefault="000A5D7E" w:rsidP="00394A78">
      <w:pPr>
        <w:spacing w:before="100" w:beforeAutospacing="1" w:after="100" w:afterAutospacing="1" w:line="360" w:lineRule="auto"/>
        <w:jc w:val="both"/>
        <w:rPr>
          <w:rFonts w:ascii="Arial" w:eastAsia="Times New Roman" w:hAnsi="Arial" w:cs="Arial"/>
          <w:kern w:val="0"/>
          <w:lang w:eastAsia="en-GB"/>
          <w14:ligatures w14:val="none"/>
        </w:rPr>
      </w:pPr>
      <w:r w:rsidRPr="000A5D7E">
        <w:rPr>
          <w:rFonts w:ascii="Arial" w:eastAsia="Times New Roman" w:hAnsi="Arial" w:cs="Arial"/>
          <w:kern w:val="0"/>
          <w:lang w:eastAsia="en-GB"/>
          <w14:ligatures w14:val="none"/>
        </w:rPr>
        <w:t xml:space="preserve">ExxonMobil is widely recognised as a multinational corporation (MNC) due to its extensive operations, management structure, and strategic presence across multiple countries. </w:t>
      </w:r>
      <w:r w:rsidRPr="008F0931">
        <w:rPr>
          <w:rFonts w:ascii="Arial" w:eastAsia="Times New Roman" w:hAnsi="Arial" w:cs="Arial"/>
          <w:kern w:val="0"/>
          <w:lang w:eastAsia="en-GB"/>
          <w14:ligatures w14:val="none"/>
        </w:rPr>
        <w:t>An</w:t>
      </w:r>
      <w:r w:rsidRPr="000A5D7E">
        <w:rPr>
          <w:rFonts w:ascii="Arial" w:eastAsia="Times New Roman" w:hAnsi="Arial" w:cs="Arial"/>
          <w:kern w:val="0"/>
          <w:lang w:eastAsia="en-GB"/>
          <w14:ligatures w14:val="none"/>
        </w:rPr>
        <w:t xml:space="preserve"> MNC is a company that manages production or delivers services in more than one country, with a centralised headquarters coordinating global operations (Hill et al., 2014). ExxonMobil’s operations clearly fit this criterion, as it maintains upstream, downstream, and chemical activities in over 50 countries worldwide (Exxon Mobil Corporation, 2025). This global reach enables the firm to leverage resources, markets, and technological capabilities in a geographically diversified manner.</w:t>
      </w:r>
    </w:p>
    <w:p w14:paraId="799E38A6" w14:textId="77777777" w:rsidR="000A5D7E" w:rsidRPr="000A5D7E" w:rsidRDefault="000A5D7E" w:rsidP="00394A78">
      <w:pPr>
        <w:spacing w:before="100" w:beforeAutospacing="1" w:after="100" w:afterAutospacing="1" w:line="360" w:lineRule="auto"/>
        <w:jc w:val="both"/>
        <w:rPr>
          <w:rFonts w:ascii="Arial" w:eastAsia="Times New Roman" w:hAnsi="Arial" w:cs="Arial"/>
          <w:kern w:val="0"/>
          <w:lang w:eastAsia="en-GB"/>
          <w14:ligatures w14:val="none"/>
        </w:rPr>
      </w:pPr>
      <w:r w:rsidRPr="000A5D7E">
        <w:rPr>
          <w:rFonts w:ascii="Arial" w:eastAsia="Times New Roman" w:hAnsi="Arial" w:cs="Arial"/>
          <w:kern w:val="0"/>
          <w:lang w:eastAsia="en-GB"/>
          <w14:ligatures w14:val="none"/>
        </w:rPr>
        <w:t>One of the primary characteristics of an MNC is foreign direct investment (FDI). ExxonMobil invests heavily in exploration and production projects abroad, including significant developments in countries such as Guyana, Canada, and the United Arab Emirates. These investments involve long-term capital commitment, local employment, and partnerships with national oil companies or private firms, which are hallmarks of multinational operations. Such investments are coordinated from ExxonMobil’s headquarters in Irving, Texas, which sets strategic objectives, allocates capital, and integrates technological innovations across its global operations.</w:t>
      </w:r>
    </w:p>
    <w:p w14:paraId="45F0307D" w14:textId="77777777" w:rsidR="000A5D7E" w:rsidRPr="000A5D7E" w:rsidRDefault="000A5D7E" w:rsidP="00394A78">
      <w:pPr>
        <w:spacing w:before="100" w:beforeAutospacing="1" w:after="100" w:afterAutospacing="1" w:line="360" w:lineRule="auto"/>
        <w:jc w:val="both"/>
        <w:rPr>
          <w:rFonts w:ascii="Arial" w:eastAsia="Times New Roman" w:hAnsi="Arial" w:cs="Arial"/>
          <w:kern w:val="0"/>
          <w:lang w:eastAsia="en-GB"/>
          <w14:ligatures w14:val="none"/>
        </w:rPr>
      </w:pPr>
      <w:r w:rsidRPr="000A5D7E">
        <w:rPr>
          <w:rFonts w:ascii="Arial" w:eastAsia="Times New Roman" w:hAnsi="Arial" w:cs="Arial"/>
          <w:kern w:val="0"/>
          <w:lang w:eastAsia="en-GB"/>
          <w14:ligatures w14:val="none"/>
        </w:rPr>
        <w:lastRenderedPageBreak/>
        <w:t>Another defining feature of MNCs is the ability to access international markets and diversify revenue streams. ExxonMobil sells refined petroleum products, petrochemicals, and LNG to customers worldwide. Its global presence allows it to mitigate risks associated with regional demand fluctuations, commodity price volatility, or political instability, which further reinforces its multinational status. Additionally, ExxonMobil operates under centralised corporate governance while adapting to local regulatory environments, demonstrating the typical combination of global strategy and local responsiveness found in MNCs (Hill et al., 2014).</w:t>
      </w:r>
    </w:p>
    <w:p w14:paraId="3216C01B" w14:textId="2D95C97F" w:rsidR="000A5D7E" w:rsidRPr="00212123" w:rsidRDefault="000A5D7E" w:rsidP="00212123">
      <w:pPr>
        <w:spacing w:before="100" w:beforeAutospacing="1" w:after="100" w:afterAutospacing="1" w:line="360" w:lineRule="auto"/>
        <w:jc w:val="both"/>
        <w:rPr>
          <w:rFonts w:ascii="Arial" w:eastAsia="Times New Roman" w:hAnsi="Arial" w:cs="Arial"/>
          <w:kern w:val="0"/>
          <w:lang w:eastAsia="en-GB"/>
          <w14:ligatures w14:val="none"/>
        </w:rPr>
      </w:pPr>
      <w:r w:rsidRPr="000A5D7E">
        <w:rPr>
          <w:rFonts w:ascii="Arial" w:eastAsia="Times New Roman" w:hAnsi="Arial" w:cs="Arial"/>
          <w:kern w:val="0"/>
          <w:lang w:eastAsia="en-GB"/>
          <w14:ligatures w14:val="none"/>
        </w:rPr>
        <w:t>Finally, ExxonMobil’s organisational structure facilitates cross-border knowledge transfer and economies of scale. Technologies developed in one region can be applied to operations in another, improving operational efficiency and reinforcing its competitive advantage. The coordination of resources, capital, and knowledge across countries highlights the company’s MNC characteristics.</w:t>
      </w:r>
    </w:p>
    <w:p w14:paraId="2A9012A3" w14:textId="5ECB45FD" w:rsidR="00684E87" w:rsidRPr="00684E87" w:rsidRDefault="00684E87"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ED50A5">
        <w:rPr>
          <w:rFonts w:ascii="Arial" w:eastAsia="Times New Roman" w:hAnsi="Arial" w:cs="Arial"/>
          <w:b/>
          <w:bCs/>
          <w:kern w:val="0"/>
          <w:lang w:eastAsia="en-GB"/>
          <w14:ligatures w14:val="none"/>
        </w:rPr>
        <w:t>b</w:t>
      </w:r>
      <w:r w:rsidR="00ED50A5">
        <w:rPr>
          <w:rFonts w:ascii="Arial" w:eastAsia="Times New Roman" w:hAnsi="Arial" w:cs="Arial"/>
          <w:b/>
          <w:bCs/>
          <w:kern w:val="0"/>
          <w:lang w:eastAsia="en-GB"/>
          <w14:ligatures w14:val="none"/>
        </w:rPr>
        <w:t>)</w:t>
      </w:r>
      <w:r w:rsidRPr="00684E87">
        <w:rPr>
          <w:rFonts w:ascii="Arial" w:eastAsia="Times New Roman" w:hAnsi="Arial" w:cs="Arial"/>
          <w:b/>
          <w:bCs/>
          <w:kern w:val="0"/>
          <w:lang w:eastAsia="en-GB"/>
          <w14:ligatures w14:val="none"/>
        </w:rPr>
        <w:t xml:space="preserve"> </w:t>
      </w:r>
      <w:r w:rsidRPr="00ED50A5">
        <w:rPr>
          <w:rFonts w:ascii="Arial" w:eastAsia="Times New Roman" w:hAnsi="Arial" w:cs="Arial"/>
          <w:kern w:val="0"/>
          <w:lang w:eastAsia="en-GB"/>
          <w14:ligatures w14:val="none"/>
        </w:rPr>
        <w:t>Nature of ExxonMobil’s global operations across the value chain</w:t>
      </w:r>
    </w:p>
    <w:p w14:paraId="7427C36A" w14:textId="77777777" w:rsidR="00684E87" w:rsidRPr="00684E87" w:rsidRDefault="00684E87" w:rsidP="00394A78">
      <w:p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kern w:val="0"/>
          <w:lang w:eastAsia="en-GB"/>
          <w14:ligatures w14:val="none"/>
        </w:rPr>
        <w:t>ExxonMobil’s global value chain spans R&amp;D, upstream sourcing (exploration and production), midstream logistics, refining and petrochemical manufacturing, global marketing and distribution, and centralized financing and treasury functions.</w:t>
      </w:r>
    </w:p>
    <w:p w14:paraId="3480AF4C" w14:textId="660A49D8" w:rsidR="00684E87" w:rsidRPr="00684E87" w:rsidRDefault="00684E87" w:rsidP="00394A78">
      <w:p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kern w:val="0"/>
          <w:lang w:eastAsia="en-GB"/>
          <w14:ligatures w14:val="none"/>
        </w:rPr>
        <w:t xml:space="preserve">Research </w:t>
      </w:r>
      <w:r w:rsidR="00ED50A5">
        <w:rPr>
          <w:rFonts w:ascii="Arial" w:eastAsia="Times New Roman" w:hAnsi="Arial" w:cs="Arial"/>
          <w:kern w:val="0"/>
          <w:lang w:eastAsia="en-GB"/>
          <w14:ligatures w14:val="none"/>
        </w:rPr>
        <w:t xml:space="preserve">and </w:t>
      </w:r>
      <w:r w:rsidR="00ED50A5" w:rsidRPr="00684E87">
        <w:rPr>
          <w:rFonts w:ascii="Arial" w:eastAsia="Times New Roman" w:hAnsi="Arial" w:cs="Arial"/>
          <w:kern w:val="0"/>
          <w:lang w:eastAsia="en-GB"/>
          <w14:ligatures w14:val="none"/>
        </w:rPr>
        <w:t>development</w:t>
      </w:r>
      <w:r w:rsidR="00C83247" w:rsidRPr="008F0931">
        <w:rPr>
          <w:rFonts w:ascii="Arial" w:eastAsia="Times New Roman" w:hAnsi="Arial" w:cs="Arial"/>
          <w:kern w:val="0"/>
          <w:lang w:eastAsia="en-GB"/>
          <w14:ligatures w14:val="none"/>
        </w:rPr>
        <w:t xml:space="preserve"> ExxonMobil</w:t>
      </w:r>
      <w:r w:rsidRPr="00684E87">
        <w:rPr>
          <w:rFonts w:ascii="Arial" w:eastAsia="Times New Roman" w:hAnsi="Arial" w:cs="Arial"/>
          <w:kern w:val="0"/>
          <w:lang w:eastAsia="en-GB"/>
          <w14:ligatures w14:val="none"/>
        </w:rPr>
        <w:t xml:space="preserve"> invests in engineering, reservoir technology, process chemistry and lower-emissions technology via internal R&amp;D and global technical centres. The company deploys proprietary recovery and refining technology across projects to raise efficiency and reduce cost per barrel (Exxon Mobil Corporation, 2024).</w:t>
      </w:r>
    </w:p>
    <w:p w14:paraId="47D1BEC4" w14:textId="05BBF8F3" w:rsidR="00684E87" w:rsidRPr="00684E87" w:rsidRDefault="00684E87" w:rsidP="00394A78">
      <w:p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kern w:val="0"/>
          <w:lang w:eastAsia="en-GB"/>
          <w14:ligatures w14:val="none"/>
        </w:rPr>
        <w:t>Upstream sourcing</w:t>
      </w:r>
      <w:r w:rsidR="00C83247" w:rsidRPr="008F0931">
        <w:rPr>
          <w:rFonts w:ascii="Arial" w:eastAsia="Times New Roman" w:hAnsi="Arial" w:cs="Arial"/>
          <w:kern w:val="0"/>
          <w:lang w:eastAsia="en-GB"/>
          <w14:ligatures w14:val="none"/>
        </w:rPr>
        <w:t xml:space="preserve"> and</w:t>
      </w:r>
      <w:r w:rsidRPr="00684E87">
        <w:rPr>
          <w:rFonts w:ascii="Arial" w:eastAsia="Times New Roman" w:hAnsi="Arial" w:cs="Arial"/>
          <w:kern w:val="0"/>
          <w:lang w:eastAsia="en-GB"/>
          <w14:ligatures w14:val="none"/>
        </w:rPr>
        <w:t xml:space="preserve"> production </w:t>
      </w:r>
      <w:r w:rsidR="00C83247" w:rsidRPr="008F0931">
        <w:rPr>
          <w:rFonts w:ascii="Arial" w:eastAsia="Times New Roman" w:hAnsi="Arial" w:cs="Arial"/>
          <w:kern w:val="0"/>
          <w:lang w:eastAsia="en-GB"/>
          <w14:ligatures w14:val="none"/>
        </w:rPr>
        <w:t>the</w:t>
      </w:r>
      <w:r w:rsidRPr="00684E87">
        <w:rPr>
          <w:rFonts w:ascii="Arial" w:eastAsia="Times New Roman" w:hAnsi="Arial" w:cs="Arial"/>
          <w:kern w:val="0"/>
          <w:lang w:eastAsia="en-GB"/>
          <w14:ligatures w14:val="none"/>
        </w:rPr>
        <w:t xml:space="preserve"> firm operates and partners on large exploration and production projects (deepwater, conventional and unconventional). Examples include the Stabroek block in Guyana and the PNG LNG project in Papua New Guinea, where ExxonMobil has acted as operator or co-venturer, using global project management teams to execute complex offshore developments (Exxon Mobil Corporation, 2025; Exxon Mobil Corporation, 2024).</w:t>
      </w:r>
    </w:p>
    <w:p w14:paraId="54903BF8" w14:textId="03380F5E" w:rsidR="00684E87" w:rsidRPr="00684E87" w:rsidRDefault="00684E87" w:rsidP="00394A78">
      <w:p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kern w:val="0"/>
          <w:lang w:eastAsia="en-GB"/>
          <w14:ligatures w14:val="none"/>
        </w:rPr>
        <w:t xml:space="preserve">Midstream &amp; </w:t>
      </w:r>
      <w:r w:rsidR="00C83247" w:rsidRPr="008F0931">
        <w:rPr>
          <w:rFonts w:ascii="Arial" w:eastAsia="Times New Roman" w:hAnsi="Arial" w:cs="Arial"/>
          <w:kern w:val="0"/>
          <w:lang w:eastAsia="en-GB"/>
          <w14:ligatures w14:val="none"/>
        </w:rPr>
        <w:t>logistics ExxonMobil</w:t>
      </w:r>
      <w:r w:rsidRPr="00684E87">
        <w:rPr>
          <w:rFonts w:ascii="Arial" w:eastAsia="Times New Roman" w:hAnsi="Arial" w:cs="Arial"/>
          <w:kern w:val="0"/>
          <w:lang w:eastAsia="en-GB"/>
          <w14:ligatures w14:val="none"/>
        </w:rPr>
        <w:t xml:space="preserve"> secures access to terminals, LNG regasification and export capacity and shipping arrangements through long-term contracts and joint facilities. The company negotiates long-term access to terminals in Asia (e.g., Guangdong) and enters long-term LNG offtake and tolling arrangements to link supplies with demand centres (Reuters, 2024; Reuters, 2025).</w:t>
      </w:r>
    </w:p>
    <w:p w14:paraId="3C597FF9" w14:textId="5ECB1112" w:rsidR="00684E87" w:rsidRPr="00684E87" w:rsidRDefault="00684E87" w:rsidP="00394A78">
      <w:p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kern w:val="0"/>
          <w:lang w:eastAsia="en-GB"/>
          <w14:ligatures w14:val="none"/>
        </w:rPr>
        <w:lastRenderedPageBreak/>
        <w:t>Downstream (refining &amp; petrochemicals) ExxonMobil invests in large-scale refineries and petrochemical complexes (e.g., the Huizhou petrochemical complex in China) to convert feedstocks into higher-value products for regional markets. These assets capture margin across crude-to-petrochemical value chains and enable localization of supply for major demand centres (Reuters, 2025; Exxon Mobil Corporation, 2024).</w:t>
      </w:r>
    </w:p>
    <w:p w14:paraId="508F35FE" w14:textId="11335FEA" w:rsidR="00684E87" w:rsidRPr="00684E87" w:rsidRDefault="00684E87" w:rsidP="00394A78">
      <w:p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kern w:val="0"/>
          <w:lang w:eastAsia="en-GB"/>
          <w14:ligatures w14:val="none"/>
        </w:rPr>
        <w:t xml:space="preserve">Sales, marketing </w:t>
      </w:r>
      <w:r w:rsidR="00D02179">
        <w:rPr>
          <w:rFonts w:ascii="Arial" w:eastAsia="Times New Roman" w:hAnsi="Arial" w:cs="Arial"/>
          <w:kern w:val="0"/>
          <w:lang w:eastAsia="en-GB"/>
          <w14:ligatures w14:val="none"/>
        </w:rPr>
        <w:t>and</w:t>
      </w:r>
      <w:r w:rsidRPr="00684E87">
        <w:rPr>
          <w:rFonts w:ascii="Arial" w:eastAsia="Times New Roman" w:hAnsi="Arial" w:cs="Arial"/>
          <w:kern w:val="0"/>
          <w:lang w:eastAsia="en-GB"/>
          <w14:ligatures w14:val="none"/>
        </w:rPr>
        <w:t xml:space="preserve"> distribution Global marketing networks, branded service stations, and B2B contracts for fuels, lubricants and petrochemicals give ExxonMobil market reach. The company </w:t>
      </w:r>
      <w:r w:rsidRPr="008F0931">
        <w:rPr>
          <w:rFonts w:ascii="Arial" w:eastAsia="Times New Roman" w:hAnsi="Arial" w:cs="Arial"/>
          <w:kern w:val="0"/>
          <w:lang w:eastAsia="en-GB"/>
          <w14:ligatures w14:val="none"/>
        </w:rPr>
        <w:t>tailor’s</w:t>
      </w:r>
      <w:r w:rsidRPr="00684E87">
        <w:rPr>
          <w:rFonts w:ascii="Arial" w:eastAsia="Times New Roman" w:hAnsi="Arial" w:cs="Arial"/>
          <w:kern w:val="0"/>
          <w:lang w:eastAsia="en-GB"/>
          <w14:ligatures w14:val="none"/>
        </w:rPr>
        <w:t xml:space="preserve"> product mixes to local demand while exploiting global procurement and trading desks to optimize feedstock purchase and product placement.</w:t>
      </w:r>
    </w:p>
    <w:p w14:paraId="21173681" w14:textId="08947398" w:rsidR="00684E87" w:rsidRPr="00684E87" w:rsidRDefault="00684E87" w:rsidP="00394A78">
      <w:p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kern w:val="0"/>
          <w:lang w:eastAsia="en-GB"/>
          <w14:ligatures w14:val="none"/>
        </w:rPr>
        <w:t>Financing</w:t>
      </w:r>
      <w:r w:rsidR="00F6550D">
        <w:rPr>
          <w:rFonts w:ascii="Arial" w:eastAsia="Times New Roman" w:hAnsi="Arial" w:cs="Arial"/>
          <w:kern w:val="0"/>
          <w:lang w:eastAsia="en-GB"/>
          <w14:ligatures w14:val="none"/>
        </w:rPr>
        <w:t xml:space="preserve"> and </w:t>
      </w:r>
      <w:r w:rsidRPr="00684E87">
        <w:rPr>
          <w:rFonts w:ascii="Arial" w:eastAsia="Times New Roman" w:hAnsi="Arial" w:cs="Arial"/>
          <w:kern w:val="0"/>
          <w:lang w:eastAsia="en-GB"/>
          <w14:ligatures w14:val="none"/>
        </w:rPr>
        <w:t xml:space="preserve">corporate </w:t>
      </w:r>
      <w:r w:rsidR="00C83247" w:rsidRPr="008F0931">
        <w:rPr>
          <w:rFonts w:ascii="Arial" w:eastAsia="Times New Roman" w:hAnsi="Arial" w:cs="Arial"/>
          <w:kern w:val="0"/>
          <w:lang w:eastAsia="en-GB"/>
          <w14:ligatures w14:val="none"/>
        </w:rPr>
        <w:t>functions ExxonMobil</w:t>
      </w:r>
      <w:r w:rsidRPr="00684E87">
        <w:rPr>
          <w:rFonts w:ascii="Arial" w:eastAsia="Times New Roman" w:hAnsi="Arial" w:cs="Arial"/>
          <w:kern w:val="0"/>
          <w:lang w:eastAsia="en-GB"/>
          <w14:ligatures w14:val="none"/>
        </w:rPr>
        <w:t xml:space="preserve"> centralizes strategic capital allocation, treasury and investor relations functions, issuing consolidated financial statements (10-K) and coordinating large cross-border capital programmes. Its ability to mobilize multibillion-dollar project financing and to deploy global procurement strategies is a key capability for transnational project execution (Exxon Mobil Corporation, 2025).</w:t>
      </w:r>
    </w:p>
    <w:p w14:paraId="1292B58D" w14:textId="0A39D046" w:rsidR="00684E87" w:rsidRPr="00684E87" w:rsidRDefault="00684E87" w:rsidP="00394A78">
      <w:p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kern w:val="0"/>
          <w:lang w:eastAsia="en-GB"/>
          <w14:ligatures w14:val="none"/>
        </w:rPr>
        <w:t xml:space="preserve">Together, these elements illustrate a vertically integrated, globally coordinated value chain where technology and capital are transferred from corporate </w:t>
      </w:r>
      <w:r w:rsidR="00C83247" w:rsidRPr="008F0931">
        <w:rPr>
          <w:rFonts w:ascii="Arial" w:eastAsia="Times New Roman" w:hAnsi="Arial" w:cs="Arial"/>
          <w:kern w:val="0"/>
          <w:lang w:eastAsia="en-GB"/>
          <w14:ligatures w14:val="none"/>
        </w:rPr>
        <w:t>centres</w:t>
      </w:r>
      <w:r w:rsidRPr="00684E87">
        <w:rPr>
          <w:rFonts w:ascii="Arial" w:eastAsia="Times New Roman" w:hAnsi="Arial" w:cs="Arial"/>
          <w:kern w:val="0"/>
          <w:lang w:eastAsia="en-GB"/>
          <w14:ligatures w14:val="none"/>
        </w:rPr>
        <w:t xml:space="preserve"> to operating jurisdictions while commercial outputs are sold into regional and global markets (Exxon Mobil Corporation, 2024; Exxon Mobil Corporation, 2025).</w:t>
      </w:r>
    </w:p>
    <w:p w14:paraId="214BAF07" w14:textId="7C378D79" w:rsidR="00684E87" w:rsidRPr="00ED50A5" w:rsidRDefault="00684E87" w:rsidP="00394A78">
      <w:pPr>
        <w:spacing w:before="100" w:beforeAutospacing="1" w:after="100" w:afterAutospacing="1" w:line="360" w:lineRule="auto"/>
        <w:jc w:val="both"/>
        <w:outlineLvl w:val="1"/>
        <w:rPr>
          <w:rFonts w:ascii="Arial" w:eastAsia="Times New Roman" w:hAnsi="Arial" w:cs="Arial"/>
          <w:kern w:val="0"/>
          <w:lang w:eastAsia="en-GB"/>
          <w14:ligatures w14:val="none"/>
        </w:rPr>
      </w:pPr>
      <w:r w:rsidRPr="00ED50A5">
        <w:rPr>
          <w:rFonts w:ascii="Arial" w:eastAsia="Times New Roman" w:hAnsi="Arial" w:cs="Arial"/>
          <w:b/>
          <w:bCs/>
          <w:kern w:val="0"/>
          <w:lang w:eastAsia="en-GB"/>
          <w14:ligatures w14:val="none"/>
        </w:rPr>
        <w:t>c</w:t>
      </w:r>
      <w:r w:rsidR="00ED50A5">
        <w:rPr>
          <w:rFonts w:ascii="Arial" w:eastAsia="Times New Roman" w:hAnsi="Arial" w:cs="Arial"/>
          <w:b/>
          <w:bCs/>
          <w:kern w:val="0"/>
          <w:lang w:eastAsia="en-GB"/>
          <w14:ligatures w14:val="none"/>
        </w:rPr>
        <w:t>)</w:t>
      </w:r>
      <w:r w:rsidRPr="00684E87">
        <w:rPr>
          <w:rFonts w:ascii="Arial" w:eastAsia="Times New Roman" w:hAnsi="Arial" w:cs="Arial"/>
          <w:b/>
          <w:bCs/>
          <w:kern w:val="0"/>
          <w:lang w:eastAsia="en-GB"/>
          <w14:ligatures w14:val="none"/>
        </w:rPr>
        <w:t xml:space="preserve"> </w:t>
      </w:r>
      <w:r w:rsidRPr="00ED50A5">
        <w:rPr>
          <w:rFonts w:ascii="Arial" w:eastAsia="Times New Roman" w:hAnsi="Arial" w:cs="Arial"/>
          <w:kern w:val="0"/>
          <w:lang w:eastAsia="en-GB"/>
          <w14:ligatures w14:val="none"/>
        </w:rPr>
        <w:t>Entry modes used in international markets (and dominant mode</w:t>
      </w:r>
    </w:p>
    <w:p w14:paraId="6F8659FC" w14:textId="540D2C4E" w:rsidR="00684E87" w:rsidRPr="00684E87" w:rsidRDefault="00684E87" w:rsidP="00394A78">
      <w:p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kern w:val="0"/>
          <w:lang w:eastAsia="en-GB"/>
          <w14:ligatures w14:val="none"/>
        </w:rPr>
        <w:t xml:space="preserve">ExxonMobil uses a mix of entry modes: </w:t>
      </w:r>
      <w:r w:rsidRPr="008F0931">
        <w:rPr>
          <w:rFonts w:ascii="Arial" w:eastAsia="Times New Roman" w:hAnsi="Arial" w:cs="Arial"/>
          <w:kern w:val="0"/>
          <w:lang w:eastAsia="en-GB"/>
          <w14:ligatures w14:val="none"/>
        </w:rPr>
        <w:t>wholly owned</w:t>
      </w:r>
      <w:r w:rsidRPr="00684E87">
        <w:rPr>
          <w:rFonts w:ascii="Arial" w:eastAsia="Times New Roman" w:hAnsi="Arial" w:cs="Arial"/>
          <w:kern w:val="0"/>
          <w:lang w:eastAsia="en-GB"/>
          <w14:ligatures w14:val="none"/>
        </w:rPr>
        <w:t xml:space="preserve"> subsidiaries/greenfield investments, joint ventures (JVs)/production sharing agreements (PSAs) with national oil companies (NOCs), strategic long-term contracts (e.g., terminal access, offtake agreements), asset acquisitions, and operator/non-operator project roles.</w:t>
      </w:r>
    </w:p>
    <w:p w14:paraId="10370C77" w14:textId="441B2491" w:rsidR="00684E87" w:rsidRPr="00684E87" w:rsidRDefault="00684E87" w:rsidP="00394A78">
      <w:p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kern w:val="0"/>
          <w:lang w:eastAsia="en-GB"/>
          <w14:ligatures w14:val="none"/>
        </w:rPr>
        <w:t xml:space="preserve">Joint ventures  production sharing and </w:t>
      </w:r>
      <w:r w:rsidR="00C83247" w:rsidRPr="008F0931">
        <w:rPr>
          <w:rFonts w:ascii="Arial" w:eastAsia="Times New Roman" w:hAnsi="Arial" w:cs="Arial"/>
          <w:kern w:val="0"/>
          <w:lang w:eastAsia="en-GB"/>
          <w14:ligatures w14:val="none"/>
        </w:rPr>
        <w:t>partnerships in</w:t>
      </w:r>
      <w:r w:rsidRPr="00684E87">
        <w:rPr>
          <w:rFonts w:ascii="Arial" w:eastAsia="Times New Roman" w:hAnsi="Arial" w:cs="Arial"/>
          <w:kern w:val="0"/>
          <w:lang w:eastAsia="en-GB"/>
          <w14:ligatures w14:val="none"/>
        </w:rPr>
        <w:t xml:space="preserve"> many hydrocarbon provinces, access requires partnerships with host governments or state oil companies; ExxonMobil frequently forms JVs or enters PSAs to secure acreage and share development risk. Examples include large co-ventured LNG projects such as PNG LNG and collaborative developments in other basins (Exxon Mobil Corporation, 2024).</w:t>
      </w:r>
    </w:p>
    <w:p w14:paraId="2AE5E4B5" w14:textId="7C4E4794" w:rsidR="00684E87" w:rsidRPr="00684E87" w:rsidRDefault="00684E87" w:rsidP="00394A78">
      <w:p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kern w:val="0"/>
          <w:lang w:eastAsia="en-GB"/>
          <w14:ligatures w14:val="none"/>
        </w:rPr>
        <w:t xml:space="preserve">Operator-led greenfield developments ExxonMobil has pursued operator roles for deepwater greenfield developments (e.g., Guyana’s Stabroek block Liza development), where it applies </w:t>
      </w:r>
      <w:r w:rsidRPr="00684E87">
        <w:rPr>
          <w:rFonts w:ascii="Arial" w:eastAsia="Times New Roman" w:hAnsi="Arial" w:cs="Arial"/>
          <w:kern w:val="0"/>
          <w:lang w:eastAsia="en-GB"/>
          <w14:ligatures w14:val="none"/>
        </w:rPr>
        <w:lastRenderedPageBreak/>
        <w:t>project management expertise and receives large reserves upside in return for leading investment and execution (Exxon Mobil Corporation, 2025; Exxon Mobil Corporation, 2024).</w:t>
      </w:r>
    </w:p>
    <w:p w14:paraId="5083C56D" w14:textId="7397D603" w:rsidR="00684E87" w:rsidRPr="00684E87" w:rsidRDefault="00684E87" w:rsidP="00394A78">
      <w:p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kern w:val="0"/>
          <w:lang w:eastAsia="en-GB"/>
          <w14:ligatures w14:val="none"/>
        </w:rPr>
        <w:t xml:space="preserve">Long-term commercial contracts and offtake </w:t>
      </w:r>
      <w:r w:rsidR="00C83247" w:rsidRPr="008F0931">
        <w:rPr>
          <w:rFonts w:ascii="Arial" w:eastAsia="Times New Roman" w:hAnsi="Arial" w:cs="Arial"/>
          <w:kern w:val="0"/>
          <w:lang w:eastAsia="en-GB"/>
          <w14:ligatures w14:val="none"/>
        </w:rPr>
        <w:t>arrangements in</w:t>
      </w:r>
      <w:r w:rsidRPr="00684E87">
        <w:rPr>
          <w:rFonts w:ascii="Arial" w:eastAsia="Times New Roman" w:hAnsi="Arial" w:cs="Arial"/>
          <w:kern w:val="0"/>
          <w:lang w:eastAsia="en-GB"/>
          <w14:ligatures w14:val="none"/>
        </w:rPr>
        <w:t xml:space="preserve"> downstream and midstream, ExxonMobil secures market access through long-term terminal access contracts and LNG offtake arrangements (e.g., Guangdong terminal access), which allow supply of product into constrained regional markets without necessarily requiring equity ownership of all assets (Reuters, 2024).</w:t>
      </w:r>
    </w:p>
    <w:p w14:paraId="6A39BFFC" w14:textId="333C2FDF" w:rsidR="00684E87" w:rsidRPr="00684E87" w:rsidRDefault="00C83247" w:rsidP="00394A78">
      <w:pPr>
        <w:spacing w:before="100" w:beforeAutospacing="1" w:after="100" w:afterAutospacing="1" w:line="360" w:lineRule="auto"/>
        <w:jc w:val="both"/>
        <w:rPr>
          <w:rFonts w:ascii="Arial" w:eastAsia="Times New Roman" w:hAnsi="Arial" w:cs="Arial"/>
          <w:kern w:val="0"/>
          <w:lang w:eastAsia="en-GB"/>
          <w14:ligatures w14:val="none"/>
        </w:rPr>
      </w:pPr>
      <w:r w:rsidRPr="008F0931">
        <w:rPr>
          <w:rFonts w:ascii="Arial" w:eastAsia="Times New Roman" w:hAnsi="Arial" w:cs="Arial"/>
          <w:kern w:val="0"/>
          <w:lang w:eastAsia="en-GB"/>
          <w14:ligatures w14:val="none"/>
        </w:rPr>
        <w:t>Acquisitions where</w:t>
      </w:r>
      <w:r w:rsidR="00684E87" w:rsidRPr="00684E87">
        <w:rPr>
          <w:rFonts w:ascii="Arial" w:eastAsia="Times New Roman" w:hAnsi="Arial" w:cs="Arial"/>
          <w:kern w:val="0"/>
          <w:lang w:eastAsia="en-GB"/>
          <w14:ligatures w14:val="none"/>
        </w:rPr>
        <w:t xml:space="preserve"> strategic, the company has acquired assets or stakes in existing operations to accelerate entry or increase capacity; such acquisitions are sometimes followed by integration into ExxonMobil’s global operating model (Exxon Mobil Corporation, 2025).</w:t>
      </w:r>
    </w:p>
    <w:p w14:paraId="44871B23" w14:textId="2D8D4B05" w:rsidR="00684E87" w:rsidRPr="00684E87" w:rsidRDefault="00684E87" w:rsidP="00394A78">
      <w:p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kern w:val="0"/>
          <w:lang w:eastAsia="en-GB"/>
          <w14:ligatures w14:val="none"/>
        </w:rPr>
        <w:t xml:space="preserve">Dominant entry </w:t>
      </w:r>
      <w:r w:rsidR="00C83247" w:rsidRPr="008F0931">
        <w:rPr>
          <w:rFonts w:ascii="Arial" w:eastAsia="Times New Roman" w:hAnsi="Arial" w:cs="Arial"/>
          <w:kern w:val="0"/>
          <w:lang w:eastAsia="en-GB"/>
          <w14:ligatures w14:val="none"/>
        </w:rPr>
        <w:t>mode while</w:t>
      </w:r>
      <w:r w:rsidRPr="00684E87">
        <w:rPr>
          <w:rFonts w:ascii="Arial" w:eastAsia="Times New Roman" w:hAnsi="Arial" w:cs="Arial"/>
          <w:kern w:val="0"/>
          <w:lang w:eastAsia="en-GB"/>
          <w14:ligatures w14:val="none"/>
        </w:rPr>
        <w:t xml:space="preserve"> ExxonMobil uses </w:t>
      </w:r>
      <w:r w:rsidRPr="008F0931">
        <w:rPr>
          <w:rFonts w:ascii="Arial" w:eastAsia="Times New Roman" w:hAnsi="Arial" w:cs="Arial"/>
          <w:kern w:val="0"/>
          <w:lang w:eastAsia="en-GB"/>
          <w14:ligatures w14:val="none"/>
        </w:rPr>
        <w:t>all</w:t>
      </w:r>
      <w:r w:rsidRPr="00684E87">
        <w:rPr>
          <w:rFonts w:ascii="Arial" w:eastAsia="Times New Roman" w:hAnsi="Arial" w:cs="Arial"/>
          <w:kern w:val="0"/>
          <w:lang w:eastAsia="en-GB"/>
          <w14:ligatures w14:val="none"/>
        </w:rPr>
        <w:t xml:space="preserve"> the above, </w:t>
      </w:r>
      <w:r w:rsidRPr="00684E87">
        <w:rPr>
          <w:rFonts w:ascii="Arial" w:eastAsia="Times New Roman" w:hAnsi="Arial" w:cs="Arial"/>
          <w:b/>
          <w:bCs/>
          <w:kern w:val="0"/>
          <w:lang w:eastAsia="en-GB"/>
          <w14:ligatures w14:val="none"/>
        </w:rPr>
        <w:t>partnerships/JVs and operator-led project developments</w:t>
      </w:r>
      <w:r w:rsidRPr="00684E87">
        <w:rPr>
          <w:rFonts w:ascii="Arial" w:eastAsia="Times New Roman" w:hAnsi="Arial" w:cs="Arial"/>
          <w:kern w:val="0"/>
          <w:lang w:eastAsia="en-GB"/>
          <w14:ligatures w14:val="none"/>
        </w:rPr>
        <w:t xml:space="preserve"> are arguably dominant for upstream entry into resource-rich jurisdictions, because host governments commonly require local partnerships, and the technical/commercial risks of large projects favour shared ownership (Exxon Mobil Corporation, 2024; Exxon Mobil Corporation, 2025).</w:t>
      </w:r>
    </w:p>
    <w:p w14:paraId="0E28D979" w14:textId="032A37FE" w:rsidR="00684E87" w:rsidRPr="00684E87" w:rsidRDefault="00684E87"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874051">
        <w:rPr>
          <w:rFonts w:ascii="Arial" w:eastAsia="Times New Roman" w:hAnsi="Arial" w:cs="Arial"/>
          <w:b/>
          <w:bCs/>
          <w:kern w:val="0"/>
          <w:lang w:eastAsia="en-GB"/>
          <w14:ligatures w14:val="none"/>
        </w:rPr>
        <w:t>d</w:t>
      </w:r>
      <w:r w:rsidR="00ED50A5">
        <w:rPr>
          <w:rFonts w:ascii="Arial" w:eastAsia="Times New Roman" w:hAnsi="Arial" w:cs="Arial"/>
          <w:b/>
          <w:bCs/>
          <w:kern w:val="0"/>
          <w:lang w:eastAsia="en-GB"/>
          <w14:ligatures w14:val="none"/>
        </w:rPr>
        <w:t>)</w:t>
      </w:r>
      <w:r w:rsidRPr="00684E87">
        <w:rPr>
          <w:rFonts w:ascii="Arial" w:eastAsia="Times New Roman" w:hAnsi="Arial" w:cs="Arial"/>
          <w:b/>
          <w:bCs/>
          <w:kern w:val="0"/>
          <w:lang w:eastAsia="en-GB"/>
          <w14:ligatures w14:val="none"/>
        </w:rPr>
        <w:t xml:space="preserve"> </w:t>
      </w:r>
      <w:r w:rsidRPr="00874051">
        <w:rPr>
          <w:rFonts w:ascii="Arial" w:eastAsia="Times New Roman" w:hAnsi="Arial" w:cs="Arial"/>
          <w:kern w:val="0"/>
          <w:lang w:eastAsia="en-GB"/>
          <w14:ligatures w14:val="none"/>
        </w:rPr>
        <w:t>Key benefits from international operations</w:t>
      </w:r>
    </w:p>
    <w:p w14:paraId="502B9C92" w14:textId="62450FFF" w:rsidR="00684E87" w:rsidRPr="00684E87" w:rsidRDefault="00684E87" w:rsidP="00394A78">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b/>
          <w:bCs/>
          <w:kern w:val="0"/>
          <w:lang w:eastAsia="en-GB"/>
          <w14:ligatures w14:val="none"/>
        </w:rPr>
        <w:t>Access to large resources and reserve replacement</w:t>
      </w:r>
      <w:r w:rsidRPr="00684E87">
        <w:rPr>
          <w:rFonts w:ascii="Arial" w:eastAsia="Times New Roman" w:hAnsi="Arial" w:cs="Arial"/>
          <w:kern w:val="0"/>
          <w:lang w:eastAsia="en-GB"/>
          <w14:ligatures w14:val="none"/>
        </w:rPr>
        <w:t xml:space="preserve"> </w:t>
      </w:r>
      <w:r w:rsidR="008F0931" w:rsidRPr="008F0931">
        <w:rPr>
          <w:rFonts w:ascii="Arial" w:eastAsia="Times New Roman" w:hAnsi="Arial" w:cs="Arial"/>
          <w:kern w:val="0"/>
          <w:lang w:eastAsia="en-GB"/>
          <w14:ligatures w14:val="none"/>
        </w:rPr>
        <w:t>international</w:t>
      </w:r>
      <w:r w:rsidRPr="00684E87">
        <w:rPr>
          <w:rFonts w:ascii="Arial" w:eastAsia="Times New Roman" w:hAnsi="Arial" w:cs="Arial"/>
          <w:kern w:val="0"/>
          <w:lang w:eastAsia="en-GB"/>
          <w14:ligatures w14:val="none"/>
        </w:rPr>
        <w:t xml:space="preserve"> exploration has unlocked major fields (e.g., Guyana) that materially augment ExxonMobil’s reserve base and long-term production profile, supporting sustained cash flows and shareholder returns (Exxon Mobil Corporation, 2025).</w:t>
      </w:r>
    </w:p>
    <w:p w14:paraId="34226DEC" w14:textId="0B20CB3D" w:rsidR="00684E87" w:rsidRPr="00684E87" w:rsidRDefault="00684E87" w:rsidP="00394A78">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b/>
          <w:bCs/>
          <w:kern w:val="0"/>
          <w:lang w:eastAsia="en-GB"/>
          <w14:ligatures w14:val="none"/>
        </w:rPr>
        <w:t xml:space="preserve">Diversified revenue streams and market </w:t>
      </w:r>
      <w:r w:rsidR="008F0931" w:rsidRPr="008F0931">
        <w:rPr>
          <w:rFonts w:ascii="Arial" w:eastAsia="Times New Roman" w:hAnsi="Arial" w:cs="Arial"/>
          <w:b/>
          <w:bCs/>
          <w:kern w:val="0"/>
          <w:lang w:eastAsia="en-GB"/>
          <w14:ligatures w14:val="none"/>
        </w:rPr>
        <w:t>exposure</w:t>
      </w:r>
      <w:r w:rsidR="008F0931" w:rsidRPr="008F0931">
        <w:rPr>
          <w:rFonts w:ascii="Arial" w:eastAsia="Times New Roman" w:hAnsi="Arial" w:cs="Arial"/>
          <w:kern w:val="0"/>
          <w:lang w:eastAsia="en-GB"/>
          <w14:ligatures w14:val="none"/>
        </w:rPr>
        <w:t xml:space="preserve"> geographic</w:t>
      </w:r>
      <w:r w:rsidRPr="00684E87">
        <w:rPr>
          <w:rFonts w:ascii="Arial" w:eastAsia="Times New Roman" w:hAnsi="Arial" w:cs="Arial"/>
          <w:kern w:val="0"/>
          <w:lang w:eastAsia="en-GB"/>
          <w14:ligatures w14:val="none"/>
        </w:rPr>
        <w:t xml:space="preserve"> spread across upstream, LNG, refining and chemicals reduces dependence on any single market demand cycle or regulatory regime, improving earnings stability and portfolio resilience (Exxon Mobil Corporation, 2024).</w:t>
      </w:r>
    </w:p>
    <w:p w14:paraId="27DFCB41" w14:textId="411AC8BF" w:rsidR="00684E87" w:rsidRPr="00684E87" w:rsidRDefault="00684E87" w:rsidP="00394A78">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b/>
          <w:bCs/>
          <w:kern w:val="0"/>
          <w:lang w:eastAsia="en-GB"/>
          <w14:ligatures w14:val="none"/>
        </w:rPr>
        <w:t xml:space="preserve">Economies of scale and technological </w:t>
      </w:r>
      <w:r w:rsidR="008F0931" w:rsidRPr="008F0931">
        <w:rPr>
          <w:rFonts w:ascii="Arial" w:eastAsia="Times New Roman" w:hAnsi="Arial" w:cs="Arial"/>
          <w:b/>
          <w:bCs/>
          <w:kern w:val="0"/>
          <w:lang w:eastAsia="en-GB"/>
          <w14:ligatures w14:val="none"/>
        </w:rPr>
        <w:t>leverage</w:t>
      </w:r>
      <w:r w:rsidR="008F0931" w:rsidRPr="008F0931">
        <w:rPr>
          <w:rFonts w:ascii="Arial" w:eastAsia="Times New Roman" w:hAnsi="Arial" w:cs="Arial"/>
          <w:kern w:val="0"/>
          <w:lang w:eastAsia="en-GB"/>
          <w14:ligatures w14:val="none"/>
        </w:rPr>
        <w:t xml:space="preserve"> global</w:t>
      </w:r>
      <w:r w:rsidRPr="00684E87">
        <w:rPr>
          <w:rFonts w:ascii="Arial" w:eastAsia="Times New Roman" w:hAnsi="Arial" w:cs="Arial"/>
          <w:kern w:val="0"/>
          <w:lang w:eastAsia="en-GB"/>
          <w14:ligatures w14:val="none"/>
        </w:rPr>
        <w:t xml:space="preserve"> scale enables high R&amp;D investment and standardized practices that lower unit costs. ExxonMobil deploys proprietary engineering, procurement and construction (EPC) approaches across projects, capturing cost efficiencies and accelerating project delivery (Exxon Mobil Corporation, 2024).</w:t>
      </w:r>
    </w:p>
    <w:p w14:paraId="4F855241" w14:textId="1B7936F0" w:rsidR="00684E87" w:rsidRPr="00684E87" w:rsidRDefault="00684E87" w:rsidP="00394A78">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b/>
          <w:bCs/>
          <w:kern w:val="0"/>
          <w:lang w:eastAsia="en-GB"/>
          <w14:ligatures w14:val="none"/>
        </w:rPr>
        <w:t>Value capture through vertical integration</w:t>
      </w:r>
      <w:r w:rsidRPr="00684E87">
        <w:rPr>
          <w:rFonts w:ascii="Arial" w:eastAsia="Times New Roman" w:hAnsi="Arial" w:cs="Arial"/>
          <w:kern w:val="0"/>
          <w:lang w:eastAsia="en-GB"/>
          <w14:ligatures w14:val="none"/>
        </w:rPr>
        <w:t xml:space="preserve"> </w:t>
      </w:r>
      <w:r w:rsidR="008F0931" w:rsidRPr="008F0931">
        <w:rPr>
          <w:rFonts w:ascii="Arial" w:eastAsia="Times New Roman" w:hAnsi="Arial" w:cs="Arial"/>
          <w:kern w:val="0"/>
          <w:lang w:eastAsia="en-GB"/>
          <w14:ligatures w14:val="none"/>
        </w:rPr>
        <w:t>c</w:t>
      </w:r>
      <w:r w:rsidRPr="00684E87">
        <w:rPr>
          <w:rFonts w:ascii="Arial" w:eastAsia="Times New Roman" w:hAnsi="Arial" w:cs="Arial"/>
          <w:kern w:val="0"/>
          <w:lang w:eastAsia="en-GB"/>
          <w14:ligatures w14:val="none"/>
        </w:rPr>
        <w:t>ontrolling multiple stages of the value chain</w:t>
      </w:r>
      <w:r w:rsidR="00212123">
        <w:rPr>
          <w:rFonts w:ascii="Arial" w:eastAsia="Times New Roman" w:hAnsi="Arial" w:cs="Arial"/>
          <w:kern w:val="0"/>
          <w:lang w:eastAsia="en-GB"/>
          <w14:ligatures w14:val="none"/>
        </w:rPr>
        <w:t xml:space="preserve"> </w:t>
      </w:r>
      <w:r w:rsidRPr="00684E87">
        <w:rPr>
          <w:rFonts w:ascii="Arial" w:eastAsia="Times New Roman" w:hAnsi="Arial" w:cs="Arial"/>
          <w:kern w:val="0"/>
          <w:lang w:eastAsia="en-GB"/>
          <w14:ligatures w14:val="none"/>
        </w:rPr>
        <w:t>from production to refining and marketing</w:t>
      </w:r>
      <w:r w:rsidR="008F0931" w:rsidRPr="008F0931">
        <w:rPr>
          <w:rFonts w:ascii="Arial" w:eastAsia="Times New Roman" w:hAnsi="Arial" w:cs="Arial"/>
          <w:kern w:val="0"/>
          <w:lang w:eastAsia="en-GB"/>
          <w14:ligatures w14:val="none"/>
        </w:rPr>
        <w:t xml:space="preserve"> </w:t>
      </w:r>
      <w:r w:rsidRPr="00684E87">
        <w:rPr>
          <w:rFonts w:ascii="Arial" w:eastAsia="Times New Roman" w:hAnsi="Arial" w:cs="Arial"/>
          <w:kern w:val="0"/>
          <w:lang w:eastAsia="en-GB"/>
          <w14:ligatures w14:val="none"/>
        </w:rPr>
        <w:t>allows ExxonMobil to capture margins across crude conversion and to arbitrage regional differences in product demand (Exxon Mobil Corporation, 2024).</w:t>
      </w:r>
    </w:p>
    <w:p w14:paraId="48B1790E" w14:textId="51C87517" w:rsidR="00684E87" w:rsidRPr="00684E87" w:rsidRDefault="00684E87" w:rsidP="00394A78">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b/>
          <w:bCs/>
          <w:kern w:val="0"/>
          <w:lang w:eastAsia="en-GB"/>
          <w14:ligatures w14:val="none"/>
        </w:rPr>
        <w:lastRenderedPageBreak/>
        <w:t xml:space="preserve">Strategic positioning for energy </w:t>
      </w:r>
      <w:r w:rsidR="008F0931" w:rsidRPr="008F0931">
        <w:rPr>
          <w:rFonts w:ascii="Arial" w:eastAsia="Times New Roman" w:hAnsi="Arial" w:cs="Arial"/>
          <w:b/>
          <w:bCs/>
          <w:kern w:val="0"/>
          <w:lang w:eastAsia="en-GB"/>
          <w14:ligatures w14:val="none"/>
        </w:rPr>
        <w:t>transitions</w:t>
      </w:r>
      <w:r w:rsidR="008F0931" w:rsidRPr="008F0931">
        <w:rPr>
          <w:rFonts w:ascii="Arial" w:eastAsia="Times New Roman" w:hAnsi="Arial" w:cs="Arial"/>
          <w:kern w:val="0"/>
          <w:lang w:eastAsia="en-GB"/>
          <w14:ligatures w14:val="none"/>
        </w:rPr>
        <w:t xml:space="preserve"> international</w:t>
      </w:r>
      <w:r w:rsidRPr="00684E87">
        <w:rPr>
          <w:rFonts w:ascii="Arial" w:eastAsia="Times New Roman" w:hAnsi="Arial" w:cs="Arial"/>
          <w:kern w:val="0"/>
          <w:lang w:eastAsia="en-GB"/>
          <w14:ligatures w14:val="none"/>
        </w:rPr>
        <w:t xml:space="preserve"> presence allows the company to pursue growth in global LNG markets, petrochemicals, and selected lower-emission technologies where regional policy support, demand growth, or favourable economics exist (Exxon Mobil Corporation, 2025).</w:t>
      </w:r>
    </w:p>
    <w:p w14:paraId="055854ED" w14:textId="250EA371" w:rsidR="00C766C6" w:rsidRPr="008F0931" w:rsidRDefault="00684E87" w:rsidP="00394A78">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684E87">
        <w:rPr>
          <w:rFonts w:ascii="Arial" w:eastAsia="Times New Roman" w:hAnsi="Arial" w:cs="Arial"/>
          <w:b/>
          <w:bCs/>
          <w:kern w:val="0"/>
          <w:lang w:eastAsia="en-GB"/>
          <w14:ligatures w14:val="none"/>
        </w:rPr>
        <w:t>Risk-sharing and local legitimacy through partnerships</w:t>
      </w:r>
      <w:r w:rsidRPr="00684E87">
        <w:rPr>
          <w:rFonts w:ascii="Arial" w:eastAsia="Times New Roman" w:hAnsi="Arial" w:cs="Arial"/>
          <w:kern w:val="0"/>
          <w:lang w:eastAsia="en-GB"/>
          <w14:ligatures w14:val="none"/>
        </w:rPr>
        <w:t xml:space="preserve"> JVs and local partnerships spread sovereign and execution risks, provide local knowledge and create political goodwill</w:t>
      </w:r>
      <w:r w:rsidR="008F0931" w:rsidRPr="008F0931">
        <w:rPr>
          <w:rFonts w:ascii="Arial" w:eastAsia="Times New Roman" w:hAnsi="Arial" w:cs="Arial"/>
          <w:kern w:val="0"/>
          <w:lang w:eastAsia="en-GB"/>
          <w14:ligatures w14:val="none"/>
        </w:rPr>
        <w:t xml:space="preserve"> </w:t>
      </w:r>
      <w:r w:rsidRPr="00684E87">
        <w:rPr>
          <w:rFonts w:ascii="Arial" w:eastAsia="Times New Roman" w:hAnsi="Arial" w:cs="Arial"/>
          <w:kern w:val="0"/>
          <w:lang w:eastAsia="en-GB"/>
          <w14:ligatures w14:val="none"/>
        </w:rPr>
        <w:t>critical in countries where local content requirements and stakeholder engagement determine project viability (Exxon Mobil Corporation, 2024).</w:t>
      </w:r>
    </w:p>
    <w:p w14:paraId="4215AA70" w14:textId="77777777" w:rsidR="00C00863" w:rsidRDefault="00684E87" w:rsidP="00C00863">
      <w:pPr>
        <w:spacing w:before="100" w:beforeAutospacing="1" w:after="100" w:afterAutospacing="1" w:line="360" w:lineRule="auto"/>
        <w:ind w:left="360"/>
        <w:jc w:val="both"/>
        <w:rPr>
          <w:rFonts w:ascii="Arial" w:eastAsia="Times New Roman" w:hAnsi="Arial" w:cs="Arial"/>
          <w:kern w:val="0"/>
          <w:lang w:eastAsia="en-GB"/>
          <w14:ligatures w14:val="none"/>
        </w:rPr>
      </w:pPr>
      <w:r w:rsidRPr="00684E87">
        <w:rPr>
          <w:rFonts w:ascii="Arial" w:eastAsia="Times New Roman" w:hAnsi="Arial" w:cs="Arial"/>
          <w:kern w:val="0"/>
          <w:lang w:eastAsia="en-GB"/>
          <w14:ligatures w14:val="none"/>
        </w:rPr>
        <w:t xml:space="preserve"> ExxonMobil’s status as an MNC/TNC reflects its geographically diversified assets, vertically integrated value chain and centralized global management. Its choice of entry modes</w:t>
      </w:r>
      <w:r w:rsidR="008F0931" w:rsidRPr="008F0931">
        <w:rPr>
          <w:rFonts w:ascii="Arial" w:eastAsia="Times New Roman" w:hAnsi="Arial" w:cs="Arial"/>
          <w:kern w:val="0"/>
          <w:lang w:eastAsia="en-GB"/>
          <w14:ligatures w14:val="none"/>
        </w:rPr>
        <w:t xml:space="preserve"> </w:t>
      </w:r>
      <w:r w:rsidRPr="00684E87">
        <w:rPr>
          <w:rFonts w:ascii="Arial" w:eastAsia="Times New Roman" w:hAnsi="Arial" w:cs="Arial"/>
          <w:kern w:val="0"/>
          <w:lang w:eastAsia="en-GB"/>
          <w14:ligatures w14:val="none"/>
        </w:rPr>
        <w:t>predominantly partnerships/JVs and operator greenfield development</w:t>
      </w:r>
      <w:r w:rsidR="008F0931" w:rsidRPr="008F0931">
        <w:rPr>
          <w:rFonts w:ascii="Arial" w:eastAsia="Times New Roman" w:hAnsi="Arial" w:cs="Arial"/>
          <w:kern w:val="0"/>
          <w:lang w:eastAsia="en-GB"/>
          <w14:ligatures w14:val="none"/>
        </w:rPr>
        <w:t xml:space="preserve"> </w:t>
      </w:r>
      <w:r w:rsidRPr="00684E87">
        <w:rPr>
          <w:rFonts w:ascii="Arial" w:eastAsia="Times New Roman" w:hAnsi="Arial" w:cs="Arial"/>
          <w:kern w:val="0"/>
          <w:lang w:eastAsia="en-GB"/>
          <w14:ligatures w14:val="none"/>
        </w:rPr>
        <w:t xml:space="preserve">reflects the technical demands and political realities of global hydrocarbon investment. The international model delivers resource access, diversification, scale and market positioning, but it also requires careful management of political, regulatory and social risks as the firm </w:t>
      </w:r>
      <w:r w:rsidRPr="008F0931">
        <w:rPr>
          <w:rFonts w:ascii="Arial" w:eastAsia="Times New Roman" w:hAnsi="Arial" w:cs="Arial"/>
          <w:kern w:val="0"/>
          <w:lang w:eastAsia="en-GB"/>
          <w14:ligatures w14:val="none"/>
        </w:rPr>
        <w:t>balance’s</w:t>
      </w:r>
      <w:r w:rsidRPr="00684E87">
        <w:rPr>
          <w:rFonts w:ascii="Arial" w:eastAsia="Times New Roman" w:hAnsi="Arial" w:cs="Arial"/>
          <w:kern w:val="0"/>
          <w:lang w:eastAsia="en-GB"/>
          <w14:ligatures w14:val="none"/>
        </w:rPr>
        <w:t xml:space="preserve"> legacy hydrocarbons with evolving lower-carbon opportunities (Exxon Mobil Corporation, 2024; Exxon Mobil Corporation, 2025; Reuters, 2024)</w:t>
      </w:r>
    </w:p>
    <w:p w14:paraId="61B737C3" w14:textId="137DAE65" w:rsidR="0035341C" w:rsidRPr="00EC045C" w:rsidRDefault="0035341C" w:rsidP="00674563">
      <w:pPr>
        <w:spacing w:before="100" w:beforeAutospacing="1" w:after="100" w:afterAutospacing="1" w:line="360" w:lineRule="auto"/>
        <w:jc w:val="both"/>
        <w:rPr>
          <w:rFonts w:ascii="Arial" w:eastAsia="Times New Roman" w:hAnsi="Arial" w:cs="Arial"/>
          <w:i/>
          <w:iCs/>
          <w:kern w:val="36"/>
          <w:lang w:eastAsia="en-GB"/>
          <w14:ligatures w14:val="none"/>
        </w:rPr>
      </w:pPr>
      <w:r w:rsidRPr="007B1436">
        <w:rPr>
          <w:rFonts w:ascii="Arial" w:eastAsia="Cambria" w:hAnsi="Arial" w:cs="Arial"/>
          <w:b/>
          <w:bCs/>
          <w:i/>
          <w:iCs/>
          <w:sz w:val="36"/>
          <w:szCs w:val="36"/>
        </w:rPr>
        <w:t>C</w:t>
      </w:r>
      <w:r w:rsidRPr="00EC045C">
        <w:rPr>
          <w:rFonts w:ascii="Arial" w:eastAsia="Cambria" w:hAnsi="Arial" w:cs="Arial"/>
        </w:rPr>
        <w:t>ritically discuss how the OLI factors (Ownership, Location and Internalisation)</w:t>
      </w:r>
    </w:p>
    <w:p w14:paraId="7FE0DDC7" w14:textId="273DCC7F" w:rsidR="00C766C6" w:rsidRPr="0074281A" w:rsidRDefault="0074281A" w:rsidP="0074281A">
      <w:pPr>
        <w:spacing w:before="100" w:beforeAutospacing="1" w:after="100" w:afterAutospacing="1" w:line="360" w:lineRule="auto"/>
        <w:jc w:val="both"/>
        <w:rPr>
          <w:rFonts w:ascii="Arial" w:eastAsia="Times New Roman" w:hAnsi="Arial" w:cs="Arial"/>
          <w:b/>
          <w:bCs/>
          <w:kern w:val="0"/>
          <w:lang w:eastAsia="en-GB"/>
          <w14:ligatures w14:val="none"/>
        </w:rPr>
      </w:pPr>
      <w:r>
        <w:rPr>
          <w:rFonts w:ascii="Arial" w:eastAsia="Times New Roman" w:hAnsi="Arial" w:cs="Arial"/>
          <w:b/>
          <w:bCs/>
          <w:kern w:val="36"/>
          <w:lang w:eastAsia="en-GB"/>
          <w14:ligatures w14:val="none"/>
        </w:rPr>
        <w:t>1</w:t>
      </w:r>
      <w:r w:rsidR="009B4156">
        <w:rPr>
          <w:rFonts w:ascii="Arial" w:eastAsia="Times New Roman" w:hAnsi="Arial" w:cs="Arial"/>
          <w:b/>
          <w:bCs/>
          <w:kern w:val="36"/>
          <w:lang w:eastAsia="en-GB"/>
          <w14:ligatures w14:val="none"/>
        </w:rPr>
        <w:t xml:space="preserve">) </w:t>
      </w:r>
      <w:r w:rsidR="00C766C6" w:rsidRPr="0074281A">
        <w:rPr>
          <w:rFonts w:ascii="Arial" w:eastAsia="Times New Roman" w:hAnsi="Arial" w:cs="Arial"/>
          <w:b/>
          <w:bCs/>
          <w:kern w:val="36"/>
          <w:lang w:eastAsia="en-GB"/>
          <w14:ligatures w14:val="none"/>
        </w:rPr>
        <w:t>Application of the OLI Framework to ExxonMobil’s International Market Entry</w:t>
      </w:r>
    </w:p>
    <w:p w14:paraId="70A90CA8" w14:textId="7A886F2A" w:rsidR="00C766C6" w:rsidRPr="00C766C6" w:rsidRDefault="00C766C6" w:rsidP="00394A78">
      <w:pPr>
        <w:spacing w:before="100" w:beforeAutospacing="1" w:after="100" w:afterAutospacing="1" w:line="360" w:lineRule="auto"/>
        <w:jc w:val="both"/>
        <w:rPr>
          <w:rFonts w:ascii="Arial" w:eastAsia="Times New Roman" w:hAnsi="Arial" w:cs="Arial"/>
          <w:kern w:val="0"/>
          <w:lang w:eastAsia="en-GB"/>
          <w14:ligatures w14:val="none"/>
        </w:rPr>
      </w:pPr>
      <w:r w:rsidRPr="00C766C6">
        <w:rPr>
          <w:rFonts w:ascii="Arial" w:eastAsia="Times New Roman" w:hAnsi="Arial" w:cs="Arial"/>
          <w:kern w:val="0"/>
          <w:lang w:eastAsia="en-GB"/>
          <w14:ligatures w14:val="none"/>
        </w:rPr>
        <w:t>ExxonMobil, one of the largest integrated oil and gas companies globally, operates in over 50 countries and exemplifies the strategic decision-making processes associated with multinational enterprises (MNEs). A critical tool to analyse such internationalisation is Dunning’s OLI framework, which identifies</w:t>
      </w:r>
      <w:r w:rsidR="00F94B1A">
        <w:rPr>
          <w:rFonts w:ascii="Arial" w:eastAsia="Times New Roman" w:hAnsi="Arial" w:cs="Arial"/>
          <w:kern w:val="0"/>
          <w:lang w:eastAsia="en-GB"/>
          <w14:ligatures w14:val="none"/>
        </w:rPr>
        <w:t xml:space="preserve"> (</w:t>
      </w:r>
      <w:r w:rsidRPr="00C766C6">
        <w:rPr>
          <w:rFonts w:ascii="Arial" w:eastAsia="Times New Roman" w:hAnsi="Arial" w:cs="Arial"/>
          <w:kern w:val="0"/>
          <w:lang w:eastAsia="en-GB"/>
          <w14:ligatures w14:val="none"/>
        </w:rPr>
        <w:t>Ownership Location</w:t>
      </w:r>
      <w:r w:rsidR="00100A9F">
        <w:rPr>
          <w:rFonts w:ascii="Arial" w:eastAsia="Times New Roman" w:hAnsi="Arial" w:cs="Arial"/>
          <w:kern w:val="0"/>
          <w:lang w:eastAsia="en-GB"/>
          <w14:ligatures w14:val="none"/>
        </w:rPr>
        <w:t xml:space="preserve"> </w:t>
      </w:r>
      <w:r w:rsidRPr="00C766C6">
        <w:rPr>
          <w:rFonts w:ascii="Arial" w:eastAsia="Times New Roman" w:hAnsi="Arial" w:cs="Arial"/>
          <w:kern w:val="0"/>
          <w:lang w:eastAsia="en-GB"/>
          <w14:ligatures w14:val="none"/>
        </w:rPr>
        <w:t xml:space="preserve">and </w:t>
      </w:r>
      <w:r w:rsidR="00674563" w:rsidRPr="00C766C6">
        <w:rPr>
          <w:rFonts w:ascii="Arial" w:eastAsia="Times New Roman" w:hAnsi="Arial" w:cs="Arial"/>
          <w:kern w:val="0"/>
          <w:lang w:eastAsia="en-GB"/>
          <w14:ligatures w14:val="none"/>
        </w:rPr>
        <w:t>Internalisation</w:t>
      </w:r>
      <w:r w:rsidR="00674563">
        <w:rPr>
          <w:rFonts w:ascii="Arial" w:eastAsia="Times New Roman" w:hAnsi="Arial" w:cs="Arial"/>
          <w:kern w:val="0"/>
          <w:lang w:eastAsia="en-GB"/>
          <w14:ligatures w14:val="none"/>
        </w:rPr>
        <w:t>)</w:t>
      </w:r>
      <w:r w:rsidR="00674563" w:rsidRPr="00C766C6">
        <w:rPr>
          <w:rFonts w:ascii="Arial" w:eastAsia="Times New Roman" w:hAnsi="Arial" w:cs="Arial"/>
          <w:kern w:val="0"/>
          <w:lang w:eastAsia="en-GB"/>
          <w14:ligatures w14:val="none"/>
        </w:rPr>
        <w:t xml:space="preserve"> advantages</w:t>
      </w:r>
      <w:r w:rsidRPr="00C766C6">
        <w:rPr>
          <w:rFonts w:ascii="Arial" w:eastAsia="Times New Roman" w:hAnsi="Arial" w:cs="Arial"/>
          <w:kern w:val="0"/>
          <w:lang w:eastAsia="en-GB"/>
          <w14:ligatures w14:val="none"/>
        </w:rPr>
        <w:t xml:space="preserve"> as determinants of foreign direct investment (FDI) and market entry strategies (Dunning, 2000). Applying this framework to ExxonMobil’s entry into emerging markets, such as Guyana, illustrates how the company leverages its resources, adapts to local conditions, and chooses suitable entry modes.</w:t>
      </w:r>
    </w:p>
    <w:p w14:paraId="2057827E" w14:textId="77777777" w:rsidR="00C766C6" w:rsidRPr="00657E96" w:rsidRDefault="00C766C6" w:rsidP="00394A78">
      <w:pPr>
        <w:spacing w:before="100" w:beforeAutospacing="1" w:after="100" w:afterAutospacing="1" w:line="360" w:lineRule="auto"/>
        <w:jc w:val="both"/>
        <w:outlineLvl w:val="1"/>
        <w:rPr>
          <w:rFonts w:ascii="Arial" w:eastAsia="Times New Roman" w:hAnsi="Arial" w:cs="Arial"/>
          <w:kern w:val="0"/>
          <w:lang w:eastAsia="en-GB"/>
          <w14:ligatures w14:val="none"/>
        </w:rPr>
      </w:pPr>
      <w:r w:rsidRPr="00674563">
        <w:rPr>
          <w:rFonts w:ascii="Arial" w:eastAsia="Times New Roman" w:hAnsi="Arial" w:cs="Arial"/>
          <w:b/>
          <w:bCs/>
          <w:i/>
          <w:iCs/>
          <w:kern w:val="0"/>
          <w:sz w:val="36"/>
          <w:szCs w:val="36"/>
          <w:lang w:eastAsia="en-GB"/>
          <w14:ligatures w14:val="none"/>
        </w:rPr>
        <w:t>O</w:t>
      </w:r>
      <w:r w:rsidRPr="00657E96">
        <w:rPr>
          <w:rFonts w:ascii="Arial" w:eastAsia="Times New Roman" w:hAnsi="Arial" w:cs="Arial"/>
          <w:kern w:val="0"/>
          <w:lang w:eastAsia="en-GB"/>
          <w14:ligatures w14:val="none"/>
        </w:rPr>
        <w:t>wnership Advantages</w:t>
      </w:r>
    </w:p>
    <w:p w14:paraId="5835E02F" w14:textId="77777777" w:rsidR="00C766C6" w:rsidRPr="00C766C6" w:rsidRDefault="00C766C6" w:rsidP="00394A78">
      <w:pPr>
        <w:spacing w:before="100" w:beforeAutospacing="1" w:after="100" w:afterAutospacing="1" w:line="360" w:lineRule="auto"/>
        <w:jc w:val="both"/>
        <w:rPr>
          <w:rFonts w:ascii="Arial" w:eastAsia="Times New Roman" w:hAnsi="Arial" w:cs="Arial"/>
          <w:kern w:val="0"/>
          <w:lang w:eastAsia="en-GB"/>
          <w14:ligatures w14:val="none"/>
        </w:rPr>
      </w:pPr>
      <w:r w:rsidRPr="00C766C6">
        <w:rPr>
          <w:rFonts w:ascii="Arial" w:eastAsia="Times New Roman" w:hAnsi="Arial" w:cs="Arial"/>
          <w:kern w:val="0"/>
          <w:lang w:eastAsia="en-GB"/>
          <w14:ligatures w14:val="none"/>
        </w:rPr>
        <w:t xml:space="preserve">Ownership advantages refer to firm-specific assets that provide a competitive edge in foreign markets. For ExxonMobil, these include advanced technological capabilities in exploration, drilling, and LNG production, as well as proprietary management practices, economies of scale, and a strong brand reputation (Exxon Mobil Corporation, 2025). These assets enable </w:t>
      </w:r>
      <w:r w:rsidRPr="00C766C6">
        <w:rPr>
          <w:rFonts w:ascii="Arial" w:eastAsia="Times New Roman" w:hAnsi="Arial" w:cs="Arial"/>
          <w:kern w:val="0"/>
          <w:lang w:eastAsia="en-GB"/>
          <w14:ligatures w14:val="none"/>
        </w:rPr>
        <w:lastRenderedPageBreak/>
        <w:t>the company to extract and process hydrocarbons more efficiently than local competitors, mitigating risks associated with offshore and deepwater projects.</w:t>
      </w:r>
    </w:p>
    <w:p w14:paraId="25E63EB2" w14:textId="77777777" w:rsidR="00C766C6" w:rsidRPr="00C766C6" w:rsidRDefault="00C766C6" w:rsidP="00394A78">
      <w:pPr>
        <w:spacing w:before="100" w:beforeAutospacing="1" w:after="100" w:afterAutospacing="1" w:line="360" w:lineRule="auto"/>
        <w:jc w:val="both"/>
        <w:rPr>
          <w:rFonts w:ascii="Arial" w:eastAsia="Times New Roman" w:hAnsi="Arial" w:cs="Arial"/>
          <w:kern w:val="0"/>
          <w:lang w:eastAsia="en-GB"/>
          <w14:ligatures w14:val="none"/>
        </w:rPr>
      </w:pPr>
      <w:r w:rsidRPr="00C766C6">
        <w:rPr>
          <w:rFonts w:ascii="Arial" w:eastAsia="Times New Roman" w:hAnsi="Arial" w:cs="Arial"/>
          <w:kern w:val="0"/>
          <w:lang w:eastAsia="en-GB"/>
          <w14:ligatures w14:val="none"/>
        </w:rPr>
        <w:t>For example, ExxonMobil’s deepwater operations in the Stabroek Block offshore Guyana rely on proprietary seismic imaging, enhanced oil recovery techniques, and state-of-the-art floating production storage and offloading (FPSO) units. Such technology constitutes a significant ownership advantage, justifying FDI rather than licensing or joint ventures as the entry mode. The company retains control over technical operations to protect its intellectual property and maximise profit, illustrating how ownership-specific advantages shape the choice of entry (Dunning, 2000).</w:t>
      </w:r>
    </w:p>
    <w:p w14:paraId="0D00016B" w14:textId="77777777" w:rsidR="00C766C6" w:rsidRPr="00C766C6" w:rsidRDefault="00C766C6"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C766C6">
        <w:rPr>
          <w:rFonts w:ascii="Arial" w:eastAsia="Times New Roman" w:hAnsi="Arial" w:cs="Arial"/>
          <w:b/>
          <w:bCs/>
          <w:kern w:val="0"/>
          <w:lang w:eastAsia="en-GB"/>
          <w14:ligatures w14:val="none"/>
        </w:rPr>
        <w:t>Location Advantages</w:t>
      </w:r>
    </w:p>
    <w:p w14:paraId="544315AD" w14:textId="77777777" w:rsidR="00C766C6" w:rsidRPr="00C766C6" w:rsidRDefault="00C766C6" w:rsidP="00394A78">
      <w:pPr>
        <w:spacing w:before="100" w:beforeAutospacing="1" w:after="100" w:afterAutospacing="1" w:line="360" w:lineRule="auto"/>
        <w:jc w:val="both"/>
        <w:rPr>
          <w:rFonts w:ascii="Arial" w:eastAsia="Times New Roman" w:hAnsi="Arial" w:cs="Arial"/>
          <w:kern w:val="0"/>
          <w:lang w:eastAsia="en-GB"/>
          <w14:ligatures w14:val="none"/>
        </w:rPr>
      </w:pPr>
      <w:r w:rsidRPr="00C766C6">
        <w:rPr>
          <w:rFonts w:ascii="Arial" w:eastAsia="Times New Roman" w:hAnsi="Arial" w:cs="Arial"/>
          <w:kern w:val="0"/>
          <w:lang w:eastAsia="en-GB"/>
          <w14:ligatures w14:val="none"/>
        </w:rPr>
        <w:t>Location advantages relate to country-specific factors that attract foreign investment, including natural resources, economic conditions, political stability, market potential, and regulatory frameworks. Emerging markets such as Guyana present strong location advantages for ExxonMobil due to significant untapped hydrocarbon reserves, relatively favourable fiscal terms, and proximity to major export markets in North and South America (Reuters, 2024).</w:t>
      </w:r>
    </w:p>
    <w:p w14:paraId="2CA36358" w14:textId="77777777" w:rsidR="00C766C6" w:rsidRPr="00C766C6" w:rsidRDefault="00C766C6" w:rsidP="00394A78">
      <w:pPr>
        <w:spacing w:before="100" w:beforeAutospacing="1" w:after="100" w:afterAutospacing="1" w:line="360" w:lineRule="auto"/>
        <w:jc w:val="both"/>
        <w:rPr>
          <w:rFonts w:ascii="Arial" w:eastAsia="Times New Roman" w:hAnsi="Arial" w:cs="Arial"/>
          <w:kern w:val="0"/>
          <w:lang w:eastAsia="en-GB"/>
          <w14:ligatures w14:val="none"/>
        </w:rPr>
      </w:pPr>
      <w:r w:rsidRPr="00C766C6">
        <w:rPr>
          <w:rFonts w:ascii="Arial" w:eastAsia="Times New Roman" w:hAnsi="Arial" w:cs="Arial"/>
          <w:kern w:val="0"/>
          <w:lang w:eastAsia="en-GB"/>
          <w14:ligatures w14:val="none"/>
        </w:rPr>
        <w:t>Moreover, location-specific factors such as infrastructure, local workforce availability, and the legal framework for resource exploitation influence the operational feasibility of foreign investment. ExxonMobil conducts extensive due diligence to assess political and economic risks, environmental standards, and local content requirements, ensuring the location aligns with its strategic objectives. The combination of rich resource endowments and supportive policies makes Guyana an attractive site for FDI, supporting the decision to invest directly rather than pursuing alternative entry modes such as exporting or contract-based agreements (Hill et al., 2014).</w:t>
      </w:r>
    </w:p>
    <w:p w14:paraId="1326E41D" w14:textId="77777777" w:rsidR="00C766C6" w:rsidRPr="00C766C6" w:rsidRDefault="00C766C6"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C766C6">
        <w:rPr>
          <w:rFonts w:ascii="Arial" w:eastAsia="Times New Roman" w:hAnsi="Arial" w:cs="Arial"/>
          <w:b/>
          <w:bCs/>
          <w:kern w:val="0"/>
          <w:lang w:eastAsia="en-GB"/>
          <w14:ligatures w14:val="none"/>
        </w:rPr>
        <w:t>Internalisation Advantages</w:t>
      </w:r>
    </w:p>
    <w:p w14:paraId="5609E867" w14:textId="77777777" w:rsidR="00C766C6" w:rsidRPr="00C766C6" w:rsidRDefault="00C766C6" w:rsidP="00394A78">
      <w:pPr>
        <w:spacing w:before="100" w:beforeAutospacing="1" w:after="100" w:afterAutospacing="1" w:line="360" w:lineRule="auto"/>
        <w:jc w:val="both"/>
        <w:rPr>
          <w:rFonts w:ascii="Arial" w:eastAsia="Times New Roman" w:hAnsi="Arial" w:cs="Arial"/>
          <w:kern w:val="0"/>
          <w:lang w:eastAsia="en-GB"/>
          <w14:ligatures w14:val="none"/>
        </w:rPr>
      </w:pPr>
      <w:r w:rsidRPr="00C766C6">
        <w:rPr>
          <w:rFonts w:ascii="Arial" w:eastAsia="Times New Roman" w:hAnsi="Arial" w:cs="Arial"/>
          <w:kern w:val="0"/>
          <w:lang w:eastAsia="en-GB"/>
          <w14:ligatures w14:val="none"/>
        </w:rPr>
        <w:t>Internalisation advantages occur when a firm prefers to retain ownership and control over its resources and operations rather than outsourcing or licensing them to a third party. In the oil and gas sector, internalisation is crucial due to high capital intensity, technological sensitivity, and the need for operational coordination. ExxonMobil’s internalisation strategy allows it to protect proprietary technology, maintain safety and environmental standards, and optimise long-term profitability (Exxon Mobil Corporation, 2025).</w:t>
      </w:r>
    </w:p>
    <w:p w14:paraId="55259647" w14:textId="77777777" w:rsidR="00C766C6" w:rsidRPr="00C766C6" w:rsidRDefault="00C766C6" w:rsidP="00394A78">
      <w:pPr>
        <w:spacing w:before="100" w:beforeAutospacing="1" w:after="100" w:afterAutospacing="1" w:line="360" w:lineRule="auto"/>
        <w:jc w:val="both"/>
        <w:rPr>
          <w:rFonts w:ascii="Arial" w:eastAsia="Times New Roman" w:hAnsi="Arial" w:cs="Arial"/>
          <w:kern w:val="0"/>
          <w:lang w:eastAsia="en-GB"/>
          <w14:ligatures w14:val="none"/>
        </w:rPr>
      </w:pPr>
      <w:r w:rsidRPr="00C766C6">
        <w:rPr>
          <w:rFonts w:ascii="Arial" w:eastAsia="Times New Roman" w:hAnsi="Arial" w:cs="Arial"/>
          <w:kern w:val="0"/>
          <w:lang w:eastAsia="en-GB"/>
          <w14:ligatures w14:val="none"/>
        </w:rPr>
        <w:lastRenderedPageBreak/>
        <w:t>For instance, in Guyana, ExxonMobil entered the market through production-sharing agreements (PSAs) with the government while directly managing exploration, drilling, and production operations. This internalisation ensures that sensitive technical processes and intellectual property remain under company control. Furthermore, internalisation reduces risks associated with joint ventures or licensing arrangements, such as opportunistic behaviour by partners or local political interference, which can be significant in emerging markets (Dunning, 2000).</w:t>
      </w:r>
    </w:p>
    <w:p w14:paraId="1E02F9FC" w14:textId="6DAB7D4F" w:rsidR="00C766C6" w:rsidRPr="00C766C6" w:rsidRDefault="00E71F19"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2) </w:t>
      </w:r>
      <w:r w:rsidR="00C766C6" w:rsidRPr="00E71F19">
        <w:rPr>
          <w:rFonts w:ascii="Arial" w:eastAsia="Times New Roman" w:hAnsi="Arial" w:cs="Arial"/>
          <w:b/>
          <w:bCs/>
          <w:kern w:val="0"/>
          <w:lang w:eastAsia="en-GB"/>
          <w14:ligatures w14:val="none"/>
        </w:rPr>
        <w:t>O</w:t>
      </w:r>
      <w:r w:rsidR="00C766C6" w:rsidRPr="00C766C6">
        <w:rPr>
          <w:rFonts w:ascii="Arial" w:eastAsia="Times New Roman" w:hAnsi="Arial" w:cs="Arial"/>
          <w:b/>
          <w:bCs/>
          <w:kern w:val="0"/>
          <w:lang w:eastAsia="en-GB"/>
          <w14:ligatures w14:val="none"/>
        </w:rPr>
        <w:t>LI Factors and Market Entry Mode</w:t>
      </w:r>
    </w:p>
    <w:p w14:paraId="733D0A5E" w14:textId="45EAEB75" w:rsidR="00C766C6" w:rsidRPr="00C766C6" w:rsidRDefault="00C766C6" w:rsidP="00394A78">
      <w:pPr>
        <w:spacing w:before="100" w:beforeAutospacing="1" w:after="100" w:afterAutospacing="1" w:line="360" w:lineRule="auto"/>
        <w:jc w:val="both"/>
        <w:rPr>
          <w:rFonts w:ascii="Arial" w:eastAsia="Times New Roman" w:hAnsi="Arial" w:cs="Arial"/>
          <w:kern w:val="0"/>
          <w:lang w:eastAsia="en-GB"/>
          <w14:ligatures w14:val="none"/>
        </w:rPr>
      </w:pPr>
      <w:r w:rsidRPr="00C766C6">
        <w:rPr>
          <w:rFonts w:ascii="Arial" w:eastAsia="Times New Roman" w:hAnsi="Arial" w:cs="Arial"/>
          <w:kern w:val="0"/>
          <w:lang w:eastAsia="en-GB"/>
          <w14:ligatures w14:val="none"/>
        </w:rPr>
        <w:t xml:space="preserve">By integrating the three OLI factors, it becomes evident why ExxonMobil prefers </w:t>
      </w:r>
      <w:r w:rsidRPr="008F0931">
        <w:rPr>
          <w:rFonts w:ascii="Arial" w:eastAsia="Times New Roman" w:hAnsi="Arial" w:cs="Arial"/>
          <w:kern w:val="0"/>
          <w:lang w:eastAsia="en-GB"/>
          <w14:ligatures w14:val="none"/>
        </w:rPr>
        <w:t>wholly owned</w:t>
      </w:r>
      <w:r w:rsidRPr="00C766C6">
        <w:rPr>
          <w:rFonts w:ascii="Arial" w:eastAsia="Times New Roman" w:hAnsi="Arial" w:cs="Arial"/>
          <w:kern w:val="0"/>
          <w:lang w:eastAsia="en-GB"/>
          <w14:ligatures w14:val="none"/>
        </w:rPr>
        <w:t xml:space="preserve"> or controlled FDI for market entry in emerging economies. Ownership advantages in proprietary technology, financial capacity, and brand reputation provide the capability to operate in high-risk environments. Location advantages, such as resource availability and favourable regulatory frameworks, make investment attractive. Internalisation advantages justify the retention of control over operations to protect intellectual property, maintain quality standards, and manage operational complexity.</w:t>
      </w:r>
    </w:p>
    <w:p w14:paraId="07C39F7A" w14:textId="77777777" w:rsidR="00C766C6" w:rsidRPr="00C766C6" w:rsidRDefault="00C766C6" w:rsidP="00394A78">
      <w:pPr>
        <w:spacing w:before="100" w:beforeAutospacing="1" w:after="100" w:afterAutospacing="1" w:line="360" w:lineRule="auto"/>
        <w:jc w:val="both"/>
        <w:rPr>
          <w:rFonts w:ascii="Arial" w:eastAsia="Times New Roman" w:hAnsi="Arial" w:cs="Arial"/>
          <w:kern w:val="0"/>
          <w:lang w:eastAsia="en-GB"/>
          <w14:ligatures w14:val="none"/>
        </w:rPr>
      </w:pPr>
      <w:r w:rsidRPr="00C766C6">
        <w:rPr>
          <w:rFonts w:ascii="Arial" w:eastAsia="Times New Roman" w:hAnsi="Arial" w:cs="Arial"/>
          <w:kern w:val="0"/>
          <w:lang w:eastAsia="en-GB"/>
          <w14:ligatures w14:val="none"/>
        </w:rPr>
        <w:t>In Guyana, these factors converge to support a production-sharing agreement with direct operational management, which combines local partnership requirements with internalised control of core activities. The entry mode illustrates the practical application of the OLI framework: technology-intensive and capital-intensive firms like ExxonMobil benefit from FDI in locations where resource availability is high, and internalisation reduces risks and enhances profitability (Hill et al., 2014; Reuters, 2024).</w:t>
      </w:r>
    </w:p>
    <w:p w14:paraId="76C9D160" w14:textId="77777777" w:rsidR="00C766C6" w:rsidRPr="00C766C6" w:rsidRDefault="00C766C6"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C766C6">
        <w:rPr>
          <w:rFonts w:ascii="Arial" w:eastAsia="Times New Roman" w:hAnsi="Arial" w:cs="Arial"/>
          <w:b/>
          <w:bCs/>
          <w:kern w:val="0"/>
          <w:lang w:eastAsia="en-GB"/>
          <w14:ligatures w14:val="none"/>
        </w:rPr>
        <w:t>Challenges in Applying OLI in Emerging Markets</w:t>
      </w:r>
    </w:p>
    <w:p w14:paraId="377249B6" w14:textId="77777777" w:rsidR="00C766C6" w:rsidRPr="00C766C6" w:rsidRDefault="00C766C6" w:rsidP="00394A78">
      <w:pPr>
        <w:spacing w:before="100" w:beforeAutospacing="1" w:after="100" w:afterAutospacing="1" w:line="360" w:lineRule="auto"/>
        <w:jc w:val="both"/>
        <w:rPr>
          <w:rFonts w:ascii="Arial" w:eastAsia="Times New Roman" w:hAnsi="Arial" w:cs="Arial"/>
          <w:kern w:val="0"/>
          <w:lang w:eastAsia="en-GB"/>
          <w14:ligatures w14:val="none"/>
        </w:rPr>
      </w:pPr>
      <w:r w:rsidRPr="00C766C6">
        <w:rPr>
          <w:rFonts w:ascii="Arial" w:eastAsia="Times New Roman" w:hAnsi="Arial" w:cs="Arial"/>
          <w:kern w:val="0"/>
          <w:lang w:eastAsia="en-GB"/>
          <w14:ligatures w14:val="none"/>
        </w:rPr>
        <w:t>Despite its explanatory power, the OLI framework does not fully mitigate the risks associated with emerging markets. Political instability, fluctuating fiscal terms, environmental regulations, and social licence issues can affect returns on investment. In Guyana, ExxonMobil must navigate local content requirements, environmental scrutiny, and potential social unrest, which may increase operational costs or cause delays (Exxon Mobil Corporation, 2025). Moreover, currency fluctuations and limited local infrastructure can impact project economics, highlighting the need to complement OLI analysis with comprehensive risk assessment and stakeholder engagement strategies (Financial Times, 2025).</w:t>
      </w:r>
    </w:p>
    <w:p w14:paraId="36828C15" w14:textId="77777777" w:rsidR="00C766C6" w:rsidRPr="00C766C6" w:rsidRDefault="00C766C6"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C766C6">
        <w:rPr>
          <w:rFonts w:ascii="Arial" w:eastAsia="Times New Roman" w:hAnsi="Arial" w:cs="Arial"/>
          <w:b/>
          <w:bCs/>
          <w:kern w:val="0"/>
          <w:lang w:eastAsia="en-GB"/>
          <w14:ligatures w14:val="none"/>
        </w:rPr>
        <w:t>Strategic Implications</w:t>
      </w:r>
    </w:p>
    <w:p w14:paraId="4944C79D" w14:textId="77777777" w:rsidR="00C766C6" w:rsidRPr="00C766C6" w:rsidRDefault="00C766C6" w:rsidP="00394A78">
      <w:pPr>
        <w:spacing w:before="100" w:beforeAutospacing="1" w:after="100" w:afterAutospacing="1" w:line="360" w:lineRule="auto"/>
        <w:jc w:val="both"/>
        <w:rPr>
          <w:rFonts w:ascii="Arial" w:eastAsia="Times New Roman" w:hAnsi="Arial" w:cs="Arial"/>
          <w:kern w:val="0"/>
          <w:lang w:eastAsia="en-GB"/>
          <w14:ligatures w14:val="none"/>
        </w:rPr>
      </w:pPr>
      <w:r w:rsidRPr="00C766C6">
        <w:rPr>
          <w:rFonts w:ascii="Arial" w:eastAsia="Times New Roman" w:hAnsi="Arial" w:cs="Arial"/>
          <w:kern w:val="0"/>
          <w:lang w:eastAsia="en-GB"/>
          <w14:ligatures w14:val="none"/>
        </w:rPr>
        <w:lastRenderedPageBreak/>
        <w:t>Understanding OLI factors enables ExxonMobil to select appropriate entry modes and manage investment risks in emerging markets. The framework guides decision-making by clarifying where proprietary assets should be deployed, which locations offer optimal returns, and when internalisation is necessary to protect strategic advantages. For MNEs operating in resource-intensive industries, aligning ownership, location, and internalisation considerations ensures that internationalisation strategies maximise profitability while managing regulatory, operational, and geopolitical challenges (Dunning, 2000).</w:t>
      </w:r>
    </w:p>
    <w:p w14:paraId="322CF310" w14:textId="4FF4E375" w:rsidR="009E24C8" w:rsidRPr="0090618A" w:rsidRDefault="009964AA" w:rsidP="00394A78">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9E24C8">
        <w:rPr>
          <w:rFonts w:ascii="Arial" w:eastAsia="Times New Roman" w:hAnsi="Arial" w:cs="Arial"/>
          <w:b/>
          <w:bCs/>
          <w:i/>
          <w:iCs/>
          <w:kern w:val="36"/>
          <w:sz w:val="36"/>
          <w:szCs w:val="36"/>
          <w:lang w:eastAsia="en-GB"/>
          <w14:ligatures w14:val="none"/>
        </w:rPr>
        <w:t>C</w:t>
      </w:r>
      <w:r w:rsidRPr="0090618A">
        <w:rPr>
          <w:rFonts w:ascii="Arial" w:eastAsia="Times New Roman" w:hAnsi="Arial" w:cs="Arial"/>
          <w:kern w:val="36"/>
          <w:lang w:eastAsia="en-GB"/>
          <w14:ligatures w14:val="none"/>
        </w:rPr>
        <w:t>onduct a critical evaluation</w:t>
      </w:r>
    </w:p>
    <w:p w14:paraId="3BA1A5B3" w14:textId="20C1497D" w:rsidR="002F65F2" w:rsidRPr="003860BB" w:rsidRDefault="002F65F2" w:rsidP="00394A78">
      <w:pPr>
        <w:spacing w:before="100" w:beforeAutospacing="1" w:after="100" w:afterAutospacing="1" w:line="360" w:lineRule="auto"/>
        <w:jc w:val="both"/>
        <w:outlineLvl w:val="0"/>
        <w:rPr>
          <w:rFonts w:ascii="Arial" w:eastAsia="Times New Roman" w:hAnsi="Arial" w:cs="Arial"/>
          <w:b/>
          <w:bCs/>
          <w:kern w:val="36"/>
          <w:lang w:eastAsia="en-GB"/>
          <w14:ligatures w14:val="none"/>
        </w:rPr>
      </w:pPr>
      <w:r w:rsidRPr="003860BB">
        <w:rPr>
          <w:rFonts w:ascii="Arial" w:eastAsia="Times New Roman" w:hAnsi="Arial" w:cs="Arial"/>
          <w:b/>
          <w:bCs/>
          <w:kern w:val="36"/>
          <w:lang w:eastAsia="en-GB"/>
          <w14:ligatures w14:val="none"/>
        </w:rPr>
        <w:t>Cultural Differences and Their Impact on ExxonMobil’s Market Entry and Success in Emerging Economies</w:t>
      </w:r>
    </w:p>
    <w:p w14:paraId="435E8896"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ExxonMobil, headquartered in the United States, is a leading multinational in the oil and gas sector with operations across multiple continents. When entering emerging economies, cultural differences between the home country and the host nation can significantly influence market entry strategies, operational efficiency, and long-term success. In the case of ExxonMobil’s operations in Guyana, understanding and addressing cultural dimensions is critical for establishing effective partnerships, managing human resources, and building a positive corporate reputation.</w:t>
      </w:r>
    </w:p>
    <w:p w14:paraId="1CAAC40D" w14:textId="77777777" w:rsidR="002F65F2" w:rsidRPr="002F65F2" w:rsidRDefault="002F65F2"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2F65F2">
        <w:rPr>
          <w:rFonts w:ascii="Arial" w:eastAsia="Times New Roman" w:hAnsi="Arial" w:cs="Arial"/>
          <w:b/>
          <w:bCs/>
          <w:kern w:val="0"/>
          <w:lang w:eastAsia="en-GB"/>
          <w14:ligatures w14:val="none"/>
        </w:rPr>
        <w:t>Understanding Cultural Differences</w:t>
      </w:r>
    </w:p>
    <w:p w14:paraId="5E2FED3B"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Cultural differences can be analysed using frameworks such as Hofstede’s cultural dimensions, which examine aspects such as power distance, individualism versus collectivism, uncertainty avoidance, masculinity versus femininity, long-term orientation, and indulgence (Hofstede, 2011). The United States exhibits low power distance, high individualism, moderate uncertainty avoidance, and a results-oriented culture. In contrast, Guyana displays higher power distance, moderate collectivism, and significant community-oriented values, shaped by historical, social, and economic factors (CIA, 2024). These contrasts highlight potential challenges for ExxonMobil in aligning organisational practices with local cultural expectations.</w:t>
      </w:r>
    </w:p>
    <w:p w14:paraId="6FACC759" w14:textId="77777777" w:rsidR="002F65F2" w:rsidRPr="002F65F2" w:rsidRDefault="002F65F2"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2F65F2">
        <w:rPr>
          <w:rFonts w:ascii="Arial" w:eastAsia="Times New Roman" w:hAnsi="Arial" w:cs="Arial"/>
          <w:b/>
          <w:bCs/>
          <w:kern w:val="0"/>
          <w:lang w:eastAsia="en-GB"/>
          <w14:ligatures w14:val="none"/>
        </w:rPr>
        <w:t>Impact on Market Entry Strategy</w:t>
      </w:r>
    </w:p>
    <w:p w14:paraId="52689625"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Cultural differences can influence the choice of market entry mode. In high power-distance and collectivist societies such as Guyana, building relationships with government officials, local communities, and national oil companies is crucial. ExxonMobil has relied on production-</w:t>
      </w:r>
      <w:r w:rsidRPr="002F65F2">
        <w:rPr>
          <w:rFonts w:ascii="Arial" w:eastAsia="Times New Roman" w:hAnsi="Arial" w:cs="Arial"/>
          <w:kern w:val="0"/>
          <w:lang w:eastAsia="en-GB"/>
          <w14:ligatures w14:val="none"/>
        </w:rPr>
        <w:lastRenderedPageBreak/>
        <w:t>sharing agreements (PSAs) and local partnerships, which allow the company to align with hierarchical decision-making structures and demonstrate respect for community and governmental authority (Exxon Mobil Corporation, 2025). In contrast, standard U.S.-based corporate approaches that emphasise individual initiative and rapid decision-making may need adaptation to ensure effective negotiation and relationship management in Guyana.</w:t>
      </w:r>
    </w:p>
    <w:p w14:paraId="1154EA2D"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Communication styles also affect market entry strategy. U.S. corporate culture often values direct communication, efficiency, and contractual formalism. In Guyana, indirect communication, relationship-building, and consensus-seeking are culturally preferred (Hofstede, 2011). Misalignment in communication styles could lead to misunderstandings during negotiations, delays in project approvals, or strained relationships with key stakeholders. Therefore, ExxonMobil must integrate culturally sensitive communication strategies, invest in local liaison teams, and employ culturally aware negotiation tactics to enhance project acceptance and regulatory compliance.</w:t>
      </w:r>
    </w:p>
    <w:p w14:paraId="01A886EF" w14:textId="77777777" w:rsidR="002F65F2" w:rsidRPr="002F65F2" w:rsidRDefault="002F65F2"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2F65F2">
        <w:rPr>
          <w:rFonts w:ascii="Arial" w:eastAsia="Times New Roman" w:hAnsi="Arial" w:cs="Arial"/>
          <w:b/>
          <w:bCs/>
          <w:kern w:val="0"/>
          <w:lang w:eastAsia="en-GB"/>
          <w14:ligatures w14:val="none"/>
        </w:rPr>
        <w:t>Human Resource Management Challenges</w:t>
      </w:r>
    </w:p>
    <w:p w14:paraId="394D3659"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Cultural differences also influence human resource practices. U.S. companies often promote merit-based advancement, individual accountability, and performance-driven rewards. In Guyana, employees may place greater emphasis on social cohesion, hierarchical respect, and collective achievement. ExxonMobil must adapt training, leadership development, and performance appraisal systems to reflect local cultural norms while maintaining global corporate standards (Exxon Mobil Corporation, 2025). Failure to recognise these differences could result in reduced employee motivation, higher turnover, and difficulties in knowledge transfer between expatriate and local staff.</w:t>
      </w:r>
    </w:p>
    <w:p w14:paraId="622ABEA9"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Cross-cultural leadership is particularly critical in technical operations such as offshore exploration and production. Expatriate managers must understand local values, norms, and expectations to foster trust and collaboration. Integrating local cultural insights into leadership practices can enhance team cohesion, improve safety compliance, and promote operational efficiency (Hofstede, 2011).</w:t>
      </w:r>
    </w:p>
    <w:p w14:paraId="1CE145E5" w14:textId="77777777" w:rsidR="002F65F2" w:rsidRPr="00915914" w:rsidRDefault="002F65F2" w:rsidP="00394A78">
      <w:pPr>
        <w:spacing w:before="100" w:beforeAutospacing="1" w:after="100" w:afterAutospacing="1" w:line="360" w:lineRule="auto"/>
        <w:jc w:val="both"/>
        <w:outlineLvl w:val="1"/>
        <w:rPr>
          <w:rFonts w:ascii="Arial" w:eastAsia="Times New Roman" w:hAnsi="Arial" w:cs="Arial"/>
          <w:kern w:val="0"/>
          <w:lang w:eastAsia="en-GB"/>
          <w14:ligatures w14:val="none"/>
        </w:rPr>
      </w:pPr>
      <w:r w:rsidRPr="002751B5">
        <w:rPr>
          <w:rFonts w:ascii="Arial" w:eastAsia="Times New Roman" w:hAnsi="Arial" w:cs="Arial"/>
          <w:b/>
          <w:bCs/>
          <w:i/>
          <w:iCs/>
          <w:kern w:val="0"/>
          <w:sz w:val="36"/>
          <w:szCs w:val="36"/>
          <w:lang w:eastAsia="en-GB"/>
          <w14:ligatures w14:val="none"/>
        </w:rPr>
        <w:t>C</w:t>
      </w:r>
      <w:r w:rsidRPr="00915914">
        <w:rPr>
          <w:rFonts w:ascii="Arial" w:eastAsia="Times New Roman" w:hAnsi="Arial" w:cs="Arial"/>
          <w:kern w:val="0"/>
          <w:lang w:eastAsia="en-GB"/>
          <w14:ligatures w14:val="none"/>
        </w:rPr>
        <w:t>orporate Social Responsibility and Community Engagement</w:t>
      </w:r>
    </w:p>
    <w:p w14:paraId="09431645"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 xml:space="preserve">Cultural factors also shape expectations around corporate social responsibility (CSR). In emerging economies, communities often expect foreign investors to contribute tangibly to local development, such as through employment, infrastructure investment, and social programmes. U.S.-based CSR approaches may focus on compliance, environmental </w:t>
      </w:r>
      <w:r w:rsidRPr="002F65F2">
        <w:rPr>
          <w:rFonts w:ascii="Arial" w:eastAsia="Times New Roman" w:hAnsi="Arial" w:cs="Arial"/>
          <w:kern w:val="0"/>
          <w:lang w:eastAsia="en-GB"/>
          <w14:ligatures w14:val="none"/>
        </w:rPr>
        <w:lastRenderedPageBreak/>
        <w:t>stewardship, and global standards. However, in Guyana, ExxonMobil’s success depends on visible contributions to local education, healthcare, and infrastructure projects to secure social licence to operate (Exxon Mobil Corporation, 2025). Ignoring culturally specific expectations for community engagement can generate resistance, protests, or reputational damage.</w:t>
      </w:r>
    </w:p>
    <w:p w14:paraId="6DBA11C2" w14:textId="77777777" w:rsidR="002F65F2" w:rsidRPr="002F65F2" w:rsidRDefault="002F65F2"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2F65F2">
        <w:rPr>
          <w:rFonts w:ascii="Arial" w:eastAsia="Times New Roman" w:hAnsi="Arial" w:cs="Arial"/>
          <w:b/>
          <w:bCs/>
          <w:kern w:val="0"/>
          <w:lang w:eastAsia="en-GB"/>
          <w14:ligatures w14:val="none"/>
        </w:rPr>
        <w:t>Cultural Impact on Risk Management</w:t>
      </w:r>
    </w:p>
    <w:p w14:paraId="16481E44"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Understanding cultural differences is also essential for effective risk management. In societies with high power distance, formal approvals and hierarchical decision-making can slow down operational responses. If ExxonMobil applies U.S.-centric assumptions of swift, decentralised decision-making, delays and conflicts may arise. Conversely, respecting hierarchical and collective decision-making processes can enhance trust, reduce political risk, and improve the predictability of project execution (CIA, 2024).</w:t>
      </w:r>
    </w:p>
    <w:p w14:paraId="67BDC1A3" w14:textId="77777777" w:rsidR="002F65F2" w:rsidRPr="002F65F2" w:rsidRDefault="002F65F2"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2F65F2">
        <w:rPr>
          <w:rFonts w:ascii="Arial" w:eastAsia="Times New Roman" w:hAnsi="Arial" w:cs="Arial"/>
          <w:b/>
          <w:bCs/>
          <w:kern w:val="0"/>
          <w:lang w:eastAsia="en-GB"/>
          <w14:ligatures w14:val="none"/>
        </w:rPr>
        <w:t>Strategic Adaptation for Success</w:t>
      </w:r>
    </w:p>
    <w:p w14:paraId="75BA671F"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To maximise success in emerging economies, ExxonMobil must adopt a culturally adaptive strategy that integrates the following:</w:t>
      </w:r>
    </w:p>
    <w:p w14:paraId="0B131975" w14:textId="77777777" w:rsidR="002F65F2" w:rsidRPr="002F65F2" w:rsidRDefault="002F65F2" w:rsidP="00394A78">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t>Localized Leadership and Governance:</w:t>
      </w:r>
      <w:r w:rsidRPr="002F65F2">
        <w:rPr>
          <w:rFonts w:ascii="Arial" w:eastAsia="Times New Roman" w:hAnsi="Arial" w:cs="Arial"/>
          <w:kern w:val="0"/>
          <w:lang w:eastAsia="en-GB"/>
          <w14:ligatures w14:val="none"/>
        </w:rPr>
        <w:t xml:space="preserve"> Assign local managers in key positions while maintaining oversight from headquarters to balance corporate standards with cultural alignment.</w:t>
      </w:r>
    </w:p>
    <w:p w14:paraId="76C46775" w14:textId="77777777" w:rsidR="002F65F2" w:rsidRPr="002F65F2" w:rsidRDefault="002F65F2" w:rsidP="00394A78">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t>Culturally Sensitive Communication:</w:t>
      </w:r>
      <w:r w:rsidRPr="002F65F2">
        <w:rPr>
          <w:rFonts w:ascii="Arial" w:eastAsia="Times New Roman" w:hAnsi="Arial" w:cs="Arial"/>
          <w:kern w:val="0"/>
          <w:lang w:eastAsia="en-GB"/>
          <w14:ligatures w14:val="none"/>
        </w:rPr>
        <w:t xml:space="preserve"> Train expatriate staff in local norms, emphasising indirect communication, patience, and respect for hierarchy.</w:t>
      </w:r>
    </w:p>
    <w:p w14:paraId="67C1D80E" w14:textId="77777777" w:rsidR="002F65F2" w:rsidRPr="002F65F2" w:rsidRDefault="002F65F2" w:rsidP="00394A78">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t>Community-Centric CSR Initiatives:</w:t>
      </w:r>
      <w:r w:rsidRPr="002F65F2">
        <w:rPr>
          <w:rFonts w:ascii="Arial" w:eastAsia="Times New Roman" w:hAnsi="Arial" w:cs="Arial"/>
          <w:kern w:val="0"/>
          <w:lang w:eastAsia="en-GB"/>
          <w14:ligatures w14:val="none"/>
        </w:rPr>
        <w:t xml:space="preserve"> Develop projects addressing local needs, such as education, healthcare, and employment opportunities, which align with community values and expectations.</w:t>
      </w:r>
    </w:p>
    <w:p w14:paraId="128A884D" w14:textId="77777777" w:rsidR="002F65F2" w:rsidRPr="002F65F2" w:rsidRDefault="002F65F2" w:rsidP="00394A78">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t>Adapted HR Practices:</w:t>
      </w:r>
      <w:r w:rsidRPr="002F65F2">
        <w:rPr>
          <w:rFonts w:ascii="Arial" w:eastAsia="Times New Roman" w:hAnsi="Arial" w:cs="Arial"/>
          <w:kern w:val="0"/>
          <w:lang w:eastAsia="en-GB"/>
          <w14:ligatures w14:val="none"/>
        </w:rPr>
        <w:t xml:space="preserve"> Blend global performance management systems with culturally relevant motivational tools, recognising collective achievements alongside individual performance.</w:t>
      </w:r>
    </w:p>
    <w:p w14:paraId="679BA512" w14:textId="77777777" w:rsidR="002F65F2" w:rsidRPr="002F65F2" w:rsidRDefault="002F65F2" w:rsidP="00394A78">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t>Relationship Management with Government and Stakeholders:</w:t>
      </w:r>
      <w:r w:rsidRPr="002F65F2">
        <w:rPr>
          <w:rFonts w:ascii="Arial" w:eastAsia="Times New Roman" w:hAnsi="Arial" w:cs="Arial"/>
          <w:kern w:val="0"/>
          <w:lang w:eastAsia="en-GB"/>
          <w14:ligatures w14:val="none"/>
        </w:rPr>
        <w:t xml:space="preserve"> Prioritise trust-building, social networking, and transparency to navigate regulatory, political, and social landscapes effectively.</w:t>
      </w:r>
    </w:p>
    <w:p w14:paraId="209C49B7" w14:textId="56BF207C"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By integrating these measures, ExxonMobil can reduce cultural friction, enhance operational efficiency, and strengthen stakeholder trust, which is particularly important in the oil and gas industry where project success depends on regulatory compliance, technical precision, and social acceptance (Exxon Mobil Corporation, 2025).</w:t>
      </w:r>
    </w:p>
    <w:p w14:paraId="26C4BDD6"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lastRenderedPageBreak/>
        <w:t>Cultural differences between the United States and emerging markets like Guyana significantly impact ExxonMobil’s market entry strategies and potential for success. Differences in power distance, collectivism, communication styles, and social expectations shape negotiation practices, human resource management, CSR initiatives, and stakeholder engagement strategies. Companies that fail to recognise and adapt to these differences risk project delays, operational inefficiencies, and reputational damage. Conversely, culturally adaptive strategies, such as locally integrated leadership, community engagement, and culturally sensitive HR practices, enhance social licence to operate, operational efficiency, and long-term profitability.</w:t>
      </w:r>
    </w:p>
    <w:p w14:paraId="29FC83E7" w14:textId="06540373" w:rsidR="00BE1528" w:rsidRPr="00503B79" w:rsidRDefault="002F65F2" w:rsidP="00503B79">
      <w:pPr>
        <w:spacing w:before="100" w:beforeAutospacing="1" w:after="100" w:afterAutospacing="1" w:line="360" w:lineRule="auto"/>
        <w:jc w:val="both"/>
        <w:rPr>
          <w:rFonts w:ascii="Arial" w:eastAsia="Times New Roman" w:hAnsi="Arial" w:cs="Arial"/>
          <w:kern w:val="0"/>
          <w:lang w:eastAsia="en-GB"/>
          <w14:ligatures w14:val="none"/>
        </w:rPr>
      </w:pPr>
      <w:r w:rsidRPr="008F0931">
        <w:rPr>
          <w:rFonts w:ascii="Arial" w:eastAsia="Times New Roman" w:hAnsi="Arial" w:cs="Arial"/>
          <w:kern w:val="0"/>
          <w:lang w:eastAsia="en-GB"/>
          <w14:ligatures w14:val="none"/>
        </w:rPr>
        <w:t>C</w:t>
      </w:r>
      <w:r w:rsidRPr="002F65F2">
        <w:rPr>
          <w:rFonts w:ascii="Arial" w:eastAsia="Times New Roman" w:hAnsi="Arial" w:cs="Arial"/>
          <w:kern w:val="0"/>
          <w:lang w:eastAsia="en-GB"/>
          <w14:ligatures w14:val="none"/>
        </w:rPr>
        <w:t>ultural awareness and adaptation are not supplementary considerations but central determinants of ExxonMobil’s international market success in emerging economies. By integrating cultural insights into strategic planning, the company can strengthen stakeholder relationships, mitigate risks, and maximise returns from its international investments</w:t>
      </w:r>
    </w:p>
    <w:p w14:paraId="1461BCFF" w14:textId="65CDF9FE" w:rsidR="002F65F2" w:rsidRPr="002F65F2" w:rsidRDefault="002F65F2" w:rsidP="00394A78">
      <w:pPr>
        <w:spacing w:before="100" w:beforeAutospacing="1" w:after="100" w:afterAutospacing="1" w:line="360" w:lineRule="auto"/>
        <w:jc w:val="both"/>
        <w:outlineLvl w:val="0"/>
        <w:rPr>
          <w:rFonts w:ascii="Arial" w:eastAsia="Times New Roman" w:hAnsi="Arial" w:cs="Arial"/>
          <w:b/>
          <w:bCs/>
          <w:kern w:val="36"/>
          <w:lang w:eastAsia="en-GB"/>
          <w14:ligatures w14:val="none"/>
        </w:rPr>
      </w:pPr>
      <w:r w:rsidRPr="002F65F2">
        <w:rPr>
          <w:rFonts w:ascii="Arial" w:eastAsia="Times New Roman" w:hAnsi="Arial" w:cs="Arial"/>
          <w:b/>
          <w:bCs/>
          <w:kern w:val="36"/>
          <w:lang w:eastAsia="en-GB"/>
          <w14:ligatures w14:val="none"/>
        </w:rPr>
        <w:t>Adjustments to ExxonMobil’s Standard Operating Procedures for Success in Emerging Economies</w:t>
      </w:r>
    </w:p>
    <w:p w14:paraId="049C4939" w14:textId="3AEADA9B"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 xml:space="preserve">ExxonMobil’s international operations in emerging markets, such as Guyana, require careful alignment of corporate practices with the unique economic, political, and cultural environment. While the company’s Standard Operating Procedures (SOPs) reflect global best practices in exploration, production, health and safety, and environmental compliance, these procedures must be adapted to account for local context, OLI factors, and cultural nuances. Failure to adjust SOPs can result in operational inefficiencies, regulatory non-compliance, or social friction, jeopardising project success. This section critically discusses three major adjustments ExxonMobil should consider </w:t>
      </w:r>
      <w:r w:rsidR="008F0931" w:rsidRPr="008F0931">
        <w:rPr>
          <w:rFonts w:ascii="Arial" w:eastAsia="Times New Roman" w:hAnsi="Arial" w:cs="Arial"/>
          <w:kern w:val="0"/>
          <w:lang w:eastAsia="en-GB"/>
          <w14:ligatures w14:val="none"/>
        </w:rPr>
        <w:t>enhancing</w:t>
      </w:r>
      <w:r w:rsidRPr="002F65F2">
        <w:rPr>
          <w:rFonts w:ascii="Arial" w:eastAsia="Times New Roman" w:hAnsi="Arial" w:cs="Arial"/>
          <w:kern w:val="0"/>
          <w:lang w:eastAsia="en-GB"/>
          <w14:ligatures w14:val="none"/>
        </w:rPr>
        <w:t xml:space="preserve"> its operational performance and strategic alignment in Guyana.</w:t>
      </w:r>
    </w:p>
    <w:p w14:paraId="7AB1C73A" w14:textId="77777777" w:rsidR="002F65F2" w:rsidRPr="002F65F2" w:rsidRDefault="002F65F2"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2F65F2">
        <w:rPr>
          <w:rFonts w:ascii="Arial" w:eastAsia="Times New Roman" w:hAnsi="Arial" w:cs="Arial"/>
          <w:b/>
          <w:bCs/>
          <w:kern w:val="0"/>
          <w:lang w:eastAsia="en-GB"/>
          <w14:ligatures w14:val="none"/>
        </w:rPr>
        <w:t>1. Cultural Adaptation of Human Resource and Leadership SOPs</w:t>
      </w:r>
    </w:p>
    <w:p w14:paraId="1134ECC4"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One major adjustment involves aligning human resource and leadership SOPs with the local cultural context. ExxonMobil’s SOPs, developed primarily in the United States, emphasise merit-based advancement, individual accountability, and direct communication (Exxon Mobil Corporation, 2025). While effective in U.S. operations, these practices may conflict with Guyana’s collectivist culture, higher power distance, and community-oriented social norms (Hofstede, 2011).</w:t>
      </w:r>
    </w:p>
    <w:p w14:paraId="366BD5DF"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t>Key Adjustments:</w:t>
      </w:r>
    </w:p>
    <w:p w14:paraId="61F8AE77" w14:textId="77777777" w:rsidR="002F65F2" w:rsidRPr="002F65F2" w:rsidRDefault="002F65F2" w:rsidP="00394A78">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lastRenderedPageBreak/>
        <w:t>Performance Management:</w:t>
      </w:r>
      <w:r w:rsidRPr="002F65F2">
        <w:rPr>
          <w:rFonts w:ascii="Arial" w:eastAsia="Times New Roman" w:hAnsi="Arial" w:cs="Arial"/>
          <w:kern w:val="0"/>
          <w:lang w:eastAsia="en-GB"/>
          <w14:ligatures w14:val="none"/>
        </w:rPr>
        <w:t xml:space="preserve"> SOPs should incorporate collective performance measures alongside individual KPIs. This adjustment recognises the local preference for teamwork and community recognition. For example, team achievements in offshore drilling or refinery operations can be celebrated through group bonuses or recognition programmes, fostering motivation and alignment with cultural expectations.</w:t>
      </w:r>
    </w:p>
    <w:p w14:paraId="1C49FEFF" w14:textId="77777777" w:rsidR="002F65F2" w:rsidRPr="002F65F2" w:rsidRDefault="002F65F2" w:rsidP="00394A78">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t>Leadership and Decision-Making:</w:t>
      </w:r>
      <w:r w:rsidRPr="002F65F2">
        <w:rPr>
          <w:rFonts w:ascii="Arial" w:eastAsia="Times New Roman" w:hAnsi="Arial" w:cs="Arial"/>
          <w:kern w:val="0"/>
          <w:lang w:eastAsia="en-GB"/>
          <w14:ligatures w14:val="none"/>
        </w:rPr>
        <w:t xml:space="preserve"> Expatriate managers and local staff require guidance in navigating hierarchical structures and indirect communication styles common in Guyana. SOPs should define culturally sensitive leadership practices, including stakeholder consultation processes, consensus-building mechanisms, and respect for local authority figures. This reduces conflict and builds trust with both employees and local regulators.</w:t>
      </w:r>
    </w:p>
    <w:p w14:paraId="5DC84876" w14:textId="77777777" w:rsidR="002F65F2" w:rsidRPr="002F65F2" w:rsidRDefault="002F65F2" w:rsidP="00394A78">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t>Training and Development:</w:t>
      </w:r>
      <w:r w:rsidRPr="002F65F2">
        <w:rPr>
          <w:rFonts w:ascii="Arial" w:eastAsia="Times New Roman" w:hAnsi="Arial" w:cs="Arial"/>
          <w:kern w:val="0"/>
          <w:lang w:eastAsia="en-GB"/>
          <w14:ligatures w14:val="none"/>
        </w:rPr>
        <w:t xml:space="preserve"> SOPs should formalise cross-cultural training for expatriate and local managers, ensuring understanding of local customs, labour expectations, and workplace norms. This facilitates knowledge transfer and enhances operational cohesion (Hill et al., 2014).</w:t>
      </w:r>
    </w:p>
    <w:p w14:paraId="6790D02D"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Implementing these HR adjustments aligns with both the internalisation advantage of OLI theory and cultural sensitivity considerations. Ownership advantages, such as ExxonMobil’s technical expertise, are preserved while enabling effective local management and employee engagement.</w:t>
      </w:r>
    </w:p>
    <w:p w14:paraId="398F2B1C" w14:textId="77777777" w:rsidR="002F65F2" w:rsidRPr="002F65F2" w:rsidRDefault="002F65F2"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2F65F2">
        <w:rPr>
          <w:rFonts w:ascii="Arial" w:eastAsia="Times New Roman" w:hAnsi="Arial" w:cs="Arial"/>
          <w:b/>
          <w:bCs/>
          <w:kern w:val="0"/>
          <w:lang w:eastAsia="en-GB"/>
          <w14:ligatures w14:val="none"/>
        </w:rPr>
        <w:t>2. Localised Environmental, Health, and Safety (EHS) SOPs</w:t>
      </w:r>
    </w:p>
    <w:p w14:paraId="4475A611"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Oil and gas operations in emerging economies face heightened environmental scrutiny and community expectations. While ExxonMobil’s global EHS SOPs are rigorous, they often assume a baseline level of local infrastructure and regulatory enforcement consistent with developed markets (Exxon Mobil Corporation, 2025). In Guyana, environmental monitoring, spill response, and community health initiatives require modification to meet local conditions and expectations.</w:t>
      </w:r>
    </w:p>
    <w:p w14:paraId="7070AC4B"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t>Key Adjustments:</w:t>
      </w:r>
    </w:p>
    <w:p w14:paraId="2D8EBC72" w14:textId="77777777" w:rsidR="002F65F2" w:rsidRPr="002F65F2" w:rsidRDefault="002F65F2" w:rsidP="00394A78">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t>Environmental Monitoring:</w:t>
      </w:r>
      <w:r w:rsidRPr="002F65F2">
        <w:rPr>
          <w:rFonts w:ascii="Arial" w:eastAsia="Times New Roman" w:hAnsi="Arial" w:cs="Arial"/>
          <w:kern w:val="0"/>
          <w:lang w:eastAsia="en-GB"/>
          <w14:ligatures w14:val="none"/>
        </w:rPr>
        <w:t xml:space="preserve"> SOPs should incorporate protocols for continuous environmental assessment using both corporate and local standards. For instance, offshore operations near sensitive marine ecosystems may require additional monitoring of water quality, marine life, and sediment disturbance to comply with Guyanese regulations and community expectations.</w:t>
      </w:r>
    </w:p>
    <w:p w14:paraId="57E03D5A" w14:textId="77777777" w:rsidR="002F65F2" w:rsidRPr="002F65F2" w:rsidRDefault="002F65F2" w:rsidP="00394A78">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lastRenderedPageBreak/>
        <w:t>Emergency Response:</w:t>
      </w:r>
      <w:r w:rsidRPr="002F65F2">
        <w:rPr>
          <w:rFonts w:ascii="Arial" w:eastAsia="Times New Roman" w:hAnsi="Arial" w:cs="Arial"/>
          <w:kern w:val="0"/>
          <w:lang w:eastAsia="en-GB"/>
          <w14:ligatures w14:val="none"/>
        </w:rPr>
        <w:t xml:space="preserve"> SOPs must be adapted to local infrastructure constraints, such as limited availability of emergency medical facilities or logistical challenges in remote areas. Procedures should define contingency plans, local resource coordination, and rapid-response protocols tailored to these conditions.</w:t>
      </w:r>
    </w:p>
    <w:p w14:paraId="509E7AAA" w14:textId="77777777" w:rsidR="002F65F2" w:rsidRPr="002F65F2" w:rsidRDefault="002F65F2" w:rsidP="00394A78">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t>Community Engagement:</w:t>
      </w:r>
      <w:r w:rsidRPr="002F65F2">
        <w:rPr>
          <w:rFonts w:ascii="Arial" w:eastAsia="Times New Roman" w:hAnsi="Arial" w:cs="Arial"/>
          <w:kern w:val="0"/>
          <w:lang w:eastAsia="en-GB"/>
          <w14:ligatures w14:val="none"/>
        </w:rPr>
        <w:t xml:space="preserve"> SOPs should formalise community liaison procedures, including routine reporting, consultation on environmental mitigation measures, and transparent communication of risks and outcomes. This aligns with the cultural emphasis on collectivism and social responsibility and helps secure the social licence to operate (CIA, 2024).</w:t>
      </w:r>
    </w:p>
    <w:p w14:paraId="6AD4A4D8"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Such EHS adaptations ensure regulatory compliance, enhance community trust, and mitigate reputational risk, which is critical in high-stakes projects where public scrutiny and litigation potential are significant. These changes also support the OLI location advantage, ensuring that the investment in Guyana’s resource-rich environment is sustainable and profitable.</w:t>
      </w:r>
    </w:p>
    <w:p w14:paraId="7AC4F18B" w14:textId="77777777" w:rsidR="002F65F2" w:rsidRPr="002F65F2" w:rsidRDefault="002F65F2"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2F65F2">
        <w:rPr>
          <w:rFonts w:ascii="Arial" w:eastAsia="Times New Roman" w:hAnsi="Arial" w:cs="Arial"/>
          <w:b/>
          <w:bCs/>
          <w:kern w:val="0"/>
          <w:lang w:eastAsia="en-GB"/>
          <w14:ligatures w14:val="none"/>
        </w:rPr>
        <w:t>3. Supply Chain and Procurement SOP Adjustments</w:t>
      </w:r>
    </w:p>
    <w:p w14:paraId="70736418"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International operations in emerging markets expose ExxonMobil to unique supply chain challenges, including infrastructure limitations, local content requirements, and political or economic volatility (Reuters, 2024). While global SOPs emphasise centralised procurement and cost-efficiency, adjustments are necessary to integrate local suppliers and comply with regulatory obligations in Guyana.</w:t>
      </w:r>
    </w:p>
    <w:p w14:paraId="15D3DDA3"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t>Key Adjustments:</w:t>
      </w:r>
    </w:p>
    <w:p w14:paraId="7BEA85DC" w14:textId="77777777" w:rsidR="002F65F2" w:rsidRPr="002F65F2" w:rsidRDefault="002F65F2" w:rsidP="00394A78">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t>Local Content Compliance:</w:t>
      </w:r>
      <w:r w:rsidRPr="002F65F2">
        <w:rPr>
          <w:rFonts w:ascii="Arial" w:eastAsia="Times New Roman" w:hAnsi="Arial" w:cs="Arial"/>
          <w:kern w:val="0"/>
          <w:lang w:eastAsia="en-GB"/>
          <w14:ligatures w14:val="none"/>
        </w:rPr>
        <w:t xml:space="preserve"> SOPs should incorporate structured procedures for identifying, vetting, and developing local suppliers. This includes establishing metrics for local procurement, training programmes for small and medium-sized enterprises (SMEs), and monitoring compliance with government-mandated local content rules. Integrating local suppliers strengthens community relations and reduces political risk.</w:t>
      </w:r>
    </w:p>
    <w:p w14:paraId="6F1E4C58" w14:textId="77777777" w:rsidR="002F65F2" w:rsidRPr="002F65F2" w:rsidRDefault="002F65F2" w:rsidP="00394A78">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t>Risk Management in Logistics:</w:t>
      </w:r>
      <w:r w:rsidRPr="002F65F2">
        <w:rPr>
          <w:rFonts w:ascii="Arial" w:eastAsia="Times New Roman" w:hAnsi="Arial" w:cs="Arial"/>
          <w:kern w:val="0"/>
          <w:lang w:eastAsia="en-GB"/>
          <w14:ligatures w14:val="none"/>
        </w:rPr>
        <w:t xml:space="preserve"> SOPs should formalise strategies to manage logistical risks, such as delays in shipping, import restrictions, or currency fluctuations. Contingency planning, supplier diversification, and inventory buffers are essential for maintaining operational continuity.</w:t>
      </w:r>
    </w:p>
    <w:p w14:paraId="7863BCE2" w14:textId="77777777" w:rsidR="002F65F2" w:rsidRPr="002F65F2" w:rsidRDefault="002F65F2" w:rsidP="00394A78">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t>Supplier Engagement and Development:</w:t>
      </w:r>
      <w:r w:rsidRPr="002F65F2">
        <w:rPr>
          <w:rFonts w:ascii="Arial" w:eastAsia="Times New Roman" w:hAnsi="Arial" w:cs="Arial"/>
          <w:kern w:val="0"/>
          <w:lang w:eastAsia="en-GB"/>
          <w14:ligatures w14:val="none"/>
        </w:rPr>
        <w:t xml:space="preserve"> SOPs should codify processes for supplier capacity-building, technical training, and quality assurance. By transferring technical expertise to local vendors, ExxonMobil not only meets regulatory expectations but also </w:t>
      </w:r>
      <w:r w:rsidRPr="002F65F2">
        <w:rPr>
          <w:rFonts w:ascii="Arial" w:eastAsia="Times New Roman" w:hAnsi="Arial" w:cs="Arial"/>
          <w:kern w:val="0"/>
          <w:lang w:eastAsia="en-GB"/>
          <w14:ligatures w14:val="none"/>
        </w:rPr>
        <w:lastRenderedPageBreak/>
        <w:t>strengthens operational reliability and fosters goodwill among stakeholders (Hill et al., 2014).</w:t>
      </w:r>
    </w:p>
    <w:p w14:paraId="2552201E"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These supply chain adjustments reflect internalisation advantages by retaining operational oversight while complying with local location-specific regulations. Integrating local content and supplier management into SOPs ensures alignment with both strategic and social objectives.</w:t>
      </w:r>
    </w:p>
    <w:p w14:paraId="5AA6D5AB" w14:textId="77777777" w:rsidR="002F65F2" w:rsidRPr="002F65F2" w:rsidRDefault="002F65F2"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2F65F2">
        <w:rPr>
          <w:rFonts w:ascii="Arial" w:eastAsia="Times New Roman" w:hAnsi="Arial" w:cs="Arial"/>
          <w:b/>
          <w:bCs/>
          <w:kern w:val="0"/>
          <w:lang w:eastAsia="en-GB"/>
          <w14:ligatures w14:val="none"/>
        </w:rPr>
        <w:t>Integrating OLI and Cultural Insights into SOP Adjustments</w:t>
      </w:r>
    </w:p>
    <w:p w14:paraId="4D5FF8DB" w14:textId="227A42EF"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The three proposed SOP adjustments</w:t>
      </w:r>
      <w:r w:rsidR="008F0931" w:rsidRPr="008F0931">
        <w:rPr>
          <w:rFonts w:ascii="Arial" w:eastAsia="Times New Roman" w:hAnsi="Arial" w:cs="Arial"/>
          <w:kern w:val="0"/>
          <w:lang w:eastAsia="en-GB"/>
          <w14:ligatures w14:val="none"/>
        </w:rPr>
        <w:t xml:space="preserve"> </w:t>
      </w:r>
      <w:r w:rsidRPr="002F65F2">
        <w:rPr>
          <w:rFonts w:ascii="Arial" w:eastAsia="Times New Roman" w:hAnsi="Arial" w:cs="Arial"/>
          <w:kern w:val="0"/>
          <w:lang w:eastAsia="en-GB"/>
          <w14:ligatures w14:val="none"/>
        </w:rPr>
        <w:t>cultural adaptation in HR and leadership, EHS localisation, and supply chain adaptation</w:t>
      </w:r>
      <w:r w:rsidR="008F0931" w:rsidRPr="008F0931">
        <w:rPr>
          <w:rFonts w:ascii="Arial" w:eastAsia="Times New Roman" w:hAnsi="Arial" w:cs="Arial"/>
          <w:kern w:val="0"/>
          <w:lang w:eastAsia="en-GB"/>
          <w14:ligatures w14:val="none"/>
        </w:rPr>
        <w:t xml:space="preserve"> </w:t>
      </w:r>
      <w:r w:rsidRPr="002F65F2">
        <w:rPr>
          <w:rFonts w:ascii="Arial" w:eastAsia="Times New Roman" w:hAnsi="Arial" w:cs="Arial"/>
          <w:kern w:val="0"/>
          <w:lang w:eastAsia="en-GB"/>
          <w14:ligatures w14:val="none"/>
        </w:rPr>
        <w:t>demonstrate the interaction between OLI factors and cultural considerations. Ownership advantages, such as technical expertise and operational best practices, are retained through internalised SOPs, while location advantages, including resource availability and regulatory environment in Guyana, are leveraged by aligning SOPs with local conditions. Internalisation is achieved by maintaining central oversight of critical functions while allowing sufficient flexibility to accommodate cultural norms, community expectations, and local market conditions (Dunning, 2000).</w:t>
      </w:r>
    </w:p>
    <w:p w14:paraId="75DACD6F" w14:textId="77777777"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Moreover, these adjustments mitigate risks identified in the cultural analysis. By incorporating collectivist performance measures, respecting hierarchical decision-making, and prioritising community engagement, ExxonMobil enhances social licence to operate. Adapting EHS procedures and supply chain practices ensures regulatory compliance and operational resilience, addressing both operational and reputational risks. Collectively, these SOP modifications enhance ExxonMobil’s capacity to achieve sustainable success in emerging markets.</w:t>
      </w:r>
    </w:p>
    <w:p w14:paraId="66082065" w14:textId="1F506DF5" w:rsidR="002F65F2" w:rsidRPr="003F49C7" w:rsidRDefault="006A5ED6" w:rsidP="00394A78">
      <w:pPr>
        <w:spacing w:before="100" w:beforeAutospacing="1" w:after="100" w:afterAutospacing="1" w:line="360" w:lineRule="auto"/>
        <w:jc w:val="both"/>
        <w:outlineLvl w:val="1"/>
        <w:rPr>
          <w:rFonts w:ascii="Arial" w:eastAsia="Times New Roman" w:hAnsi="Arial" w:cs="Arial"/>
          <w:kern w:val="0"/>
          <w:lang w:eastAsia="en-GB"/>
          <w14:ligatures w14:val="none"/>
        </w:rPr>
      </w:pPr>
      <w:r w:rsidRPr="006A5ED6">
        <w:rPr>
          <w:rFonts w:ascii="Arial" w:eastAsia="Cambria" w:hAnsi="Arial" w:cs="Arial"/>
          <w:b/>
          <w:bCs/>
          <w:i/>
          <w:iCs/>
          <w:sz w:val="36"/>
          <w:szCs w:val="36"/>
        </w:rPr>
        <w:t>C</w:t>
      </w:r>
      <w:r w:rsidRPr="003F49C7">
        <w:rPr>
          <w:rFonts w:ascii="Arial" w:eastAsia="Cambria" w:hAnsi="Arial" w:cs="Arial"/>
        </w:rPr>
        <w:t>ritically discuss and recommend</w:t>
      </w:r>
    </w:p>
    <w:p w14:paraId="60CFB34F" w14:textId="77777777" w:rsidR="002F65F2" w:rsidRPr="002F65F2" w:rsidRDefault="002F65F2" w:rsidP="00394A78">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t>Cultural and HR SOP Enhancement:</w:t>
      </w:r>
      <w:r w:rsidRPr="002F65F2">
        <w:rPr>
          <w:rFonts w:ascii="Arial" w:eastAsia="Times New Roman" w:hAnsi="Arial" w:cs="Arial"/>
          <w:kern w:val="0"/>
          <w:lang w:eastAsia="en-GB"/>
          <w14:ligatures w14:val="none"/>
        </w:rPr>
        <w:t xml:space="preserve"> ExxonMobil should implement formal SOPs for culturally sensitive leadership, collective performance management, and cross-cultural training. This adjustment ensures employee engagement, effective expatriate-local collaboration, and operational efficiency.</w:t>
      </w:r>
    </w:p>
    <w:p w14:paraId="1B1EB7C4" w14:textId="77777777" w:rsidR="002F65F2" w:rsidRPr="002F65F2" w:rsidRDefault="002F65F2" w:rsidP="00394A78">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t>Localized EHS SOPs:</w:t>
      </w:r>
      <w:r w:rsidRPr="002F65F2">
        <w:rPr>
          <w:rFonts w:ascii="Arial" w:eastAsia="Times New Roman" w:hAnsi="Arial" w:cs="Arial"/>
          <w:kern w:val="0"/>
          <w:lang w:eastAsia="en-GB"/>
          <w14:ligatures w14:val="none"/>
        </w:rPr>
        <w:t xml:space="preserve"> SOPs should be tailored to the host country’s environmental, health, and safety context, including enhanced environmental monitoring, emergency response protocols, and structured community engagement. This protects operational assets, regulatory compliance, and corporate reputation.</w:t>
      </w:r>
    </w:p>
    <w:p w14:paraId="047C9A6C" w14:textId="77777777" w:rsidR="002F65F2" w:rsidRPr="002F65F2" w:rsidRDefault="002F65F2" w:rsidP="00394A78">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b/>
          <w:bCs/>
          <w:kern w:val="0"/>
          <w:lang w:eastAsia="en-GB"/>
          <w14:ligatures w14:val="none"/>
        </w:rPr>
        <w:t>Supply Chain and Local Content SOPs:</w:t>
      </w:r>
      <w:r w:rsidRPr="002F65F2">
        <w:rPr>
          <w:rFonts w:ascii="Arial" w:eastAsia="Times New Roman" w:hAnsi="Arial" w:cs="Arial"/>
          <w:kern w:val="0"/>
          <w:lang w:eastAsia="en-GB"/>
          <w14:ligatures w14:val="none"/>
        </w:rPr>
        <w:t xml:space="preserve"> ExxonMobil should codify processes for local supplier integration, risk management in logistics, and capacity-building </w:t>
      </w:r>
      <w:r w:rsidRPr="002F65F2">
        <w:rPr>
          <w:rFonts w:ascii="Arial" w:eastAsia="Times New Roman" w:hAnsi="Arial" w:cs="Arial"/>
          <w:kern w:val="0"/>
          <w:lang w:eastAsia="en-GB"/>
          <w14:ligatures w14:val="none"/>
        </w:rPr>
        <w:lastRenderedPageBreak/>
        <w:t>programs. These adjustments ensure compliance with local content regulations, strengthen community relations, and enhance operational reliability.</w:t>
      </w:r>
    </w:p>
    <w:p w14:paraId="25CD91E8" w14:textId="2E6845AC"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By implementing these three adjustments, ExxonMobil can align its global best practices with the socio-cultural and regulatory realities of Guyana. This strategic alignment maximises operational efficiency, mitigates risk, and supports long-term profitability while ensuring social and environmental sustainability.</w:t>
      </w:r>
    </w:p>
    <w:p w14:paraId="5A633278" w14:textId="23269F5F" w:rsidR="002F65F2" w:rsidRPr="002F65F2" w:rsidRDefault="002F65F2" w:rsidP="00394A78">
      <w:pPr>
        <w:spacing w:before="100" w:beforeAutospacing="1" w:after="100" w:afterAutospacing="1" w:line="360" w:lineRule="auto"/>
        <w:jc w:val="both"/>
        <w:rPr>
          <w:rFonts w:ascii="Arial" w:eastAsia="Times New Roman" w:hAnsi="Arial" w:cs="Arial"/>
          <w:kern w:val="0"/>
          <w:lang w:eastAsia="en-GB"/>
          <w14:ligatures w14:val="none"/>
        </w:rPr>
      </w:pPr>
      <w:r w:rsidRPr="002F65F2">
        <w:rPr>
          <w:rFonts w:ascii="Arial" w:eastAsia="Times New Roman" w:hAnsi="Arial" w:cs="Arial"/>
          <w:kern w:val="0"/>
          <w:lang w:eastAsia="en-GB"/>
          <w14:ligatures w14:val="none"/>
        </w:rPr>
        <w:t>SOP adjustments are critical for ExxonMobil’s success in emerging markets. Cultural differences, regulatory requirements, infrastructure limitations, and social expectations necessitate changes to HR, EHS, and supply chain procedures. Incorporating OLI insights ensures that ownership advantages are leveraged, location advantages are maximised, and internalisation protects core competencies. The recommended adjustments</w:t>
      </w:r>
      <w:r w:rsidR="008F0931" w:rsidRPr="008F0931">
        <w:rPr>
          <w:rFonts w:ascii="Arial" w:eastAsia="Times New Roman" w:hAnsi="Arial" w:cs="Arial"/>
          <w:kern w:val="0"/>
          <w:lang w:eastAsia="en-GB"/>
          <w14:ligatures w14:val="none"/>
        </w:rPr>
        <w:t xml:space="preserve"> </w:t>
      </w:r>
      <w:r w:rsidRPr="002F65F2">
        <w:rPr>
          <w:rFonts w:ascii="Arial" w:eastAsia="Times New Roman" w:hAnsi="Arial" w:cs="Arial"/>
          <w:kern w:val="0"/>
          <w:lang w:eastAsia="en-GB"/>
          <w14:ligatures w14:val="none"/>
        </w:rPr>
        <w:t xml:space="preserve">culturally adaptive HR practices, localized EHS procedures, and supply chain SOPs integrating local </w:t>
      </w:r>
      <w:r w:rsidR="00394A78" w:rsidRPr="002F65F2">
        <w:rPr>
          <w:rFonts w:ascii="Arial" w:eastAsia="Times New Roman" w:hAnsi="Arial" w:cs="Arial"/>
          <w:kern w:val="0"/>
          <w:lang w:eastAsia="en-GB"/>
          <w14:ligatures w14:val="none"/>
        </w:rPr>
        <w:t>content offer</w:t>
      </w:r>
      <w:r w:rsidRPr="002F65F2">
        <w:rPr>
          <w:rFonts w:ascii="Arial" w:eastAsia="Times New Roman" w:hAnsi="Arial" w:cs="Arial"/>
          <w:kern w:val="0"/>
          <w:lang w:eastAsia="en-GB"/>
          <w14:ligatures w14:val="none"/>
        </w:rPr>
        <w:t xml:space="preserve"> a framework for operational success. By integrating these modifications, ExxonMobil can achieve sustainable performance, maintain its competitive advantage, and foster positive relationships with host country stakeholders in Guyana.</w:t>
      </w:r>
    </w:p>
    <w:p w14:paraId="38A1BB0D" w14:textId="77777777" w:rsidR="00073BD0" w:rsidRDefault="00073BD0" w:rsidP="00394A78">
      <w:pPr>
        <w:spacing w:before="100" w:beforeAutospacing="1" w:after="100" w:afterAutospacing="1" w:line="360" w:lineRule="auto"/>
        <w:jc w:val="both"/>
        <w:outlineLvl w:val="1"/>
        <w:rPr>
          <w:rFonts w:ascii="Arial" w:eastAsia="Times New Roman" w:hAnsi="Arial" w:cs="Arial"/>
          <w:b/>
          <w:bCs/>
          <w:i/>
          <w:iCs/>
          <w:kern w:val="0"/>
          <w:sz w:val="36"/>
          <w:szCs w:val="36"/>
          <w:lang w:eastAsia="en-GB"/>
          <w14:ligatures w14:val="none"/>
        </w:rPr>
      </w:pPr>
    </w:p>
    <w:p w14:paraId="062B6599" w14:textId="77777777" w:rsidR="00073BD0" w:rsidRDefault="00073BD0" w:rsidP="00394A78">
      <w:pPr>
        <w:spacing w:before="100" w:beforeAutospacing="1" w:after="100" w:afterAutospacing="1" w:line="360" w:lineRule="auto"/>
        <w:jc w:val="both"/>
        <w:outlineLvl w:val="1"/>
        <w:rPr>
          <w:rFonts w:ascii="Arial" w:eastAsia="Times New Roman" w:hAnsi="Arial" w:cs="Arial"/>
          <w:b/>
          <w:bCs/>
          <w:i/>
          <w:iCs/>
          <w:kern w:val="0"/>
          <w:sz w:val="36"/>
          <w:szCs w:val="36"/>
          <w:lang w:eastAsia="en-GB"/>
          <w14:ligatures w14:val="none"/>
        </w:rPr>
      </w:pPr>
    </w:p>
    <w:p w14:paraId="7EB7AD8A" w14:textId="77777777" w:rsidR="00073BD0" w:rsidRDefault="00073BD0" w:rsidP="00394A78">
      <w:pPr>
        <w:spacing w:before="100" w:beforeAutospacing="1" w:after="100" w:afterAutospacing="1" w:line="360" w:lineRule="auto"/>
        <w:jc w:val="both"/>
        <w:outlineLvl w:val="1"/>
        <w:rPr>
          <w:rFonts w:ascii="Arial" w:eastAsia="Times New Roman" w:hAnsi="Arial" w:cs="Arial"/>
          <w:b/>
          <w:bCs/>
          <w:i/>
          <w:iCs/>
          <w:kern w:val="0"/>
          <w:sz w:val="36"/>
          <w:szCs w:val="36"/>
          <w:lang w:eastAsia="en-GB"/>
          <w14:ligatures w14:val="none"/>
        </w:rPr>
      </w:pPr>
    </w:p>
    <w:p w14:paraId="206D7356" w14:textId="77777777" w:rsidR="00073BD0" w:rsidRDefault="00073BD0" w:rsidP="00394A78">
      <w:pPr>
        <w:spacing w:before="100" w:beforeAutospacing="1" w:after="100" w:afterAutospacing="1" w:line="360" w:lineRule="auto"/>
        <w:jc w:val="both"/>
        <w:outlineLvl w:val="1"/>
        <w:rPr>
          <w:rFonts w:ascii="Arial" w:eastAsia="Times New Roman" w:hAnsi="Arial" w:cs="Arial"/>
          <w:b/>
          <w:bCs/>
          <w:i/>
          <w:iCs/>
          <w:kern w:val="0"/>
          <w:sz w:val="36"/>
          <w:szCs w:val="36"/>
          <w:lang w:eastAsia="en-GB"/>
          <w14:ligatures w14:val="none"/>
        </w:rPr>
      </w:pPr>
    </w:p>
    <w:p w14:paraId="529C35D9" w14:textId="77777777" w:rsidR="00073BD0" w:rsidRDefault="00073BD0" w:rsidP="00394A78">
      <w:pPr>
        <w:spacing w:before="100" w:beforeAutospacing="1" w:after="100" w:afterAutospacing="1" w:line="360" w:lineRule="auto"/>
        <w:jc w:val="both"/>
        <w:outlineLvl w:val="1"/>
        <w:rPr>
          <w:rFonts w:ascii="Arial" w:eastAsia="Times New Roman" w:hAnsi="Arial" w:cs="Arial"/>
          <w:b/>
          <w:bCs/>
          <w:i/>
          <w:iCs/>
          <w:kern w:val="0"/>
          <w:sz w:val="36"/>
          <w:szCs w:val="36"/>
          <w:lang w:eastAsia="en-GB"/>
          <w14:ligatures w14:val="none"/>
        </w:rPr>
      </w:pPr>
    </w:p>
    <w:p w14:paraId="7342254C" w14:textId="77777777" w:rsidR="00073BD0" w:rsidRDefault="00073BD0" w:rsidP="00394A78">
      <w:pPr>
        <w:spacing w:before="100" w:beforeAutospacing="1" w:after="100" w:afterAutospacing="1" w:line="360" w:lineRule="auto"/>
        <w:jc w:val="both"/>
        <w:outlineLvl w:val="1"/>
        <w:rPr>
          <w:rFonts w:ascii="Arial" w:eastAsia="Times New Roman" w:hAnsi="Arial" w:cs="Arial"/>
          <w:b/>
          <w:bCs/>
          <w:i/>
          <w:iCs/>
          <w:kern w:val="0"/>
          <w:sz w:val="36"/>
          <w:szCs w:val="36"/>
          <w:lang w:eastAsia="en-GB"/>
          <w14:ligatures w14:val="none"/>
        </w:rPr>
      </w:pPr>
    </w:p>
    <w:p w14:paraId="0005AC62" w14:textId="77777777" w:rsidR="00073BD0" w:rsidRDefault="00073BD0" w:rsidP="00394A78">
      <w:pPr>
        <w:spacing w:before="100" w:beforeAutospacing="1" w:after="100" w:afterAutospacing="1" w:line="360" w:lineRule="auto"/>
        <w:jc w:val="both"/>
        <w:outlineLvl w:val="1"/>
        <w:rPr>
          <w:rFonts w:ascii="Arial" w:eastAsia="Times New Roman" w:hAnsi="Arial" w:cs="Arial"/>
          <w:b/>
          <w:bCs/>
          <w:i/>
          <w:iCs/>
          <w:kern w:val="0"/>
          <w:sz w:val="36"/>
          <w:szCs w:val="36"/>
          <w:lang w:eastAsia="en-GB"/>
          <w14:ligatures w14:val="none"/>
        </w:rPr>
      </w:pPr>
    </w:p>
    <w:p w14:paraId="0A2B1637" w14:textId="77777777" w:rsidR="00073BD0" w:rsidRDefault="00073BD0" w:rsidP="00394A78">
      <w:pPr>
        <w:spacing w:before="100" w:beforeAutospacing="1" w:after="100" w:afterAutospacing="1" w:line="360" w:lineRule="auto"/>
        <w:jc w:val="both"/>
        <w:outlineLvl w:val="1"/>
        <w:rPr>
          <w:rFonts w:ascii="Arial" w:eastAsia="Times New Roman" w:hAnsi="Arial" w:cs="Arial"/>
          <w:b/>
          <w:bCs/>
          <w:i/>
          <w:iCs/>
          <w:kern w:val="0"/>
          <w:sz w:val="36"/>
          <w:szCs w:val="36"/>
          <w:lang w:eastAsia="en-GB"/>
          <w14:ligatures w14:val="none"/>
        </w:rPr>
      </w:pPr>
    </w:p>
    <w:p w14:paraId="3FFAD2C8" w14:textId="74B2CB38" w:rsidR="009E180F" w:rsidRPr="00B8002D" w:rsidRDefault="009E180F" w:rsidP="00394A78">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B8002D">
        <w:rPr>
          <w:rFonts w:ascii="Arial" w:eastAsia="Times New Roman" w:hAnsi="Arial" w:cs="Arial"/>
          <w:b/>
          <w:bCs/>
          <w:i/>
          <w:iCs/>
          <w:kern w:val="0"/>
          <w:sz w:val="36"/>
          <w:szCs w:val="36"/>
          <w:lang w:eastAsia="en-GB"/>
          <w14:ligatures w14:val="none"/>
        </w:rPr>
        <w:lastRenderedPageBreak/>
        <w:t>C</w:t>
      </w:r>
      <w:r w:rsidRPr="00B8002D">
        <w:rPr>
          <w:rFonts w:ascii="Arial" w:eastAsia="Times New Roman" w:hAnsi="Arial" w:cs="Arial"/>
          <w:kern w:val="0"/>
          <w:lang w:eastAsia="en-GB"/>
          <w14:ligatures w14:val="none"/>
        </w:rPr>
        <w:t>onclusion</w:t>
      </w:r>
    </w:p>
    <w:p w14:paraId="147528C9" w14:textId="77777777" w:rsidR="009E180F" w:rsidRPr="009E180F" w:rsidRDefault="009E180F" w:rsidP="00394A78">
      <w:pPr>
        <w:spacing w:before="100" w:beforeAutospacing="1" w:after="100" w:afterAutospacing="1" w:line="360" w:lineRule="auto"/>
        <w:jc w:val="both"/>
        <w:rPr>
          <w:rFonts w:ascii="Arial" w:eastAsia="Times New Roman" w:hAnsi="Arial" w:cs="Arial"/>
          <w:kern w:val="0"/>
          <w:lang w:eastAsia="en-GB"/>
          <w14:ligatures w14:val="none"/>
        </w:rPr>
      </w:pPr>
      <w:r w:rsidRPr="009E180F">
        <w:rPr>
          <w:rFonts w:ascii="Arial" w:eastAsia="Times New Roman" w:hAnsi="Arial" w:cs="Arial"/>
          <w:kern w:val="0"/>
          <w:lang w:eastAsia="en-GB"/>
          <w14:ligatures w14:val="none"/>
        </w:rPr>
        <w:t>ExxonMobil’s international operations in emerging economies, such as Guyana, demonstrate the complex interplay of strategic, operational, and cultural factors that shape multinational enterprise (MNE) success. The company’s designation as a multinational corporation is supported by its extensive global presence, substantial foreign direct investment, and ability to leverage proprietary technology and capital across multiple jurisdictions (Exxon Mobil Corporation, 2025). Applying Dunning’s OLI framework reveals that ownership advantages, such as technical expertise and brand reputation, combined with location-specific factors, including resource availability and supportive regulatory conditions, and internalisation of key operations, strongly influence ExxonMobil’s market entry strategy and operational effectiveness (Dunning, 2000).</w:t>
      </w:r>
    </w:p>
    <w:p w14:paraId="6DAA7099" w14:textId="77777777" w:rsidR="009E180F" w:rsidRPr="009E180F" w:rsidRDefault="009E180F" w:rsidP="00394A78">
      <w:pPr>
        <w:spacing w:before="100" w:beforeAutospacing="1" w:after="100" w:afterAutospacing="1" w:line="360" w:lineRule="auto"/>
        <w:jc w:val="both"/>
        <w:rPr>
          <w:rFonts w:ascii="Arial" w:eastAsia="Times New Roman" w:hAnsi="Arial" w:cs="Arial"/>
          <w:kern w:val="0"/>
          <w:lang w:eastAsia="en-GB"/>
          <w14:ligatures w14:val="none"/>
        </w:rPr>
      </w:pPr>
      <w:r w:rsidRPr="009E180F">
        <w:rPr>
          <w:rFonts w:ascii="Arial" w:eastAsia="Times New Roman" w:hAnsi="Arial" w:cs="Arial"/>
          <w:kern w:val="0"/>
          <w:lang w:eastAsia="en-GB"/>
          <w14:ligatures w14:val="none"/>
        </w:rPr>
        <w:t>Cultural differences between the United States and emerging markets like Guyana further affect market entry and operational success. These differences impact leadership, communication, human resource management, and stakeholder engagement, highlighting the need for culturally sensitive strategies that align with local norms and expectations (Hofstede, 2011). Failure to address these differences could lead to operational inefficiencies, stakeholder resistance, and reputational risk.</w:t>
      </w:r>
    </w:p>
    <w:p w14:paraId="3EAE85A8" w14:textId="77777777" w:rsidR="009E180F" w:rsidRPr="009E180F" w:rsidRDefault="009E180F" w:rsidP="00394A78">
      <w:pPr>
        <w:spacing w:before="100" w:beforeAutospacing="1" w:after="100" w:afterAutospacing="1" w:line="360" w:lineRule="auto"/>
        <w:jc w:val="both"/>
        <w:rPr>
          <w:rFonts w:ascii="Arial" w:eastAsia="Times New Roman" w:hAnsi="Arial" w:cs="Arial"/>
          <w:kern w:val="0"/>
          <w:lang w:eastAsia="en-GB"/>
          <w14:ligatures w14:val="none"/>
        </w:rPr>
      </w:pPr>
      <w:r w:rsidRPr="009E180F">
        <w:rPr>
          <w:rFonts w:ascii="Arial" w:eastAsia="Times New Roman" w:hAnsi="Arial" w:cs="Arial"/>
          <w:kern w:val="0"/>
          <w:lang w:eastAsia="en-GB"/>
          <w14:ligatures w14:val="none"/>
        </w:rPr>
        <w:t>The report identifies three key adjustments to ExxonMobil’s Standard Operating Procedures (SOPs) necessary for successful operations in emerging markets: culturally adaptive human resource and leadership practices, localized environmental, health, and safety (EHS) procedures, and supply chain SOPs incorporating local content and risk management. These adjustments align with OLI considerations and cultural insights, enabling the company to maintain operational control, comply with local regulations, and secure a social licence to operate.</w:t>
      </w:r>
    </w:p>
    <w:p w14:paraId="484A6369" w14:textId="77777777" w:rsidR="009E180F" w:rsidRPr="009E180F" w:rsidRDefault="009E180F" w:rsidP="00394A78">
      <w:pPr>
        <w:spacing w:before="100" w:beforeAutospacing="1" w:after="100" w:afterAutospacing="1" w:line="360" w:lineRule="auto"/>
        <w:jc w:val="both"/>
        <w:rPr>
          <w:rFonts w:ascii="Arial" w:eastAsia="Times New Roman" w:hAnsi="Arial" w:cs="Arial"/>
          <w:kern w:val="0"/>
          <w:lang w:eastAsia="en-GB"/>
          <w14:ligatures w14:val="none"/>
        </w:rPr>
      </w:pPr>
      <w:r w:rsidRPr="009E180F">
        <w:rPr>
          <w:rFonts w:ascii="Arial" w:eastAsia="Times New Roman" w:hAnsi="Arial" w:cs="Arial"/>
          <w:kern w:val="0"/>
          <w:lang w:eastAsia="en-GB"/>
          <w14:ligatures w14:val="none"/>
        </w:rPr>
        <w:t>In conclusion, ExxonMobil’s success in emerging markets depends on the integration of global capabilities with local adaptation. By aligning SOPs with OLI factors and cultural realities, the company can enhance operational efficiency, mitigate risks, and achieve sustainable long-term profitability in foreign markets.</w:t>
      </w:r>
    </w:p>
    <w:p w14:paraId="68D483C4" w14:textId="6A8220EC" w:rsidR="009E180F" w:rsidRPr="009E180F" w:rsidRDefault="009E180F" w:rsidP="008F0931">
      <w:pPr>
        <w:spacing w:after="0" w:line="240" w:lineRule="auto"/>
        <w:jc w:val="both"/>
        <w:rPr>
          <w:rFonts w:ascii="Arial" w:eastAsia="Times New Roman" w:hAnsi="Arial" w:cs="Arial"/>
          <w:kern w:val="0"/>
          <w:lang w:eastAsia="en-GB"/>
          <w14:ligatures w14:val="none"/>
        </w:rPr>
      </w:pPr>
    </w:p>
    <w:p w14:paraId="0ADD25B8" w14:textId="77777777" w:rsidR="008F0931" w:rsidRPr="008F0931" w:rsidRDefault="008F0931" w:rsidP="008F0931">
      <w:pPr>
        <w:pStyle w:val="NormalWeb"/>
        <w:jc w:val="both"/>
        <w:rPr>
          <w:rStyle w:val="Strong"/>
          <w:rFonts w:ascii="Arial" w:eastAsiaTheme="majorEastAsia" w:hAnsi="Arial" w:cs="Arial"/>
          <w:sz w:val="22"/>
          <w:szCs w:val="22"/>
        </w:rPr>
      </w:pPr>
    </w:p>
    <w:p w14:paraId="5967C06D" w14:textId="77777777" w:rsidR="00073BD0" w:rsidRDefault="00073BD0" w:rsidP="009E180F">
      <w:pPr>
        <w:pStyle w:val="NormalWeb"/>
        <w:rPr>
          <w:rStyle w:val="Strong"/>
          <w:rFonts w:ascii="Arial" w:eastAsiaTheme="majorEastAsia" w:hAnsi="Arial" w:cs="Arial"/>
          <w:sz w:val="22"/>
          <w:szCs w:val="22"/>
        </w:rPr>
      </w:pPr>
    </w:p>
    <w:p w14:paraId="282E85E0" w14:textId="56DC3846" w:rsidR="009E180F" w:rsidRPr="00C00863" w:rsidRDefault="009E180F" w:rsidP="009E180F">
      <w:pPr>
        <w:pStyle w:val="NormalWeb"/>
        <w:rPr>
          <w:rFonts w:ascii="Arial" w:hAnsi="Arial" w:cs="Arial"/>
          <w:sz w:val="22"/>
          <w:szCs w:val="22"/>
        </w:rPr>
      </w:pPr>
      <w:r w:rsidRPr="00B8002D">
        <w:rPr>
          <w:rStyle w:val="Strong"/>
          <w:rFonts w:ascii="Arial" w:eastAsiaTheme="majorEastAsia" w:hAnsi="Arial" w:cs="Arial"/>
          <w:i/>
          <w:iCs/>
          <w:sz w:val="36"/>
          <w:szCs w:val="36"/>
        </w:rPr>
        <w:lastRenderedPageBreak/>
        <w:t>R</w:t>
      </w:r>
      <w:r w:rsidRPr="00B8002D">
        <w:rPr>
          <w:rStyle w:val="Strong"/>
          <w:rFonts w:ascii="Arial" w:eastAsiaTheme="majorEastAsia" w:hAnsi="Arial" w:cs="Arial"/>
          <w:b w:val="0"/>
          <w:bCs w:val="0"/>
          <w:sz w:val="22"/>
          <w:szCs w:val="22"/>
        </w:rPr>
        <w:t>eference</w:t>
      </w:r>
      <w:r w:rsidR="008F0931" w:rsidRPr="00B8002D">
        <w:rPr>
          <w:rStyle w:val="Strong"/>
          <w:rFonts w:ascii="Arial" w:eastAsiaTheme="majorEastAsia" w:hAnsi="Arial" w:cs="Arial"/>
          <w:b w:val="0"/>
          <w:bCs w:val="0"/>
          <w:sz w:val="22"/>
          <w:szCs w:val="22"/>
        </w:rPr>
        <w:t>s</w:t>
      </w:r>
      <w:r w:rsidRPr="00C00863">
        <w:rPr>
          <w:rStyle w:val="Strong"/>
          <w:rFonts w:ascii="Arial" w:eastAsiaTheme="majorEastAsia" w:hAnsi="Arial" w:cs="Arial"/>
          <w:sz w:val="22"/>
          <w:szCs w:val="22"/>
        </w:rPr>
        <w:t xml:space="preserve"> </w:t>
      </w:r>
    </w:p>
    <w:p w14:paraId="3071C162" w14:textId="2DA114E0" w:rsidR="00D36FCB" w:rsidRDefault="00D36FCB" w:rsidP="00D36FCB">
      <w:pPr>
        <w:pStyle w:val="NormalWeb"/>
      </w:pPr>
      <w:r>
        <w:t xml:space="preserve">CIA (2024) </w:t>
      </w:r>
      <w:r>
        <w:rPr>
          <w:rStyle w:val="Emphasis"/>
          <w:rFonts w:eastAsiaTheme="majorEastAsia"/>
        </w:rPr>
        <w:t>The World Factbook: Guyana</w:t>
      </w:r>
      <w:r>
        <w:t xml:space="preserve">. Washington, DC: Central Intelligence Agency. Available at: </w:t>
      </w:r>
      <w:hyperlink r:id="rId7" w:tgtFrame="_new" w:history="1">
        <w:r>
          <w:rPr>
            <w:rStyle w:val="Hyperlink"/>
            <w:rFonts w:eastAsiaTheme="majorEastAsia"/>
          </w:rPr>
          <w:t>https://www.cia.gov/the-world-factbook/countries/guyana/</w:t>
        </w:r>
      </w:hyperlink>
      <w:r>
        <w:t xml:space="preserve"> (Accessed: </w:t>
      </w:r>
      <w:r w:rsidR="00050EFD">
        <w:t>30</w:t>
      </w:r>
      <w:r>
        <w:t xml:space="preserve"> October 2025).</w:t>
      </w:r>
    </w:p>
    <w:p w14:paraId="17148939" w14:textId="77777777" w:rsidR="00D36FCB" w:rsidRDefault="00D36FCB" w:rsidP="00D36FCB">
      <w:pPr>
        <w:pStyle w:val="NormalWeb"/>
      </w:pPr>
      <w:r>
        <w:t xml:space="preserve">Dunning, J.H. (2000) ‘The Eclectic Paradigm as an Envelope for Economic and Business Theories of MNE Activity’, </w:t>
      </w:r>
      <w:r>
        <w:rPr>
          <w:rStyle w:val="Emphasis"/>
          <w:rFonts w:eastAsiaTheme="majorEastAsia"/>
        </w:rPr>
        <w:t>International Business Review</w:t>
      </w:r>
      <w:r>
        <w:t>, 9(2), pp.163–190.</w:t>
      </w:r>
    </w:p>
    <w:p w14:paraId="09E1012A" w14:textId="09FF636F" w:rsidR="00D36FCB" w:rsidRDefault="00D36FCB" w:rsidP="00D36FCB">
      <w:pPr>
        <w:pStyle w:val="NormalWeb"/>
      </w:pPr>
      <w:r>
        <w:t xml:space="preserve">Exxon Mobil Corporation (2024) </w:t>
      </w:r>
      <w:r>
        <w:rPr>
          <w:rStyle w:val="Emphasis"/>
          <w:rFonts w:eastAsiaTheme="majorEastAsia"/>
        </w:rPr>
        <w:t>Annual report 2023</w:t>
      </w:r>
      <w:r>
        <w:t xml:space="preserve">. Irving, TX: Exxon Mobil Corporation. Available at: </w:t>
      </w:r>
      <w:hyperlink r:id="rId8" w:tgtFrame="_new" w:history="1">
        <w:r>
          <w:rPr>
            <w:rStyle w:val="Hyperlink"/>
            <w:rFonts w:eastAsiaTheme="majorEastAsia"/>
          </w:rPr>
          <w:t>https://investor.exxonmobil.com/sec-filings/annual-reports/content/0001193125-24-092555/0001193125-24-092555.pdf</w:t>
        </w:r>
      </w:hyperlink>
      <w:r>
        <w:t xml:space="preserve"> (Accessed: 2</w:t>
      </w:r>
      <w:r w:rsidR="00050EFD">
        <w:t>8</w:t>
      </w:r>
      <w:r>
        <w:t xml:space="preserve"> October 2025).</w:t>
      </w:r>
    </w:p>
    <w:p w14:paraId="17F6573E" w14:textId="361BB56A" w:rsidR="00D36FCB" w:rsidRDefault="00D36FCB" w:rsidP="00D36FCB">
      <w:pPr>
        <w:pStyle w:val="NormalWeb"/>
      </w:pPr>
      <w:r>
        <w:t xml:space="preserve">Exxon Mobil Corporation (2025) </w:t>
      </w:r>
      <w:r>
        <w:rPr>
          <w:rStyle w:val="Emphasis"/>
          <w:rFonts w:eastAsiaTheme="majorEastAsia"/>
        </w:rPr>
        <w:t>Annual report 2024</w:t>
      </w:r>
      <w:r>
        <w:t xml:space="preserve">. Irving, TX: Exxon Mobil Corporation. Available at: </w:t>
      </w:r>
      <w:hyperlink r:id="rId9" w:tgtFrame="_new" w:history="1">
        <w:r>
          <w:rPr>
            <w:rStyle w:val="Hyperlink"/>
            <w:rFonts w:eastAsiaTheme="majorEastAsia"/>
          </w:rPr>
          <w:t>https://investor.exxonmobil.com/sec-filings/all-sec-filings/content/0000034088-25-000010/0000034088-25-000010.pdf</w:t>
        </w:r>
      </w:hyperlink>
      <w:r>
        <w:t xml:space="preserve"> (Accessed: 1</w:t>
      </w:r>
      <w:r w:rsidR="00F62443">
        <w:t>7</w:t>
      </w:r>
      <w:r>
        <w:t xml:space="preserve"> October 2025).</w:t>
      </w:r>
    </w:p>
    <w:p w14:paraId="607D94BA" w14:textId="69936595" w:rsidR="00D36FCB" w:rsidRDefault="00D36FCB" w:rsidP="00D36FCB">
      <w:pPr>
        <w:pStyle w:val="NormalWeb"/>
      </w:pPr>
      <w:r>
        <w:t xml:space="preserve">Exxon Mobil Corporation (2025) </w:t>
      </w:r>
      <w:r>
        <w:rPr>
          <w:rStyle w:val="Emphasis"/>
          <w:rFonts w:eastAsiaTheme="majorEastAsia"/>
        </w:rPr>
        <w:t>Form 10-K, Fiscal year ended 31 December 2024</w:t>
      </w:r>
      <w:r>
        <w:t xml:space="preserve">. Irving, TX: Exxon Mobil Corporation. Available at: </w:t>
      </w:r>
      <w:hyperlink r:id="rId10" w:tgtFrame="_new" w:history="1">
        <w:r>
          <w:rPr>
            <w:rStyle w:val="Hyperlink"/>
            <w:rFonts w:eastAsiaTheme="majorEastAsia"/>
          </w:rPr>
          <w:t>https://investor.exxonmobil.com/sec-filings/all-sec-filings/content/0000034088-25-000010/0000034088-25-000010.pdf</w:t>
        </w:r>
      </w:hyperlink>
      <w:r>
        <w:t xml:space="preserve"> (Accessed: 2</w:t>
      </w:r>
      <w:r w:rsidR="0054664C">
        <w:t xml:space="preserve">5 </w:t>
      </w:r>
      <w:r>
        <w:t>October 2025).</w:t>
      </w:r>
    </w:p>
    <w:p w14:paraId="4CBF8E0B" w14:textId="1BED7FE8" w:rsidR="00D36FCB" w:rsidRDefault="00D36FCB" w:rsidP="00D36FCB">
      <w:pPr>
        <w:pStyle w:val="NormalWeb"/>
      </w:pPr>
      <w:r>
        <w:t xml:space="preserve">Exxon Mobil Corporation (no date) ‘Global projects’, </w:t>
      </w:r>
      <w:r>
        <w:rPr>
          <w:rStyle w:val="Emphasis"/>
          <w:rFonts w:eastAsiaTheme="majorEastAsia"/>
        </w:rPr>
        <w:t>ExxonMobil – Upstream</w:t>
      </w:r>
      <w:r>
        <w:t xml:space="preserve">. Available at: </w:t>
      </w:r>
      <w:hyperlink r:id="rId11" w:tgtFrame="_new" w:history="1">
        <w:r>
          <w:rPr>
            <w:rStyle w:val="Hyperlink"/>
            <w:rFonts w:eastAsiaTheme="majorEastAsia"/>
          </w:rPr>
          <w:t>https://corporate.exxonmobil.com/who-we-are/our-global-organization/business-divisions/upstream/global-projects</w:t>
        </w:r>
      </w:hyperlink>
      <w:r>
        <w:t xml:space="preserve"> </w:t>
      </w:r>
      <w:r w:rsidR="00F62443">
        <w:t>(</w:t>
      </w:r>
      <w:r>
        <w:t>Accessed: 21 October 2025).</w:t>
      </w:r>
    </w:p>
    <w:p w14:paraId="6BB91A1B" w14:textId="6E5C9C14" w:rsidR="00D36FCB" w:rsidRDefault="00D36FCB" w:rsidP="00D36FCB">
      <w:pPr>
        <w:pStyle w:val="NormalWeb"/>
      </w:pPr>
      <w:r>
        <w:t xml:space="preserve">ExxonMobil (2024) </w:t>
      </w:r>
      <w:r>
        <w:rPr>
          <w:rStyle w:val="Emphasis"/>
          <w:rFonts w:eastAsiaTheme="majorEastAsia"/>
        </w:rPr>
        <w:t>ExxonMobil Annual Report 2023</w:t>
      </w:r>
      <w:r>
        <w:t xml:space="preserve">. Available at: </w:t>
      </w:r>
      <w:hyperlink r:id="rId12" w:tgtFrame="_new" w:history="1">
        <w:r>
          <w:rPr>
            <w:rStyle w:val="Hyperlink"/>
            <w:rFonts w:eastAsiaTheme="majorEastAsia"/>
          </w:rPr>
          <w:t>https://corporate.exxonmobil.com</w:t>
        </w:r>
      </w:hyperlink>
      <w:r>
        <w:t xml:space="preserve"> (Accessed: </w:t>
      </w:r>
      <w:r w:rsidR="00F62443">
        <w:t>30</w:t>
      </w:r>
      <w:r>
        <w:t xml:space="preserve"> October 2025).</w:t>
      </w:r>
    </w:p>
    <w:p w14:paraId="372B5D0B" w14:textId="77777777" w:rsidR="00D36FCB" w:rsidRDefault="00D36FCB" w:rsidP="00D36FCB">
      <w:pPr>
        <w:pStyle w:val="NormalWeb"/>
      </w:pPr>
      <w:r>
        <w:t xml:space="preserve">Financial Times (2025) ‘Exxon escalates attacks on EU’s “high-regulation” climate policies’, </w:t>
      </w:r>
      <w:r>
        <w:rPr>
          <w:rStyle w:val="Emphasis"/>
          <w:rFonts w:eastAsiaTheme="majorEastAsia"/>
        </w:rPr>
        <w:t>Financial Times</w:t>
      </w:r>
      <w:r>
        <w:t xml:space="preserve">, September 2025. Available at: </w:t>
      </w:r>
      <w:hyperlink r:id="rId13" w:tgtFrame="_new" w:history="1">
        <w:r>
          <w:rPr>
            <w:rStyle w:val="Hyperlink"/>
            <w:rFonts w:eastAsiaTheme="majorEastAsia"/>
          </w:rPr>
          <w:t>https://www.ft.com/content/18335e6a-1ffd-4df2-8cd4-e5108da137b1</w:t>
        </w:r>
      </w:hyperlink>
      <w:r>
        <w:t xml:space="preserve"> (Accessed: 21 October 2025).</w:t>
      </w:r>
    </w:p>
    <w:p w14:paraId="159D43BE" w14:textId="77777777" w:rsidR="00D36FCB" w:rsidRDefault="00D36FCB" w:rsidP="00D36FCB">
      <w:pPr>
        <w:pStyle w:val="NormalWeb"/>
      </w:pPr>
      <w:r>
        <w:t xml:space="preserve">Financial Times (2025) ‘ExxonMobil faces local pressure on environmental and social responsibilities in Guyana’, </w:t>
      </w:r>
      <w:r>
        <w:rPr>
          <w:rStyle w:val="Emphasis"/>
          <w:rFonts w:eastAsiaTheme="majorEastAsia"/>
        </w:rPr>
        <w:t>Financial Times</w:t>
      </w:r>
      <w:r>
        <w:t xml:space="preserve">, 21 August 2025. Available at: </w:t>
      </w:r>
      <w:hyperlink r:id="rId14" w:tgtFrame="_new" w:history="1">
        <w:r>
          <w:rPr>
            <w:rStyle w:val="Hyperlink"/>
            <w:rFonts w:eastAsiaTheme="majorEastAsia"/>
          </w:rPr>
          <w:t>https://www.ft.com/content/guyana-exxon-environment</w:t>
        </w:r>
      </w:hyperlink>
      <w:r>
        <w:t xml:space="preserve"> (Accessed: 21 October 2025).</w:t>
      </w:r>
    </w:p>
    <w:p w14:paraId="4D3C9435" w14:textId="77777777" w:rsidR="00D36FCB" w:rsidRDefault="00D36FCB" w:rsidP="00D36FCB">
      <w:pPr>
        <w:pStyle w:val="NormalWeb"/>
      </w:pPr>
      <w:r>
        <w:t xml:space="preserve">Hill, C., Hult, G. and McKaig, T. (2014) </w:t>
      </w:r>
      <w:r>
        <w:rPr>
          <w:rStyle w:val="Emphasis"/>
          <w:rFonts w:eastAsiaTheme="majorEastAsia"/>
        </w:rPr>
        <w:t>International Business: Competing in the Global Marketplace</w:t>
      </w:r>
      <w:r>
        <w:t xml:space="preserve">. 10th </w:t>
      </w:r>
      <w:proofErr w:type="spellStart"/>
      <w:r>
        <w:t>edn</w:t>
      </w:r>
      <w:proofErr w:type="spellEnd"/>
      <w:r>
        <w:t>. New York: McGraw-Hill.</w:t>
      </w:r>
    </w:p>
    <w:p w14:paraId="280E9A55" w14:textId="77777777" w:rsidR="00D36FCB" w:rsidRDefault="00D36FCB" w:rsidP="00D36FCB">
      <w:pPr>
        <w:pStyle w:val="NormalWeb"/>
      </w:pPr>
      <w:r>
        <w:t>Hofstede, G. (2011) ‘</w:t>
      </w:r>
      <w:proofErr w:type="spellStart"/>
      <w:r>
        <w:t>Dimensionalizing</w:t>
      </w:r>
      <w:proofErr w:type="spellEnd"/>
      <w:r>
        <w:t xml:space="preserve"> Cultures: The Hofstede Model in Context’, </w:t>
      </w:r>
      <w:r>
        <w:rPr>
          <w:rStyle w:val="Emphasis"/>
          <w:rFonts w:eastAsiaTheme="majorEastAsia"/>
        </w:rPr>
        <w:t>Online Readings in Psychology and Culture</w:t>
      </w:r>
      <w:r>
        <w:t>, 2(1), pp.1–26.</w:t>
      </w:r>
    </w:p>
    <w:p w14:paraId="534389FE" w14:textId="7049B0FC" w:rsidR="00D36FCB" w:rsidRDefault="00D36FCB" w:rsidP="00D36FCB">
      <w:pPr>
        <w:pStyle w:val="NormalWeb"/>
      </w:pPr>
      <w:r>
        <w:t xml:space="preserve">Reuters (2024) ‘China to start up Guangdong LNG terminal, ExxonMobil has 20-yr access’, </w:t>
      </w:r>
      <w:r>
        <w:rPr>
          <w:rStyle w:val="Emphasis"/>
          <w:rFonts w:eastAsiaTheme="majorEastAsia"/>
        </w:rPr>
        <w:t>Reuters</w:t>
      </w:r>
      <w:r>
        <w:t xml:space="preserve">, 26 September 2024. Available at: </w:t>
      </w:r>
      <w:hyperlink r:id="rId15" w:tgtFrame="_new" w:history="1">
        <w:r>
          <w:rPr>
            <w:rStyle w:val="Hyperlink"/>
            <w:rFonts w:eastAsiaTheme="majorEastAsia"/>
          </w:rPr>
          <w:t>https://www.reuters.com/markets/commodities/china-start-up-guangdong-lng-terminal-exxonmobil-has-20-yr-access-2024-09-26/</w:t>
        </w:r>
      </w:hyperlink>
      <w:r>
        <w:t xml:space="preserve"> (Accessed: 1</w:t>
      </w:r>
      <w:r w:rsidR="004116C2">
        <w:t>8</w:t>
      </w:r>
      <w:r>
        <w:t xml:space="preserve"> October 2025).</w:t>
      </w:r>
    </w:p>
    <w:p w14:paraId="6111AA51" w14:textId="77777777" w:rsidR="00D36FCB" w:rsidRDefault="00D36FCB" w:rsidP="00D36FCB">
      <w:pPr>
        <w:pStyle w:val="NormalWeb"/>
      </w:pPr>
      <w:r>
        <w:lastRenderedPageBreak/>
        <w:t xml:space="preserve">Reuters (2024) ‘Exxon-led consortium in Guyana hits 500 </w:t>
      </w:r>
      <w:proofErr w:type="spellStart"/>
      <w:r>
        <w:t>mln</w:t>
      </w:r>
      <w:proofErr w:type="spellEnd"/>
      <w:r>
        <w:t xml:space="preserve"> barrels of oil production’, </w:t>
      </w:r>
      <w:r>
        <w:rPr>
          <w:rStyle w:val="Emphasis"/>
          <w:rFonts w:eastAsiaTheme="majorEastAsia"/>
        </w:rPr>
        <w:t>Reuters</w:t>
      </w:r>
      <w:r>
        <w:t xml:space="preserve">, 13 November 2024. Available at: </w:t>
      </w:r>
      <w:hyperlink r:id="rId16" w:tgtFrame="_new" w:history="1">
        <w:r>
          <w:rPr>
            <w:rStyle w:val="Hyperlink"/>
            <w:rFonts w:eastAsiaTheme="majorEastAsia"/>
          </w:rPr>
          <w:t>https://www.reuters.com/business/energy/exxon-led-consortium-guyana-hits-500-mln-barrels-oil-production-2024-11-13/</w:t>
        </w:r>
      </w:hyperlink>
      <w:r>
        <w:t xml:space="preserve"> (Accessed: 21 October 2025).</w:t>
      </w:r>
    </w:p>
    <w:p w14:paraId="7DBFC57B" w14:textId="76B79934" w:rsidR="00D36FCB" w:rsidRDefault="00D36FCB" w:rsidP="00D36FCB">
      <w:pPr>
        <w:pStyle w:val="NormalWeb"/>
      </w:pPr>
      <w:r>
        <w:t xml:space="preserve">Reuters (2024) ‘ExxonMobil expands low-carbon business amid energy transition challenges’, </w:t>
      </w:r>
      <w:r>
        <w:rPr>
          <w:rStyle w:val="Emphasis"/>
          <w:rFonts w:eastAsiaTheme="majorEastAsia"/>
        </w:rPr>
        <w:t>Reuters</w:t>
      </w:r>
      <w:r>
        <w:t xml:space="preserve">. Available at: </w:t>
      </w:r>
      <w:hyperlink r:id="rId17" w:tgtFrame="_new" w:history="1">
        <w:r>
          <w:rPr>
            <w:rStyle w:val="Hyperlink"/>
            <w:rFonts w:eastAsiaTheme="majorEastAsia"/>
          </w:rPr>
          <w:t>https://www.reuters.com/business/energy</w:t>
        </w:r>
      </w:hyperlink>
      <w:r>
        <w:t xml:space="preserve"> (Accessed: 1</w:t>
      </w:r>
      <w:r w:rsidR="004116C2">
        <w:t>2</w:t>
      </w:r>
      <w:r>
        <w:t xml:space="preserve"> October 2025).</w:t>
      </w:r>
    </w:p>
    <w:p w14:paraId="4107FAA4" w14:textId="1AF43C35" w:rsidR="00D36FCB" w:rsidRDefault="00D36FCB" w:rsidP="00D36FCB">
      <w:pPr>
        <w:pStyle w:val="NormalWeb"/>
      </w:pPr>
      <w:r>
        <w:t xml:space="preserve">Reuters (2025) ‘ARC Resources to supply Exxon Mobil with LNG’, </w:t>
      </w:r>
      <w:r>
        <w:rPr>
          <w:rStyle w:val="Emphasis"/>
          <w:rFonts w:eastAsiaTheme="majorEastAsia"/>
        </w:rPr>
        <w:t>Reuters</w:t>
      </w:r>
      <w:r>
        <w:t xml:space="preserve">, 11 March 2025. Available at: </w:t>
      </w:r>
      <w:hyperlink r:id="rId18" w:tgtFrame="_new" w:history="1">
        <w:r>
          <w:rPr>
            <w:rStyle w:val="Hyperlink"/>
            <w:rFonts w:eastAsiaTheme="majorEastAsia"/>
          </w:rPr>
          <w:t>https://www.reuters.com/business/energy/arc-resources-supply-exxon-mobil-with-lng-2025-03-11/</w:t>
        </w:r>
      </w:hyperlink>
      <w:r>
        <w:t xml:space="preserve"> (Accessed: 2 October 2025).</w:t>
      </w:r>
    </w:p>
    <w:p w14:paraId="08154CA1" w14:textId="77777777" w:rsidR="000A2290" w:rsidRPr="000A2290" w:rsidRDefault="000A2290">
      <w:pPr>
        <w:rPr>
          <w:b/>
          <w:bCs/>
          <w:color w:val="000000" w:themeColor="text1"/>
          <w:sz w:val="28"/>
          <w:szCs w:val="28"/>
        </w:rPr>
      </w:pPr>
    </w:p>
    <w:sectPr w:rsidR="000A2290" w:rsidRPr="000A22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F2CA0"/>
    <w:multiLevelType w:val="hybridMultilevel"/>
    <w:tmpl w:val="6D5AA4AA"/>
    <w:lvl w:ilvl="0" w:tplc="11CC058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BB0290"/>
    <w:multiLevelType w:val="hybridMultilevel"/>
    <w:tmpl w:val="E7B0D8A8"/>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AA1B11"/>
    <w:multiLevelType w:val="multilevel"/>
    <w:tmpl w:val="0136B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F67A4B"/>
    <w:multiLevelType w:val="multilevel"/>
    <w:tmpl w:val="CFB63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410EFF"/>
    <w:multiLevelType w:val="hybridMultilevel"/>
    <w:tmpl w:val="095A054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8D2E8E"/>
    <w:multiLevelType w:val="hybridMultilevel"/>
    <w:tmpl w:val="A2A65FA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82C2DC0"/>
    <w:multiLevelType w:val="hybridMultilevel"/>
    <w:tmpl w:val="A2A65FA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C7349F0"/>
    <w:multiLevelType w:val="hybridMultilevel"/>
    <w:tmpl w:val="312235A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A80435"/>
    <w:multiLevelType w:val="multilevel"/>
    <w:tmpl w:val="1A7C5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9D1006"/>
    <w:multiLevelType w:val="hybridMultilevel"/>
    <w:tmpl w:val="CEBA4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2C0768"/>
    <w:multiLevelType w:val="multilevel"/>
    <w:tmpl w:val="B058A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23676A"/>
    <w:multiLevelType w:val="multilevel"/>
    <w:tmpl w:val="269A6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0E20F2"/>
    <w:multiLevelType w:val="hybridMultilevel"/>
    <w:tmpl w:val="D3D2A8FA"/>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C41B94"/>
    <w:multiLevelType w:val="multilevel"/>
    <w:tmpl w:val="6882B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D463C0"/>
    <w:multiLevelType w:val="hybridMultilevel"/>
    <w:tmpl w:val="1618F396"/>
    <w:lvl w:ilvl="0" w:tplc="AFE212A8">
      <w:start w:val="1"/>
      <w:numFmt w:val="decimal"/>
      <w:lvlText w:val="%1."/>
      <w:lvlJc w:val="righ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7345039">
    <w:abstractNumId w:val="10"/>
  </w:num>
  <w:num w:numId="2" w16cid:durableId="1761363864">
    <w:abstractNumId w:val="3"/>
  </w:num>
  <w:num w:numId="3" w16cid:durableId="1612937657">
    <w:abstractNumId w:val="11"/>
  </w:num>
  <w:num w:numId="4" w16cid:durableId="613633414">
    <w:abstractNumId w:val="2"/>
  </w:num>
  <w:num w:numId="5" w16cid:durableId="1774662183">
    <w:abstractNumId w:val="13"/>
  </w:num>
  <w:num w:numId="6" w16cid:durableId="1412847389">
    <w:abstractNumId w:val="8"/>
  </w:num>
  <w:num w:numId="7" w16cid:durableId="658653563">
    <w:abstractNumId w:val="9"/>
  </w:num>
  <w:num w:numId="8" w16cid:durableId="1326325797">
    <w:abstractNumId w:val="6"/>
  </w:num>
  <w:num w:numId="9" w16cid:durableId="918909147">
    <w:abstractNumId w:val="5"/>
  </w:num>
  <w:num w:numId="10" w16cid:durableId="1156609939">
    <w:abstractNumId w:val="0"/>
  </w:num>
  <w:num w:numId="11" w16cid:durableId="1571186453">
    <w:abstractNumId w:val="12"/>
  </w:num>
  <w:num w:numId="12" w16cid:durableId="63260049">
    <w:abstractNumId w:val="7"/>
  </w:num>
  <w:num w:numId="13" w16cid:durableId="1455563517">
    <w:abstractNumId w:val="14"/>
  </w:num>
  <w:num w:numId="14" w16cid:durableId="429591598">
    <w:abstractNumId w:val="1"/>
  </w:num>
  <w:num w:numId="15" w16cid:durableId="19607176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290"/>
    <w:rsid w:val="00045CF5"/>
    <w:rsid w:val="00050EFD"/>
    <w:rsid w:val="00073BD0"/>
    <w:rsid w:val="00092129"/>
    <w:rsid w:val="000A056E"/>
    <w:rsid w:val="000A2290"/>
    <w:rsid w:val="000A5D7E"/>
    <w:rsid w:val="00100A9F"/>
    <w:rsid w:val="00120F2F"/>
    <w:rsid w:val="001C67D3"/>
    <w:rsid w:val="001F15DC"/>
    <w:rsid w:val="00212123"/>
    <w:rsid w:val="00252114"/>
    <w:rsid w:val="002751B5"/>
    <w:rsid w:val="002C0A8D"/>
    <w:rsid w:val="002F65F2"/>
    <w:rsid w:val="0030222F"/>
    <w:rsid w:val="00317DAE"/>
    <w:rsid w:val="00320753"/>
    <w:rsid w:val="0035341C"/>
    <w:rsid w:val="003860BB"/>
    <w:rsid w:val="00394A78"/>
    <w:rsid w:val="003C2FE7"/>
    <w:rsid w:val="003C456B"/>
    <w:rsid w:val="003F49C7"/>
    <w:rsid w:val="004116C2"/>
    <w:rsid w:val="00484D7C"/>
    <w:rsid w:val="00503B79"/>
    <w:rsid w:val="005047BD"/>
    <w:rsid w:val="0054664C"/>
    <w:rsid w:val="00551B47"/>
    <w:rsid w:val="00572CD7"/>
    <w:rsid w:val="00586139"/>
    <w:rsid w:val="005869F0"/>
    <w:rsid w:val="0059602E"/>
    <w:rsid w:val="005A158B"/>
    <w:rsid w:val="005B62B7"/>
    <w:rsid w:val="0061219C"/>
    <w:rsid w:val="00657E96"/>
    <w:rsid w:val="0066120E"/>
    <w:rsid w:val="0066225D"/>
    <w:rsid w:val="00674563"/>
    <w:rsid w:val="00684E87"/>
    <w:rsid w:val="006A5ED6"/>
    <w:rsid w:val="006B0392"/>
    <w:rsid w:val="006F0C78"/>
    <w:rsid w:val="006F3842"/>
    <w:rsid w:val="0074281A"/>
    <w:rsid w:val="007A153D"/>
    <w:rsid w:val="007A7511"/>
    <w:rsid w:val="007B1436"/>
    <w:rsid w:val="00812C90"/>
    <w:rsid w:val="00813663"/>
    <w:rsid w:val="008527F9"/>
    <w:rsid w:val="00855BC1"/>
    <w:rsid w:val="00874051"/>
    <w:rsid w:val="00880101"/>
    <w:rsid w:val="008F0931"/>
    <w:rsid w:val="008F0973"/>
    <w:rsid w:val="0090618A"/>
    <w:rsid w:val="00915914"/>
    <w:rsid w:val="009457D8"/>
    <w:rsid w:val="00954E6E"/>
    <w:rsid w:val="00957C87"/>
    <w:rsid w:val="00963790"/>
    <w:rsid w:val="00982E7C"/>
    <w:rsid w:val="00983B9A"/>
    <w:rsid w:val="009964AA"/>
    <w:rsid w:val="009B4156"/>
    <w:rsid w:val="009C685C"/>
    <w:rsid w:val="009D666B"/>
    <w:rsid w:val="009E180F"/>
    <w:rsid w:val="009E24C8"/>
    <w:rsid w:val="00AA4B39"/>
    <w:rsid w:val="00AB0803"/>
    <w:rsid w:val="00AC0C8E"/>
    <w:rsid w:val="00AD4B15"/>
    <w:rsid w:val="00B21F47"/>
    <w:rsid w:val="00B32BD8"/>
    <w:rsid w:val="00B578C2"/>
    <w:rsid w:val="00B57F91"/>
    <w:rsid w:val="00B8002D"/>
    <w:rsid w:val="00B805FE"/>
    <w:rsid w:val="00BE1528"/>
    <w:rsid w:val="00C00863"/>
    <w:rsid w:val="00C12E1C"/>
    <w:rsid w:val="00C2499C"/>
    <w:rsid w:val="00C766C6"/>
    <w:rsid w:val="00C83247"/>
    <w:rsid w:val="00CB6604"/>
    <w:rsid w:val="00CD0F60"/>
    <w:rsid w:val="00CE6ED9"/>
    <w:rsid w:val="00D02179"/>
    <w:rsid w:val="00D264C7"/>
    <w:rsid w:val="00D36FCB"/>
    <w:rsid w:val="00D95307"/>
    <w:rsid w:val="00D97A3D"/>
    <w:rsid w:val="00DC3341"/>
    <w:rsid w:val="00E13AD2"/>
    <w:rsid w:val="00E250B2"/>
    <w:rsid w:val="00E71F19"/>
    <w:rsid w:val="00EA6DBD"/>
    <w:rsid w:val="00EB29AD"/>
    <w:rsid w:val="00EC045C"/>
    <w:rsid w:val="00ED50A5"/>
    <w:rsid w:val="00F452A9"/>
    <w:rsid w:val="00F544E1"/>
    <w:rsid w:val="00F62443"/>
    <w:rsid w:val="00F6550D"/>
    <w:rsid w:val="00F900BB"/>
    <w:rsid w:val="00F94B1A"/>
    <w:rsid w:val="00FC5782"/>
    <w:rsid w:val="00FF0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F9FE9"/>
  <w15:chartTrackingRefBased/>
  <w15:docId w15:val="{560038C4-4B47-45C1-9CA7-6253C6458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2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A22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A22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A22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A22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A22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22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22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22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22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A22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A22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A22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A22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A22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22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22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2290"/>
    <w:rPr>
      <w:rFonts w:eastAsiaTheme="majorEastAsia" w:cstheme="majorBidi"/>
      <w:color w:val="272727" w:themeColor="text1" w:themeTint="D8"/>
    </w:rPr>
  </w:style>
  <w:style w:type="paragraph" w:styleId="Title">
    <w:name w:val="Title"/>
    <w:basedOn w:val="Normal"/>
    <w:next w:val="Normal"/>
    <w:link w:val="TitleChar"/>
    <w:uiPriority w:val="10"/>
    <w:qFormat/>
    <w:rsid w:val="000A22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22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22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22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2290"/>
    <w:pPr>
      <w:spacing w:before="160"/>
      <w:jc w:val="center"/>
    </w:pPr>
    <w:rPr>
      <w:i/>
      <w:iCs/>
      <w:color w:val="404040" w:themeColor="text1" w:themeTint="BF"/>
    </w:rPr>
  </w:style>
  <w:style w:type="character" w:customStyle="1" w:styleId="QuoteChar">
    <w:name w:val="Quote Char"/>
    <w:basedOn w:val="DefaultParagraphFont"/>
    <w:link w:val="Quote"/>
    <w:uiPriority w:val="29"/>
    <w:rsid w:val="000A2290"/>
    <w:rPr>
      <w:i/>
      <w:iCs/>
      <w:color w:val="404040" w:themeColor="text1" w:themeTint="BF"/>
    </w:rPr>
  </w:style>
  <w:style w:type="paragraph" w:styleId="ListParagraph">
    <w:name w:val="List Paragraph"/>
    <w:basedOn w:val="Normal"/>
    <w:uiPriority w:val="34"/>
    <w:qFormat/>
    <w:rsid w:val="000A2290"/>
    <w:pPr>
      <w:ind w:left="720"/>
      <w:contextualSpacing/>
    </w:pPr>
  </w:style>
  <w:style w:type="character" w:styleId="IntenseEmphasis">
    <w:name w:val="Intense Emphasis"/>
    <w:basedOn w:val="DefaultParagraphFont"/>
    <w:uiPriority w:val="21"/>
    <w:qFormat/>
    <w:rsid w:val="000A2290"/>
    <w:rPr>
      <w:i/>
      <w:iCs/>
      <w:color w:val="2F5496" w:themeColor="accent1" w:themeShade="BF"/>
    </w:rPr>
  </w:style>
  <w:style w:type="paragraph" w:styleId="IntenseQuote">
    <w:name w:val="Intense Quote"/>
    <w:basedOn w:val="Normal"/>
    <w:next w:val="Normal"/>
    <w:link w:val="IntenseQuoteChar"/>
    <w:uiPriority w:val="30"/>
    <w:qFormat/>
    <w:rsid w:val="000A22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A2290"/>
    <w:rPr>
      <w:i/>
      <w:iCs/>
      <w:color w:val="2F5496" w:themeColor="accent1" w:themeShade="BF"/>
    </w:rPr>
  </w:style>
  <w:style w:type="character" w:styleId="IntenseReference">
    <w:name w:val="Intense Reference"/>
    <w:basedOn w:val="DefaultParagraphFont"/>
    <w:uiPriority w:val="32"/>
    <w:qFormat/>
    <w:rsid w:val="000A2290"/>
    <w:rPr>
      <w:b/>
      <w:bCs/>
      <w:smallCaps/>
      <w:color w:val="2F5496" w:themeColor="accent1" w:themeShade="BF"/>
      <w:spacing w:val="5"/>
    </w:rPr>
  </w:style>
  <w:style w:type="paragraph" w:styleId="NormalWeb">
    <w:name w:val="Normal (Web)"/>
    <w:basedOn w:val="Normal"/>
    <w:uiPriority w:val="99"/>
    <w:unhideWhenUsed/>
    <w:rsid w:val="00C766C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C766C6"/>
    <w:rPr>
      <w:i/>
      <w:iCs/>
    </w:rPr>
  </w:style>
  <w:style w:type="character" w:styleId="Hyperlink">
    <w:name w:val="Hyperlink"/>
    <w:basedOn w:val="DefaultParagraphFont"/>
    <w:uiPriority w:val="99"/>
    <w:semiHidden/>
    <w:unhideWhenUsed/>
    <w:rsid w:val="00C766C6"/>
    <w:rPr>
      <w:color w:val="0000FF"/>
      <w:u w:val="single"/>
    </w:rPr>
  </w:style>
  <w:style w:type="character" w:styleId="Strong">
    <w:name w:val="Strong"/>
    <w:basedOn w:val="DefaultParagraphFont"/>
    <w:uiPriority w:val="22"/>
    <w:qFormat/>
    <w:rsid w:val="009E18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vestor.exxonmobil.com/sec-filings/annual-reports/content/0001193125-24-092555/0001193125-24-092555.pdf" TargetMode="External"/><Relationship Id="rId13" Type="http://schemas.openxmlformats.org/officeDocument/2006/relationships/hyperlink" Target="https://www.ft.com/content/18335e6a-1ffd-4df2-8cd4-e5108da137b1?utm_source=chatgpt.com" TargetMode="External"/><Relationship Id="rId18" Type="http://schemas.openxmlformats.org/officeDocument/2006/relationships/hyperlink" Target="https://www.reuters.com/business/energy/arc-resources-supply-exxon-mobil-with-lng-2025-03-11/" TargetMode="External"/><Relationship Id="rId3" Type="http://schemas.openxmlformats.org/officeDocument/2006/relationships/settings" Target="settings.xml"/><Relationship Id="rId7" Type="http://schemas.openxmlformats.org/officeDocument/2006/relationships/hyperlink" Target="https://www.cia.gov/the-world-factbook/countries/guyana/" TargetMode="External"/><Relationship Id="rId12" Type="http://schemas.openxmlformats.org/officeDocument/2006/relationships/hyperlink" Target="https://corporate.exxonmobil.com" TargetMode="External"/><Relationship Id="rId17" Type="http://schemas.openxmlformats.org/officeDocument/2006/relationships/hyperlink" Target="https://www.reuters.com/business/energy" TargetMode="External"/><Relationship Id="rId2" Type="http://schemas.openxmlformats.org/officeDocument/2006/relationships/styles" Target="styles.xml"/><Relationship Id="rId16" Type="http://schemas.openxmlformats.org/officeDocument/2006/relationships/hyperlink" Target="https://www.reuters.com/business/energy/exxon-led-consortium-guyana-hits-500-mln-barrels-oil-production-2024-11-13/?utm_source=chatgpt.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corporate.exxonmobil.com/who-we-are/our-global-organization/business-divisions/upstream/global-projects" TargetMode="External"/><Relationship Id="rId5" Type="http://schemas.openxmlformats.org/officeDocument/2006/relationships/image" Target="media/image1.png"/><Relationship Id="rId15" Type="http://schemas.openxmlformats.org/officeDocument/2006/relationships/hyperlink" Target="https://www.reuters.com/markets/commodities/china-start-up-guangdong-lng-terminal-exxonmobil-has-20-yr-access-2024-09-26/" TargetMode="External"/><Relationship Id="rId10" Type="http://schemas.openxmlformats.org/officeDocument/2006/relationships/hyperlink" Target="https://investor.exxonmobil.com/sec-filings/all-sec-filings/content/0000034088-25-000010/0000034088-25-000010.pdf?utm_source=chatgpt.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vestor.exxonmobil.com/sec-filings/all-sec-filings/content/0000034088-25-000010/0000034088-25-000010.pdf?utm_source=chatgpt.com" TargetMode="External"/><Relationship Id="rId14" Type="http://schemas.openxmlformats.org/officeDocument/2006/relationships/hyperlink" Target="https://www.ft.com/content/guyana-exxon-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22</Pages>
  <Words>6989</Words>
  <Characters>39839</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evaristo Freite de Melo</dc:creator>
  <cp:keywords/>
  <dc:description/>
  <cp:lastModifiedBy>evaristo Freite de Melo</cp:lastModifiedBy>
  <cp:revision>96</cp:revision>
  <dcterms:created xsi:type="dcterms:W3CDTF">2025-10-21T08:58:00Z</dcterms:created>
  <dcterms:modified xsi:type="dcterms:W3CDTF">2025-11-16T08:43:00Z</dcterms:modified>
</cp:coreProperties>
</file>