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2B89B9" w14:textId="77777777" w:rsidR="002A1511" w:rsidRDefault="005A7BEC">
      <w:pPr>
        <w:spacing w:after="100" w:line="259" w:lineRule="auto"/>
        <w:ind w:left="0" w:right="2459" w:firstLine="0"/>
        <w:jc w:val="right"/>
      </w:pPr>
      <w:bookmarkStart w:id="0" w:name="_GoBack"/>
      <w:bookmarkEnd w:id="0"/>
      <w:r>
        <w:rPr>
          <w:noProof/>
        </w:rPr>
        <w:drawing>
          <wp:inline distT="0" distB="0" distL="0" distR="0" wp14:anchorId="492219F8" wp14:editId="3C4B285E">
            <wp:extent cx="3381829" cy="1183640"/>
            <wp:effectExtent l="0" t="0" r="0" b="0"/>
            <wp:docPr id="26" name="Picture 26"/>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6"/>
                    <a:stretch>
                      <a:fillRect/>
                    </a:stretch>
                  </pic:blipFill>
                  <pic:spPr>
                    <a:xfrm>
                      <a:off x="0" y="0"/>
                      <a:ext cx="3381829" cy="1183640"/>
                    </a:xfrm>
                    <a:prstGeom prst="rect">
                      <a:avLst/>
                    </a:prstGeom>
                  </pic:spPr>
                </pic:pic>
              </a:graphicData>
            </a:graphic>
          </wp:inline>
        </w:drawing>
      </w:r>
      <w:r>
        <w:t xml:space="preserve"> </w:t>
      </w:r>
    </w:p>
    <w:p w14:paraId="464F799D" w14:textId="77777777" w:rsidR="002A1511" w:rsidRDefault="005A7BEC">
      <w:pPr>
        <w:spacing w:after="146" w:line="259" w:lineRule="auto"/>
        <w:ind w:left="57" w:right="0" w:firstLine="0"/>
        <w:jc w:val="center"/>
      </w:pPr>
      <w:r>
        <w:t xml:space="preserve"> </w:t>
      </w:r>
    </w:p>
    <w:p w14:paraId="71F95C17" w14:textId="77777777" w:rsidR="002A1511" w:rsidRDefault="005A7BEC">
      <w:pPr>
        <w:spacing w:after="573" w:line="259" w:lineRule="auto"/>
        <w:ind w:left="57" w:right="0" w:firstLine="0"/>
        <w:jc w:val="center"/>
      </w:pPr>
      <w:r>
        <w:t xml:space="preserve"> </w:t>
      </w:r>
    </w:p>
    <w:p w14:paraId="064ED951" w14:textId="77777777" w:rsidR="002A1511" w:rsidRDefault="005A7BEC">
      <w:pPr>
        <w:spacing w:after="0" w:line="259" w:lineRule="auto"/>
        <w:ind w:left="0" w:right="1079" w:firstLine="0"/>
        <w:jc w:val="right"/>
      </w:pPr>
      <w:r>
        <w:rPr>
          <w:rFonts w:ascii="Calibri" w:eastAsia="Calibri" w:hAnsi="Calibri" w:cs="Calibri"/>
          <w:sz w:val="52"/>
        </w:rPr>
        <w:t xml:space="preserve">Introduction to Health and Social Care </w:t>
      </w:r>
    </w:p>
    <w:p w14:paraId="19F3AEC0" w14:textId="77777777" w:rsidR="002A1511" w:rsidRDefault="005A7BEC">
      <w:pPr>
        <w:spacing w:after="304" w:line="259" w:lineRule="auto"/>
        <w:ind w:left="57" w:right="0" w:firstLine="0"/>
        <w:jc w:val="center"/>
      </w:pPr>
      <w:r>
        <w:t xml:space="preserve"> </w:t>
      </w:r>
    </w:p>
    <w:p w14:paraId="3483C9AD" w14:textId="77777777" w:rsidR="002A1511" w:rsidRDefault="005A7BEC">
      <w:pPr>
        <w:spacing w:after="306" w:line="259" w:lineRule="auto"/>
        <w:ind w:left="57" w:right="0" w:firstLine="0"/>
        <w:jc w:val="center"/>
      </w:pPr>
      <w:r>
        <w:t xml:space="preserve"> </w:t>
      </w:r>
    </w:p>
    <w:p w14:paraId="3EDCC817" w14:textId="77777777" w:rsidR="002A1511" w:rsidRDefault="005A7BEC">
      <w:pPr>
        <w:spacing w:after="305" w:line="259" w:lineRule="auto"/>
        <w:jc w:val="center"/>
      </w:pPr>
      <w:r>
        <w:t xml:space="preserve">Coursework Portfolio </w:t>
      </w:r>
    </w:p>
    <w:p w14:paraId="36F4F6D1" w14:textId="77777777" w:rsidR="002A1511" w:rsidRDefault="005A7BEC">
      <w:pPr>
        <w:spacing w:after="305" w:line="259" w:lineRule="auto"/>
        <w:ind w:right="3"/>
        <w:jc w:val="center"/>
      </w:pPr>
      <w:r>
        <w:t xml:space="preserve">Domiciliary Care and Ambulance Services </w:t>
      </w:r>
    </w:p>
    <w:p w14:paraId="6EAD8F4F" w14:textId="77777777" w:rsidR="002A1511" w:rsidRDefault="005A7BEC">
      <w:pPr>
        <w:spacing w:after="304" w:line="259" w:lineRule="auto"/>
        <w:ind w:left="57" w:right="0" w:firstLine="0"/>
        <w:jc w:val="center"/>
      </w:pPr>
      <w:r>
        <w:t xml:space="preserve"> </w:t>
      </w:r>
    </w:p>
    <w:p w14:paraId="135FAC4F" w14:textId="77777777" w:rsidR="002A1511" w:rsidRDefault="005A7BEC">
      <w:pPr>
        <w:spacing w:after="304" w:line="259" w:lineRule="auto"/>
        <w:ind w:left="57" w:right="0" w:firstLine="0"/>
        <w:jc w:val="center"/>
      </w:pPr>
      <w:r>
        <w:t xml:space="preserve"> </w:t>
      </w:r>
    </w:p>
    <w:p w14:paraId="586207AC" w14:textId="77777777" w:rsidR="002A1511" w:rsidRDefault="005A7BEC">
      <w:pPr>
        <w:spacing w:after="305" w:line="259" w:lineRule="auto"/>
        <w:jc w:val="center"/>
      </w:pPr>
      <w:r>
        <w:t xml:space="preserve">Student: Juana Elena Delgado </w:t>
      </w:r>
    </w:p>
    <w:p w14:paraId="43CD3B6F" w14:textId="77777777" w:rsidR="002A1511" w:rsidRDefault="005A7BEC">
      <w:pPr>
        <w:spacing w:after="305" w:line="259" w:lineRule="auto"/>
        <w:ind w:right="5"/>
        <w:jc w:val="center"/>
      </w:pPr>
      <w:r>
        <w:t xml:space="preserve">Student number: 2541266 </w:t>
      </w:r>
    </w:p>
    <w:p w14:paraId="336DE505" w14:textId="77777777" w:rsidR="002A1511" w:rsidRDefault="005A7BEC">
      <w:pPr>
        <w:spacing w:after="305" w:line="259" w:lineRule="auto"/>
        <w:jc w:val="center"/>
      </w:pPr>
      <w:r>
        <w:t xml:space="preserve">Programme: Health and Social Care </w:t>
      </w:r>
    </w:p>
    <w:p w14:paraId="19F7C689" w14:textId="77777777" w:rsidR="002A1511" w:rsidRDefault="005A7BEC">
      <w:pPr>
        <w:spacing w:after="305" w:line="259" w:lineRule="auto"/>
        <w:ind w:right="4"/>
        <w:jc w:val="center"/>
      </w:pPr>
      <w:r>
        <w:t xml:space="preserve">Module code: LCHS4003 </w:t>
      </w:r>
    </w:p>
    <w:p w14:paraId="518847D1" w14:textId="77777777" w:rsidR="002A1511" w:rsidRDefault="005A7BEC">
      <w:pPr>
        <w:spacing w:after="305" w:line="259" w:lineRule="auto"/>
        <w:jc w:val="center"/>
      </w:pPr>
      <w:r>
        <w:t xml:space="preserve">Lecturer: Dr Helen Parsons </w:t>
      </w:r>
    </w:p>
    <w:p w14:paraId="7437F2CA" w14:textId="77777777" w:rsidR="002A1511" w:rsidRDefault="005A7BEC">
      <w:pPr>
        <w:spacing w:after="304" w:line="259" w:lineRule="auto"/>
        <w:ind w:left="57" w:right="0" w:firstLine="0"/>
        <w:jc w:val="center"/>
      </w:pPr>
      <w:r>
        <w:t xml:space="preserve"> </w:t>
      </w:r>
    </w:p>
    <w:p w14:paraId="216A35BB" w14:textId="77777777" w:rsidR="002A1511" w:rsidRDefault="005A7BEC">
      <w:pPr>
        <w:spacing w:after="306" w:line="259" w:lineRule="auto"/>
        <w:ind w:left="57" w:right="0" w:firstLine="0"/>
        <w:jc w:val="center"/>
      </w:pPr>
      <w:r>
        <w:t xml:space="preserve"> </w:t>
      </w:r>
    </w:p>
    <w:p w14:paraId="029C14A3" w14:textId="77777777" w:rsidR="002A1511" w:rsidRDefault="005A7BEC">
      <w:pPr>
        <w:spacing w:after="305" w:line="259" w:lineRule="auto"/>
        <w:ind w:right="2"/>
        <w:jc w:val="center"/>
      </w:pPr>
      <w:r>
        <w:t xml:space="preserve">Submission date: 19 October 2026 </w:t>
      </w:r>
    </w:p>
    <w:p w14:paraId="38D0728E" w14:textId="77777777" w:rsidR="002A1511" w:rsidRDefault="005A7BEC">
      <w:pPr>
        <w:spacing w:after="0" w:line="259" w:lineRule="auto"/>
        <w:ind w:left="1" w:right="0" w:firstLine="0"/>
        <w:jc w:val="left"/>
      </w:pPr>
      <w:r>
        <w:t xml:space="preserve"> </w:t>
      </w:r>
    </w:p>
    <w:sdt>
      <w:sdtPr>
        <w:id w:val="1227111675"/>
        <w:docPartObj>
          <w:docPartGallery w:val="Table of Contents"/>
        </w:docPartObj>
      </w:sdtPr>
      <w:sdtEndPr/>
      <w:sdtContent>
        <w:p w14:paraId="2FC7740D" w14:textId="77777777" w:rsidR="002A1511" w:rsidRDefault="005A7BEC">
          <w:pPr>
            <w:spacing w:after="149" w:line="259" w:lineRule="auto"/>
            <w:ind w:left="-5" w:right="0"/>
            <w:jc w:val="left"/>
          </w:pPr>
          <w:r>
            <w:rPr>
              <w:b/>
              <w:sz w:val="30"/>
            </w:rPr>
            <w:t xml:space="preserve">Table of Contents </w:t>
          </w:r>
        </w:p>
        <w:p w14:paraId="11BBE5A0" w14:textId="77777777" w:rsidR="002A1511" w:rsidRDefault="005A7BEC">
          <w:pPr>
            <w:spacing w:after="206" w:line="259" w:lineRule="auto"/>
            <w:ind w:left="0" w:right="0" w:firstLine="0"/>
            <w:jc w:val="left"/>
          </w:pPr>
          <w:r>
            <w:t xml:space="preserve"> </w:t>
          </w:r>
        </w:p>
        <w:p w14:paraId="7064E8DD" w14:textId="77777777" w:rsidR="002A1511" w:rsidRDefault="005A7BEC">
          <w:pPr>
            <w:pStyle w:val="TDC1"/>
            <w:tabs>
              <w:tab w:val="right" w:leader="dot" w:pos="10373"/>
            </w:tabs>
          </w:pPr>
          <w:r>
            <w:lastRenderedPageBreak/>
            <w:fldChar w:fldCharType="begin"/>
          </w:r>
          <w:r>
            <w:instrText xml:space="preserve"> TOC \o "1-2" \h \z \u </w:instrText>
          </w:r>
          <w:r>
            <w:fldChar w:fldCharType="separate"/>
          </w:r>
          <w:hyperlink w:anchor="_Toc5341">
            <w:r>
              <w:t>Task 1 Domiciliary care in Birmingham</w:t>
            </w:r>
            <w:r>
              <w:tab/>
            </w:r>
            <w:r>
              <w:fldChar w:fldCharType="begin"/>
            </w:r>
            <w:r>
              <w:instrText>PAGEREF _Toc5341 \h</w:instrText>
            </w:r>
            <w:r>
              <w:fldChar w:fldCharType="separate"/>
            </w:r>
            <w:r>
              <w:t xml:space="preserve">2  </w:t>
            </w:r>
            <w:r>
              <w:fldChar w:fldCharType="end"/>
            </w:r>
          </w:hyperlink>
        </w:p>
        <w:p w14:paraId="6A4659E6" w14:textId="77777777" w:rsidR="002A1511" w:rsidRDefault="005A7BEC">
          <w:pPr>
            <w:pStyle w:val="TDC2"/>
            <w:tabs>
              <w:tab w:val="right" w:leader="dot" w:pos="10373"/>
            </w:tabs>
          </w:pPr>
          <w:hyperlink w:anchor="_Toc5342">
            <w:r>
              <w:t>Introduction of the issue</w:t>
            </w:r>
            <w:r>
              <w:tab/>
            </w:r>
            <w:r>
              <w:fldChar w:fldCharType="begin"/>
            </w:r>
            <w:r>
              <w:instrText>PAGEREF _Toc5342 \h</w:instrText>
            </w:r>
            <w:r>
              <w:fldChar w:fldCharType="separate"/>
            </w:r>
            <w:r>
              <w:t xml:space="preserve">2  </w:t>
            </w:r>
            <w:r>
              <w:fldChar w:fldCharType="end"/>
            </w:r>
          </w:hyperlink>
        </w:p>
        <w:p w14:paraId="27F3B0E3" w14:textId="77777777" w:rsidR="002A1511" w:rsidRDefault="005A7BEC">
          <w:pPr>
            <w:pStyle w:val="TDC2"/>
            <w:tabs>
              <w:tab w:val="right" w:leader="dot" w:pos="10373"/>
            </w:tabs>
          </w:pPr>
          <w:hyperlink w:anchor="_Toc5343">
            <w:r>
              <w:t>Local need and communit</w:t>
            </w:r>
            <w:r>
              <w:t>y impact</w:t>
            </w:r>
            <w:r>
              <w:tab/>
            </w:r>
            <w:r>
              <w:fldChar w:fldCharType="begin"/>
            </w:r>
            <w:r>
              <w:instrText>PAGEREF _Toc5343 \h</w:instrText>
            </w:r>
            <w:r>
              <w:fldChar w:fldCharType="separate"/>
            </w:r>
            <w:r>
              <w:t xml:space="preserve">2  </w:t>
            </w:r>
            <w:r>
              <w:fldChar w:fldCharType="end"/>
            </w:r>
          </w:hyperlink>
        </w:p>
        <w:p w14:paraId="4AD5B042" w14:textId="77777777" w:rsidR="002A1511" w:rsidRDefault="005A7BEC">
          <w:pPr>
            <w:pStyle w:val="TDC2"/>
            <w:tabs>
              <w:tab w:val="right" w:leader="dot" w:pos="10373"/>
            </w:tabs>
          </w:pPr>
          <w:hyperlink w:anchor="_Toc5344">
            <w:r>
              <w:t>Applying the Care Act</w:t>
            </w:r>
            <w:r>
              <w:tab/>
            </w:r>
            <w:r>
              <w:fldChar w:fldCharType="begin"/>
            </w:r>
            <w:r>
              <w:instrText>PAGEREF _Toc5344 \h</w:instrText>
            </w:r>
            <w:r>
              <w:fldChar w:fldCharType="separate"/>
            </w:r>
            <w:r>
              <w:t xml:space="preserve">2  </w:t>
            </w:r>
            <w:r>
              <w:fldChar w:fldCharType="end"/>
            </w:r>
          </w:hyperlink>
        </w:p>
        <w:p w14:paraId="02D7ABDF" w14:textId="77777777" w:rsidR="002A1511" w:rsidRDefault="005A7BEC">
          <w:pPr>
            <w:pStyle w:val="TDC2"/>
            <w:tabs>
              <w:tab w:val="right" w:leader="dot" w:pos="10373"/>
            </w:tabs>
          </w:pPr>
          <w:hyperlink w:anchor="_Toc5345">
            <w:r>
              <w:t>Recommended response and alternatives</w:t>
            </w:r>
            <w:r>
              <w:tab/>
            </w:r>
            <w:r>
              <w:fldChar w:fldCharType="begin"/>
            </w:r>
            <w:r>
              <w:instrText>PAGEREF _Toc5345 \h</w:instrText>
            </w:r>
            <w:r>
              <w:fldChar w:fldCharType="separate"/>
            </w:r>
            <w:r>
              <w:t xml:space="preserve">3  </w:t>
            </w:r>
            <w:r>
              <w:fldChar w:fldCharType="end"/>
            </w:r>
          </w:hyperlink>
        </w:p>
        <w:p w14:paraId="26E93FF6" w14:textId="77777777" w:rsidR="002A1511" w:rsidRDefault="005A7BEC">
          <w:pPr>
            <w:pStyle w:val="TDC2"/>
            <w:tabs>
              <w:tab w:val="right" w:leader="dot" w:pos="10373"/>
            </w:tabs>
          </w:pPr>
          <w:hyperlink w:anchor="_Toc5346">
            <w:r>
              <w:t>Implementat</w:t>
            </w:r>
            <w:r>
              <w:t>ion and conclusion</w:t>
            </w:r>
            <w:r>
              <w:tab/>
            </w:r>
            <w:r>
              <w:fldChar w:fldCharType="begin"/>
            </w:r>
            <w:r>
              <w:instrText>PAGEREF _Toc5346 \h</w:instrText>
            </w:r>
            <w:r>
              <w:fldChar w:fldCharType="separate"/>
            </w:r>
            <w:r>
              <w:t xml:space="preserve">3  </w:t>
            </w:r>
            <w:r>
              <w:fldChar w:fldCharType="end"/>
            </w:r>
          </w:hyperlink>
        </w:p>
        <w:p w14:paraId="5D4791D1" w14:textId="77777777" w:rsidR="002A1511" w:rsidRDefault="005A7BEC">
          <w:pPr>
            <w:pStyle w:val="TDC1"/>
            <w:tabs>
              <w:tab w:val="right" w:leader="dot" w:pos="10373"/>
            </w:tabs>
          </w:pPr>
          <w:hyperlink w:anchor="_Toc5347">
            <w:r>
              <w:t>Task 2 Ambulance services in England</w:t>
            </w:r>
            <w:r>
              <w:tab/>
            </w:r>
            <w:r>
              <w:fldChar w:fldCharType="begin"/>
            </w:r>
            <w:r>
              <w:instrText>PAGEREF _Toc5347 \h</w:instrText>
            </w:r>
            <w:r>
              <w:fldChar w:fldCharType="separate"/>
            </w:r>
            <w:r>
              <w:t xml:space="preserve">4  </w:t>
            </w:r>
            <w:r>
              <w:fldChar w:fldCharType="end"/>
            </w:r>
          </w:hyperlink>
        </w:p>
        <w:p w14:paraId="1DB1DA6A" w14:textId="77777777" w:rsidR="002A1511" w:rsidRDefault="005A7BEC">
          <w:pPr>
            <w:pStyle w:val="TDC2"/>
            <w:tabs>
              <w:tab w:val="right" w:leader="dot" w:pos="10373"/>
            </w:tabs>
          </w:pPr>
          <w:hyperlink w:anchor="_Toc5348">
            <w:r>
              <w:t>Introduction</w:t>
            </w:r>
            <w:r>
              <w:tab/>
            </w:r>
            <w:r>
              <w:fldChar w:fldCharType="begin"/>
            </w:r>
            <w:r>
              <w:instrText>PAGEREF _Toc5348 \h</w:instrText>
            </w:r>
            <w:r>
              <w:fldChar w:fldCharType="separate"/>
            </w:r>
            <w:r>
              <w:t xml:space="preserve">4  </w:t>
            </w:r>
            <w:r>
              <w:fldChar w:fldCharType="end"/>
            </w:r>
          </w:hyperlink>
        </w:p>
        <w:p w14:paraId="4B14E608" w14:textId="77777777" w:rsidR="002A1511" w:rsidRDefault="005A7BEC">
          <w:pPr>
            <w:pStyle w:val="TDC2"/>
            <w:tabs>
              <w:tab w:val="right" w:leader="dot" w:pos="10373"/>
            </w:tabs>
          </w:pPr>
          <w:hyperlink w:anchor="_Toc5349">
            <w:r>
              <w:t>Historical development</w:t>
            </w:r>
            <w:r>
              <w:tab/>
            </w:r>
            <w:r>
              <w:fldChar w:fldCharType="begin"/>
            </w:r>
            <w:r>
              <w:instrText>PAGEREF _Toc5349 \h</w:instrText>
            </w:r>
            <w:r>
              <w:fldChar w:fldCharType="separate"/>
            </w:r>
            <w:r>
              <w:t xml:space="preserve">4  </w:t>
            </w:r>
            <w:r>
              <w:fldChar w:fldCharType="end"/>
            </w:r>
          </w:hyperlink>
        </w:p>
        <w:p w14:paraId="7BC98C5B" w14:textId="77777777" w:rsidR="002A1511" w:rsidRDefault="005A7BEC">
          <w:pPr>
            <w:pStyle w:val="TDC2"/>
            <w:tabs>
              <w:tab w:val="right" w:leader="dot" w:pos="10373"/>
            </w:tabs>
          </w:pPr>
          <w:hyperlink w:anchor="_Toc5350">
            <w:r>
              <w:t>Contemporary operation</w:t>
            </w:r>
            <w:r>
              <w:tab/>
            </w:r>
            <w:r>
              <w:fldChar w:fldCharType="begin"/>
            </w:r>
            <w:r>
              <w:instrText>PAGEREF _Toc5350 \h</w:instrText>
            </w:r>
            <w:r>
              <w:fldChar w:fldCharType="separate"/>
            </w:r>
            <w:r>
              <w:t xml:space="preserve">4  </w:t>
            </w:r>
            <w:r>
              <w:fldChar w:fldCharType="end"/>
            </w:r>
          </w:hyperlink>
        </w:p>
        <w:p w14:paraId="7E1A7BE3" w14:textId="77777777" w:rsidR="002A1511" w:rsidRDefault="005A7BEC">
          <w:pPr>
            <w:pStyle w:val="TDC2"/>
            <w:tabs>
              <w:tab w:val="right" w:leader="dot" w:pos="10373"/>
            </w:tabs>
          </w:pPr>
          <w:hyperlink w:anchor="_Toc5351">
            <w:r>
              <w:t>Clinical effectiveness and quality of life</w:t>
            </w:r>
            <w:r>
              <w:tab/>
            </w:r>
            <w:r>
              <w:fldChar w:fldCharType="begin"/>
            </w:r>
            <w:r>
              <w:instrText>PAGEREF _Toc5351 \h</w:instrText>
            </w:r>
            <w:r>
              <w:fldChar w:fldCharType="separate"/>
            </w:r>
            <w:r>
              <w:t xml:space="preserve">5  </w:t>
            </w:r>
            <w:r>
              <w:fldChar w:fldCharType="end"/>
            </w:r>
          </w:hyperlink>
        </w:p>
        <w:p w14:paraId="590FA4FB" w14:textId="77777777" w:rsidR="002A1511" w:rsidRDefault="005A7BEC">
          <w:pPr>
            <w:pStyle w:val="TDC2"/>
            <w:tabs>
              <w:tab w:val="right" w:leader="dot" w:pos="10373"/>
            </w:tabs>
          </w:pPr>
          <w:hyperlink w:anchor="_Toc5352">
            <w:r>
              <w:t>Conclusion</w:t>
            </w:r>
            <w:r>
              <w:tab/>
            </w:r>
            <w:r>
              <w:fldChar w:fldCharType="begin"/>
            </w:r>
            <w:r>
              <w:instrText>PAGEREF _Toc5352 \h</w:instrText>
            </w:r>
            <w:r>
              <w:fldChar w:fldCharType="separate"/>
            </w:r>
            <w:r>
              <w:t xml:space="preserve">5  </w:t>
            </w:r>
            <w:r>
              <w:fldChar w:fldCharType="end"/>
            </w:r>
          </w:hyperlink>
        </w:p>
        <w:p w14:paraId="48391237" w14:textId="77777777" w:rsidR="002A1511" w:rsidRDefault="005A7BEC">
          <w:pPr>
            <w:pStyle w:val="TDC1"/>
            <w:tabs>
              <w:tab w:val="right" w:leader="dot" w:pos="10373"/>
            </w:tabs>
          </w:pPr>
          <w:hyperlink w:anchor="_Toc5353">
            <w:r>
              <w:t>References</w:t>
            </w:r>
            <w:r>
              <w:tab/>
            </w:r>
            <w:r>
              <w:fldChar w:fldCharType="begin"/>
            </w:r>
            <w:r>
              <w:instrText>PAGEREF _Toc5353 \h</w:instrText>
            </w:r>
            <w:r>
              <w:fldChar w:fldCharType="separate"/>
            </w:r>
            <w:r>
              <w:t xml:space="preserve">6 </w:t>
            </w:r>
            <w:r>
              <w:fldChar w:fldCharType="end"/>
            </w:r>
          </w:hyperlink>
        </w:p>
        <w:p w14:paraId="507CAA70" w14:textId="77777777" w:rsidR="002A1511" w:rsidRDefault="005A7BEC">
          <w:r>
            <w:fldChar w:fldCharType="end"/>
          </w:r>
        </w:p>
      </w:sdtContent>
    </w:sdt>
    <w:p w14:paraId="59A35816" w14:textId="77777777" w:rsidR="002A1511" w:rsidRDefault="005A7BEC">
      <w:pPr>
        <w:spacing w:after="143" w:line="259" w:lineRule="auto"/>
        <w:ind w:left="0" w:right="0" w:firstLine="0"/>
        <w:jc w:val="left"/>
      </w:pPr>
      <w:r>
        <w:t xml:space="preserve"> </w:t>
      </w:r>
    </w:p>
    <w:p w14:paraId="6A77362E" w14:textId="77777777" w:rsidR="002A1511" w:rsidRDefault="005A7BEC">
      <w:pPr>
        <w:spacing w:after="0" w:line="259" w:lineRule="auto"/>
        <w:ind w:left="56" w:right="0" w:firstLine="0"/>
        <w:jc w:val="center"/>
      </w:pPr>
      <w:r>
        <w:t xml:space="preserve"> </w:t>
      </w:r>
    </w:p>
    <w:p w14:paraId="7A667C04" w14:textId="77777777" w:rsidR="002A1511" w:rsidRDefault="005A7BEC">
      <w:pPr>
        <w:pStyle w:val="Ttulo1"/>
        <w:ind w:left="-5"/>
      </w:pPr>
      <w:bookmarkStart w:id="1" w:name="_Toc5341"/>
      <w:r>
        <w:t xml:space="preserve">Task 1 Domiciliary care in Birmingham </w:t>
      </w:r>
      <w:bookmarkEnd w:id="1"/>
    </w:p>
    <w:p w14:paraId="48B0A894" w14:textId="77777777" w:rsidR="002A1511" w:rsidRDefault="005A7BEC">
      <w:pPr>
        <w:spacing w:after="59"/>
        <w:ind w:left="-4" w:right="0"/>
      </w:pPr>
      <w:r>
        <w:t xml:space="preserve">To: Councillor </w:t>
      </w:r>
      <w:proofErr w:type="spellStart"/>
      <w:r>
        <w:t>Noshee</w:t>
      </w:r>
      <w:r>
        <w:t>n</w:t>
      </w:r>
      <w:proofErr w:type="spellEnd"/>
      <w:r>
        <w:t xml:space="preserve"> Khalid, Cabinet Member for Health and Social Care, Birmingham City Council (Birmingham City Council, 2026) </w:t>
      </w:r>
    </w:p>
    <w:p w14:paraId="3C400ACF" w14:textId="77777777" w:rsidR="002A1511" w:rsidRDefault="005A7BEC">
      <w:pPr>
        <w:spacing w:after="165" w:line="259" w:lineRule="auto"/>
        <w:ind w:left="-4" w:right="0"/>
      </w:pPr>
      <w:r>
        <w:t xml:space="preserve">From: Juana Elena Delgado | Student number 2541266 </w:t>
      </w:r>
    </w:p>
    <w:p w14:paraId="7FEB8741" w14:textId="77777777" w:rsidR="002A1511" w:rsidRDefault="005A7BEC">
      <w:pPr>
        <w:spacing w:after="165" w:line="259" w:lineRule="auto"/>
        <w:ind w:left="-4" w:right="0"/>
      </w:pPr>
      <w:r>
        <w:t xml:space="preserve">Date: 18 October 2026 </w:t>
      </w:r>
    </w:p>
    <w:p w14:paraId="09B0C393" w14:textId="77777777" w:rsidR="002A1511" w:rsidRDefault="005A7BEC">
      <w:pPr>
        <w:spacing w:after="304" w:line="259" w:lineRule="auto"/>
        <w:ind w:left="-4" w:right="0"/>
      </w:pPr>
      <w:r>
        <w:t xml:space="preserve">Subject: Targeted response to the scenario of insufficient domiciliary care </w:t>
      </w:r>
    </w:p>
    <w:p w14:paraId="5D4B94B9" w14:textId="77777777" w:rsidR="002A1511" w:rsidRDefault="005A7BEC">
      <w:pPr>
        <w:pStyle w:val="Ttulo2"/>
        <w:ind w:left="-5"/>
      </w:pPr>
      <w:bookmarkStart w:id="2" w:name="_Toc5342"/>
      <w:r>
        <w:t xml:space="preserve">Introduction of the issue </w:t>
      </w:r>
      <w:bookmarkEnd w:id="2"/>
    </w:p>
    <w:p w14:paraId="3795717F" w14:textId="77777777" w:rsidR="002A1511" w:rsidRDefault="005A7BEC">
      <w:pPr>
        <w:ind w:left="-4" w:right="0"/>
      </w:pPr>
      <w:r>
        <w:t>This report proposes a six-month response to the guided scenario of a shortage of domiciliary care in Birmingham. The shortage is hypothetical. The case</w:t>
      </w:r>
      <w:r>
        <w:t xml:space="preserve"> discussed below demonstrates inadequate delivery of an agreed care package. It informs proposals addressing inadequate delivery and unmet requests. </w:t>
      </w:r>
    </w:p>
    <w:p w14:paraId="7B2FEB60" w14:textId="77777777" w:rsidR="002A1511" w:rsidRDefault="005A7BEC">
      <w:pPr>
        <w:pStyle w:val="Ttulo2"/>
        <w:ind w:left="-5"/>
      </w:pPr>
      <w:bookmarkStart w:id="3" w:name="_Toc5343"/>
      <w:r>
        <w:t xml:space="preserve">Local need and community impact </w:t>
      </w:r>
      <w:bookmarkEnd w:id="3"/>
    </w:p>
    <w:p w14:paraId="7865C4B2" w14:textId="77777777" w:rsidR="002A1511" w:rsidRDefault="005A7BEC">
      <w:pPr>
        <w:spacing w:after="37"/>
        <w:ind w:left="-4" w:right="0"/>
      </w:pPr>
      <w:r>
        <w:t>Birmingham reports sufficient capacity for council-funded care, self-fund</w:t>
      </w:r>
      <w:r>
        <w:t xml:space="preserve">ers and direct-payment users (Birmingham City Council, 2025). However, a Birmingham complaint upheld by the Ombudsman on 16 July </w:t>
      </w:r>
      <w:r>
        <w:lastRenderedPageBreak/>
        <w:t>2025 identifies a gap between agreed and delivered support. Mr Y’s package included two daily visits of 30 minutes, with two ca</w:t>
      </w:r>
      <w:r>
        <w:t xml:space="preserve">rers attending each visit. The council acknowledged that visits were shortened, leaving needs unmet and requiring Mrs Y to provide care herself (Local Government and Social Care Ombudsman, 2025, paras 17 and 29). </w:t>
      </w:r>
    </w:p>
    <w:p w14:paraId="7337E68F" w14:textId="77777777" w:rsidR="002A1511" w:rsidRDefault="005A7BEC">
      <w:pPr>
        <w:ind w:left="-4" w:right="0"/>
      </w:pPr>
      <w:r>
        <w:t>The case demonstrates under-delivery beyon</w:t>
      </w:r>
      <w:r>
        <w:t>d assessment delays. Because the care took place in 2023, it cannot show how commonly shortened visits occur in 2026. Overall capacity does not guarantee adequate individual support. Mr Y experienced distress, while his wife took on additional caring respo</w:t>
      </w:r>
      <w:r>
        <w:t xml:space="preserve">nsibilities. The Ombudsman required the council to check compliance with commissioned visit durations (Local Government and Social Care Ombudsman, 2025, paras 29 and 33). This supports targeted monitoring rather than an unsupported expansion of providers. </w:t>
      </w:r>
    </w:p>
    <w:p w14:paraId="4294EC91" w14:textId="77777777" w:rsidR="002A1511" w:rsidRDefault="005A7BEC">
      <w:pPr>
        <w:pStyle w:val="Ttulo2"/>
        <w:ind w:left="-5"/>
      </w:pPr>
      <w:bookmarkStart w:id="4" w:name="_Toc5344"/>
      <w:r>
        <w:t xml:space="preserve">Applying the Care Act </w:t>
      </w:r>
      <w:bookmarkEnd w:id="4"/>
    </w:p>
    <w:p w14:paraId="664450D0" w14:textId="77777777" w:rsidR="002A1511" w:rsidRDefault="005A7BEC">
      <w:pPr>
        <w:spacing w:after="37"/>
        <w:ind w:left="-4" w:right="0"/>
      </w:pPr>
      <w:r>
        <w:t>Section 1 of Part 1 of the Care Act 2014 places wellbeing at the centre of care decisions. Under section 9, an apparent need for support triggers assessment regardless of financial resources or assumptions about eligibility. Section</w:t>
      </w:r>
      <w:r>
        <w:t xml:space="preserve"> 10 provides for carers’ assessments. Residents and carers therefore require separate consideration. When the conditions in section 18 apply, eligible needs must be met; participation in a pilot must not delay fulfilment of those duties (Great Britain, 201</w:t>
      </w:r>
      <w:r>
        <w:t xml:space="preserve">4). </w:t>
      </w:r>
    </w:p>
    <w:p w14:paraId="65DD291B" w14:textId="77777777" w:rsidR="002A1511" w:rsidRDefault="005A7BEC">
      <w:pPr>
        <w:ind w:left="-4" w:right="0"/>
      </w:pPr>
      <w:r>
        <w:t xml:space="preserve">Section 5 concerns sufficient, varied provision; section 2 addresses prevention. Combine immediate support with suitable reablement. Market-shaping responsibilities also cover self-funders, so people arranging care privately should be included in the </w:t>
      </w:r>
      <w:r>
        <w:t xml:space="preserve">proposed review (Department of Health and Social Care, 2025). </w:t>
      </w:r>
    </w:p>
    <w:p w14:paraId="707EE013" w14:textId="77777777" w:rsidR="002A1511" w:rsidRDefault="005A7BEC">
      <w:pPr>
        <w:pStyle w:val="Ttulo2"/>
        <w:ind w:left="-5"/>
      </w:pPr>
      <w:bookmarkStart w:id="5" w:name="_Toc5345"/>
      <w:r>
        <w:t xml:space="preserve">Recommended response and alternatives </w:t>
      </w:r>
      <w:bookmarkEnd w:id="5"/>
    </w:p>
    <w:p w14:paraId="4E672EFD" w14:textId="77777777" w:rsidR="002A1511" w:rsidRDefault="005A7BEC">
      <w:pPr>
        <w:spacing w:after="37"/>
        <w:ind w:left="-4" w:right="0"/>
      </w:pPr>
      <w:r>
        <w:t xml:space="preserve">The Director of Adult Social Services should establish baseline information within four weeks, involving providers, social workers, residents and carers. </w:t>
      </w:r>
      <w:r>
        <w:t xml:space="preserve">Compare commissioned and delivered visit minutes, recording unmet requests, refusals and their locations. Language and accessibility requirements should be examined to identify unequal access. Urgent support must remain available during this work. Publish </w:t>
      </w:r>
      <w:r>
        <w:t xml:space="preserve">aggregated findings and name an accountable commissioning lead. </w:t>
      </w:r>
    </w:p>
    <w:p w14:paraId="678283F0" w14:textId="77777777" w:rsidR="002A1511" w:rsidRDefault="005A7BEC">
      <w:pPr>
        <w:spacing w:after="35"/>
        <w:ind w:left="-4" w:right="0"/>
      </w:pPr>
      <w:r>
        <w:t>Where reviews identify unmatched packages or shortened visits, providers should test neighbourhood teams. Contracts need to accommodate travel, sufficient visit time and continuity of workers</w:t>
      </w:r>
      <w:r>
        <w:t>, as recommended by NICE (2015). Fees should account for staffing and training, alongside recruitment plans and reporting of missed visits. Grouping visits geographically may reduce travel demands. However, concentrating services could create reliance on a</w:t>
      </w:r>
      <w:r>
        <w:t xml:space="preserve"> single provider, making alternative capacity and individual choice necessary safeguards. </w:t>
      </w:r>
    </w:p>
    <w:p w14:paraId="150C7AD6" w14:textId="77777777" w:rsidR="002A1511" w:rsidRDefault="005A7BEC">
      <w:pPr>
        <w:spacing w:after="37"/>
        <w:ind w:left="-4" w:right="0"/>
      </w:pPr>
      <w:r>
        <w:t>Targeted commissioning directs resources towards identified gaps more precisely than a general fee increase, although it requires greater administration. Direct paym</w:t>
      </w:r>
      <w:r>
        <w:t xml:space="preserve">ents may increase personal choice, but </w:t>
      </w:r>
      <w:r>
        <w:lastRenderedPageBreak/>
        <w:t>cannot remedy an absence of available workers and may require support with employment responsibilities. Residential care may meet some people’s assessed needs and preferences; it should not become the automatic soluti</w:t>
      </w:r>
      <w:r>
        <w:t xml:space="preserve">on when home care is unavailable. These options require individual discussion. </w:t>
      </w:r>
    </w:p>
    <w:p w14:paraId="1AD125C2" w14:textId="77777777" w:rsidR="002A1511" w:rsidRDefault="005A7BEC">
      <w:pPr>
        <w:ind w:left="-4" w:right="0"/>
      </w:pPr>
      <w:r>
        <w:t>Each resident should have a named coordinator linking their support with occupational therapy, primary care and reablement. The care plan should record personal goals, professi</w:t>
      </w:r>
      <w:r>
        <w:t>onal responsibilities and action when visits are missed. Technology can support an agreed plan but cannot substitute for essential personal care. NICE (2015) recommends coordinated, person-centred planning. Delivering this approach depends on staff time as</w:t>
      </w:r>
      <w:r>
        <w:t xml:space="preserve"> well as clear documentation. </w:t>
      </w:r>
    </w:p>
    <w:p w14:paraId="64A237ED" w14:textId="77777777" w:rsidR="002A1511" w:rsidRDefault="005A7BEC">
      <w:pPr>
        <w:pStyle w:val="Ttulo2"/>
        <w:ind w:left="-5"/>
      </w:pPr>
      <w:bookmarkStart w:id="6" w:name="_Toc5346"/>
      <w:r>
        <w:t xml:space="preserve">Implementation and conclusion </w:t>
      </w:r>
      <w:bookmarkEnd w:id="6"/>
    </w:p>
    <w:p w14:paraId="3E485EA2" w14:textId="77777777" w:rsidR="002A1511" w:rsidRDefault="005A7BEC">
      <w:pPr>
        <w:spacing w:after="37"/>
        <w:ind w:left="-4" w:right="0"/>
      </w:pPr>
      <w:r>
        <w:t>A costed proposal should identify council expenditure, agreed NHS contributions and workforce risks. Reduced hospital use should not be treated as an immediate cash saving. After six months, com</w:t>
      </w:r>
      <w:r>
        <w:t>pare waiting times, missed visits, continuity and progress towards personal goals with the baseline. Carers’ experiences and differences between neighbourhoods and communication needs should inform the review. Comparison with a non-pilot area may help, alt</w:t>
      </w:r>
      <w:r>
        <w:t xml:space="preserve">hough case mix limits causal conclusions. </w:t>
      </w:r>
    </w:p>
    <w:p w14:paraId="79633707" w14:textId="77777777" w:rsidR="002A1511" w:rsidRDefault="005A7BEC">
      <w:pPr>
        <w:ind w:left="-4" w:right="0"/>
      </w:pPr>
      <w:r>
        <w:t>The councillor should approve the diagnostic review and request a costed pilot proposal. Wider implementation should follow evidence of benefit, affordability and equitable access. This would respond to documented</w:t>
      </w:r>
      <w:r>
        <w:t xml:space="preserve"> under-delivery without presenting it as proof of a citywide provider shortage, while maintaining the council’s responsibilities towards individuals. </w:t>
      </w:r>
    </w:p>
    <w:p w14:paraId="6E430100" w14:textId="77777777" w:rsidR="002A1511" w:rsidRDefault="005A7BEC">
      <w:pPr>
        <w:pStyle w:val="Ttulo1"/>
        <w:spacing w:after="268"/>
        <w:ind w:left="-5"/>
      </w:pPr>
      <w:bookmarkStart w:id="7" w:name="_Toc5347"/>
      <w:r>
        <w:t xml:space="preserve">Task 2 Ambulance services in England </w:t>
      </w:r>
      <w:bookmarkEnd w:id="7"/>
    </w:p>
    <w:p w14:paraId="1B8A47C6" w14:textId="77777777" w:rsidR="002A1511" w:rsidRDefault="005A7BEC">
      <w:pPr>
        <w:pStyle w:val="Ttulo2"/>
        <w:ind w:left="-5"/>
      </w:pPr>
      <w:bookmarkStart w:id="8" w:name="_Toc5348"/>
      <w:r>
        <w:t xml:space="preserve">Introduction </w:t>
      </w:r>
      <w:bookmarkEnd w:id="8"/>
    </w:p>
    <w:p w14:paraId="22F04AA0" w14:textId="77777777" w:rsidR="002A1511" w:rsidRDefault="005A7BEC">
      <w:pPr>
        <w:ind w:left="-4" w:right="0"/>
      </w:pPr>
      <w:r>
        <w:t>Ambulance provision has evolved from transporting patients into clinical care involving assessment, treatment and referral. This essay considers that development in England, drawing on London as an example. It argues that quality of life depends on appropr</w:t>
      </w:r>
      <w:r>
        <w:t xml:space="preserve">iate treatment and reliable onward support alongside a timely response. Greater activity or improved survival does not, by itself, demonstrate a better recovery. </w:t>
      </w:r>
    </w:p>
    <w:p w14:paraId="776BB1D7" w14:textId="77777777" w:rsidR="002A1511" w:rsidRDefault="005A7BEC">
      <w:pPr>
        <w:pStyle w:val="Ttulo2"/>
        <w:ind w:left="-5"/>
      </w:pPr>
      <w:bookmarkStart w:id="9" w:name="_Toc5349"/>
      <w:r>
        <w:t xml:space="preserve">Historical development </w:t>
      </w:r>
      <w:bookmarkEnd w:id="9"/>
    </w:p>
    <w:p w14:paraId="79927D83" w14:textId="77777777" w:rsidR="002A1511" w:rsidRDefault="005A7BEC">
      <w:pPr>
        <w:spacing w:after="37"/>
        <w:ind w:left="-4" w:right="0"/>
      </w:pPr>
      <w:r>
        <w:t>Before organised motorised services developed, injured people in nine</w:t>
      </w:r>
      <w:r>
        <w:t>teenth-century London relied partly on police, firefighters and taxi drivers for transport. Ambulance provision expanded through wartime civil defence. The National Health Service Act 1946 then supplied the legislative basis for ambulance availability unde</w:t>
      </w:r>
      <w:r>
        <w:t xml:space="preserve">r the NHS arrangements introduced in 1948 (London Ambulance Service NHS Trust, </w:t>
      </w:r>
      <w:proofErr w:type="spellStart"/>
      <w:r>
        <w:t>n.d.b</w:t>
      </w:r>
      <w:proofErr w:type="spellEnd"/>
      <w:r>
        <w:t xml:space="preserve">). This development reflected an expectation that access to necessary care should be organised collectively instead of depending on improvised local provision. </w:t>
      </w:r>
    </w:p>
    <w:p w14:paraId="03E606E6" w14:textId="77777777" w:rsidR="002A1511" w:rsidRDefault="005A7BEC">
      <w:pPr>
        <w:ind w:left="-4" w:right="0"/>
      </w:pPr>
      <w:r>
        <w:lastRenderedPageBreak/>
        <w:t>In 1965, pa</w:t>
      </w:r>
      <w:r>
        <w:t>rts of nine organisations were brought together into a London-wide service. Responsibility subsequently moved from councils into the NHS during the 1970s. Defibrillation, computerised control rooms and university paramedic education followed (London Ambula</w:t>
      </w:r>
      <w:r>
        <w:t xml:space="preserve">nce Service NHS Trust, </w:t>
      </w:r>
      <w:proofErr w:type="spellStart"/>
      <w:r>
        <w:t>n.d.b</w:t>
      </w:r>
      <w:proofErr w:type="spellEnd"/>
      <w:r>
        <w:t xml:space="preserve">). Together, these developments enabled more treatment before hospital arrival and increased the importance of clinical judgement. Coordination and equipment enabled improvement without guaranteeing equitable, effective care. </w:t>
      </w:r>
    </w:p>
    <w:p w14:paraId="2AA36638" w14:textId="77777777" w:rsidR="002A1511" w:rsidRDefault="005A7BEC">
      <w:pPr>
        <w:pStyle w:val="Ttulo2"/>
        <w:ind w:left="-5"/>
      </w:pPr>
      <w:bookmarkStart w:id="10" w:name="_Toc5350"/>
      <w:r>
        <w:t>C</w:t>
      </w:r>
      <w:r>
        <w:t xml:space="preserve">ontemporary operation </w:t>
      </w:r>
      <w:bookmarkEnd w:id="10"/>
    </w:p>
    <w:p w14:paraId="599542D1" w14:textId="77777777" w:rsidR="002A1511" w:rsidRDefault="005A7BEC">
      <w:pPr>
        <w:spacing w:after="37"/>
        <w:ind w:left="-4" w:right="0"/>
      </w:pPr>
      <w:r>
        <w:t xml:space="preserve">Clinical urgency guides the assessment of emergency calls. England uses four categories covering </w:t>
      </w:r>
      <w:proofErr w:type="spellStart"/>
      <w:r>
        <w:t>lifethreatening</w:t>
      </w:r>
      <w:proofErr w:type="spellEnd"/>
      <w:r>
        <w:t xml:space="preserve"> incidents, emergencies, urgent problems and less urgent needs. Introduced in 2017, the Ambulance Response Programme soug</w:t>
      </w:r>
      <w:r>
        <w:t xml:space="preserve">ht to match resources more closely to patients’ conditions. A caller may receive advice or referral, or require a crew capable of treatment and transport to specialist care (London Ambulance Service NHS Trust, </w:t>
      </w:r>
      <w:proofErr w:type="spellStart"/>
      <w:r>
        <w:t>n.d.a</w:t>
      </w:r>
      <w:proofErr w:type="spellEnd"/>
      <w:r>
        <w:t>). Effective prioritisation depends on so</w:t>
      </w:r>
      <w:r>
        <w:t xml:space="preserve">und assessment and accessible alternatives. </w:t>
      </w:r>
    </w:p>
    <w:p w14:paraId="4E3128E9" w14:textId="77777777" w:rsidR="002A1511" w:rsidRDefault="005A7BEC">
      <w:pPr>
        <w:spacing w:after="35"/>
        <w:ind w:left="-4" w:right="0"/>
      </w:pPr>
      <w:r>
        <w:t>When clinicians attend, assessment findings guide treatment and decisions about transport or referral. A person with suspected stroke, for example, needs an appropriate specialist destination as well as a prompt</w:t>
      </w:r>
      <w:r>
        <w:t xml:space="preserve"> response. Someone remaining safely at home needs an accepted referral and advice about deterioration. Valid consent, communication support and secure records are professional requirements (Health and Care Professions Council, 2024). Clear records enable c</w:t>
      </w:r>
      <w:r>
        <w:t xml:space="preserve">ontinuity, while accessible explanations help patients participate in decisions. Clinically appropriate treatment alone does not guarantee that the person understands their care. </w:t>
      </w:r>
    </w:p>
    <w:p w14:paraId="4EFB5C71" w14:textId="77777777" w:rsidR="002A1511" w:rsidRDefault="005A7BEC">
      <w:pPr>
        <w:ind w:left="-4" w:right="0"/>
      </w:pPr>
      <w:r>
        <w:t xml:space="preserve">London recorded 129,168 ambulance incidents in August 2026, with a Category </w:t>
      </w:r>
      <w:r>
        <w:t xml:space="preserve">2 response time of 32 minutes 23 seconds (NHS England, 2026). This was above the established 18-minute standard (London Ambulance Service NHS Trust, </w:t>
      </w:r>
      <w:proofErr w:type="spellStart"/>
      <w:r>
        <w:t>n.d.a</w:t>
      </w:r>
      <w:proofErr w:type="spellEnd"/>
      <w:r>
        <w:t>). A regional monthly average cannot represent all patients or the UK. These figures monitor performan</w:t>
      </w:r>
      <w:r>
        <w:t xml:space="preserve">ce but cannot establish individual causation. Clinical outcomes and the distribution of waiting times are therefore needed alongside the average. </w:t>
      </w:r>
    </w:p>
    <w:p w14:paraId="1C16472D" w14:textId="77777777" w:rsidR="002A1511" w:rsidRDefault="005A7BEC">
      <w:pPr>
        <w:pStyle w:val="Ttulo2"/>
        <w:ind w:left="-5"/>
      </w:pPr>
      <w:bookmarkStart w:id="11" w:name="_Toc5351"/>
      <w:r>
        <w:t xml:space="preserve">Clinical effectiveness and quality of life </w:t>
      </w:r>
      <w:bookmarkEnd w:id="11"/>
    </w:p>
    <w:p w14:paraId="1DB540F2" w14:textId="77777777" w:rsidR="002A1511" w:rsidRDefault="005A7BEC">
      <w:pPr>
        <w:spacing w:after="37"/>
        <w:ind w:left="-4" w:right="0"/>
      </w:pPr>
      <w:r>
        <w:t>Following out-of-hospital cardiac arrest, the PARAMEDIC2 trial reported 30-day survival of 3.2% among patients receiving adrenaline and 2.4% among those receiving placebo. Favourable neurological outcome at hospital discharge did not differ significantly (</w:t>
      </w:r>
      <w:r>
        <w:t>Perkins et al., 2021). The survival difference was 0.8 percentage points. Randomisation supports causal conclusions about this intervention, but the results cannot represent the effectiveness of ambulance care as a whole. They distinguish survival from neu</w:t>
      </w:r>
      <w:r>
        <w:t xml:space="preserve">rological recovery and subsequent support. </w:t>
      </w:r>
    </w:p>
    <w:p w14:paraId="4D895536" w14:textId="77777777" w:rsidR="002A1511" w:rsidRDefault="005A7BEC">
      <w:pPr>
        <w:spacing w:after="37"/>
        <w:ind w:left="-4" w:right="0"/>
      </w:pPr>
      <w:r>
        <w:lastRenderedPageBreak/>
        <w:t xml:space="preserve">Evidence about community referral offers another perspective. SAFER 2 enabled trained paramedics to assess older people after a fall and refer suitable patients to falls services. At </w:t>
      </w:r>
      <w:proofErr w:type="gramStart"/>
      <w:r>
        <w:t>one month</w:t>
      </w:r>
      <w:proofErr w:type="gramEnd"/>
      <w:r>
        <w:t xml:space="preserve">, further emergency </w:t>
      </w:r>
      <w:r>
        <w:t>calls occurred among 18.5% of the intervention group compared with 21.8% of the control group. However, there was no significant improvement in the overall primary outcome or quality-adjusted life-years (</w:t>
      </w:r>
      <w:proofErr w:type="spellStart"/>
      <w:r>
        <w:t>Snooks</w:t>
      </w:r>
      <w:proofErr w:type="spellEnd"/>
      <w:r>
        <w:t xml:space="preserve"> et al., 2017). Referral pathways therefore wa</w:t>
      </w:r>
      <w:r>
        <w:t xml:space="preserve">rrant cautious implementation; avoiding hospital cannot automatically be equated with better quality of life. </w:t>
      </w:r>
    </w:p>
    <w:p w14:paraId="2896D588" w14:textId="77777777" w:rsidR="002A1511" w:rsidRDefault="005A7BEC">
      <w:pPr>
        <w:ind w:left="-4" w:right="0"/>
      </w:pPr>
      <w:r>
        <w:t>These trials test interventions more rigorously than organisational publicity, but cannot cover every emergency or preference. SAFER 2 involved s</w:t>
      </w:r>
      <w:r>
        <w:t>elected older people who had fallen across three ambulance services. Transferability depends on accessible falls teams. Improvement consequently depends on clinical assessment, referral capacity and follow-up rather than lower conveyance targets alone. Pat</w:t>
      </w:r>
      <w:r>
        <w:t>ient-reported confidence, pain, functional recovery and repeat emergency contacts provide broader evidence. Remaining at home may preserve an older person’s routines, yet insufficient support could leave them anxious and exposed to another fall. Medical fi</w:t>
      </w:r>
      <w:r>
        <w:t xml:space="preserve">ndings should therefore be considered alongside living circumstances and preferences, with responsibility for follow-up agreed explicitly. </w:t>
      </w:r>
    </w:p>
    <w:p w14:paraId="3D8A7EE0" w14:textId="77777777" w:rsidR="002A1511" w:rsidRDefault="005A7BEC">
      <w:pPr>
        <w:pStyle w:val="Ttulo2"/>
        <w:ind w:left="-5"/>
      </w:pPr>
      <w:bookmarkStart w:id="12" w:name="_Toc5352"/>
      <w:r>
        <w:t xml:space="preserve">Conclusion </w:t>
      </w:r>
      <w:bookmarkEnd w:id="12"/>
    </w:p>
    <w:p w14:paraId="05322142" w14:textId="77777777" w:rsidR="002A1511" w:rsidRDefault="005A7BEC">
      <w:pPr>
        <w:spacing w:after="1"/>
        <w:ind w:left="-4" w:right="0"/>
      </w:pPr>
      <w:r>
        <w:t xml:space="preserve">Public provision, coordination and clinical professionalisation shaped ambulance care. Its contribution </w:t>
      </w:r>
      <w:r>
        <w:t xml:space="preserve">depends on linking timely treatment with recovery and suitable ongoing support. Service improvement should combine response standards with patient-centred outcomes and pathways tested through research. </w:t>
      </w:r>
    </w:p>
    <w:p w14:paraId="6F329832" w14:textId="77777777" w:rsidR="002A1511" w:rsidRDefault="005A7BEC">
      <w:pPr>
        <w:spacing w:line="259" w:lineRule="auto"/>
        <w:ind w:left="-4" w:right="0"/>
      </w:pPr>
      <w:r>
        <w:t>Speed, survival and quality of life are connected, bu</w:t>
      </w:r>
      <w:r>
        <w:t xml:space="preserve">t each measures a different aspect of success. </w:t>
      </w:r>
    </w:p>
    <w:p w14:paraId="0305B15A" w14:textId="77777777" w:rsidR="002A1511" w:rsidRDefault="005A7BEC">
      <w:pPr>
        <w:pStyle w:val="Ttulo1"/>
        <w:ind w:left="-5"/>
      </w:pPr>
      <w:bookmarkStart w:id="13" w:name="_Toc5353"/>
      <w:r>
        <w:t xml:space="preserve">References </w:t>
      </w:r>
      <w:bookmarkEnd w:id="13"/>
    </w:p>
    <w:p w14:paraId="0C716E7D" w14:textId="77777777" w:rsidR="002A1511" w:rsidRDefault="005A7BEC">
      <w:pPr>
        <w:spacing w:after="179"/>
        <w:ind w:left="706" w:right="0" w:hanging="720"/>
      </w:pPr>
      <w:r>
        <w:t xml:space="preserve">Birmingham City Council (2025) </w:t>
      </w:r>
      <w:r>
        <w:rPr>
          <w:i/>
        </w:rPr>
        <w:t>Market position statement 2025 summary – Home support</w:t>
      </w:r>
      <w:r>
        <w:t>. 24 September. Available at: https://www.birmingham.gov.uk/download/downloads/id/30892/home_support__mps_-_summ</w:t>
      </w:r>
      <w:r>
        <w:t xml:space="preserve">ary_document.pdf (Accessed: 18 October 2026). </w:t>
      </w:r>
    </w:p>
    <w:p w14:paraId="76A86C01" w14:textId="77777777" w:rsidR="002A1511" w:rsidRDefault="005A7BEC">
      <w:pPr>
        <w:spacing w:after="179"/>
        <w:ind w:left="706" w:right="0" w:hanging="720"/>
      </w:pPr>
      <w:r>
        <w:t xml:space="preserve">Birmingham City Council (2026) </w:t>
      </w:r>
      <w:r>
        <w:rPr>
          <w:i/>
        </w:rPr>
        <w:t xml:space="preserve">Councillor </w:t>
      </w:r>
      <w:proofErr w:type="spellStart"/>
      <w:r>
        <w:rPr>
          <w:i/>
        </w:rPr>
        <w:t>Nosheen</w:t>
      </w:r>
      <w:proofErr w:type="spellEnd"/>
      <w:r>
        <w:rPr>
          <w:i/>
        </w:rPr>
        <w:t xml:space="preserve"> Khalid</w:t>
      </w:r>
      <w:r>
        <w:t xml:space="preserve">. Available at: https://www.birmingham.gov.uk/councillors/61/mohammed_idrees (Accessed: 18 October 2026). </w:t>
      </w:r>
    </w:p>
    <w:p w14:paraId="364454D8" w14:textId="77777777" w:rsidR="002A1511" w:rsidRDefault="005A7BEC">
      <w:pPr>
        <w:spacing w:after="107" w:line="259" w:lineRule="auto"/>
        <w:ind w:left="-4" w:right="0"/>
      </w:pPr>
      <w:r>
        <w:t xml:space="preserve">Department of Health and Social Care (2025) </w:t>
      </w:r>
      <w:r>
        <w:rPr>
          <w:i/>
        </w:rPr>
        <w:t>Care and support statutory guidance</w:t>
      </w:r>
      <w:r>
        <w:t xml:space="preserve">. Available at: </w:t>
      </w:r>
    </w:p>
    <w:p w14:paraId="7677C226" w14:textId="77777777" w:rsidR="002A1511" w:rsidRDefault="005A7BEC">
      <w:pPr>
        <w:spacing w:after="179"/>
        <w:ind w:left="730" w:right="0"/>
      </w:pPr>
      <w:r>
        <w:t xml:space="preserve">https://www.gov.uk/government/publications/care-act-statutory-guidance/care-and-supportstatutory-guidance (Accessed: 18 October 2026). </w:t>
      </w:r>
    </w:p>
    <w:p w14:paraId="6B602A48" w14:textId="77777777" w:rsidR="002A1511" w:rsidRDefault="005A7BEC">
      <w:pPr>
        <w:spacing w:after="179"/>
        <w:ind w:left="706" w:right="0" w:hanging="720"/>
      </w:pPr>
      <w:r>
        <w:t xml:space="preserve">Great Britain (2014) </w:t>
      </w:r>
      <w:r>
        <w:rPr>
          <w:i/>
        </w:rPr>
        <w:t>Care Act 2014</w:t>
      </w:r>
      <w:r>
        <w:t>, c. 23, Part 1. Available at: htt</w:t>
      </w:r>
      <w:r>
        <w:t xml:space="preserve">ps://www.legislation.gov.uk/ukpga/2014/23/contents (Accessed: 18 October 2026). </w:t>
      </w:r>
    </w:p>
    <w:p w14:paraId="6342FD5F" w14:textId="77777777" w:rsidR="002A1511" w:rsidRDefault="005A7BEC">
      <w:pPr>
        <w:spacing w:after="179"/>
        <w:ind w:left="706" w:right="0" w:hanging="720"/>
      </w:pPr>
      <w:r>
        <w:lastRenderedPageBreak/>
        <w:t xml:space="preserve">Health and Care Professions Council (2024) </w:t>
      </w:r>
      <w:r>
        <w:rPr>
          <w:i/>
        </w:rPr>
        <w:t>Standards of conduct, performance and ethics</w:t>
      </w:r>
      <w:r>
        <w:t>. Effective 1 September. Available at: https://www.hcpc-uk.org/standards/standards-of-co</w:t>
      </w:r>
      <w:r>
        <w:t xml:space="preserve">nduct-performanceand-ethics/ (Accessed: 18 October 2026). </w:t>
      </w:r>
    </w:p>
    <w:p w14:paraId="1BFF1109" w14:textId="77777777" w:rsidR="002A1511" w:rsidRDefault="005A7BEC">
      <w:pPr>
        <w:spacing w:after="107" w:line="259" w:lineRule="auto"/>
        <w:ind w:left="-4" w:right="0"/>
      </w:pPr>
      <w:r>
        <w:t>London Ambulance Service NHS Trust (</w:t>
      </w:r>
      <w:proofErr w:type="spellStart"/>
      <w:r>
        <w:t>n.d.a</w:t>
      </w:r>
      <w:proofErr w:type="spellEnd"/>
      <w:r>
        <w:t xml:space="preserve">) </w:t>
      </w:r>
      <w:r>
        <w:rPr>
          <w:i/>
        </w:rPr>
        <w:t>Ambulance response categories</w:t>
      </w:r>
      <w:r>
        <w:t xml:space="preserve">. Available at: </w:t>
      </w:r>
    </w:p>
    <w:p w14:paraId="233D52D9" w14:textId="77777777" w:rsidR="002A1511" w:rsidRDefault="005A7BEC">
      <w:pPr>
        <w:spacing w:after="179"/>
        <w:ind w:left="730" w:right="0"/>
      </w:pPr>
      <w:r>
        <w:t>https://www.londonambulance.nhs.uk/about-us/our-performance/ambulance-response-categories/ (Accessed: 18 Oct</w:t>
      </w:r>
      <w:r>
        <w:t xml:space="preserve">ober 2026). </w:t>
      </w:r>
    </w:p>
    <w:p w14:paraId="02A01ABD" w14:textId="77777777" w:rsidR="002A1511" w:rsidRDefault="005A7BEC">
      <w:pPr>
        <w:spacing w:after="179"/>
        <w:ind w:left="706" w:right="0" w:hanging="720"/>
      </w:pPr>
      <w:r>
        <w:t>London Ambulance Service NHS Trust (</w:t>
      </w:r>
      <w:proofErr w:type="spellStart"/>
      <w:r>
        <w:t>n.d.b</w:t>
      </w:r>
      <w:proofErr w:type="spellEnd"/>
      <w:r>
        <w:t xml:space="preserve">) </w:t>
      </w:r>
      <w:r>
        <w:rPr>
          <w:i/>
        </w:rPr>
        <w:t>Our history – a timeline</w:t>
      </w:r>
      <w:r>
        <w:t xml:space="preserve">. Available at: https://www.londonambulance.nhs.uk/about-us/our-history/our-history-a-timeline/ (Accessed: 18 October 2026). </w:t>
      </w:r>
    </w:p>
    <w:p w14:paraId="532E7836" w14:textId="77777777" w:rsidR="002A1511" w:rsidRDefault="005A7BEC">
      <w:pPr>
        <w:spacing w:after="179"/>
        <w:ind w:left="706" w:right="0" w:hanging="720"/>
      </w:pPr>
      <w:r>
        <w:t xml:space="preserve">Local Government and Social Care Ombudsman (2025) </w:t>
      </w:r>
      <w:r>
        <w:rPr>
          <w:i/>
        </w:rPr>
        <w:t>Birmingham City Council 24 018 891</w:t>
      </w:r>
      <w:r>
        <w:t xml:space="preserve">. Decision upheld, 16 July. Available at: https://www.lgo.org.uk/decisions/adult-care-services/charging/24-018891 (Accessed: 18 October 2026). </w:t>
      </w:r>
    </w:p>
    <w:p w14:paraId="38C68843" w14:textId="77777777" w:rsidR="002A1511" w:rsidRDefault="005A7BEC">
      <w:pPr>
        <w:spacing w:after="0" w:line="361" w:lineRule="auto"/>
        <w:ind w:left="720" w:right="0" w:hanging="720"/>
        <w:jc w:val="left"/>
      </w:pPr>
      <w:r>
        <w:t xml:space="preserve">National Institute for Health and Care Excellence (NICE) (2015) </w:t>
      </w:r>
      <w:r>
        <w:rPr>
          <w:i/>
        </w:rPr>
        <w:t>Home care deli</w:t>
      </w:r>
      <w:r>
        <w:rPr>
          <w:i/>
        </w:rPr>
        <w:t>vering personal care and practical support to older people living in their own homes</w:t>
      </w:r>
      <w:r>
        <w:t xml:space="preserve">. NG21. Available at: </w:t>
      </w:r>
    </w:p>
    <w:p w14:paraId="33663840" w14:textId="77777777" w:rsidR="002A1511" w:rsidRDefault="005A7BEC">
      <w:pPr>
        <w:spacing w:after="285" w:line="259" w:lineRule="auto"/>
        <w:ind w:left="730" w:right="0"/>
      </w:pPr>
      <w:r>
        <w:t xml:space="preserve">https://www.nice.org.uk/guidance/ng21/chapter/recommendations (Accessed: 18 October 2026). </w:t>
      </w:r>
    </w:p>
    <w:p w14:paraId="7388B4C8" w14:textId="77777777" w:rsidR="002A1511" w:rsidRDefault="005A7BEC">
      <w:pPr>
        <w:ind w:left="706" w:right="0" w:hanging="720"/>
      </w:pPr>
      <w:r>
        <w:t xml:space="preserve">NHS England (2026) </w:t>
      </w:r>
      <w:r>
        <w:rPr>
          <w:i/>
        </w:rPr>
        <w:t>London’s NHS meets record summer deman</w:t>
      </w:r>
      <w:r>
        <w:rPr>
          <w:i/>
        </w:rPr>
        <w:t>d now turns focus to winter resilience</w:t>
      </w:r>
      <w:r>
        <w:t xml:space="preserve">. 10 September. Available at: https://www.england.nhs.uk/london/2026/09/10/londons-nhs-meetsrecord-summer-demand-now-turns-focus-to-winter-resilience/ (Accessed: 18 October 2026). </w:t>
      </w:r>
    </w:p>
    <w:p w14:paraId="5E8C4C13" w14:textId="77777777" w:rsidR="002A1511" w:rsidRDefault="005A7BEC">
      <w:pPr>
        <w:spacing w:after="179"/>
        <w:ind w:left="706" w:right="0" w:hanging="720"/>
      </w:pPr>
      <w:r>
        <w:t>Perkins, G.D. et al. (2021) ‘Adrenali</w:t>
      </w:r>
      <w:r>
        <w:t xml:space="preserve">ne to improve survival in out-of-hospital cardiac arrest: the PARAMEDIC2 RCT’, </w:t>
      </w:r>
      <w:r>
        <w:rPr>
          <w:i/>
        </w:rPr>
        <w:t>Health Technology Assessment</w:t>
      </w:r>
      <w:r>
        <w:t xml:space="preserve">, 25(25), pp. 1–166. </w:t>
      </w:r>
      <w:proofErr w:type="spellStart"/>
      <w:r>
        <w:t>doi</w:t>
      </w:r>
      <w:proofErr w:type="spellEnd"/>
      <w:r>
        <w:t xml:space="preserve">: 10.3310/hta25250. Available at: https://pmc.ncbi.nlm.nih.gov/articles/PMC8072520/ (Accessed: 18 October 2026). </w:t>
      </w:r>
    </w:p>
    <w:p w14:paraId="474F52A3" w14:textId="77777777" w:rsidR="002A1511" w:rsidRDefault="005A7BEC">
      <w:pPr>
        <w:spacing w:after="0"/>
        <w:ind w:left="706" w:right="0" w:hanging="720"/>
      </w:pPr>
      <w:proofErr w:type="spellStart"/>
      <w:r>
        <w:t>Snooks</w:t>
      </w:r>
      <w:proofErr w:type="spellEnd"/>
      <w:r>
        <w:t>, H.A</w:t>
      </w:r>
      <w:r>
        <w:t>. et al. (2017) ‘Support and Assessment for Fall Emergency Referrals (SAFER) 2: a cluster randomised trial and systematic review of clinical effectiveness and cost-effectiveness of new protocols for emergency ambulance paramedics to assess older people fol</w:t>
      </w:r>
      <w:r>
        <w:t xml:space="preserve">lowing a fall with referral to community-based care when appropriate’, </w:t>
      </w:r>
      <w:r>
        <w:rPr>
          <w:i/>
        </w:rPr>
        <w:t>Health Technology Assessment</w:t>
      </w:r>
      <w:r>
        <w:t xml:space="preserve">, 21(13), pp. 1–218. </w:t>
      </w:r>
      <w:proofErr w:type="spellStart"/>
      <w:r>
        <w:t>doi</w:t>
      </w:r>
      <w:proofErr w:type="spellEnd"/>
      <w:r>
        <w:t xml:space="preserve">: 10.3310/hta21130. Available at: https://pubmed.ncbi.nlm.nih.gov/28397649/ (Accessed: 18 October 2026). </w:t>
      </w:r>
    </w:p>
    <w:sectPr w:rsidR="002A1511">
      <w:footerReference w:type="even" r:id="rId7"/>
      <w:footerReference w:type="default" r:id="rId8"/>
      <w:footerReference w:type="first" r:id="rId9"/>
      <w:pgSz w:w="12240" w:h="15840"/>
      <w:pgMar w:top="936" w:right="931" w:bottom="1523" w:left="936"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ED64FE" w14:textId="77777777" w:rsidR="00000000" w:rsidRDefault="005A7BEC">
      <w:pPr>
        <w:spacing w:after="0" w:line="240" w:lineRule="auto"/>
      </w:pPr>
      <w:r>
        <w:separator/>
      </w:r>
    </w:p>
  </w:endnote>
  <w:endnote w:type="continuationSeparator" w:id="0">
    <w:p w14:paraId="1DE8202C" w14:textId="77777777" w:rsidR="00000000" w:rsidRDefault="005A7B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FAF350" w14:textId="77777777" w:rsidR="002A1511" w:rsidRDefault="005A7BEC">
    <w:pPr>
      <w:spacing w:after="0" w:line="259" w:lineRule="auto"/>
      <w:ind w:left="0" w:firstLine="0"/>
      <w:jc w:val="center"/>
    </w:pPr>
    <w:r>
      <w:t xml:space="preserve">Page </w:t>
    </w:r>
    <w:r>
      <w:fldChar w:fldCharType="begin"/>
    </w:r>
    <w:r>
      <w:instrText xml:space="preserve"> PAGE   \* MERGEFORMAT </w:instrText>
    </w:r>
    <w:r>
      <w:fldChar w:fldCharType="separate"/>
    </w:r>
    <w:r>
      <w:t>2</w:t>
    </w:r>
    <w:r>
      <w:fldChar w:fldCharType="end"/>
    </w: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192A40" w14:textId="77777777" w:rsidR="002A1511" w:rsidRDefault="005A7BEC">
    <w:pPr>
      <w:spacing w:after="0" w:line="259" w:lineRule="auto"/>
      <w:ind w:left="0" w:firstLine="0"/>
      <w:jc w:val="center"/>
    </w:pPr>
    <w:r>
      <w:t xml:space="preserve">Page </w:t>
    </w:r>
    <w:r>
      <w:fldChar w:fldCharType="begin"/>
    </w:r>
    <w:r>
      <w:instrText xml:space="preserve"> PAGE   \* MERGEFORMAT </w:instrText>
    </w:r>
    <w:r>
      <w:fldChar w:fldCharType="separate"/>
    </w:r>
    <w:r>
      <w:t>2</w:t>
    </w:r>
    <w:r>
      <w:fldChar w:fldCharType="end"/>
    </w: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1FFB40" w14:textId="77777777" w:rsidR="002A1511" w:rsidRDefault="002A1511">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587FDB" w14:textId="77777777" w:rsidR="00000000" w:rsidRDefault="005A7BEC">
      <w:pPr>
        <w:spacing w:after="0" w:line="240" w:lineRule="auto"/>
      </w:pPr>
      <w:r>
        <w:separator/>
      </w:r>
    </w:p>
  </w:footnote>
  <w:footnote w:type="continuationSeparator" w:id="0">
    <w:p w14:paraId="1784FA0A" w14:textId="77777777" w:rsidR="00000000" w:rsidRDefault="005A7BE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1511"/>
    <w:rsid w:val="002A1511"/>
    <w:rsid w:val="005A7B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287E1"/>
  <w15:docId w15:val="{5B34B312-7E26-4C0E-A8C1-CE9B2DFAA8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after="201" w:line="360" w:lineRule="auto"/>
      <w:ind w:left="10" w:right="7" w:hanging="10"/>
      <w:jc w:val="both"/>
    </w:pPr>
    <w:rPr>
      <w:rFonts w:ascii="Arial" w:eastAsia="Arial" w:hAnsi="Arial" w:cs="Arial"/>
      <w:color w:val="000000"/>
    </w:rPr>
  </w:style>
  <w:style w:type="paragraph" w:styleId="Ttulo1">
    <w:name w:val="heading 1"/>
    <w:next w:val="Normal"/>
    <w:link w:val="Ttulo1Car"/>
    <w:uiPriority w:val="9"/>
    <w:qFormat/>
    <w:pPr>
      <w:keepNext/>
      <w:keepLines/>
      <w:spacing w:after="149"/>
      <w:ind w:left="10" w:hanging="10"/>
      <w:outlineLvl w:val="0"/>
    </w:pPr>
    <w:rPr>
      <w:rFonts w:ascii="Arial" w:eastAsia="Arial" w:hAnsi="Arial" w:cs="Arial"/>
      <w:b/>
      <w:color w:val="000000"/>
      <w:sz w:val="30"/>
    </w:rPr>
  </w:style>
  <w:style w:type="paragraph" w:styleId="Ttulo2">
    <w:name w:val="heading 2"/>
    <w:next w:val="Normal"/>
    <w:link w:val="Ttulo2Car"/>
    <w:uiPriority w:val="9"/>
    <w:unhideWhenUsed/>
    <w:qFormat/>
    <w:pPr>
      <w:keepNext/>
      <w:keepLines/>
      <w:spacing w:after="177"/>
      <w:ind w:left="10" w:hanging="10"/>
      <w:outlineLvl w:val="1"/>
    </w:pPr>
    <w:rPr>
      <w:rFonts w:ascii="Arial" w:eastAsia="Arial" w:hAnsi="Arial" w:cs="Arial"/>
      <w:b/>
      <w:color w:val="000000"/>
      <w:sz w:val="24"/>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2Car">
    <w:name w:val="Título 2 Car"/>
    <w:link w:val="Ttulo2"/>
    <w:rPr>
      <w:rFonts w:ascii="Arial" w:eastAsia="Arial" w:hAnsi="Arial" w:cs="Arial"/>
      <w:b/>
      <w:color w:val="000000"/>
      <w:sz w:val="24"/>
    </w:rPr>
  </w:style>
  <w:style w:type="character" w:customStyle="1" w:styleId="Ttulo1Car">
    <w:name w:val="Título 1 Car"/>
    <w:link w:val="Ttulo1"/>
    <w:rPr>
      <w:rFonts w:ascii="Arial" w:eastAsia="Arial" w:hAnsi="Arial" w:cs="Arial"/>
      <w:b/>
      <w:color w:val="000000"/>
      <w:sz w:val="30"/>
    </w:rPr>
  </w:style>
  <w:style w:type="paragraph" w:styleId="TDC1">
    <w:name w:val="toc 1"/>
    <w:hidden/>
    <w:pPr>
      <w:spacing w:after="201"/>
      <w:ind w:left="25" w:right="23" w:hanging="10"/>
      <w:jc w:val="both"/>
    </w:pPr>
    <w:rPr>
      <w:rFonts w:ascii="Arial" w:eastAsia="Arial" w:hAnsi="Arial" w:cs="Arial"/>
      <w:color w:val="000000"/>
    </w:rPr>
  </w:style>
  <w:style w:type="paragraph" w:styleId="TDC2">
    <w:name w:val="toc 2"/>
    <w:hidden/>
    <w:pPr>
      <w:spacing w:after="201"/>
      <w:ind w:left="246" w:right="23" w:hanging="10"/>
      <w:jc w:val="both"/>
    </w:pPr>
    <w:rPr>
      <w:rFonts w:ascii="Arial" w:eastAsia="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3.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2332</Words>
  <Characters>13299</Characters>
  <Application>Microsoft Office Word</Application>
  <DocSecurity>0</DocSecurity>
  <Lines>110</Lines>
  <Paragraphs>31</Paragraphs>
  <ScaleCrop>false</ScaleCrop>
  <HeadingPairs>
    <vt:vector size="2" baseType="variant">
      <vt:variant>
        <vt:lpstr>Título</vt:lpstr>
      </vt:variant>
      <vt:variant>
        <vt:i4>1</vt:i4>
      </vt:variant>
    </vt:vector>
  </HeadingPairs>
  <TitlesOfParts>
    <vt:vector size="1" baseType="lpstr">
      <vt:lpstr>Introduction to Health and Social Care Paraphrased Draft</vt:lpstr>
    </vt:vector>
  </TitlesOfParts>
  <Company/>
  <LinksUpToDate>false</LinksUpToDate>
  <CharactersWithSpaces>15600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Health and Social Care Paraphrased Draft</dc:title>
  <dc:subject/>
  <dc:creator>Juana Elena Delgado</dc:creator>
  <cp:keywords/>
  <cp:lastModifiedBy>Juana</cp:lastModifiedBy>
  <cp:revision>2</cp:revision>
  <dcterms:created xsi:type="dcterms:W3CDTF">2026-10-18T21:09:00Z</dcterms:created>
  <dcterms:modified xsi:type="dcterms:W3CDTF">2026-10-18T21:09:00Z</dcterms:modified>
</cp:coreProperties>
</file>